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94" w:rsidRPr="00781D94" w:rsidRDefault="00781D94" w:rsidP="00781D94">
      <w:pPr>
        <w:pStyle w:val="Pa1"/>
        <w:rPr>
          <w:rFonts w:asciiTheme="minorHAnsi" w:hAnsiTheme="minorHAnsi" w:cstheme="minorHAnsi"/>
          <w:color w:val="221E1F"/>
          <w:sz w:val="18"/>
          <w:szCs w:val="14"/>
        </w:rPr>
      </w:pPr>
      <w:r w:rsidRPr="00781D94">
        <w:rPr>
          <w:rStyle w:val="A1"/>
          <w:rFonts w:asciiTheme="minorHAnsi" w:hAnsiTheme="minorHAnsi" w:cstheme="minorHAnsi"/>
          <w:b w:val="0"/>
          <w:bCs w:val="0"/>
          <w:sz w:val="18"/>
        </w:rPr>
        <w:t xml:space="preserve">www.thelancet.com/diabetes-endocrinology </w:t>
      </w:r>
      <w:r w:rsidRPr="00781D94">
        <w:rPr>
          <w:rStyle w:val="A1"/>
          <w:rFonts w:asciiTheme="minorHAnsi" w:hAnsiTheme="minorHAnsi" w:cstheme="minorHAnsi"/>
          <w:sz w:val="18"/>
        </w:rPr>
        <w:t>Published online October 29, 2019 https://doi.org/10.1016/S2213-</w:t>
      </w:r>
      <w:proofErr w:type="gramStart"/>
      <w:r w:rsidRPr="00781D94">
        <w:rPr>
          <w:rStyle w:val="A1"/>
          <w:rFonts w:asciiTheme="minorHAnsi" w:hAnsiTheme="minorHAnsi" w:cstheme="minorHAnsi"/>
          <w:sz w:val="18"/>
        </w:rPr>
        <w:t>8587(</w:t>
      </w:r>
      <w:proofErr w:type="gramEnd"/>
      <w:r w:rsidRPr="00781D94">
        <w:rPr>
          <w:rStyle w:val="A1"/>
          <w:rFonts w:asciiTheme="minorHAnsi" w:hAnsiTheme="minorHAnsi" w:cstheme="minorHAnsi"/>
          <w:sz w:val="18"/>
        </w:rPr>
        <w:t xml:space="preserve">19)30348-1 1 </w:t>
      </w:r>
    </w:p>
    <w:p w:rsidR="00781D94" w:rsidRPr="00781D94" w:rsidRDefault="00781D94" w:rsidP="00781D94">
      <w:pPr>
        <w:pStyle w:val="Pa6"/>
        <w:spacing w:before="100"/>
        <w:rPr>
          <w:rFonts w:asciiTheme="minorHAnsi" w:hAnsiTheme="minorHAnsi" w:cstheme="minorHAnsi"/>
          <w:color w:val="221E1F"/>
          <w:sz w:val="19"/>
          <w:szCs w:val="19"/>
        </w:rPr>
      </w:pPr>
      <w:proofErr w:type="spellStart"/>
      <w:r w:rsidRPr="00781D94">
        <w:rPr>
          <w:rFonts w:asciiTheme="minorHAnsi" w:hAnsiTheme="minorHAnsi" w:cstheme="minorHAnsi"/>
          <w:color w:val="221E1F"/>
          <w:sz w:val="19"/>
          <w:szCs w:val="19"/>
        </w:rPr>
        <w:t>Doctopic</w:t>
      </w:r>
      <w:proofErr w:type="spellEnd"/>
      <w:r w:rsidRPr="00781D94">
        <w:rPr>
          <w:rFonts w:asciiTheme="minorHAnsi" w:hAnsiTheme="minorHAnsi" w:cstheme="minorHAnsi"/>
          <w:color w:val="221E1F"/>
          <w:sz w:val="19"/>
          <w:szCs w:val="19"/>
        </w:rPr>
        <w:t xml:space="preserve">: Analysis and Interpretation THELANCETDE-D-19-00736 19TLDE0736 PII: S2213-8587(19)30348-1 </w:t>
      </w:r>
    </w:p>
    <w:p w:rsidR="00781D94" w:rsidRPr="00781D94" w:rsidRDefault="00781D94" w:rsidP="00781D94">
      <w:pPr>
        <w:pStyle w:val="Pa6"/>
        <w:spacing w:before="100"/>
        <w:rPr>
          <w:rFonts w:asciiTheme="minorHAnsi" w:hAnsiTheme="minorHAnsi" w:cstheme="minorHAnsi"/>
          <w:color w:val="221E1F"/>
          <w:sz w:val="19"/>
          <w:szCs w:val="19"/>
        </w:rPr>
      </w:pPr>
    </w:p>
    <w:p w:rsidR="00781D94" w:rsidRPr="00781D94" w:rsidRDefault="00781D94" w:rsidP="00781D94">
      <w:pPr>
        <w:pStyle w:val="Default"/>
        <w:spacing w:after="140" w:line="361" w:lineRule="atLeast"/>
        <w:rPr>
          <w:rFonts w:asciiTheme="minorHAnsi" w:hAnsiTheme="minorHAnsi" w:cstheme="minorHAnsi"/>
          <w:color w:val="221E1F"/>
          <w:sz w:val="36"/>
          <w:szCs w:val="36"/>
        </w:rPr>
      </w:pPr>
      <w:proofErr w:type="spellStart"/>
      <w:r w:rsidRPr="00781D94">
        <w:rPr>
          <w:rFonts w:asciiTheme="minorHAnsi" w:hAnsiTheme="minorHAnsi" w:cstheme="minorHAnsi"/>
          <w:b/>
          <w:bCs/>
          <w:color w:val="221E1F"/>
          <w:sz w:val="36"/>
          <w:szCs w:val="36"/>
        </w:rPr>
        <w:t>Odanacatib</w:t>
      </w:r>
      <w:proofErr w:type="spellEnd"/>
      <w:r w:rsidRPr="00781D94">
        <w:rPr>
          <w:rFonts w:asciiTheme="minorHAnsi" w:hAnsiTheme="minorHAnsi" w:cstheme="minorHAnsi"/>
          <w:b/>
          <w:bCs/>
          <w:color w:val="221E1F"/>
          <w:sz w:val="36"/>
          <w:szCs w:val="36"/>
        </w:rPr>
        <w:t xml:space="preserve">: the best osteoporosis treatment we never had? </w:t>
      </w:r>
    </w:p>
    <w:p w:rsidR="00781D94" w:rsidRPr="00781D94" w:rsidRDefault="00781D94" w:rsidP="00781D94">
      <w:pPr>
        <w:pStyle w:val="Default"/>
        <w:spacing w:line="201" w:lineRule="atLeast"/>
        <w:jc w:val="both"/>
        <w:rPr>
          <w:rFonts w:asciiTheme="minorHAnsi" w:hAnsiTheme="minorHAnsi" w:cstheme="minorHAnsi"/>
          <w:color w:val="auto"/>
          <w:sz w:val="20"/>
          <w:szCs w:val="20"/>
        </w:rPr>
      </w:pPr>
      <w:r w:rsidRPr="00781D94">
        <w:rPr>
          <w:rFonts w:asciiTheme="minorHAnsi" w:hAnsiTheme="minorHAnsi" w:cstheme="minorHAnsi"/>
          <w:color w:val="auto"/>
          <w:sz w:val="20"/>
          <w:szCs w:val="20"/>
        </w:rPr>
        <w:t xml:space="preserve">Current drugs used to treat osteoporosis target bone turnover. Oestrogens and oestrogen-receptor modulators in post-menopausal women, and bisphosphonates and </w:t>
      </w:r>
      <w:proofErr w:type="spellStart"/>
      <w:r w:rsidRPr="00781D94">
        <w:rPr>
          <w:rFonts w:asciiTheme="minorHAnsi" w:hAnsiTheme="minorHAnsi" w:cstheme="minorHAnsi"/>
          <w:color w:val="auto"/>
          <w:sz w:val="20"/>
          <w:szCs w:val="20"/>
        </w:rPr>
        <w:t>denosumab</w:t>
      </w:r>
      <w:proofErr w:type="spellEnd"/>
      <w:r w:rsidRPr="00781D94">
        <w:rPr>
          <w:rFonts w:asciiTheme="minorHAnsi" w:hAnsiTheme="minorHAnsi" w:cstheme="minorHAnsi"/>
          <w:color w:val="auto"/>
          <w:sz w:val="20"/>
          <w:szCs w:val="20"/>
        </w:rPr>
        <w:t xml:space="preserve"> in both sexes, all decrease bone resorption, and anabolic drugs such as </w:t>
      </w:r>
      <w:proofErr w:type="spellStart"/>
      <w:r w:rsidRPr="00781D94">
        <w:rPr>
          <w:rFonts w:asciiTheme="minorHAnsi" w:hAnsiTheme="minorHAnsi" w:cstheme="minorHAnsi"/>
          <w:color w:val="auto"/>
          <w:sz w:val="20"/>
          <w:szCs w:val="20"/>
        </w:rPr>
        <w:t>teriparatide</w:t>
      </w:r>
      <w:proofErr w:type="spellEnd"/>
      <w:r w:rsidRPr="00781D94">
        <w:rPr>
          <w:rFonts w:asciiTheme="minorHAnsi" w:hAnsiTheme="minorHAnsi" w:cstheme="minorHAnsi"/>
          <w:color w:val="auto"/>
          <w:sz w:val="20"/>
          <w:szCs w:val="20"/>
        </w:rPr>
        <w:t xml:space="preserve"> increase bone formation. However, the outcome of treatment with these drugs is affected by coupling of bone turnover; </w:t>
      </w:r>
      <w:proofErr w:type="spellStart"/>
      <w:r w:rsidRPr="00781D94">
        <w:rPr>
          <w:rFonts w:asciiTheme="minorHAnsi" w:hAnsiTheme="minorHAnsi" w:cstheme="minorHAnsi"/>
          <w:color w:val="auto"/>
          <w:sz w:val="20"/>
          <w:szCs w:val="20"/>
        </w:rPr>
        <w:t>ie</w:t>
      </w:r>
      <w:proofErr w:type="spellEnd"/>
      <w:r w:rsidRPr="00781D94">
        <w:rPr>
          <w:rFonts w:asciiTheme="minorHAnsi" w:hAnsiTheme="minorHAnsi" w:cstheme="minorHAnsi"/>
          <w:color w:val="auto"/>
          <w:sz w:val="20"/>
          <w:szCs w:val="20"/>
        </w:rPr>
        <w:t xml:space="preserve">, decreased resorption also results in less bone formation and increased formation is associated with increased resorption. </w:t>
      </w:r>
      <w:proofErr w:type="spellStart"/>
      <w:r w:rsidRPr="00781D94">
        <w:rPr>
          <w:rFonts w:asciiTheme="minorHAnsi" w:hAnsiTheme="minorHAnsi" w:cstheme="minorHAnsi"/>
          <w:color w:val="auto"/>
          <w:sz w:val="20"/>
          <w:szCs w:val="20"/>
        </w:rPr>
        <w:t>Odanacatib</w:t>
      </w:r>
      <w:proofErr w:type="spellEnd"/>
      <w:r w:rsidRPr="00781D94">
        <w:rPr>
          <w:rFonts w:asciiTheme="minorHAnsi" w:hAnsiTheme="minorHAnsi" w:cstheme="minorHAnsi"/>
          <w:color w:val="auto"/>
          <w:sz w:val="20"/>
          <w:szCs w:val="20"/>
        </w:rPr>
        <w:t xml:space="preserve">, a selective </w:t>
      </w:r>
      <w:proofErr w:type="spellStart"/>
      <w:r w:rsidRPr="00781D94">
        <w:rPr>
          <w:rFonts w:asciiTheme="minorHAnsi" w:hAnsiTheme="minorHAnsi" w:cstheme="minorHAnsi"/>
          <w:color w:val="auto"/>
          <w:sz w:val="20"/>
          <w:szCs w:val="20"/>
        </w:rPr>
        <w:t>cathepsin</w:t>
      </w:r>
      <w:proofErr w:type="spellEnd"/>
      <w:r w:rsidRPr="00781D94">
        <w:rPr>
          <w:rFonts w:asciiTheme="minorHAnsi" w:hAnsiTheme="minorHAnsi" w:cstheme="minorHAnsi"/>
          <w:color w:val="auto"/>
          <w:sz w:val="20"/>
          <w:szCs w:val="20"/>
        </w:rPr>
        <w:t xml:space="preserve">-K inhibitor, can uncouple bone turnover so that bone resorption is reduced without substantially inhibiting bone formation. Additionally, a phase 2 study showed that </w:t>
      </w:r>
      <w:proofErr w:type="spellStart"/>
      <w:r w:rsidRPr="00781D94">
        <w:rPr>
          <w:rFonts w:asciiTheme="minorHAnsi" w:hAnsiTheme="minorHAnsi" w:cstheme="minorHAnsi"/>
          <w:color w:val="auto"/>
          <w:sz w:val="20"/>
          <w:szCs w:val="20"/>
        </w:rPr>
        <w:t>odanacatib</w:t>
      </w:r>
      <w:proofErr w:type="spellEnd"/>
      <w:r w:rsidRPr="00781D94">
        <w:rPr>
          <w:rFonts w:asciiTheme="minorHAnsi" w:hAnsiTheme="minorHAnsi" w:cstheme="minorHAnsi"/>
          <w:color w:val="auto"/>
          <w:sz w:val="20"/>
          <w:szCs w:val="20"/>
        </w:rPr>
        <w:t xml:space="preserve"> improved bone mineral density with no plateau in effect.</w:t>
      </w:r>
      <w:r w:rsidRPr="00781D94">
        <w:rPr>
          <w:rStyle w:val="A3"/>
          <w:rFonts w:asciiTheme="minorHAnsi" w:hAnsiTheme="minorHAnsi" w:cstheme="minorHAnsi"/>
          <w:color w:val="auto"/>
        </w:rPr>
        <w:t xml:space="preserve">1 </w:t>
      </w:r>
      <w:r w:rsidRPr="00781D94">
        <w:rPr>
          <w:rFonts w:asciiTheme="minorHAnsi" w:hAnsiTheme="minorHAnsi" w:cstheme="minorHAnsi"/>
          <w:color w:val="auto"/>
          <w:sz w:val="20"/>
          <w:szCs w:val="20"/>
        </w:rPr>
        <w:t xml:space="preserve">In the </w:t>
      </w:r>
      <w:r w:rsidRPr="00781D94">
        <w:rPr>
          <w:rFonts w:asciiTheme="minorHAnsi" w:hAnsiTheme="minorHAnsi" w:cstheme="minorHAnsi"/>
          <w:i/>
          <w:iCs/>
          <w:color w:val="auto"/>
          <w:sz w:val="20"/>
          <w:szCs w:val="20"/>
        </w:rPr>
        <w:t>Lancet Diabetes &amp; Endocrinology</w:t>
      </w:r>
      <w:r w:rsidRPr="00781D94">
        <w:rPr>
          <w:rFonts w:asciiTheme="minorHAnsi" w:hAnsiTheme="minorHAnsi" w:cstheme="minorHAnsi"/>
          <w:color w:val="auto"/>
          <w:sz w:val="20"/>
          <w:szCs w:val="20"/>
        </w:rPr>
        <w:t>, Michael McClung and colleagues</w:t>
      </w:r>
      <w:r w:rsidRPr="00781D94">
        <w:rPr>
          <w:rStyle w:val="A3"/>
          <w:rFonts w:asciiTheme="minorHAnsi" w:hAnsiTheme="minorHAnsi" w:cstheme="minorHAnsi"/>
          <w:color w:val="auto"/>
        </w:rPr>
        <w:t xml:space="preserve">2 </w:t>
      </w:r>
      <w:r w:rsidRPr="00781D94">
        <w:rPr>
          <w:rFonts w:asciiTheme="minorHAnsi" w:hAnsiTheme="minorHAnsi" w:cstheme="minorHAnsi"/>
          <w:color w:val="auto"/>
          <w:sz w:val="20"/>
          <w:szCs w:val="20"/>
        </w:rPr>
        <w:t xml:space="preserve">present the results of their randomised placebo-controlled trial (LOFT) and extension study (LOFT Extension). </w:t>
      </w:r>
    </w:p>
    <w:p w:rsidR="00781D94" w:rsidRDefault="00781D94" w:rsidP="00781D94">
      <w:pPr>
        <w:pStyle w:val="Pa4"/>
        <w:jc w:val="both"/>
        <w:rPr>
          <w:rFonts w:asciiTheme="minorHAnsi" w:hAnsiTheme="minorHAnsi" w:cstheme="minorHAnsi"/>
          <w:sz w:val="20"/>
          <w:szCs w:val="20"/>
        </w:rPr>
      </w:pPr>
    </w:p>
    <w:p w:rsidR="00781D94" w:rsidRPr="00781D94" w:rsidRDefault="00781D94" w:rsidP="00781D94">
      <w:pPr>
        <w:pStyle w:val="Pa4"/>
        <w:jc w:val="both"/>
        <w:rPr>
          <w:rFonts w:asciiTheme="minorHAnsi" w:hAnsiTheme="minorHAnsi" w:cstheme="minorHAnsi"/>
          <w:sz w:val="10"/>
          <w:szCs w:val="10"/>
        </w:rPr>
      </w:pPr>
      <w:r w:rsidRPr="00781D94">
        <w:rPr>
          <w:rFonts w:asciiTheme="minorHAnsi" w:hAnsiTheme="minorHAnsi" w:cstheme="minorHAnsi"/>
          <w:sz w:val="20"/>
          <w:szCs w:val="20"/>
        </w:rPr>
        <w:t xml:space="preserve">The trial was large enough to show an effect on the primary outcome of vertebral fracture and clinical hip and non-vertebral fracture. Combined incidences from LOFT plus LOFT Extension for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versus placebo were: radiographic vertebral fractures 4·9% (341/6909) versus 9·6% (675/7011), HR 0·48, 95% CI 0·42–0·55; hip fractures 1·1% (86/8043) versus 2·0% (162/8028), 0·52, 0·40–0·67; and non-vertebral fractures 6·4% (512/8043) versus 8·4% (675/8028], 0·74, 0·66–0·83; all p&lt;0·001. These results compare favourably with those of other </w:t>
      </w:r>
      <w:proofErr w:type="spellStart"/>
      <w:r w:rsidRPr="00781D94">
        <w:rPr>
          <w:rFonts w:asciiTheme="minorHAnsi" w:hAnsiTheme="minorHAnsi" w:cstheme="minorHAnsi"/>
          <w:sz w:val="20"/>
          <w:szCs w:val="20"/>
        </w:rPr>
        <w:t>antiresorptive</w:t>
      </w:r>
      <w:proofErr w:type="spellEnd"/>
      <w:r w:rsidRPr="00781D94">
        <w:rPr>
          <w:rFonts w:asciiTheme="minorHAnsi" w:hAnsiTheme="minorHAnsi" w:cstheme="minorHAnsi"/>
          <w:sz w:val="20"/>
          <w:szCs w:val="20"/>
        </w:rPr>
        <w:t xml:space="preserve"> drug trials.</w:t>
      </w:r>
      <w:r w:rsidRPr="00781D94">
        <w:rPr>
          <w:rStyle w:val="A3"/>
          <w:rFonts w:asciiTheme="minorHAnsi" w:hAnsiTheme="minorHAnsi" w:cstheme="minorHAnsi"/>
          <w:color w:val="auto"/>
        </w:rPr>
        <w:t>3</w:t>
      </w:r>
      <w:proofErr w:type="gramStart"/>
      <w:r w:rsidRPr="00781D94">
        <w:rPr>
          <w:rStyle w:val="A3"/>
          <w:rFonts w:asciiTheme="minorHAnsi" w:hAnsiTheme="minorHAnsi" w:cstheme="minorHAnsi"/>
          <w:color w:val="auto"/>
        </w:rPr>
        <w:t>,4</w:t>
      </w:r>
      <w:proofErr w:type="gramEnd"/>
      <w:r w:rsidRPr="00781D94">
        <w:rPr>
          <w:rStyle w:val="A3"/>
          <w:rFonts w:asciiTheme="minorHAnsi" w:hAnsiTheme="minorHAnsi" w:cstheme="minorHAnsi"/>
          <w:color w:val="auto"/>
        </w:rPr>
        <w:t xml:space="preserve"> </w:t>
      </w:r>
    </w:p>
    <w:p w:rsidR="00894B75" w:rsidRDefault="00894B75" w:rsidP="00894B75">
      <w:pPr>
        <w:pStyle w:val="Pa4"/>
        <w:jc w:val="both"/>
        <w:rPr>
          <w:rFonts w:asciiTheme="minorHAnsi" w:hAnsiTheme="minorHAnsi" w:cstheme="minorHAnsi"/>
          <w:sz w:val="20"/>
          <w:szCs w:val="20"/>
        </w:rPr>
      </w:pPr>
    </w:p>
    <w:p w:rsidR="00781D94" w:rsidRPr="00781D94" w:rsidRDefault="00781D94" w:rsidP="00894B75">
      <w:pPr>
        <w:pStyle w:val="Pa4"/>
        <w:jc w:val="both"/>
        <w:rPr>
          <w:rFonts w:asciiTheme="minorHAnsi" w:hAnsiTheme="minorHAnsi" w:cstheme="minorHAnsi"/>
          <w:sz w:val="20"/>
          <w:szCs w:val="20"/>
        </w:rPr>
      </w:pPr>
      <w:r w:rsidRPr="00781D94">
        <w:rPr>
          <w:rFonts w:asciiTheme="minorHAnsi" w:hAnsiTheme="minorHAnsi" w:cstheme="minorHAnsi"/>
          <w:sz w:val="20"/>
          <w:szCs w:val="20"/>
        </w:rPr>
        <w:t xml:space="preserve">So why is this novel drug, which was associated with a sustained increase in bone mineral density and reduction in fracture risk, not available to clinicians or patients? There was an increased risk of several adverse events including </w:t>
      </w:r>
      <w:proofErr w:type="spellStart"/>
      <w:r w:rsidRPr="00781D94">
        <w:rPr>
          <w:rFonts w:asciiTheme="minorHAnsi" w:hAnsiTheme="minorHAnsi" w:cstheme="minorHAnsi"/>
          <w:sz w:val="20"/>
          <w:szCs w:val="20"/>
        </w:rPr>
        <w:t>morphoea</w:t>
      </w:r>
      <w:proofErr w:type="spellEnd"/>
      <w:r w:rsidRPr="00781D94">
        <w:rPr>
          <w:rFonts w:asciiTheme="minorHAnsi" w:hAnsiTheme="minorHAnsi" w:cstheme="minorHAnsi"/>
          <w:sz w:val="20"/>
          <w:szCs w:val="20"/>
        </w:rPr>
        <w:t xml:space="preserve">-like skin reactions, femoral shaft fractures (including possible atypical femur fractures), and major adverse cardiovascular events (stroke, new-onset atrial fibrillation, and atrial flutter) in those receiving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in the original trial. In the extension study, treatment with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continued to reduce risk of fracture</w:t>
      </w:r>
      <w:bookmarkStart w:id="0" w:name="_GoBack"/>
      <w:bookmarkEnd w:id="0"/>
      <w:r w:rsidRPr="00781D94">
        <w:rPr>
          <w:rFonts w:asciiTheme="minorHAnsi" w:hAnsiTheme="minorHAnsi" w:cstheme="minorHAnsi"/>
          <w:sz w:val="20"/>
          <w:szCs w:val="20"/>
        </w:rPr>
        <w:t xml:space="preserve">, but evidence of adverse events also continued. Although the results of the extension study were masked, only half of the participants from the original study were included, and those from Asian and Pacific study centres were under-represented, which might have changed the adverse event risk profiles. </w:t>
      </w:r>
    </w:p>
    <w:p w:rsidR="00781D94" w:rsidRPr="00781D94" w:rsidRDefault="00781D94" w:rsidP="00781D94">
      <w:pPr>
        <w:pStyle w:val="Default"/>
        <w:rPr>
          <w:rFonts w:asciiTheme="minorHAnsi" w:hAnsiTheme="minorHAnsi" w:cstheme="minorHAnsi"/>
        </w:rPr>
      </w:pPr>
    </w:p>
    <w:p w:rsidR="00781D94" w:rsidRDefault="00781D94" w:rsidP="00781D94">
      <w:pPr>
        <w:pStyle w:val="Pa4"/>
        <w:jc w:val="both"/>
        <w:rPr>
          <w:rStyle w:val="A3"/>
          <w:rFonts w:asciiTheme="minorHAnsi" w:hAnsiTheme="minorHAnsi" w:cstheme="minorHAnsi"/>
          <w:color w:val="auto"/>
        </w:rPr>
      </w:pPr>
      <w:proofErr w:type="spellStart"/>
      <w:r w:rsidRPr="00781D94">
        <w:rPr>
          <w:rFonts w:asciiTheme="minorHAnsi" w:hAnsiTheme="minorHAnsi" w:cstheme="minorHAnsi"/>
          <w:sz w:val="20"/>
          <w:szCs w:val="20"/>
        </w:rPr>
        <w:t>Morphoea</w:t>
      </w:r>
      <w:proofErr w:type="spellEnd"/>
      <w:r w:rsidRPr="00781D94">
        <w:rPr>
          <w:rFonts w:asciiTheme="minorHAnsi" w:hAnsiTheme="minorHAnsi" w:cstheme="minorHAnsi"/>
          <w:sz w:val="20"/>
          <w:szCs w:val="20"/>
        </w:rPr>
        <w:t xml:space="preserve">-like skin reactions occurring with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and other </w:t>
      </w:r>
      <w:proofErr w:type="spellStart"/>
      <w:r w:rsidRPr="00781D94">
        <w:rPr>
          <w:rFonts w:asciiTheme="minorHAnsi" w:hAnsiTheme="minorHAnsi" w:cstheme="minorHAnsi"/>
          <w:sz w:val="20"/>
          <w:szCs w:val="20"/>
        </w:rPr>
        <w:t>cathepsin</w:t>
      </w:r>
      <w:proofErr w:type="spellEnd"/>
      <w:r w:rsidRPr="00781D94">
        <w:rPr>
          <w:rFonts w:asciiTheme="minorHAnsi" w:hAnsiTheme="minorHAnsi" w:cstheme="minorHAnsi"/>
          <w:sz w:val="20"/>
          <w:szCs w:val="20"/>
        </w:rPr>
        <w:t xml:space="preserve">-K inhibitors have been hypothesised to be due to inhibition of </w:t>
      </w:r>
      <w:proofErr w:type="spellStart"/>
      <w:r w:rsidRPr="00781D94">
        <w:rPr>
          <w:rFonts w:asciiTheme="minorHAnsi" w:hAnsiTheme="minorHAnsi" w:cstheme="minorHAnsi"/>
          <w:sz w:val="20"/>
          <w:szCs w:val="20"/>
        </w:rPr>
        <w:t>cathepsins</w:t>
      </w:r>
      <w:proofErr w:type="spellEnd"/>
      <w:r w:rsidRPr="00781D94">
        <w:rPr>
          <w:rFonts w:asciiTheme="minorHAnsi" w:hAnsiTheme="minorHAnsi" w:cstheme="minorHAnsi"/>
          <w:sz w:val="20"/>
          <w:szCs w:val="20"/>
        </w:rPr>
        <w:t xml:space="preserve"> B, L, and S, expressed by skin fibroblasts, or interference with the effect of </w:t>
      </w:r>
      <w:proofErr w:type="spellStart"/>
      <w:r w:rsidRPr="00781D94">
        <w:rPr>
          <w:rFonts w:asciiTheme="minorHAnsi" w:hAnsiTheme="minorHAnsi" w:cstheme="minorHAnsi"/>
          <w:sz w:val="20"/>
          <w:szCs w:val="20"/>
        </w:rPr>
        <w:t>cathepsin</w:t>
      </w:r>
      <w:proofErr w:type="spellEnd"/>
      <w:r w:rsidRPr="00781D94">
        <w:rPr>
          <w:rFonts w:asciiTheme="minorHAnsi" w:hAnsiTheme="minorHAnsi" w:cstheme="minorHAnsi"/>
          <w:sz w:val="20"/>
          <w:szCs w:val="20"/>
        </w:rPr>
        <w:t>-K on homeostasis of the dermal extracellular matrix.</w:t>
      </w:r>
      <w:r w:rsidRPr="00781D94">
        <w:rPr>
          <w:rStyle w:val="A3"/>
          <w:rFonts w:asciiTheme="minorHAnsi" w:hAnsiTheme="minorHAnsi" w:cstheme="minorHAnsi"/>
          <w:color w:val="auto"/>
        </w:rPr>
        <w:t xml:space="preserve">5 </w:t>
      </w:r>
      <w:r w:rsidRPr="00781D94">
        <w:rPr>
          <w:rFonts w:asciiTheme="minorHAnsi" w:hAnsiTheme="minorHAnsi" w:cstheme="minorHAnsi"/>
          <w:sz w:val="20"/>
          <w:szCs w:val="20"/>
        </w:rPr>
        <w:t xml:space="preserve">The increased incidence of femoral fracture with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was disappointing, as it had been hoped that suppression of bone resorption, thought to be a cause of atypical femur fractures, would be ameliorated by maintenance of bone formation with the drug. On a positive note, no cases of osteonecrosis of the jaw, another adverse effect associated with </w:t>
      </w:r>
      <w:proofErr w:type="spellStart"/>
      <w:r w:rsidRPr="00781D94">
        <w:rPr>
          <w:rFonts w:asciiTheme="minorHAnsi" w:hAnsiTheme="minorHAnsi" w:cstheme="minorHAnsi"/>
          <w:sz w:val="20"/>
          <w:szCs w:val="20"/>
        </w:rPr>
        <w:t>antiresorptive</w:t>
      </w:r>
      <w:proofErr w:type="spellEnd"/>
      <w:r w:rsidRPr="00781D94">
        <w:rPr>
          <w:rFonts w:asciiTheme="minorHAnsi" w:hAnsiTheme="minorHAnsi" w:cstheme="minorHAnsi"/>
          <w:sz w:val="20"/>
          <w:szCs w:val="20"/>
        </w:rPr>
        <w:t xml:space="preserve"> drugs, occurred; although this result might reflect the rarity of this event, for which evidence of risk has mostly been derived from observational studies.</w:t>
      </w:r>
      <w:r w:rsidRPr="00781D94">
        <w:rPr>
          <w:rStyle w:val="A3"/>
          <w:rFonts w:asciiTheme="minorHAnsi" w:hAnsiTheme="minorHAnsi" w:cstheme="minorHAnsi"/>
          <w:color w:val="auto"/>
        </w:rPr>
        <w:t xml:space="preserve">3 </w:t>
      </w:r>
    </w:p>
    <w:p w:rsidR="00894B75" w:rsidRPr="00894B75" w:rsidRDefault="00894B75" w:rsidP="00894B75">
      <w:pPr>
        <w:pStyle w:val="Default"/>
      </w:pPr>
    </w:p>
    <w:p w:rsidR="00781D94" w:rsidRPr="00781D94" w:rsidRDefault="00781D94" w:rsidP="00781D94">
      <w:pPr>
        <w:pStyle w:val="Pa4"/>
        <w:jc w:val="both"/>
        <w:rPr>
          <w:rFonts w:asciiTheme="minorHAnsi" w:hAnsiTheme="minorHAnsi" w:cstheme="minorHAnsi"/>
          <w:sz w:val="10"/>
          <w:szCs w:val="10"/>
        </w:rPr>
      </w:pPr>
      <w:r w:rsidRPr="00781D94">
        <w:rPr>
          <w:rFonts w:asciiTheme="minorHAnsi" w:hAnsiTheme="minorHAnsi" w:cstheme="minorHAnsi"/>
          <w:sz w:val="20"/>
          <w:szCs w:val="20"/>
        </w:rPr>
        <w:t xml:space="preserve">The increased risk of major adverse cardiovascular events with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in the LOFT plus LOFT Extension study included an increased absolute risk of stroke (187 [2·3%] in the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group vs 137 [1·7%] in the placebo group; HR 1·37, 95% CI 1·10–1·71; p=0·0051), equivalent to an absolute risk increase (number needed to harm) of approximately 0·15% (660) per year. There was also a numerically greater incidence of new-onset atrial fibrillation and atrial flutter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w:t>
      </w:r>
      <w:r w:rsidRPr="00781D94">
        <w:rPr>
          <w:rFonts w:asciiTheme="minorHAnsi" w:hAnsiTheme="minorHAnsi" w:cstheme="minorHAnsi"/>
          <w:i/>
          <w:iCs/>
          <w:sz w:val="20"/>
          <w:szCs w:val="20"/>
        </w:rPr>
        <w:t xml:space="preserve">vs </w:t>
      </w:r>
      <w:r w:rsidRPr="00781D94">
        <w:rPr>
          <w:rFonts w:asciiTheme="minorHAnsi" w:hAnsiTheme="minorHAnsi" w:cstheme="minorHAnsi"/>
          <w:sz w:val="20"/>
          <w:szCs w:val="20"/>
        </w:rPr>
        <w:t xml:space="preserve">placebo HR 1·17, 95% CI 0·93–1·46, (164 [2·0%] </w:t>
      </w:r>
      <w:r w:rsidRPr="00781D94">
        <w:rPr>
          <w:rFonts w:asciiTheme="minorHAnsi" w:hAnsiTheme="minorHAnsi" w:cstheme="minorHAnsi"/>
          <w:i/>
          <w:iCs/>
          <w:sz w:val="20"/>
          <w:szCs w:val="20"/>
        </w:rPr>
        <w:t xml:space="preserve">vs </w:t>
      </w:r>
      <w:r w:rsidRPr="00781D94">
        <w:rPr>
          <w:rFonts w:asciiTheme="minorHAnsi" w:hAnsiTheme="minorHAnsi" w:cstheme="minorHAnsi"/>
          <w:sz w:val="20"/>
          <w:szCs w:val="20"/>
        </w:rPr>
        <w:t xml:space="preserve">141 [1·8%]; p=0·18), which might have contributed to the increased stroke risk. However, these cardiovascular risks should be viewed in the context of other drug treatments for osteoporosis, some of which have also shown potential cardiovascular risks. Although bisphosphonates have no overall effect on major adverse cardiovascular events, treatment with </w:t>
      </w:r>
      <w:proofErr w:type="spellStart"/>
      <w:r w:rsidRPr="00781D94">
        <w:rPr>
          <w:rFonts w:asciiTheme="minorHAnsi" w:hAnsiTheme="minorHAnsi" w:cstheme="minorHAnsi"/>
          <w:sz w:val="20"/>
          <w:szCs w:val="20"/>
        </w:rPr>
        <w:t>zoledronic</w:t>
      </w:r>
      <w:proofErr w:type="spellEnd"/>
      <w:r w:rsidRPr="00781D94">
        <w:rPr>
          <w:rFonts w:asciiTheme="minorHAnsi" w:hAnsiTheme="minorHAnsi" w:cstheme="minorHAnsi"/>
          <w:sz w:val="20"/>
          <w:szCs w:val="20"/>
        </w:rPr>
        <w:t xml:space="preserve"> acid has been linked to an increased risk of atrial fibrillation.</w:t>
      </w:r>
      <w:r w:rsidRPr="00781D94">
        <w:rPr>
          <w:rStyle w:val="A3"/>
          <w:rFonts w:asciiTheme="minorHAnsi" w:hAnsiTheme="minorHAnsi" w:cstheme="minorHAnsi"/>
          <w:color w:val="auto"/>
        </w:rPr>
        <w:t xml:space="preserve">2 </w:t>
      </w:r>
      <w:r w:rsidRPr="00781D94">
        <w:rPr>
          <w:rFonts w:asciiTheme="minorHAnsi" w:hAnsiTheme="minorHAnsi" w:cstheme="minorHAnsi"/>
          <w:sz w:val="20"/>
          <w:szCs w:val="20"/>
        </w:rPr>
        <w:t xml:space="preserve">Additionally, after strontium </w:t>
      </w:r>
      <w:proofErr w:type="spellStart"/>
      <w:r w:rsidRPr="00781D94">
        <w:rPr>
          <w:rFonts w:asciiTheme="minorHAnsi" w:hAnsiTheme="minorHAnsi" w:cstheme="minorHAnsi"/>
          <w:sz w:val="20"/>
          <w:szCs w:val="20"/>
        </w:rPr>
        <w:t>ranelate</w:t>
      </w:r>
      <w:proofErr w:type="spellEnd"/>
      <w:r w:rsidRPr="00781D94">
        <w:rPr>
          <w:rFonts w:asciiTheme="minorHAnsi" w:hAnsiTheme="minorHAnsi" w:cstheme="minorHAnsi"/>
          <w:sz w:val="20"/>
          <w:szCs w:val="20"/>
        </w:rPr>
        <w:t xml:space="preserve"> was briefly withdrawn from the UK market in August 2017, it returned to the market in January 2019 to the UK with prescribing restrictions relating to cardiovascular risks, venous thromboembolism, and skin reactions.</w:t>
      </w:r>
      <w:r w:rsidRPr="00781D94">
        <w:rPr>
          <w:rStyle w:val="A3"/>
          <w:rFonts w:asciiTheme="minorHAnsi" w:hAnsiTheme="minorHAnsi" w:cstheme="minorHAnsi"/>
          <w:color w:val="auto"/>
        </w:rPr>
        <w:t xml:space="preserve">7 </w:t>
      </w:r>
      <w:r w:rsidRPr="00781D94">
        <w:rPr>
          <w:rFonts w:asciiTheme="minorHAnsi" w:hAnsiTheme="minorHAnsi" w:cstheme="minorHAnsi"/>
          <w:sz w:val="20"/>
          <w:szCs w:val="20"/>
        </w:rPr>
        <w:t xml:space="preserve">Overall, the risk profile of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might be no worse than some alternative treatments that are currently licensed. However, Merck, the manufacturer of </w:t>
      </w:r>
      <w:proofErr w:type="spellStart"/>
      <w:r w:rsidRPr="00781D94">
        <w:rPr>
          <w:rFonts w:asciiTheme="minorHAnsi" w:hAnsiTheme="minorHAnsi" w:cstheme="minorHAnsi"/>
          <w:sz w:val="20"/>
          <w:szCs w:val="20"/>
        </w:rPr>
        <w:t>odanacatib</w:t>
      </w:r>
      <w:proofErr w:type="spellEnd"/>
      <w:r w:rsidRPr="00781D94">
        <w:rPr>
          <w:rFonts w:asciiTheme="minorHAnsi" w:hAnsiTheme="minorHAnsi" w:cstheme="minorHAnsi"/>
          <w:sz w:val="20"/>
          <w:szCs w:val="20"/>
        </w:rPr>
        <w:t xml:space="preserve">, decided in 2016 not to seek </w:t>
      </w:r>
      <w:r w:rsidRPr="00781D94">
        <w:rPr>
          <w:rFonts w:asciiTheme="minorHAnsi" w:hAnsiTheme="minorHAnsi" w:cstheme="minorHAnsi"/>
          <w:sz w:val="20"/>
          <w:szCs w:val="20"/>
        </w:rPr>
        <w:lastRenderedPageBreak/>
        <w:t>regulatory approval for its use, stating “the increased risk of stroke in our phase 3 trial does not support further development”.</w:t>
      </w:r>
      <w:r w:rsidRPr="00781D94">
        <w:rPr>
          <w:rStyle w:val="A3"/>
          <w:rFonts w:asciiTheme="minorHAnsi" w:hAnsiTheme="minorHAnsi" w:cstheme="minorHAnsi"/>
          <w:color w:val="auto"/>
        </w:rPr>
        <w:t xml:space="preserve">8 </w:t>
      </w:r>
    </w:p>
    <w:p w:rsidR="00781D94" w:rsidRDefault="00781D94" w:rsidP="00781D94">
      <w:pPr>
        <w:pStyle w:val="Default"/>
        <w:spacing w:line="201" w:lineRule="atLeast"/>
        <w:jc w:val="both"/>
        <w:rPr>
          <w:rFonts w:asciiTheme="minorHAnsi" w:hAnsiTheme="minorHAnsi" w:cstheme="minorHAnsi"/>
          <w:color w:val="auto"/>
          <w:sz w:val="20"/>
          <w:szCs w:val="20"/>
        </w:rPr>
      </w:pPr>
    </w:p>
    <w:p w:rsidR="00781D94" w:rsidRDefault="00781D94" w:rsidP="00781D94">
      <w:pPr>
        <w:pStyle w:val="Default"/>
        <w:spacing w:line="201" w:lineRule="atLeast"/>
        <w:jc w:val="both"/>
        <w:rPr>
          <w:rFonts w:asciiTheme="minorHAnsi" w:hAnsiTheme="minorHAnsi" w:cstheme="minorHAnsi"/>
          <w:color w:val="auto"/>
          <w:sz w:val="20"/>
          <w:szCs w:val="20"/>
        </w:rPr>
      </w:pPr>
      <w:r w:rsidRPr="00781D94">
        <w:rPr>
          <w:rFonts w:asciiTheme="minorHAnsi" w:hAnsiTheme="minorHAnsi" w:cstheme="minorHAnsi"/>
          <w:color w:val="auto"/>
          <w:sz w:val="20"/>
          <w:szCs w:val="20"/>
        </w:rPr>
        <w:t xml:space="preserve">So, is </w:t>
      </w:r>
      <w:proofErr w:type="spellStart"/>
      <w:r w:rsidRPr="00781D94">
        <w:rPr>
          <w:rFonts w:asciiTheme="minorHAnsi" w:hAnsiTheme="minorHAnsi" w:cstheme="minorHAnsi"/>
          <w:color w:val="auto"/>
          <w:sz w:val="20"/>
          <w:szCs w:val="20"/>
        </w:rPr>
        <w:t>odanacatib</w:t>
      </w:r>
      <w:proofErr w:type="spellEnd"/>
      <w:r w:rsidRPr="00781D94">
        <w:rPr>
          <w:rFonts w:asciiTheme="minorHAnsi" w:hAnsiTheme="minorHAnsi" w:cstheme="minorHAnsi"/>
          <w:color w:val="auto"/>
          <w:sz w:val="20"/>
          <w:szCs w:val="20"/>
        </w:rPr>
        <w:t xml:space="preserve"> the best treatment for osteoporosis that we never had, or will it be similar to (at least for some) the anti-</w:t>
      </w:r>
      <w:proofErr w:type="spellStart"/>
      <w:r w:rsidRPr="00781D94">
        <w:rPr>
          <w:rFonts w:asciiTheme="minorHAnsi" w:hAnsiTheme="minorHAnsi" w:cstheme="minorHAnsi"/>
          <w:color w:val="auto"/>
          <w:sz w:val="20"/>
          <w:szCs w:val="20"/>
        </w:rPr>
        <w:t>sclerostin</w:t>
      </w:r>
      <w:proofErr w:type="spellEnd"/>
      <w:r w:rsidRPr="00781D94">
        <w:rPr>
          <w:rFonts w:asciiTheme="minorHAnsi" w:hAnsiTheme="minorHAnsi" w:cstheme="minorHAnsi"/>
          <w:color w:val="auto"/>
          <w:sz w:val="20"/>
          <w:szCs w:val="20"/>
        </w:rPr>
        <w:t xml:space="preserve"> monoclonal antibody romosozumab</w:t>
      </w:r>
      <w:proofErr w:type="gramStart"/>
      <w:r w:rsidRPr="00781D94">
        <w:rPr>
          <w:rFonts w:asciiTheme="minorHAnsi" w:hAnsiTheme="minorHAnsi" w:cstheme="minorHAnsi"/>
          <w:color w:val="auto"/>
          <w:sz w:val="20"/>
          <w:szCs w:val="20"/>
        </w:rPr>
        <w:t>?</w:t>
      </w:r>
      <w:r w:rsidRPr="00781D94">
        <w:rPr>
          <w:rStyle w:val="A3"/>
          <w:rFonts w:asciiTheme="minorHAnsi" w:hAnsiTheme="minorHAnsi" w:cstheme="minorHAnsi"/>
          <w:color w:val="auto"/>
        </w:rPr>
        <w:t>9</w:t>
      </w:r>
      <w:proofErr w:type="gramEnd"/>
      <w:r w:rsidRPr="00781D94">
        <w:rPr>
          <w:rStyle w:val="A3"/>
          <w:rFonts w:asciiTheme="minorHAnsi" w:hAnsiTheme="minorHAnsi" w:cstheme="minorHAnsi"/>
          <w:color w:val="auto"/>
        </w:rPr>
        <w:t xml:space="preserve"> </w:t>
      </w:r>
      <w:proofErr w:type="spellStart"/>
      <w:r w:rsidRPr="00781D94">
        <w:rPr>
          <w:rFonts w:asciiTheme="minorHAnsi" w:hAnsiTheme="minorHAnsi" w:cstheme="minorHAnsi"/>
          <w:color w:val="auto"/>
          <w:sz w:val="20"/>
          <w:szCs w:val="20"/>
        </w:rPr>
        <w:t>Romosozumab</w:t>
      </w:r>
      <w:proofErr w:type="spellEnd"/>
      <w:r w:rsidRPr="00781D94">
        <w:rPr>
          <w:rFonts w:asciiTheme="minorHAnsi" w:hAnsiTheme="minorHAnsi" w:cstheme="minorHAnsi"/>
          <w:color w:val="auto"/>
          <w:sz w:val="20"/>
          <w:szCs w:val="20"/>
        </w:rPr>
        <w:t xml:space="preserve"> is another highly effective drug that increases bone mineral density and reduces the risk of fracture when given sequentially with </w:t>
      </w:r>
      <w:proofErr w:type="spellStart"/>
      <w:r w:rsidRPr="00781D94">
        <w:rPr>
          <w:rFonts w:asciiTheme="minorHAnsi" w:hAnsiTheme="minorHAnsi" w:cstheme="minorHAnsi"/>
          <w:color w:val="auto"/>
          <w:sz w:val="20"/>
          <w:szCs w:val="20"/>
        </w:rPr>
        <w:t>antiresorptive</w:t>
      </w:r>
      <w:proofErr w:type="spellEnd"/>
      <w:r w:rsidRPr="00781D94">
        <w:rPr>
          <w:rFonts w:asciiTheme="minorHAnsi" w:hAnsiTheme="minorHAnsi" w:cstheme="minorHAnsi"/>
          <w:color w:val="auto"/>
          <w:sz w:val="20"/>
          <w:szCs w:val="20"/>
        </w:rPr>
        <w:t xml:space="preserve"> drugs, but was initially refused marketing authorisation in Europe because of a risk of major adverse cardiovascular events compared with </w:t>
      </w:r>
      <w:proofErr w:type="spellStart"/>
      <w:r w:rsidRPr="00781D94">
        <w:rPr>
          <w:rFonts w:asciiTheme="minorHAnsi" w:hAnsiTheme="minorHAnsi" w:cstheme="minorHAnsi"/>
          <w:color w:val="auto"/>
          <w:sz w:val="20"/>
          <w:szCs w:val="20"/>
        </w:rPr>
        <w:t>alendronic</w:t>
      </w:r>
      <w:proofErr w:type="spellEnd"/>
      <w:r w:rsidRPr="00781D94">
        <w:rPr>
          <w:rFonts w:asciiTheme="minorHAnsi" w:hAnsiTheme="minorHAnsi" w:cstheme="minorHAnsi"/>
          <w:color w:val="auto"/>
          <w:sz w:val="20"/>
          <w:szCs w:val="20"/>
        </w:rPr>
        <w:t xml:space="preserve"> acid. However, it has received a positive opinion from the European regulatory authorities, although it appears likely that treatment will be restricted to postmenopausal female patients at high risk of fracture.</w:t>
      </w:r>
      <w:r w:rsidRPr="00781D94">
        <w:rPr>
          <w:rStyle w:val="A3"/>
          <w:rFonts w:asciiTheme="minorHAnsi" w:hAnsiTheme="minorHAnsi" w:cstheme="minorHAnsi"/>
          <w:color w:val="auto"/>
        </w:rPr>
        <w:t xml:space="preserve">10 </w:t>
      </w:r>
      <w:r w:rsidRPr="00781D94">
        <w:rPr>
          <w:rFonts w:asciiTheme="minorHAnsi" w:hAnsiTheme="minorHAnsi" w:cstheme="minorHAnsi"/>
          <w:color w:val="auto"/>
          <w:sz w:val="20"/>
          <w:szCs w:val="20"/>
        </w:rPr>
        <w:t xml:space="preserve">Given that inexpensive efficacious treatments are already available, we could make better use of such drugs by targeted case finding and treatment in primary care. Patient adherence to oral bisphosphonate therapy can be poor but could be improved, while treatment with parenteral drugs such as </w:t>
      </w:r>
      <w:proofErr w:type="spellStart"/>
      <w:r w:rsidRPr="00781D94">
        <w:rPr>
          <w:rFonts w:asciiTheme="minorHAnsi" w:hAnsiTheme="minorHAnsi" w:cstheme="minorHAnsi"/>
          <w:color w:val="auto"/>
          <w:sz w:val="20"/>
          <w:szCs w:val="20"/>
        </w:rPr>
        <w:t>zoledronic</w:t>
      </w:r>
      <w:proofErr w:type="spellEnd"/>
      <w:r w:rsidRPr="00781D94">
        <w:rPr>
          <w:rFonts w:asciiTheme="minorHAnsi" w:hAnsiTheme="minorHAnsi" w:cstheme="minorHAnsi"/>
          <w:color w:val="auto"/>
          <w:sz w:val="20"/>
          <w:szCs w:val="20"/>
        </w:rPr>
        <w:t xml:space="preserve"> acid and </w:t>
      </w:r>
      <w:proofErr w:type="spellStart"/>
      <w:r w:rsidRPr="00781D94">
        <w:rPr>
          <w:rFonts w:asciiTheme="minorHAnsi" w:hAnsiTheme="minorHAnsi" w:cstheme="minorHAnsi"/>
          <w:color w:val="auto"/>
          <w:sz w:val="20"/>
          <w:szCs w:val="20"/>
        </w:rPr>
        <w:t>denosumab</w:t>
      </w:r>
      <w:proofErr w:type="spellEnd"/>
      <w:r w:rsidRPr="00781D94">
        <w:rPr>
          <w:rFonts w:asciiTheme="minorHAnsi" w:hAnsiTheme="minorHAnsi" w:cstheme="minorHAnsi"/>
          <w:color w:val="auto"/>
          <w:sz w:val="20"/>
          <w:szCs w:val="20"/>
        </w:rPr>
        <w:t xml:space="preserve"> might be best targeted at those with the highest risk of fracture. The costs of some treatments, including </w:t>
      </w:r>
      <w:proofErr w:type="spellStart"/>
      <w:r w:rsidRPr="00781D94">
        <w:rPr>
          <w:rFonts w:asciiTheme="minorHAnsi" w:hAnsiTheme="minorHAnsi" w:cstheme="minorHAnsi"/>
          <w:color w:val="auto"/>
          <w:sz w:val="20"/>
          <w:szCs w:val="20"/>
        </w:rPr>
        <w:t>teriparatide</w:t>
      </w:r>
      <w:proofErr w:type="spellEnd"/>
      <w:r w:rsidRPr="00781D94">
        <w:rPr>
          <w:rFonts w:asciiTheme="minorHAnsi" w:hAnsiTheme="minorHAnsi" w:cstheme="minorHAnsi"/>
          <w:color w:val="auto"/>
          <w:sz w:val="20"/>
          <w:szCs w:val="20"/>
        </w:rPr>
        <w:t xml:space="preserve">, currently limit their use but the availability of </w:t>
      </w:r>
      <w:proofErr w:type="spellStart"/>
      <w:r w:rsidRPr="00781D94">
        <w:rPr>
          <w:rFonts w:asciiTheme="minorHAnsi" w:hAnsiTheme="minorHAnsi" w:cstheme="minorHAnsi"/>
          <w:color w:val="auto"/>
          <w:sz w:val="20"/>
          <w:szCs w:val="20"/>
        </w:rPr>
        <w:t>biosimilars</w:t>
      </w:r>
      <w:proofErr w:type="spellEnd"/>
      <w:r w:rsidRPr="00781D94">
        <w:rPr>
          <w:rFonts w:asciiTheme="minorHAnsi" w:hAnsiTheme="minorHAnsi" w:cstheme="minorHAnsi"/>
          <w:color w:val="auto"/>
          <w:sz w:val="20"/>
          <w:szCs w:val="20"/>
        </w:rPr>
        <w:t xml:space="preserve"> might change this landscape in the future and access to all treatments could be improved. Diagnostic accuracy, including access to bone mineral density scanning, and variations in provider compliance, including secondary prevention through fracture liaison services, are also areas where improvements in clinical care could be made. There is plenty to work on, while we await the magic bullet. </w:t>
      </w:r>
    </w:p>
    <w:p w:rsidR="00781D94" w:rsidRPr="00781D94" w:rsidRDefault="00781D94" w:rsidP="00781D94">
      <w:pPr>
        <w:pStyle w:val="Default"/>
        <w:spacing w:line="201" w:lineRule="atLeast"/>
        <w:jc w:val="both"/>
        <w:rPr>
          <w:rFonts w:asciiTheme="minorHAnsi" w:hAnsiTheme="minorHAnsi" w:cstheme="minorHAnsi"/>
          <w:color w:val="auto"/>
          <w:sz w:val="20"/>
          <w:szCs w:val="20"/>
        </w:rPr>
      </w:pPr>
    </w:p>
    <w:p w:rsidR="00781D94" w:rsidRPr="00781D94" w:rsidRDefault="00781D94" w:rsidP="00781D94">
      <w:pPr>
        <w:pStyle w:val="Default"/>
        <w:spacing w:before="40" w:line="201" w:lineRule="atLeast"/>
        <w:rPr>
          <w:rFonts w:asciiTheme="minorHAnsi" w:hAnsiTheme="minorHAnsi" w:cstheme="minorHAnsi"/>
          <w:color w:val="auto"/>
          <w:sz w:val="20"/>
          <w:szCs w:val="20"/>
        </w:rPr>
      </w:pPr>
      <w:r w:rsidRPr="00781D94">
        <w:rPr>
          <w:rFonts w:asciiTheme="minorHAnsi" w:hAnsiTheme="minorHAnsi" w:cstheme="minorHAnsi"/>
          <w:i/>
          <w:iCs/>
          <w:color w:val="auto"/>
          <w:sz w:val="20"/>
          <w:szCs w:val="20"/>
        </w:rPr>
        <w:t xml:space="preserve">Louise A Statham, *Terry J Aspray </w:t>
      </w:r>
    </w:p>
    <w:p w:rsidR="00781D94" w:rsidRPr="00781D94" w:rsidRDefault="00781D94" w:rsidP="00781D94">
      <w:pPr>
        <w:pStyle w:val="Pa8"/>
        <w:rPr>
          <w:rFonts w:asciiTheme="minorHAnsi" w:hAnsiTheme="minorHAnsi" w:cstheme="minorHAnsi"/>
          <w:sz w:val="17"/>
          <w:szCs w:val="17"/>
        </w:rPr>
      </w:pPr>
      <w:r w:rsidRPr="00781D94">
        <w:rPr>
          <w:rFonts w:asciiTheme="minorHAnsi" w:hAnsiTheme="minorHAnsi" w:cstheme="minorHAnsi"/>
          <w:sz w:val="17"/>
          <w:szCs w:val="17"/>
        </w:rPr>
        <w:t xml:space="preserve">Newcastle upon Tyne Hospitals Trust, Newcastle upon Tyne, UK (LAS, TJA); School of Pharmacy and Pharmaceutical Sciences, University of Sunderland, Sunderland, UK (LAS); National Institute for Health Research, Newcastle Biomedical Research Centre, Newcastle upon Tyne, UK (TJA); and Institute of Cellular Medicine, Newcastle University, Newcastle upon Tyne, UK (TJA) </w:t>
      </w:r>
    </w:p>
    <w:p w:rsidR="00781D94" w:rsidRPr="00781D94" w:rsidRDefault="00781D94" w:rsidP="00781D94">
      <w:pPr>
        <w:pStyle w:val="Pa8"/>
        <w:rPr>
          <w:rFonts w:asciiTheme="minorHAnsi" w:hAnsiTheme="minorHAnsi" w:cstheme="minorHAnsi"/>
          <w:sz w:val="17"/>
          <w:szCs w:val="17"/>
        </w:rPr>
      </w:pPr>
      <w:r w:rsidRPr="00781D94">
        <w:rPr>
          <w:rFonts w:asciiTheme="minorHAnsi" w:hAnsiTheme="minorHAnsi" w:cstheme="minorHAnsi"/>
          <w:sz w:val="17"/>
          <w:szCs w:val="17"/>
        </w:rPr>
        <w:t xml:space="preserve">terry.aspray@newcastle.ac.uk </w:t>
      </w:r>
    </w:p>
    <w:p w:rsidR="00781D94" w:rsidRDefault="00781D94" w:rsidP="00781D94">
      <w:pPr>
        <w:pStyle w:val="Default"/>
        <w:spacing w:before="80" w:after="80" w:line="141" w:lineRule="atLeast"/>
        <w:rPr>
          <w:rFonts w:asciiTheme="minorHAnsi" w:hAnsiTheme="minorHAnsi" w:cstheme="minorHAnsi"/>
          <w:color w:val="auto"/>
          <w:sz w:val="14"/>
          <w:szCs w:val="14"/>
        </w:rPr>
      </w:pPr>
      <w:r w:rsidRPr="00781D94">
        <w:rPr>
          <w:rFonts w:asciiTheme="minorHAnsi" w:hAnsiTheme="minorHAnsi" w:cstheme="minorHAnsi"/>
          <w:color w:val="auto"/>
          <w:sz w:val="14"/>
          <w:szCs w:val="14"/>
        </w:rPr>
        <w:t xml:space="preserve">TJA has received honoraria for speaking at educational events and educational travel grants from Thornton Ross and Amgen. LAS declares no competing interests. </w:t>
      </w:r>
    </w:p>
    <w:p w:rsidR="00894B75" w:rsidRPr="00781D94" w:rsidRDefault="00894B75" w:rsidP="00781D94">
      <w:pPr>
        <w:pStyle w:val="Default"/>
        <w:spacing w:before="80" w:after="80" w:line="141" w:lineRule="atLeast"/>
        <w:rPr>
          <w:rFonts w:asciiTheme="minorHAnsi" w:hAnsiTheme="minorHAnsi" w:cstheme="minorHAnsi"/>
          <w:color w:val="auto"/>
          <w:sz w:val="14"/>
          <w:szCs w:val="14"/>
        </w:rPr>
      </w:pP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1 Rizzoli R, </w:t>
      </w:r>
      <w:proofErr w:type="spellStart"/>
      <w:r w:rsidRPr="00781D94">
        <w:rPr>
          <w:rFonts w:asciiTheme="minorHAnsi" w:hAnsiTheme="minorHAnsi" w:cstheme="minorHAnsi"/>
          <w:sz w:val="14"/>
          <w:szCs w:val="14"/>
        </w:rPr>
        <w:t>Benhamou</w:t>
      </w:r>
      <w:proofErr w:type="spellEnd"/>
      <w:r w:rsidRPr="00781D94">
        <w:rPr>
          <w:rFonts w:asciiTheme="minorHAnsi" w:hAnsiTheme="minorHAnsi" w:cstheme="minorHAnsi"/>
          <w:sz w:val="14"/>
          <w:szCs w:val="14"/>
        </w:rPr>
        <w:t xml:space="preserve"> C-L, </w:t>
      </w:r>
      <w:proofErr w:type="spellStart"/>
      <w:r w:rsidRPr="00781D94">
        <w:rPr>
          <w:rFonts w:asciiTheme="minorHAnsi" w:hAnsiTheme="minorHAnsi" w:cstheme="minorHAnsi"/>
          <w:sz w:val="14"/>
          <w:szCs w:val="14"/>
        </w:rPr>
        <w:t>Halse</w:t>
      </w:r>
      <w:proofErr w:type="spellEnd"/>
      <w:r w:rsidRPr="00781D94">
        <w:rPr>
          <w:rFonts w:asciiTheme="minorHAnsi" w:hAnsiTheme="minorHAnsi" w:cstheme="minorHAnsi"/>
          <w:sz w:val="14"/>
          <w:szCs w:val="14"/>
        </w:rPr>
        <w:t xml:space="preserve"> J, et al. Continuous treatment with </w:t>
      </w:r>
      <w:proofErr w:type="spellStart"/>
      <w:r w:rsidRPr="00781D94">
        <w:rPr>
          <w:rFonts w:asciiTheme="minorHAnsi" w:hAnsiTheme="minorHAnsi" w:cstheme="minorHAnsi"/>
          <w:sz w:val="14"/>
          <w:szCs w:val="14"/>
        </w:rPr>
        <w:t>odanacatib</w:t>
      </w:r>
      <w:proofErr w:type="spellEnd"/>
      <w:r w:rsidRPr="00781D94">
        <w:rPr>
          <w:rFonts w:asciiTheme="minorHAnsi" w:hAnsiTheme="minorHAnsi" w:cstheme="minorHAnsi"/>
          <w:sz w:val="14"/>
          <w:szCs w:val="14"/>
        </w:rPr>
        <w:t xml:space="preserve"> for up to 8 years in postmenopausal women with low bone mineral density: a phase 2 study. </w:t>
      </w:r>
      <w:proofErr w:type="spellStart"/>
      <w:r w:rsidRPr="00781D94">
        <w:rPr>
          <w:rFonts w:asciiTheme="minorHAnsi" w:hAnsiTheme="minorHAnsi" w:cstheme="minorHAnsi"/>
          <w:i/>
          <w:iCs/>
          <w:sz w:val="14"/>
          <w:szCs w:val="14"/>
        </w:rPr>
        <w:t>Osteoporos</w:t>
      </w:r>
      <w:proofErr w:type="spellEnd"/>
      <w:r w:rsidRPr="00781D94">
        <w:rPr>
          <w:rFonts w:asciiTheme="minorHAnsi" w:hAnsiTheme="minorHAnsi" w:cstheme="minorHAnsi"/>
          <w:i/>
          <w:iCs/>
          <w:sz w:val="14"/>
          <w:szCs w:val="14"/>
        </w:rPr>
        <w:t xml:space="preserve"> </w:t>
      </w:r>
      <w:proofErr w:type="spellStart"/>
      <w:r w:rsidRPr="00781D94">
        <w:rPr>
          <w:rFonts w:asciiTheme="minorHAnsi" w:hAnsiTheme="minorHAnsi" w:cstheme="minorHAnsi"/>
          <w:i/>
          <w:iCs/>
          <w:sz w:val="14"/>
          <w:szCs w:val="14"/>
        </w:rPr>
        <w:t>Int</w:t>
      </w:r>
      <w:proofErr w:type="spellEnd"/>
      <w:r w:rsidRPr="00781D94">
        <w:rPr>
          <w:rFonts w:asciiTheme="minorHAnsi" w:hAnsiTheme="minorHAnsi" w:cstheme="minorHAnsi"/>
          <w:i/>
          <w:iCs/>
          <w:sz w:val="14"/>
          <w:szCs w:val="14"/>
        </w:rPr>
        <w:t xml:space="preserve"> </w:t>
      </w:r>
      <w:r w:rsidRPr="00781D94">
        <w:rPr>
          <w:rFonts w:asciiTheme="minorHAnsi" w:hAnsiTheme="minorHAnsi" w:cstheme="minorHAnsi"/>
          <w:sz w:val="14"/>
          <w:szCs w:val="14"/>
        </w:rPr>
        <w:t xml:space="preserve">2016; </w:t>
      </w:r>
      <w:r w:rsidRPr="00781D94">
        <w:rPr>
          <w:rFonts w:asciiTheme="minorHAnsi" w:hAnsiTheme="minorHAnsi" w:cstheme="minorHAnsi"/>
          <w:b/>
          <w:bCs/>
          <w:sz w:val="14"/>
          <w:szCs w:val="14"/>
        </w:rPr>
        <w:t xml:space="preserve">27: </w:t>
      </w:r>
      <w:r w:rsidRPr="00781D94">
        <w:rPr>
          <w:rFonts w:asciiTheme="minorHAnsi" w:hAnsiTheme="minorHAnsi" w:cstheme="minorHAnsi"/>
          <w:sz w:val="14"/>
          <w:szCs w:val="14"/>
        </w:rPr>
        <w:t xml:space="preserve">2099–107. </w:t>
      </w: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2 McClung MR, </w:t>
      </w:r>
      <w:proofErr w:type="spellStart"/>
      <w:r w:rsidRPr="00781D94">
        <w:rPr>
          <w:rFonts w:asciiTheme="minorHAnsi" w:hAnsiTheme="minorHAnsi" w:cstheme="minorHAnsi"/>
          <w:sz w:val="14"/>
          <w:szCs w:val="14"/>
        </w:rPr>
        <w:t>O’Donoghue</w:t>
      </w:r>
      <w:proofErr w:type="spellEnd"/>
      <w:r w:rsidRPr="00781D94">
        <w:rPr>
          <w:rFonts w:asciiTheme="minorHAnsi" w:hAnsiTheme="minorHAnsi" w:cstheme="minorHAnsi"/>
          <w:sz w:val="14"/>
          <w:szCs w:val="14"/>
        </w:rPr>
        <w:t xml:space="preserve"> ML, </w:t>
      </w:r>
      <w:proofErr w:type="spellStart"/>
      <w:r w:rsidRPr="00781D94">
        <w:rPr>
          <w:rFonts w:asciiTheme="minorHAnsi" w:hAnsiTheme="minorHAnsi" w:cstheme="minorHAnsi"/>
          <w:sz w:val="14"/>
          <w:szCs w:val="14"/>
        </w:rPr>
        <w:t>Papapoulos</w:t>
      </w:r>
      <w:proofErr w:type="spellEnd"/>
      <w:r w:rsidRPr="00781D94">
        <w:rPr>
          <w:rFonts w:asciiTheme="minorHAnsi" w:hAnsiTheme="minorHAnsi" w:cstheme="minorHAnsi"/>
          <w:sz w:val="14"/>
          <w:szCs w:val="14"/>
        </w:rPr>
        <w:t xml:space="preserve"> SE, et al. </w:t>
      </w:r>
      <w:proofErr w:type="spellStart"/>
      <w:r w:rsidRPr="00781D94">
        <w:rPr>
          <w:rFonts w:asciiTheme="minorHAnsi" w:hAnsiTheme="minorHAnsi" w:cstheme="minorHAnsi"/>
          <w:sz w:val="14"/>
          <w:szCs w:val="14"/>
        </w:rPr>
        <w:t>Odanacatib</w:t>
      </w:r>
      <w:proofErr w:type="spellEnd"/>
      <w:r w:rsidRPr="00781D94">
        <w:rPr>
          <w:rFonts w:asciiTheme="minorHAnsi" w:hAnsiTheme="minorHAnsi" w:cstheme="minorHAnsi"/>
          <w:sz w:val="14"/>
          <w:szCs w:val="14"/>
        </w:rPr>
        <w:t xml:space="preserve"> for the treatment of postmenopausal osteoporosis: results of the LOFT multicentre, randomised, double-blind, placebo-controlled trial and LOFT Extension study. </w:t>
      </w:r>
      <w:r w:rsidRPr="00781D94">
        <w:rPr>
          <w:rFonts w:asciiTheme="minorHAnsi" w:hAnsiTheme="minorHAnsi" w:cstheme="minorHAnsi"/>
          <w:i/>
          <w:iCs/>
          <w:sz w:val="14"/>
          <w:szCs w:val="14"/>
        </w:rPr>
        <w:t xml:space="preserve">Lancet Diabetes </w:t>
      </w:r>
      <w:proofErr w:type="spellStart"/>
      <w:r w:rsidRPr="00781D94">
        <w:rPr>
          <w:rFonts w:asciiTheme="minorHAnsi" w:hAnsiTheme="minorHAnsi" w:cstheme="minorHAnsi"/>
          <w:i/>
          <w:iCs/>
          <w:sz w:val="14"/>
          <w:szCs w:val="14"/>
        </w:rPr>
        <w:t>Endocrinol</w:t>
      </w:r>
      <w:proofErr w:type="spellEnd"/>
      <w:r w:rsidRPr="00781D94">
        <w:rPr>
          <w:rFonts w:asciiTheme="minorHAnsi" w:hAnsiTheme="minorHAnsi" w:cstheme="minorHAnsi"/>
          <w:i/>
          <w:iCs/>
          <w:sz w:val="14"/>
          <w:szCs w:val="14"/>
        </w:rPr>
        <w:t xml:space="preserve"> </w:t>
      </w:r>
      <w:r w:rsidRPr="00781D94">
        <w:rPr>
          <w:rFonts w:asciiTheme="minorHAnsi" w:hAnsiTheme="minorHAnsi" w:cstheme="minorHAnsi"/>
          <w:sz w:val="14"/>
          <w:szCs w:val="14"/>
        </w:rPr>
        <w:t>2019; published online Oct 25. https://doi.org/10.1016/S2213-</w:t>
      </w:r>
      <w:proofErr w:type="gramStart"/>
      <w:r w:rsidRPr="00781D94">
        <w:rPr>
          <w:rFonts w:asciiTheme="minorHAnsi" w:hAnsiTheme="minorHAnsi" w:cstheme="minorHAnsi"/>
          <w:sz w:val="14"/>
          <w:szCs w:val="14"/>
        </w:rPr>
        <w:t>8587(</w:t>
      </w:r>
      <w:proofErr w:type="gramEnd"/>
      <w:r w:rsidRPr="00781D94">
        <w:rPr>
          <w:rFonts w:asciiTheme="minorHAnsi" w:hAnsiTheme="minorHAnsi" w:cstheme="minorHAnsi"/>
          <w:sz w:val="14"/>
          <w:szCs w:val="14"/>
        </w:rPr>
        <w:t xml:space="preserve">19)30346-8. </w:t>
      </w: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3 Wells GA, </w:t>
      </w:r>
      <w:proofErr w:type="spellStart"/>
      <w:r w:rsidRPr="00781D94">
        <w:rPr>
          <w:rFonts w:asciiTheme="minorHAnsi" w:hAnsiTheme="minorHAnsi" w:cstheme="minorHAnsi"/>
          <w:sz w:val="14"/>
          <w:szCs w:val="14"/>
        </w:rPr>
        <w:t>Cranney</w:t>
      </w:r>
      <w:proofErr w:type="spellEnd"/>
      <w:r w:rsidRPr="00781D94">
        <w:rPr>
          <w:rFonts w:asciiTheme="minorHAnsi" w:hAnsiTheme="minorHAnsi" w:cstheme="minorHAnsi"/>
          <w:sz w:val="14"/>
          <w:szCs w:val="14"/>
        </w:rPr>
        <w:t xml:space="preserve"> A, Peterson J, et al. Alendronate for the primary and secondary prevention of osteoporotic fractures in postmenopausal women. </w:t>
      </w:r>
      <w:r w:rsidRPr="00781D94">
        <w:rPr>
          <w:rFonts w:asciiTheme="minorHAnsi" w:hAnsiTheme="minorHAnsi" w:cstheme="minorHAnsi"/>
          <w:i/>
          <w:iCs/>
          <w:sz w:val="14"/>
          <w:szCs w:val="14"/>
        </w:rPr>
        <w:t xml:space="preserve">Cochrane Database </w:t>
      </w:r>
      <w:proofErr w:type="spellStart"/>
      <w:r w:rsidRPr="00781D94">
        <w:rPr>
          <w:rFonts w:asciiTheme="minorHAnsi" w:hAnsiTheme="minorHAnsi" w:cstheme="minorHAnsi"/>
          <w:i/>
          <w:iCs/>
          <w:sz w:val="14"/>
          <w:szCs w:val="14"/>
        </w:rPr>
        <w:t>Syst</w:t>
      </w:r>
      <w:proofErr w:type="spellEnd"/>
      <w:r w:rsidRPr="00781D94">
        <w:rPr>
          <w:rFonts w:asciiTheme="minorHAnsi" w:hAnsiTheme="minorHAnsi" w:cstheme="minorHAnsi"/>
          <w:i/>
          <w:iCs/>
          <w:sz w:val="14"/>
          <w:szCs w:val="14"/>
        </w:rPr>
        <w:t xml:space="preserve"> Rev </w:t>
      </w:r>
      <w:r w:rsidRPr="00781D94">
        <w:rPr>
          <w:rFonts w:asciiTheme="minorHAnsi" w:hAnsiTheme="minorHAnsi" w:cstheme="minorHAnsi"/>
          <w:sz w:val="14"/>
          <w:szCs w:val="14"/>
        </w:rPr>
        <w:t xml:space="preserve">2008; </w:t>
      </w:r>
      <w:r w:rsidRPr="00781D94">
        <w:rPr>
          <w:rFonts w:asciiTheme="minorHAnsi" w:hAnsiTheme="minorHAnsi" w:cstheme="minorHAnsi"/>
          <w:b/>
          <w:bCs/>
          <w:sz w:val="14"/>
          <w:szCs w:val="14"/>
        </w:rPr>
        <w:t xml:space="preserve">1: </w:t>
      </w:r>
      <w:r w:rsidRPr="00781D94">
        <w:rPr>
          <w:rFonts w:asciiTheme="minorHAnsi" w:hAnsiTheme="minorHAnsi" w:cstheme="minorHAnsi"/>
          <w:sz w:val="14"/>
          <w:szCs w:val="14"/>
        </w:rPr>
        <w:t xml:space="preserve">CD001155. </w:t>
      </w: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4 Cummings SR, San Martin J, McClung MR, et al. </w:t>
      </w:r>
      <w:proofErr w:type="spellStart"/>
      <w:r w:rsidRPr="00781D94">
        <w:rPr>
          <w:rFonts w:asciiTheme="minorHAnsi" w:hAnsiTheme="minorHAnsi" w:cstheme="minorHAnsi"/>
          <w:sz w:val="14"/>
          <w:szCs w:val="14"/>
        </w:rPr>
        <w:t>Denosumab</w:t>
      </w:r>
      <w:proofErr w:type="spellEnd"/>
      <w:r w:rsidRPr="00781D94">
        <w:rPr>
          <w:rFonts w:asciiTheme="minorHAnsi" w:hAnsiTheme="minorHAnsi" w:cstheme="minorHAnsi"/>
          <w:sz w:val="14"/>
          <w:szCs w:val="14"/>
        </w:rPr>
        <w:t xml:space="preserve"> for prevention of fractures in postmenopausal women with osteoporosis. </w:t>
      </w:r>
      <w:r w:rsidRPr="00781D94">
        <w:rPr>
          <w:rFonts w:asciiTheme="minorHAnsi" w:hAnsiTheme="minorHAnsi" w:cstheme="minorHAnsi"/>
          <w:i/>
          <w:iCs/>
          <w:sz w:val="14"/>
          <w:szCs w:val="14"/>
        </w:rPr>
        <w:t xml:space="preserve">N </w:t>
      </w:r>
      <w:proofErr w:type="spellStart"/>
      <w:r w:rsidRPr="00781D94">
        <w:rPr>
          <w:rFonts w:asciiTheme="minorHAnsi" w:hAnsiTheme="minorHAnsi" w:cstheme="minorHAnsi"/>
          <w:i/>
          <w:iCs/>
          <w:sz w:val="14"/>
          <w:szCs w:val="14"/>
        </w:rPr>
        <w:t>Engl</w:t>
      </w:r>
      <w:proofErr w:type="spellEnd"/>
      <w:r w:rsidRPr="00781D94">
        <w:rPr>
          <w:rFonts w:asciiTheme="minorHAnsi" w:hAnsiTheme="minorHAnsi" w:cstheme="minorHAnsi"/>
          <w:i/>
          <w:iCs/>
          <w:sz w:val="14"/>
          <w:szCs w:val="14"/>
        </w:rPr>
        <w:t xml:space="preserve"> J Med </w:t>
      </w:r>
      <w:r w:rsidRPr="00781D94">
        <w:rPr>
          <w:rFonts w:asciiTheme="minorHAnsi" w:hAnsiTheme="minorHAnsi" w:cstheme="minorHAnsi"/>
          <w:sz w:val="14"/>
          <w:szCs w:val="14"/>
        </w:rPr>
        <w:t xml:space="preserve">2009; </w:t>
      </w:r>
      <w:r w:rsidRPr="00781D94">
        <w:rPr>
          <w:rFonts w:asciiTheme="minorHAnsi" w:hAnsiTheme="minorHAnsi" w:cstheme="minorHAnsi"/>
          <w:b/>
          <w:bCs/>
          <w:sz w:val="14"/>
          <w:szCs w:val="14"/>
        </w:rPr>
        <w:t xml:space="preserve">361: </w:t>
      </w:r>
      <w:r w:rsidRPr="00781D94">
        <w:rPr>
          <w:rFonts w:asciiTheme="minorHAnsi" w:hAnsiTheme="minorHAnsi" w:cstheme="minorHAnsi"/>
          <w:sz w:val="14"/>
          <w:szCs w:val="14"/>
        </w:rPr>
        <w:t xml:space="preserve">756–65. </w:t>
      </w: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5 </w:t>
      </w:r>
      <w:proofErr w:type="spellStart"/>
      <w:r w:rsidRPr="00781D94">
        <w:rPr>
          <w:rFonts w:asciiTheme="minorHAnsi" w:hAnsiTheme="minorHAnsi" w:cstheme="minorHAnsi"/>
          <w:sz w:val="14"/>
          <w:szCs w:val="14"/>
        </w:rPr>
        <w:t>Peroni</w:t>
      </w:r>
      <w:proofErr w:type="spellEnd"/>
      <w:r w:rsidRPr="00781D94">
        <w:rPr>
          <w:rFonts w:asciiTheme="minorHAnsi" w:hAnsiTheme="minorHAnsi" w:cstheme="minorHAnsi"/>
          <w:sz w:val="14"/>
          <w:szCs w:val="14"/>
        </w:rPr>
        <w:t xml:space="preserve"> A, </w:t>
      </w:r>
      <w:proofErr w:type="spellStart"/>
      <w:r w:rsidRPr="00781D94">
        <w:rPr>
          <w:rFonts w:asciiTheme="minorHAnsi" w:hAnsiTheme="minorHAnsi" w:cstheme="minorHAnsi"/>
          <w:sz w:val="14"/>
          <w:szCs w:val="14"/>
        </w:rPr>
        <w:t>Zini</w:t>
      </w:r>
      <w:proofErr w:type="spellEnd"/>
      <w:r w:rsidRPr="00781D94">
        <w:rPr>
          <w:rFonts w:asciiTheme="minorHAnsi" w:hAnsiTheme="minorHAnsi" w:cstheme="minorHAnsi"/>
          <w:sz w:val="14"/>
          <w:szCs w:val="14"/>
        </w:rPr>
        <w:t xml:space="preserve"> A, Braga V, </w:t>
      </w:r>
      <w:proofErr w:type="spellStart"/>
      <w:r w:rsidRPr="00781D94">
        <w:rPr>
          <w:rFonts w:asciiTheme="minorHAnsi" w:hAnsiTheme="minorHAnsi" w:cstheme="minorHAnsi"/>
          <w:sz w:val="14"/>
          <w:szCs w:val="14"/>
        </w:rPr>
        <w:t>Colato</w:t>
      </w:r>
      <w:proofErr w:type="spellEnd"/>
      <w:r w:rsidRPr="00781D94">
        <w:rPr>
          <w:rFonts w:asciiTheme="minorHAnsi" w:hAnsiTheme="minorHAnsi" w:cstheme="minorHAnsi"/>
          <w:sz w:val="14"/>
          <w:szCs w:val="14"/>
        </w:rPr>
        <w:t xml:space="preserve"> C, </w:t>
      </w:r>
      <w:proofErr w:type="spellStart"/>
      <w:r w:rsidRPr="00781D94">
        <w:rPr>
          <w:rFonts w:asciiTheme="minorHAnsi" w:hAnsiTheme="minorHAnsi" w:cstheme="minorHAnsi"/>
          <w:sz w:val="14"/>
          <w:szCs w:val="14"/>
        </w:rPr>
        <w:t>Adami</w:t>
      </w:r>
      <w:proofErr w:type="spellEnd"/>
      <w:r w:rsidRPr="00781D94">
        <w:rPr>
          <w:rFonts w:asciiTheme="minorHAnsi" w:hAnsiTheme="minorHAnsi" w:cstheme="minorHAnsi"/>
          <w:sz w:val="14"/>
          <w:szCs w:val="14"/>
        </w:rPr>
        <w:t xml:space="preserve"> S, </w:t>
      </w:r>
      <w:proofErr w:type="spellStart"/>
      <w:r w:rsidRPr="00781D94">
        <w:rPr>
          <w:rFonts w:asciiTheme="minorHAnsi" w:hAnsiTheme="minorHAnsi" w:cstheme="minorHAnsi"/>
          <w:sz w:val="14"/>
          <w:szCs w:val="14"/>
        </w:rPr>
        <w:t>Girolomoni</w:t>
      </w:r>
      <w:proofErr w:type="spellEnd"/>
      <w:r w:rsidRPr="00781D94">
        <w:rPr>
          <w:rFonts w:asciiTheme="minorHAnsi" w:hAnsiTheme="minorHAnsi" w:cstheme="minorHAnsi"/>
          <w:sz w:val="14"/>
          <w:szCs w:val="14"/>
        </w:rPr>
        <w:t xml:space="preserve"> G. Drug-induced </w:t>
      </w:r>
      <w:proofErr w:type="spellStart"/>
      <w:r w:rsidRPr="00781D94">
        <w:rPr>
          <w:rFonts w:asciiTheme="minorHAnsi" w:hAnsiTheme="minorHAnsi" w:cstheme="minorHAnsi"/>
          <w:sz w:val="14"/>
          <w:szCs w:val="14"/>
        </w:rPr>
        <w:t>morphea</w:t>
      </w:r>
      <w:proofErr w:type="spellEnd"/>
      <w:r w:rsidRPr="00781D94">
        <w:rPr>
          <w:rFonts w:asciiTheme="minorHAnsi" w:hAnsiTheme="minorHAnsi" w:cstheme="minorHAnsi"/>
          <w:sz w:val="14"/>
          <w:szCs w:val="14"/>
        </w:rPr>
        <w:t xml:space="preserve">: report of a case induced by </w:t>
      </w:r>
      <w:proofErr w:type="spellStart"/>
      <w:r w:rsidRPr="00781D94">
        <w:rPr>
          <w:rFonts w:asciiTheme="minorHAnsi" w:hAnsiTheme="minorHAnsi" w:cstheme="minorHAnsi"/>
          <w:sz w:val="14"/>
          <w:szCs w:val="14"/>
        </w:rPr>
        <w:t>balicatib</w:t>
      </w:r>
      <w:proofErr w:type="spellEnd"/>
      <w:r w:rsidRPr="00781D94">
        <w:rPr>
          <w:rFonts w:asciiTheme="minorHAnsi" w:hAnsiTheme="minorHAnsi" w:cstheme="minorHAnsi"/>
          <w:sz w:val="14"/>
          <w:szCs w:val="14"/>
        </w:rPr>
        <w:t xml:space="preserve"> and review of the literature. </w:t>
      </w:r>
      <w:r w:rsidRPr="00781D94">
        <w:rPr>
          <w:rFonts w:asciiTheme="minorHAnsi" w:hAnsiTheme="minorHAnsi" w:cstheme="minorHAnsi"/>
          <w:i/>
          <w:iCs/>
          <w:sz w:val="14"/>
          <w:szCs w:val="14"/>
        </w:rPr>
        <w:t xml:space="preserve">J Am </w:t>
      </w:r>
      <w:proofErr w:type="spellStart"/>
      <w:r w:rsidRPr="00781D94">
        <w:rPr>
          <w:rFonts w:asciiTheme="minorHAnsi" w:hAnsiTheme="minorHAnsi" w:cstheme="minorHAnsi"/>
          <w:i/>
          <w:iCs/>
          <w:sz w:val="14"/>
          <w:szCs w:val="14"/>
        </w:rPr>
        <w:t>Acad</w:t>
      </w:r>
      <w:proofErr w:type="spellEnd"/>
      <w:r w:rsidRPr="00781D94">
        <w:rPr>
          <w:rFonts w:asciiTheme="minorHAnsi" w:hAnsiTheme="minorHAnsi" w:cstheme="minorHAnsi"/>
          <w:i/>
          <w:iCs/>
          <w:sz w:val="14"/>
          <w:szCs w:val="14"/>
        </w:rPr>
        <w:t xml:space="preserve"> </w:t>
      </w:r>
      <w:proofErr w:type="spellStart"/>
      <w:r w:rsidRPr="00781D94">
        <w:rPr>
          <w:rFonts w:asciiTheme="minorHAnsi" w:hAnsiTheme="minorHAnsi" w:cstheme="minorHAnsi"/>
          <w:i/>
          <w:iCs/>
          <w:sz w:val="14"/>
          <w:szCs w:val="14"/>
        </w:rPr>
        <w:t>Dermatol</w:t>
      </w:r>
      <w:proofErr w:type="spellEnd"/>
      <w:r w:rsidRPr="00781D94">
        <w:rPr>
          <w:rFonts w:asciiTheme="minorHAnsi" w:hAnsiTheme="minorHAnsi" w:cstheme="minorHAnsi"/>
          <w:i/>
          <w:iCs/>
          <w:sz w:val="14"/>
          <w:szCs w:val="14"/>
        </w:rPr>
        <w:t xml:space="preserve"> </w:t>
      </w:r>
      <w:r w:rsidRPr="00781D94">
        <w:rPr>
          <w:rFonts w:asciiTheme="minorHAnsi" w:hAnsiTheme="minorHAnsi" w:cstheme="minorHAnsi"/>
          <w:sz w:val="14"/>
          <w:szCs w:val="14"/>
        </w:rPr>
        <w:t xml:space="preserve">2008; </w:t>
      </w:r>
      <w:r w:rsidRPr="00781D94">
        <w:rPr>
          <w:rFonts w:asciiTheme="minorHAnsi" w:hAnsiTheme="minorHAnsi" w:cstheme="minorHAnsi"/>
          <w:b/>
          <w:bCs/>
          <w:sz w:val="14"/>
          <w:szCs w:val="14"/>
        </w:rPr>
        <w:t xml:space="preserve">59: </w:t>
      </w:r>
      <w:r w:rsidRPr="00781D94">
        <w:rPr>
          <w:rFonts w:asciiTheme="minorHAnsi" w:hAnsiTheme="minorHAnsi" w:cstheme="minorHAnsi"/>
          <w:sz w:val="14"/>
          <w:szCs w:val="14"/>
        </w:rPr>
        <w:t xml:space="preserve">125–29. </w:t>
      </w: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6 Kim DH, Rogers JR, </w:t>
      </w:r>
      <w:proofErr w:type="spellStart"/>
      <w:r w:rsidRPr="00781D94">
        <w:rPr>
          <w:rFonts w:asciiTheme="minorHAnsi" w:hAnsiTheme="minorHAnsi" w:cstheme="minorHAnsi"/>
          <w:sz w:val="14"/>
          <w:szCs w:val="14"/>
        </w:rPr>
        <w:t>Fulchino</w:t>
      </w:r>
      <w:proofErr w:type="spellEnd"/>
      <w:r w:rsidRPr="00781D94">
        <w:rPr>
          <w:rFonts w:asciiTheme="minorHAnsi" w:hAnsiTheme="minorHAnsi" w:cstheme="minorHAnsi"/>
          <w:sz w:val="14"/>
          <w:szCs w:val="14"/>
        </w:rPr>
        <w:t xml:space="preserve"> LA, Kim CA, Solomon DH, Kim SC. Bisphosphonates and risk of cardiovascular events: a meta-analysis. </w:t>
      </w:r>
      <w:proofErr w:type="spellStart"/>
      <w:r w:rsidRPr="00781D94">
        <w:rPr>
          <w:rFonts w:asciiTheme="minorHAnsi" w:hAnsiTheme="minorHAnsi" w:cstheme="minorHAnsi"/>
          <w:i/>
          <w:iCs/>
          <w:sz w:val="14"/>
          <w:szCs w:val="14"/>
        </w:rPr>
        <w:t>PloS</w:t>
      </w:r>
      <w:proofErr w:type="spellEnd"/>
      <w:r w:rsidRPr="00781D94">
        <w:rPr>
          <w:rFonts w:asciiTheme="minorHAnsi" w:hAnsiTheme="minorHAnsi" w:cstheme="minorHAnsi"/>
          <w:i/>
          <w:iCs/>
          <w:sz w:val="14"/>
          <w:szCs w:val="14"/>
        </w:rPr>
        <w:t xml:space="preserve"> One </w:t>
      </w:r>
      <w:r w:rsidRPr="00781D94">
        <w:rPr>
          <w:rFonts w:asciiTheme="minorHAnsi" w:hAnsiTheme="minorHAnsi" w:cstheme="minorHAnsi"/>
          <w:sz w:val="14"/>
          <w:szCs w:val="14"/>
        </w:rPr>
        <w:t xml:space="preserve">2015; </w:t>
      </w:r>
      <w:r w:rsidRPr="00781D94">
        <w:rPr>
          <w:rFonts w:asciiTheme="minorHAnsi" w:hAnsiTheme="minorHAnsi" w:cstheme="minorHAnsi"/>
          <w:b/>
          <w:bCs/>
          <w:sz w:val="14"/>
          <w:szCs w:val="14"/>
        </w:rPr>
        <w:t xml:space="preserve">10: </w:t>
      </w:r>
      <w:r w:rsidRPr="00781D94">
        <w:rPr>
          <w:rFonts w:asciiTheme="minorHAnsi" w:hAnsiTheme="minorHAnsi" w:cstheme="minorHAnsi"/>
          <w:sz w:val="14"/>
          <w:szCs w:val="14"/>
        </w:rPr>
        <w:t xml:space="preserve">e0122646. </w:t>
      </w: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7 Strontium </w:t>
      </w:r>
      <w:proofErr w:type="spellStart"/>
      <w:r w:rsidRPr="00781D94">
        <w:rPr>
          <w:rFonts w:asciiTheme="minorHAnsi" w:hAnsiTheme="minorHAnsi" w:cstheme="minorHAnsi"/>
          <w:sz w:val="14"/>
          <w:szCs w:val="14"/>
        </w:rPr>
        <w:t>ranelate</w:t>
      </w:r>
      <w:proofErr w:type="spellEnd"/>
      <w:r w:rsidRPr="00781D94">
        <w:rPr>
          <w:rFonts w:asciiTheme="minorHAnsi" w:hAnsiTheme="minorHAnsi" w:cstheme="minorHAnsi"/>
          <w:sz w:val="14"/>
          <w:szCs w:val="14"/>
        </w:rPr>
        <w:t>: cardiovascular risk. GOV.UK. https://www.gov.uk/ drug-safety-update/strontium-</w:t>
      </w:r>
      <w:proofErr w:type="spellStart"/>
      <w:r w:rsidRPr="00781D94">
        <w:rPr>
          <w:rFonts w:asciiTheme="minorHAnsi" w:hAnsiTheme="minorHAnsi" w:cstheme="minorHAnsi"/>
          <w:sz w:val="14"/>
          <w:szCs w:val="14"/>
        </w:rPr>
        <w:t>ranelate</w:t>
      </w:r>
      <w:proofErr w:type="spellEnd"/>
      <w:r w:rsidRPr="00781D94">
        <w:rPr>
          <w:rFonts w:asciiTheme="minorHAnsi" w:hAnsiTheme="minorHAnsi" w:cstheme="minorHAnsi"/>
          <w:sz w:val="14"/>
          <w:szCs w:val="14"/>
        </w:rPr>
        <w:t xml:space="preserve">-cardiovascular-risk (accessed Sept 17, 2019). </w:t>
      </w: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8 Merck. Merck provides update on </w:t>
      </w:r>
      <w:proofErr w:type="spellStart"/>
      <w:r w:rsidRPr="00781D94">
        <w:rPr>
          <w:rFonts w:asciiTheme="minorHAnsi" w:hAnsiTheme="minorHAnsi" w:cstheme="minorHAnsi"/>
          <w:sz w:val="14"/>
          <w:szCs w:val="14"/>
        </w:rPr>
        <w:t>odanacatib</w:t>
      </w:r>
      <w:proofErr w:type="spellEnd"/>
      <w:r w:rsidRPr="00781D94">
        <w:rPr>
          <w:rFonts w:asciiTheme="minorHAnsi" w:hAnsiTheme="minorHAnsi" w:cstheme="minorHAnsi"/>
          <w:sz w:val="14"/>
          <w:szCs w:val="14"/>
        </w:rPr>
        <w:t xml:space="preserve"> development program. Sept 2, 2016. Merck Newsroom Home. https://www.mrknewsroom.com/news-release/research-and-development-news/merck-provides-update-odanacatib-development-program (accessed Sept 18, 2019). </w:t>
      </w:r>
    </w:p>
    <w:p w:rsidR="00781D94"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9 </w:t>
      </w:r>
      <w:proofErr w:type="spellStart"/>
      <w:r w:rsidRPr="00781D94">
        <w:rPr>
          <w:rFonts w:asciiTheme="minorHAnsi" w:hAnsiTheme="minorHAnsi" w:cstheme="minorHAnsi"/>
          <w:sz w:val="14"/>
          <w:szCs w:val="14"/>
        </w:rPr>
        <w:t>Saag</w:t>
      </w:r>
      <w:proofErr w:type="spellEnd"/>
      <w:r w:rsidRPr="00781D94">
        <w:rPr>
          <w:rFonts w:asciiTheme="minorHAnsi" w:hAnsiTheme="minorHAnsi" w:cstheme="minorHAnsi"/>
          <w:sz w:val="14"/>
          <w:szCs w:val="14"/>
        </w:rPr>
        <w:t xml:space="preserve"> KG, Petersen J, Brandi ML, et al. </w:t>
      </w:r>
      <w:proofErr w:type="spellStart"/>
      <w:r w:rsidRPr="00781D94">
        <w:rPr>
          <w:rFonts w:asciiTheme="minorHAnsi" w:hAnsiTheme="minorHAnsi" w:cstheme="minorHAnsi"/>
          <w:sz w:val="14"/>
          <w:szCs w:val="14"/>
        </w:rPr>
        <w:t>Romosozumab</w:t>
      </w:r>
      <w:proofErr w:type="spellEnd"/>
      <w:r w:rsidRPr="00781D94">
        <w:rPr>
          <w:rFonts w:asciiTheme="minorHAnsi" w:hAnsiTheme="minorHAnsi" w:cstheme="minorHAnsi"/>
          <w:sz w:val="14"/>
          <w:szCs w:val="14"/>
        </w:rPr>
        <w:t xml:space="preserve"> or alendronate for fracture prevention in women with osteoporosis. </w:t>
      </w:r>
      <w:r w:rsidRPr="00781D94">
        <w:rPr>
          <w:rFonts w:asciiTheme="minorHAnsi" w:hAnsiTheme="minorHAnsi" w:cstheme="minorHAnsi"/>
          <w:i/>
          <w:iCs/>
          <w:sz w:val="14"/>
          <w:szCs w:val="14"/>
        </w:rPr>
        <w:t xml:space="preserve">N </w:t>
      </w:r>
      <w:proofErr w:type="spellStart"/>
      <w:r w:rsidRPr="00781D94">
        <w:rPr>
          <w:rFonts w:asciiTheme="minorHAnsi" w:hAnsiTheme="minorHAnsi" w:cstheme="minorHAnsi"/>
          <w:i/>
          <w:iCs/>
          <w:sz w:val="14"/>
          <w:szCs w:val="14"/>
        </w:rPr>
        <w:t>Engl</w:t>
      </w:r>
      <w:proofErr w:type="spellEnd"/>
      <w:r w:rsidRPr="00781D94">
        <w:rPr>
          <w:rFonts w:asciiTheme="minorHAnsi" w:hAnsiTheme="minorHAnsi" w:cstheme="minorHAnsi"/>
          <w:i/>
          <w:iCs/>
          <w:sz w:val="14"/>
          <w:szCs w:val="14"/>
        </w:rPr>
        <w:t xml:space="preserve"> J Med </w:t>
      </w:r>
      <w:r w:rsidRPr="00781D94">
        <w:rPr>
          <w:rFonts w:asciiTheme="minorHAnsi" w:hAnsiTheme="minorHAnsi" w:cstheme="minorHAnsi"/>
          <w:sz w:val="14"/>
          <w:szCs w:val="14"/>
        </w:rPr>
        <w:t xml:space="preserve">2017; </w:t>
      </w:r>
      <w:r w:rsidRPr="00781D94">
        <w:rPr>
          <w:rFonts w:asciiTheme="minorHAnsi" w:hAnsiTheme="minorHAnsi" w:cstheme="minorHAnsi"/>
          <w:b/>
          <w:bCs/>
          <w:sz w:val="14"/>
          <w:szCs w:val="14"/>
        </w:rPr>
        <w:t xml:space="preserve">377: </w:t>
      </w:r>
      <w:r w:rsidRPr="00781D94">
        <w:rPr>
          <w:rFonts w:asciiTheme="minorHAnsi" w:hAnsiTheme="minorHAnsi" w:cstheme="minorHAnsi"/>
          <w:sz w:val="14"/>
          <w:szCs w:val="14"/>
        </w:rPr>
        <w:t xml:space="preserve">1417–27. </w:t>
      </w:r>
    </w:p>
    <w:p w:rsidR="004B1B42" w:rsidRPr="00781D94" w:rsidRDefault="00781D94" w:rsidP="00781D94">
      <w:pPr>
        <w:pStyle w:val="Pa10"/>
        <w:spacing w:after="20"/>
        <w:ind w:left="280"/>
        <w:rPr>
          <w:rFonts w:asciiTheme="minorHAnsi" w:hAnsiTheme="minorHAnsi" w:cstheme="minorHAnsi"/>
          <w:sz w:val="14"/>
          <w:szCs w:val="14"/>
        </w:rPr>
      </w:pPr>
      <w:r w:rsidRPr="00781D94">
        <w:rPr>
          <w:rFonts w:asciiTheme="minorHAnsi" w:hAnsiTheme="minorHAnsi" w:cstheme="minorHAnsi"/>
          <w:sz w:val="14"/>
          <w:szCs w:val="14"/>
        </w:rPr>
        <w:t xml:space="preserve">10 Francisco EM. </w:t>
      </w:r>
      <w:proofErr w:type="spellStart"/>
      <w:r w:rsidRPr="00781D94">
        <w:rPr>
          <w:rFonts w:asciiTheme="minorHAnsi" w:hAnsiTheme="minorHAnsi" w:cstheme="minorHAnsi"/>
          <w:sz w:val="14"/>
          <w:szCs w:val="14"/>
        </w:rPr>
        <w:t>Evenity</w:t>
      </w:r>
      <w:proofErr w:type="spellEnd"/>
      <w:r w:rsidRPr="00781D94">
        <w:rPr>
          <w:rFonts w:asciiTheme="minorHAnsi" w:hAnsiTheme="minorHAnsi" w:cstheme="minorHAnsi"/>
          <w:sz w:val="14"/>
          <w:szCs w:val="14"/>
        </w:rPr>
        <w:t>: pending EC decision. European Medicines Agency 2019; published online Oct 17. https://www.ema.europa.eu/en/medicines/ human/summaries-opinion/</w:t>
      </w:r>
      <w:proofErr w:type="spellStart"/>
      <w:r w:rsidRPr="00781D94">
        <w:rPr>
          <w:rFonts w:asciiTheme="minorHAnsi" w:hAnsiTheme="minorHAnsi" w:cstheme="minorHAnsi"/>
          <w:sz w:val="14"/>
          <w:szCs w:val="14"/>
        </w:rPr>
        <w:t>evenity</w:t>
      </w:r>
      <w:proofErr w:type="spellEnd"/>
      <w:r w:rsidRPr="00781D94">
        <w:rPr>
          <w:rFonts w:asciiTheme="minorHAnsi" w:hAnsiTheme="minorHAnsi" w:cstheme="minorHAnsi"/>
          <w:sz w:val="14"/>
          <w:szCs w:val="14"/>
        </w:rPr>
        <w:t xml:space="preserve"> (accessed Oct 21, 2019).</w:t>
      </w:r>
    </w:p>
    <w:p w:rsidR="00781D94" w:rsidRPr="00781D94" w:rsidRDefault="00781D94" w:rsidP="00781D94">
      <w:pPr>
        <w:rPr>
          <w:rFonts w:cstheme="minorHAnsi"/>
          <w:sz w:val="14"/>
          <w:szCs w:val="14"/>
        </w:rPr>
      </w:pPr>
    </w:p>
    <w:p w:rsidR="00781D94" w:rsidRPr="00781D94" w:rsidRDefault="00781D94" w:rsidP="00781D94">
      <w:pPr>
        <w:pStyle w:val="Pa5"/>
        <w:spacing w:before="40"/>
        <w:rPr>
          <w:rFonts w:asciiTheme="minorHAnsi" w:hAnsiTheme="minorHAnsi" w:cstheme="minorHAnsi"/>
          <w:color w:val="00539F"/>
          <w:sz w:val="13"/>
          <w:szCs w:val="13"/>
        </w:rPr>
      </w:pPr>
      <w:r w:rsidRPr="00781D94">
        <w:rPr>
          <w:rFonts w:asciiTheme="minorHAnsi" w:hAnsiTheme="minorHAnsi" w:cstheme="minorHAnsi"/>
          <w:b/>
          <w:bCs/>
          <w:i/>
          <w:iCs/>
          <w:color w:val="00539F"/>
          <w:sz w:val="13"/>
          <w:szCs w:val="13"/>
        </w:rPr>
        <w:t xml:space="preserve">Lancet Diabetes </w:t>
      </w:r>
      <w:proofErr w:type="spellStart"/>
      <w:r w:rsidRPr="00781D94">
        <w:rPr>
          <w:rFonts w:asciiTheme="minorHAnsi" w:hAnsiTheme="minorHAnsi" w:cstheme="minorHAnsi"/>
          <w:b/>
          <w:bCs/>
          <w:i/>
          <w:iCs/>
          <w:color w:val="00539F"/>
          <w:sz w:val="13"/>
          <w:szCs w:val="13"/>
        </w:rPr>
        <w:t>Endocrinol</w:t>
      </w:r>
      <w:proofErr w:type="spellEnd"/>
      <w:r w:rsidRPr="00781D94">
        <w:rPr>
          <w:rFonts w:asciiTheme="minorHAnsi" w:hAnsiTheme="minorHAnsi" w:cstheme="minorHAnsi"/>
          <w:b/>
          <w:bCs/>
          <w:i/>
          <w:iCs/>
          <w:color w:val="00539F"/>
          <w:sz w:val="13"/>
          <w:szCs w:val="13"/>
        </w:rPr>
        <w:t xml:space="preserve"> </w:t>
      </w:r>
      <w:r w:rsidRPr="00781D94">
        <w:rPr>
          <w:rFonts w:asciiTheme="minorHAnsi" w:hAnsiTheme="minorHAnsi" w:cstheme="minorHAnsi"/>
          <w:b/>
          <w:bCs/>
          <w:color w:val="00539F"/>
          <w:sz w:val="13"/>
          <w:szCs w:val="13"/>
        </w:rPr>
        <w:t xml:space="preserve">2019 </w:t>
      </w:r>
    </w:p>
    <w:p w:rsidR="00781D94" w:rsidRPr="00781D94" w:rsidRDefault="00781D94" w:rsidP="00781D94">
      <w:pPr>
        <w:pStyle w:val="Pa5"/>
        <w:spacing w:before="40"/>
        <w:rPr>
          <w:rFonts w:asciiTheme="minorHAnsi" w:hAnsiTheme="minorHAnsi" w:cstheme="minorHAnsi"/>
          <w:color w:val="221E1F"/>
          <w:sz w:val="13"/>
          <w:szCs w:val="13"/>
        </w:rPr>
      </w:pPr>
      <w:r w:rsidRPr="00781D94">
        <w:rPr>
          <w:rFonts w:asciiTheme="minorHAnsi" w:hAnsiTheme="minorHAnsi" w:cstheme="minorHAnsi"/>
          <w:color w:val="221E1F"/>
          <w:sz w:val="13"/>
          <w:szCs w:val="13"/>
        </w:rPr>
        <w:t xml:space="preserve">Published </w:t>
      </w:r>
      <w:r w:rsidRPr="00781D94">
        <w:rPr>
          <w:rFonts w:asciiTheme="minorHAnsi" w:hAnsiTheme="minorHAnsi" w:cstheme="minorHAnsi"/>
          <w:b/>
          <w:bCs/>
          <w:color w:val="4E6B75"/>
          <w:sz w:val="13"/>
          <w:szCs w:val="13"/>
        </w:rPr>
        <w:t xml:space="preserve">Online </w:t>
      </w:r>
      <w:r w:rsidRPr="00781D94">
        <w:rPr>
          <w:rFonts w:asciiTheme="minorHAnsi" w:hAnsiTheme="minorHAnsi" w:cstheme="minorHAnsi"/>
          <w:color w:val="221E1F"/>
          <w:sz w:val="13"/>
          <w:szCs w:val="13"/>
        </w:rPr>
        <w:t xml:space="preserve">October 29, 2019 https://doi.org/10.1016/ S2213-8587(19)30348-1 </w:t>
      </w:r>
    </w:p>
    <w:p w:rsidR="00781D94" w:rsidRPr="00781D94" w:rsidRDefault="00781D94" w:rsidP="00781D94">
      <w:pPr>
        <w:pStyle w:val="Pa5"/>
        <w:spacing w:before="40"/>
        <w:rPr>
          <w:rFonts w:asciiTheme="minorHAnsi" w:hAnsiTheme="minorHAnsi" w:cstheme="minorHAnsi"/>
        </w:rPr>
      </w:pPr>
      <w:r w:rsidRPr="00781D94">
        <w:rPr>
          <w:rFonts w:asciiTheme="minorHAnsi" w:hAnsiTheme="minorHAnsi" w:cstheme="minorHAnsi"/>
          <w:color w:val="221E1F"/>
          <w:sz w:val="13"/>
          <w:szCs w:val="13"/>
        </w:rPr>
        <w:t xml:space="preserve">See </w:t>
      </w:r>
      <w:r w:rsidRPr="00781D94">
        <w:rPr>
          <w:rFonts w:asciiTheme="minorHAnsi" w:hAnsiTheme="minorHAnsi" w:cstheme="minorHAnsi"/>
          <w:b/>
          <w:bCs/>
          <w:color w:val="4E6B75"/>
          <w:sz w:val="13"/>
          <w:szCs w:val="13"/>
        </w:rPr>
        <w:t xml:space="preserve">Online/Articles </w:t>
      </w:r>
      <w:r w:rsidRPr="00781D94">
        <w:rPr>
          <w:rFonts w:asciiTheme="minorHAnsi" w:hAnsiTheme="minorHAnsi" w:cstheme="minorHAnsi"/>
          <w:color w:val="221E1F"/>
          <w:sz w:val="13"/>
          <w:szCs w:val="13"/>
        </w:rPr>
        <w:t>https://doi.org/10.1016/ S2213-8587(19)30346-8</w:t>
      </w:r>
    </w:p>
    <w:p w:rsidR="00781D94" w:rsidRPr="00781D94" w:rsidRDefault="00781D94" w:rsidP="00781D94">
      <w:pPr>
        <w:pStyle w:val="Pa5"/>
        <w:spacing w:before="40"/>
        <w:rPr>
          <w:rFonts w:asciiTheme="minorHAnsi" w:hAnsiTheme="minorHAnsi" w:cstheme="minorHAnsi"/>
          <w:b/>
          <w:bCs/>
          <w:i/>
          <w:iCs/>
          <w:color w:val="00539F"/>
          <w:sz w:val="13"/>
          <w:szCs w:val="13"/>
        </w:rPr>
      </w:pPr>
    </w:p>
    <w:sectPr w:rsidR="00781D94" w:rsidRPr="00781D94" w:rsidSect="00781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 2 Lancet Regular">
    <w:altName w:val="Shaker 2 Lancet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4b5eCSSYzIjSpTs6kaxwBG4nNXxDfV1U8xCyYhMljwFDV1CnKOd7mTzMXw8jANkGUf/FBU1kaR872HzzUSnjZw==" w:salt="/X5NTA5uS4RXkRTj8vx6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94"/>
    <w:rsid w:val="004B1B42"/>
    <w:rsid w:val="00781D94"/>
    <w:rsid w:val="00894B75"/>
    <w:rsid w:val="00F1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8A8A"/>
  <w15:chartTrackingRefBased/>
  <w15:docId w15:val="{FF2FBF07-B644-4946-9529-161702EB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D94"/>
    <w:pPr>
      <w:autoSpaceDE w:val="0"/>
      <w:autoSpaceDN w:val="0"/>
      <w:adjustRightInd w:val="0"/>
      <w:spacing w:after="0" w:line="240" w:lineRule="auto"/>
    </w:pPr>
    <w:rPr>
      <w:rFonts w:ascii="Shaker 2 Lancet Regular" w:hAnsi="Shaker 2 Lancet Regular" w:cs="Shaker 2 Lancet Regular"/>
      <w:color w:val="000000"/>
      <w:sz w:val="24"/>
      <w:szCs w:val="24"/>
    </w:rPr>
  </w:style>
  <w:style w:type="character" w:customStyle="1" w:styleId="A0">
    <w:name w:val="A0"/>
    <w:uiPriority w:val="99"/>
    <w:rsid w:val="00781D94"/>
    <w:rPr>
      <w:rFonts w:cs="Shaker 2 Lancet Regular"/>
      <w:b/>
      <w:bCs/>
      <w:color w:val="221E1F"/>
      <w:sz w:val="36"/>
      <w:szCs w:val="36"/>
    </w:rPr>
  </w:style>
  <w:style w:type="paragraph" w:customStyle="1" w:styleId="Pa1">
    <w:name w:val="Pa1"/>
    <w:basedOn w:val="Default"/>
    <w:next w:val="Default"/>
    <w:uiPriority w:val="99"/>
    <w:rsid w:val="00781D94"/>
    <w:pPr>
      <w:spacing w:line="241" w:lineRule="atLeast"/>
    </w:pPr>
    <w:rPr>
      <w:rFonts w:cstheme="minorBidi"/>
      <w:color w:val="auto"/>
    </w:rPr>
  </w:style>
  <w:style w:type="character" w:customStyle="1" w:styleId="A1">
    <w:name w:val="A1"/>
    <w:uiPriority w:val="99"/>
    <w:rsid w:val="00781D94"/>
    <w:rPr>
      <w:rFonts w:cs="Shaker 2 Lancet Regular"/>
      <w:b/>
      <w:bCs/>
      <w:color w:val="221E1F"/>
      <w:sz w:val="14"/>
      <w:szCs w:val="14"/>
    </w:rPr>
  </w:style>
  <w:style w:type="paragraph" w:customStyle="1" w:styleId="Pa6">
    <w:name w:val="Pa6"/>
    <w:basedOn w:val="Default"/>
    <w:next w:val="Default"/>
    <w:uiPriority w:val="99"/>
    <w:rsid w:val="00781D94"/>
    <w:pPr>
      <w:spacing w:line="191" w:lineRule="atLeast"/>
    </w:pPr>
    <w:rPr>
      <w:rFonts w:cstheme="minorBidi"/>
      <w:color w:val="auto"/>
    </w:rPr>
  </w:style>
  <w:style w:type="character" w:customStyle="1" w:styleId="A3">
    <w:name w:val="A3"/>
    <w:uiPriority w:val="99"/>
    <w:rsid w:val="00781D94"/>
    <w:rPr>
      <w:rFonts w:cs="Shaker 2 Lancet Regular"/>
      <w:color w:val="221E1F"/>
      <w:sz w:val="10"/>
      <w:szCs w:val="10"/>
    </w:rPr>
  </w:style>
  <w:style w:type="paragraph" w:customStyle="1" w:styleId="Pa4">
    <w:name w:val="Pa4"/>
    <w:basedOn w:val="Default"/>
    <w:next w:val="Default"/>
    <w:uiPriority w:val="99"/>
    <w:rsid w:val="00781D94"/>
    <w:pPr>
      <w:spacing w:line="201" w:lineRule="atLeast"/>
    </w:pPr>
    <w:rPr>
      <w:rFonts w:cstheme="minorBidi"/>
      <w:color w:val="auto"/>
    </w:rPr>
  </w:style>
  <w:style w:type="paragraph" w:customStyle="1" w:styleId="Pa5">
    <w:name w:val="Pa5"/>
    <w:basedOn w:val="Default"/>
    <w:next w:val="Default"/>
    <w:uiPriority w:val="99"/>
    <w:rsid w:val="00781D94"/>
    <w:pPr>
      <w:spacing w:line="131" w:lineRule="atLeast"/>
    </w:pPr>
    <w:rPr>
      <w:rFonts w:cstheme="minorBidi"/>
      <w:color w:val="auto"/>
    </w:rPr>
  </w:style>
  <w:style w:type="paragraph" w:customStyle="1" w:styleId="Pa8">
    <w:name w:val="Pa8"/>
    <w:basedOn w:val="Default"/>
    <w:next w:val="Default"/>
    <w:uiPriority w:val="99"/>
    <w:rsid w:val="00781D94"/>
    <w:pPr>
      <w:spacing w:line="171" w:lineRule="atLeast"/>
    </w:pPr>
    <w:rPr>
      <w:rFonts w:cstheme="minorBidi"/>
      <w:color w:val="auto"/>
    </w:rPr>
  </w:style>
  <w:style w:type="paragraph" w:customStyle="1" w:styleId="Pa10">
    <w:name w:val="Pa10"/>
    <w:basedOn w:val="Default"/>
    <w:next w:val="Default"/>
    <w:uiPriority w:val="99"/>
    <w:rsid w:val="00781D94"/>
    <w:pPr>
      <w:spacing w:line="1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EF19AA33.dotm</Template>
  <TotalTime>12</TotalTime>
  <Pages>2</Pages>
  <Words>1409</Words>
  <Characters>8034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Statham</dc:creator>
  <cp:keywords/>
  <dc:description/>
  <cp:lastModifiedBy>Louise Statham</cp:lastModifiedBy>
  <cp:revision>3</cp:revision>
  <dcterms:created xsi:type="dcterms:W3CDTF">2019-10-31T10:43:00Z</dcterms:created>
  <dcterms:modified xsi:type="dcterms:W3CDTF">2019-10-31T10:55:00Z</dcterms:modified>
</cp:coreProperties>
</file>