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C5D80" w14:textId="77777777" w:rsidR="00F74C9E" w:rsidRDefault="00F74C9E" w:rsidP="00AD7405">
      <w:pPr>
        <w:pStyle w:val="Heading4"/>
        <w:rPr>
          <w:rFonts w:ascii="Arial" w:hAnsi="Arial" w:cs="Arial"/>
          <w:i w:val="0"/>
          <w:color w:val="000000" w:themeColor="text1"/>
          <w:sz w:val="22"/>
          <w:szCs w:val="22"/>
        </w:rPr>
      </w:pPr>
      <w:r>
        <w:rPr>
          <w:rFonts w:ascii="Arial" w:hAnsi="Arial" w:cs="Arial"/>
          <w:i w:val="0"/>
          <w:color w:val="000000" w:themeColor="text1"/>
          <w:sz w:val="22"/>
          <w:szCs w:val="22"/>
        </w:rPr>
        <w:t>Nursing and Residential Care Journal Submission</w:t>
      </w:r>
    </w:p>
    <w:p w14:paraId="6A7BDB27" w14:textId="77777777" w:rsidR="008B6D6C" w:rsidRDefault="00AD7405" w:rsidP="00AD7405">
      <w:pPr>
        <w:pStyle w:val="Heading4"/>
        <w:rPr>
          <w:rFonts w:ascii="Arial" w:hAnsi="Arial" w:cs="Arial"/>
          <w:b w:val="0"/>
          <w:color w:val="000000" w:themeColor="text1"/>
          <w:sz w:val="22"/>
          <w:szCs w:val="22"/>
        </w:rPr>
      </w:pPr>
      <w:r w:rsidRPr="00390004">
        <w:rPr>
          <w:rFonts w:ascii="Arial" w:hAnsi="Arial" w:cs="Arial"/>
          <w:i w:val="0"/>
          <w:color w:val="000000" w:themeColor="text1"/>
          <w:sz w:val="22"/>
          <w:szCs w:val="22"/>
        </w:rPr>
        <w:t xml:space="preserve">Title: </w:t>
      </w:r>
      <w:r w:rsidR="00F74C9E">
        <w:rPr>
          <w:rFonts w:ascii="Arial" w:hAnsi="Arial" w:cs="Arial"/>
          <w:b w:val="0"/>
          <w:color w:val="000000" w:themeColor="text1"/>
          <w:sz w:val="22"/>
          <w:szCs w:val="22"/>
        </w:rPr>
        <w:t>‘Optimising</w:t>
      </w:r>
      <w:r w:rsidRPr="00390004">
        <w:rPr>
          <w:rFonts w:ascii="Arial" w:hAnsi="Arial" w:cs="Arial"/>
          <w:b w:val="0"/>
          <w:color w:val="000000" w:themeColor="text1"/>
          <w:sz w:val="22"/>
          <w:szCs w:val="22"/>
        </w:rPr>
        <w:t xml:space="preserve"> Working Practice</w:t>
      </w:r>
      <w:r w:rsidR="00F74C9E">
        <w:rPr>
          <w:rFonts w:ascii="Arial" w:hAnsi="Arial" w:cs="Arial"/>
          <w:b w:val="0"/>
          <w:color w:val="000000" w:themeColor="text1"/>
          <w:sz w:val="22"/>
          <w:szCs w:val="22"/>
        </w:rPr>
        <w:t>s</w:t>
      </w:r>
      <w:r w:rsidRPr="00390004">
        <w:rPr>
          <w:rFonts w:ascii="Arial" w:hAnsi="Arial" w:cs="Arial"/>
          <w:b w:val="0"/>
          <w:color w:val="000000" w:themeColor="text1"/>
          <w:sz w:val="22"/>
          <w:szCs w:val="22"/>
        </w:rPr>
        <w:t xml:space="preserve"> in Nursing and Residential Care Settings</w:t>
      </w:r>
      <w:r w:rsidR="008C18A7" w:rsidRPr="00390004">
        <w:rPr>
          <w:rFonts w:ascii="Arial" w:hAnsi="Arial" w:cs="Arial"/>
          <w:b w:val="0"/>
          <w:color w:val="000000" w:themeColor="text1"/>
          <w:sz w:val="22"/>
          <w:szCs w:val="22"/>
        </w:rPr>
        <w:t xml:space="preserve"> </w:t>
      </w:r>
      <w:r w:rsidRPr="00390004">
        <w:rPr>
          <w:rFonts w:ascii="Arial" w:hAnsi="Arial" w:cs="Arial"/>
          <w:b w:val="0"/>
          <w:color w:val="000000" w:themeColor="text1"/>
          <w:sz w:val="22"/>
          <w:szCs w:val="22"/>
        </w:rPr>
        <w:t>in</w:t>
      </w:r>
      <w:r w:rsidR="008B6D6C" w:rsidRPr="00390004">
        <w:rPr>
          <w:rFonts w:ascii="Arial" w:hAnsi="Arial" w:cs="Arial"/>
          <w:b w:val="0"/>
          <w:color w:val="000000" w:themeColor="text1"/>
          <w:sz w:val="22"/>
          <w:szCs w:val="22"/>
        </w:rPr>
        <w:t xml:space="preserve"> the North East and </w:t>
      </w:r>
      <w:r w:rsidR="008C18A7" w:rsidRPr="00390004">
        <w:rPr>
          <w:rFonts w:ascii="Arial" w:hAnsi="Arial" w:cs="Arial"/>
          <w:b w:val="0"/>
          <w:color w:val="000000" w:themeColor="text1"/>
          <w:sz w:val="22"/>
          <w:szCs w:val="22"/>
        </w:rPr>
        <w:t xml:space="preserve">North </w:t>
      </w:r>
      <w:r w:rsidR="008B6D6C" w:rsidRPr="00390004">
        <w:rPr>
          <w:rFonts w:ascii="Arial" w:hAnsi="Arial" w:cs="Arial"/>
          <w:b w:val="0"/>
          <w:color w:val="000000" w:themeColor="text1"/>
          <w:sz w:val="22"/>
          <w:szCs w:val="22"/>
        </w:rPr>
        <w:t>Cumbria</w:t>
      </w:r>
      <w:r w:rsidR="00F74C9E">
        <w:rPr>
          <w:rFonts w:ascii="Arial" w:hAnsi="Arial" w:cs="Arial"/>
          <w:b w:val="0"/>
          <w:color w:val="000000" w:themeColor="text1"/>
          <w:sz w:val="22"/>
          <w:szCs w:val="22"/>
        </w:rPr>
        <w:t>, UK: An Evaluation of a Hospital Transfer Pathway.</w:t>
      </w:r>
    </w:p>
    <w:p w14:paraId="2C935756" w14:textId="77777777" w:rsidR="00AC49B0" w:rsidRDefault="00AC49B0" w:rsidP="00AC49B0">
      <w:pPr>
        <w:rPr>
          <w:b/>
        </w:rPr>
      </w:pPr>
    </w:p>
    <w:p w14:paraId="2B8A54DC" w14:textId="77777777" w:rsidR="00AC49B0" w:rsidRPr="00AC49B0" w:rsidRDefault="00AC49B0" w:rsidP="00AC49B0">
      <w:pPr>
        <w:rPr>
          <w:sz w:val="22"/>
          <w:szCs w:val="22"/>
        </w:rPr>
      </w:pPr>
      <w:r w:rsidRPr="00AC49B0">
        <w:rPr>
          <w:b/>
          <w:sz w:val="22"/>
          <w:szCs w:val="22"/>
        </w:rPr>
        <w:t>Authors:</w:t>
      </w:r>
      <w:r w:rsidRPr="00AC49B0">
        <w:rPr>
          <w:sz w:val="22"/>
          <w:szCs w:val="22"/>
        </w:rPr>
        <w:t xml:space="preserve"> </w:t>
      </w:r>
      <w:bookmarkStart w:id="0" w:name="_GoBack"/>
      <w:bookmarkEnd w:id="0"/>
    </w:p>
    <w:p w14:paraId="74E654DC" w14:textId="77777777" w:rsidR="00AC49B0" w:rsidRPr="00AC49B0" w:rsidRDefault="00AC49B0" w:rsidP="00AC49B0">
      <w:pPr>
        <w:rPr>
          <w:sz w:val="22"/>
          <w:szCs w:val="22"/>
        </w:rPr>
      </w:pPr>
      <w:r w:rsidRPr="00AC49B0">
        <w:rPr>
          <w:sz w:val="22"/>
          <w:szCs w:val="22"/>
        </w:rPr>
        <w:t xml:space="preserve">Yitka Graham, Head of the Helen McCardle Nursing and Care Research Institute, Faculty of Health Sciences and Wellbeing, University of Sunderland </w:t>
      </w:r>
    </w:p>
    <w:p w14:paraId="43526D10" w14:textId="77777777" w:rsidR="00AC49B0" w:rsidRPr="00AC49B0" w:rsidRDefault="00AC49B0" w:rsidP="00AC49B0">
      <w:pPr>
        <w:rPr>
          <w:sz w:val="22"/>
          <w:szCs w:val="22"/>
        </w:rPr>
      </w:pPr>
      <w:r w:rsidRPr="00AC49B0">
        <w:rPr>
          <w:sz w:val="22"/>
          <w:szCs w:val="22"/>
        </w:rPr>
        <w:t>Sarah Keith, Research Assistant, Faculty of Health Sciences and Wellbeing, University of Sunderland</w:t>
      </w:r>
    </w:p>
    <w:p w14:paraId="4C2EE371" w14:textId="77777777" w:rsidR="00AC49B0" w:rsidRPr="00AC49B0" w:rsidRDefault="00AC49B0" w:rsidP="00AC49B0">
      <w:pPr>
        <w:rPr>
          <w:sz w:val="22"/>
          <w:szCs w:val="22"/>
        </w:rPr>
      </w:pPr>
      <w:r w:rsidRPr="00AC49B0">
        <w:rPr>
          <w:sz w:val="22"/>
          <w:szCs w:val="22"/>
        </w:rPr>
        <w:t>Maria Freeman, Research Associate and Associate Tutor Faculty of Health Sciences and Wellbeing, University of Sunderland</w:t>
      </w:r>
    </w:p>
    <w:p w14:paraId="3DD83DB8" w14:textId="77777777" w:rsidR="00AC49B0" w:rsidRPr="00AC49B0" w:rsidRDefault="00AC49B0" w:rsidP="00AC49B0">
      <w:pPr>
        <w:rPr>
          <w:sz w:val="22"/>
          <w:szCs w:val="22"/>
        </w:rPr>
      </w:pPr>
      <w:r w:rsidRPr="00AC49B0">
        <w:rPr>
          <w:sz w:val="22"/>
          <w:szCs w:val="22"/>
        </w:rPr>
        <w:t>Ken Haggerty, Independent Care Sector Lead for NHS England (North) Care Partnership</w:t>
      </w:r>
    </w:p>
    <w:p w14:paraId="2BC48341" w14:textId="77777777" w:rsidR="00AC49B0" w:rsidRPr="00AC49B0" w:rsidRDefault="00AC49B0" w:rsidP="00AC49B0">
      <w:pPr>
        <w:rPr>
          <w:sz w:val="22"/>
          <w:szCs w:val="22"/>
        </w:rPr>
      </w:pPr>
      <w:r w:rsidRPr="00AC49B0">
        <w:rPr>
          <w:sz w:val="22"/>
          <w:szCs w:val="22"/>
        </w:rPr>
        <w:t>Kathryn Dimmock, National Health and Safety Executive, Independent Care Sector Lead, Nursing and Quality Team</w:t>
      </w:r>
    </w:p>
    <w:p w14:paraId="2CEC0C10" w14:textId="77777777" w:rsidR="00AC49B0" w:rsidRPr="00AC49B0" w:rsidRDefault="00AC49B0" w:rsidP="00AC49B0">
      <w:r w:rsidRPr="00AC49B0">
        <w:rPr>
          <w:sz w:val="22"/>
          <w:szCs w:val="22"/>
        </w:rPr>
        <w:t>Catherine Hayes, Professor of Health Professions, Pedagogy and Scholarship, Faculty of Health Sciences and Wellbeing, University of Sunderland</w:t>
      </w:r>
    </w:p>
    <w:p w14:paraId="7697852C" w14:textId="77777777" w:rsidR="00AC49B0" w:rsidRDefault="00AC49B0" w:rsidP="00AC49B0"/>
    <w:p w14:paraId="2DDCCE24" w14:textId="77777777" w:rsidR="00127392" w:rsidRPr="00AC49B0" w:rsidRDefault="00127392" w:rsidP="00127392">
      <w:pPr>
        <w:rPr>
          <w:b/>
          <w:sz w:val="22"/>
          <w:szCs w:val="22"/>
        </w:rPr>
      </w:pPr>
      <w:r w:rsidRPr="00AC49B0">
        <w:rPr>
          <w:b/>
          <w:sz w:val="22"/>
          <w:szCs w:val="22"/>
        </w:rPr>
        <w:t>Abstract:</w:t>
      </w:r>
    </w:p>
    <w:p w14:paraId="0ADCF6F3" w14:textId="77777777" w:rsidR="002754BE" w:rsidRPr="00AC49B0" w:rsidRDefault="002754BE" w:rsidP="002754BE">
      <w:pPr>
        <w:rPr>
          <w:b/>
          <w:sz w:val="22"/>
          <w:szCs w:val="22"/>
        </w:rPr>
      </w:pPr>
      <w:r w:rsidRPr="00AC49B0">
        <w:rPr>
          <w:sz w:val="22"/>
          <w:szCs w:val="22"/>
        </w:rPr>
        <w:t xml:space="preserve">This article provides an insight into how findings from an evaluation of a Hospital Care Transfer Pathway, can be operationalised, with the intention of improving information for staff in nursing and residential care home settings. The article provides information of the evaluation, detailing the RE-AIM methodology that was implemented. The findings of the evaluation revealed the ongoing need for effective communication pathways between residential care setting staff and their counterparts in transfer pathways and the pivotal role of reflection and reflexivity on practice for all healthcare staff.  The article incorporates a series of recommendations at its conclusion, that it is hoped can be pragmatically integrated by staff working in nursing and residential care settings. </w:t>
      </w:r>
    </w:p>
    <w:p w14:paraId="59FA80C6" w14:textId="77777777" w:rsidR="00F74C9E" w:rsidRPr="00AC49B0" w:rsidRDefault="00F74C9E" w:rsidP="00F74C9E">
      <w:pPr>
        <w:rPr>
          <w:sz w:val="22"/>
          <w:szCs w:val="22"/>
        </w:rPr>
      </w:pPr>
    </w:p>
    <w:p w14:paraId="7A2B041E" w14:textId="77777777" w:rsidR="00F74C9E" w:rsidRPr="00AC49B0" w:rsidRDefault="00F74C9E" w:rsidP="00F74C9E">
      <w:pPr>
        <w:rPr>
          <w:b/>
          <w:sz w:val="22"/>
          <w:szCs w:val="22"/>
        </w:rPr>
      </w:pPr>
      <w:r w:rsidRPr="00AC49B0">
        <w:rPr>
          <w:b/>
          <w:sz w:val="22"/>
          <w:szCs w:val="22"/>
        </w:rPr>
        <w:t>Keywords:</w:t>
      </w:r>
    </w:p>
    <w:p w14:paraId="5F49EB15" w14:textId="77777777" w:rsidR="00F74C9E" w:rsidRPr="00AC49B0" w:rsidRDefault="00F74C9E" w:rsidP="00F74C9E">
      <w:pPr>
        <w:rPr>
          <w:sz w:val="22"/>
          <w:szCs w:val="22"/>
        </w:rPr>
      </w:pPr>
      <w:r w:rsidRPr="00AC49B0">
        <w:rPr>
          <w:sz w:val="22"/>
          <w:szCs w:val="22"/>
        </w:rPr>
        <w:t>Hospital Transfer Pathway; Red Bag; Care Homes; RE-AIM; Evaluation</w:t>
      </w:r>
      <w:r w:rsidR="00127392" w:rsidRPr="00AC49B0">
        <w:rPr>
          <w:sz w:val="22"/>
          <w:szCs w:val="22"/>
        </w:rPr>
        <w:t>; Multi-disciplinar</w:t>
      </w:r>
      <w:r w:rsidR="002754BE" w:rsidRPr="00AC49B0">
        <w:rPr>
          <w:sz w:val="22"/>
          <w:szCs w:val="22"/>
        </w:rPr>
        <w:t>y healthcare practice</w:t>
      </w:r>
    </w:p>
    <w:p w14:paraId="31CC6BF5" w14:textId="77777777" w:rsidR="00AD7405" w:rsidRPr="00AC49B0" w:rsidRDefault="00AD7405" w:rsidP="008B6D6C">
      <w:pPr>
        <w:rPr>
          <w:sz w:val="22"/>
          <w:szCs w:val="22"/>
        </w:rPr>
      </w:pPr>
    </w:p>
    <w:p w14:paraId="0A565BFE" w14:textId="77777777" w:rsidR="001E6C47" w:rsidRPr="00AC49B0" w:rsidRDefault="001E6C47" w:rsidP="008B6D6C">
      <w:pPr>
        <w:rPr>
          <w:sz w:val="22"/>
          <w:szCs w:val="22"/>
        </w:rPr>
      </w:pPr>
    </w:p>
    <w:p w14:paraId="2E13C56A" w14:textId="77777777" w:rsidR="00923234" w:rsidRPr="00AC49B0" w:rsidRDefault="0099284A" w:rsidP="0099284A">
      <w:pPr>
        <w:pStyle w:val="Heading2"/>
        <w:spacing w:line="240" w:lineRule="auto"/>
        <w:jc w:val="both"/>
        <w:rPr>
          <w:rFonts w:ascii="Arial" w:hAnsi="Arial" w:cs="Arial"/>
          <w:b/>
          <w:color w:val="auto"/>
          <w:sz w:val="22"/>
          <w:szCs w:val="22"/>
        </w:rPr>
      </w:pPr>
      <w:r w:rsidRPr="00AC49B0">
        <w:rPr>
          <w:rFonts w:ascii="Arial" w:hAnsi="Arial" w:cs="Arial"/>
          <w:b/>
          <w:color w:val="auto"/>
          <w:sz w:val="22"/>
          <w:szCs w:val="22"/>
        </w:rPr>
        <w:t>Introduc</w:t>
      </w:r>
      <w:r w:rsidR="00923234" w:rsidRPr="00AC49B0">
        <w:rPr>
          <w:rFonts w:ascii="Arial" w:hAnsi="Arial" w:cs="Arial"/>
          <w:b/>
          <w:color w:val="auto"/>
          <w:sz w:val="22"/>
          <w:szCs w:val="22"/>
        </w:rPr>
        <w:t>tion</w:t>
      </w:r>
    </w:p>
    <w:p w14:paraId="47893871" w14:textId="77777777" w:rsidR="002C5616" w:rsidRPr="00AC49B0" w:rsidRDefault="00AD7405" w:rsidP="002C5616">
      <w:pPr>
        <w:spacing w:line="276" w:lineRule="auto"/>
        <w:jc w:val="both"/>
        <w:rPr>
          <w:sz w:val="22"/>
          <w:szCs w:val="22"/>
        </w:rPr>
      </w:pPr>
      <w:r w:rsidRPr="00AC49B0">
        <w:rPr>
          <w:sz w:val="22"/>
          <w:szCs w:val="22"/>
        </w:rPr>
        <w:t xml:space="preserve">This article reports on specific findings of a wider formal </w:t>
      </w:r>
      <w:r w:rsidR="008B6D6C" w:rsidRPr="00AC49B0">
        <w:rPr>
          <w:sz w:val="22"/>
          <w:szCs w:val="22"/>
        </w:rPr>
        <w:t xml:space="preserve">evaluation </w:t>
      </w:r>
      <w:r w:rsidRPr="00AC49B0">
        <w:rPr>
          <w:sz w:val="22"/>
          <w:szCs w:val="22"/>
        </w:rPr>
        <w:t xml:space="preserve">undertaken across </w:t>
      </w:r>
      <w:r w:rsidR="00101CDD" w:rsidRPr="00AC49B0">
        <w:rPr>
          <w:sz w:val="22"/>
          <w:szCs w:val="22"/>
        </w:rPr>
        <w:t>the</w:t>
      </w:r>
      <w:r w:rsidR="008B6D6C" w:rsidRPr="00AC49B0">
        <w:rPr>
          <w:sz w:val="22"/>
          <w:szCs w:val="22"/>
        </w:rPr>
        <w:t xml:space="preserve"> North East and </w:t>
      </w:r>
      <w:r w:rsidR="000B6C4B" w:rsidRPr="00AC49B0">
        <w:rPr>
          <w:sz w:val="22"/>
          <w:szCs w:val="22"/>
        </w:rPr>
        <w:t xml:space="preserve">North </w:t>
      </w:r>
      <w:r w:rsidR="008B6D6C" w:rsidRPr="00AC49B0">
        <w:rPr>
          <w:sz w:val="22"/>
          <w:szCs w:val="22"/>
        </w:rPr>
        <w:t>Cumbria</w:t>
      </w:r>
      <w:r w:rsidR="008A1609" w:rsidRPr="00AC49B0">
        <w:rPr>
          <w:sz w:val="22"/>
          <w:szCs w:val="22"/>
        </w:rPr>
        <w:t xml:space="preserve"> STP</w:t>
      </w:r>
      <w:r w:rsidR="008B6D6C" w:rsidRPr="00AC49B0">
        <w:rPr>
          <w:sz w:val="22"/>
          <w:szCs w:val="22"/>
        </w:rPr>
        <w:t>,</w:t>
      </w:r>
      <w:r w:rsidR="002F7254" w:rsidRPr="00AC49B0">
        <w:rPr>
          <w:sz w:val="22"/>
          <w:szCs w:val="22"/>
        </w:rPr>
        <w:t xml:space="preserve"> </w:t>
      </w:r>
      <w:r w:rsidR="0099284A" w:rsidRPr="00AC49B0">
        <w:rPr>
          <w:sz w:val="22"/>
          <w:szCs w:val="22"/>
        </w:rPr>
        <w:t>focused on enabling an</w:t>
      </w:r>
      <w:r w:rsidR="002F7254" w:rsidRPr="00AC49B0">
        <w:rPr>
          <w:sz w:val="22"/>
          <w:szCs w:val="22"/>
        </w:rPr>
        <w:t xml:space="preserve"> </w:t>
      </w:r>
      <w:r w:rsidR="003F78E2" w:rsidRPr="00AC49B0">
        <w:rPr>
          <w:sz w:val="22"/>
          <w:szCs w:val="22"/>
        </w:rPr>
        <w:t xml:space="preserve">understanding </w:t>
      </w:r>
      <w:r w:rsidR="008A1609" w:rsidRPr="00AC49B0">
        <w:rPr>
          <w:sz w:val="22"/>
          <w:szCs w:val="22"/>
        </w:rPr>
        <w:t>of</w:t>
      </w:r>
      <w:r w:rsidR="0099284A" w:rsidRPr="00AC49B0">
        <w:rPr>
          <w:sz w:val="22"/>
          <w:szCs w:val="22"/>
        </w:rPr>
        <w:t xml:space="preserve"> the</w:t>
      </w:r>
      <w:r w:rsidR="008A1609" w:rsidRPr="00AC49B0">
        <w:rPr>
          <w:sz w:val="22"/>
          <w:szCs w:val="22"/>
        </w:rPr>
        <w:t xml:space="preserve"> </w:t>
      </w:r>
      <w:r w:rsidR="008B6D6C" w:rsidRPr="00AC49B0">
        <w:rPr>
          <w:sz w:val="22"/>
          <w:szCs w:val="22"/>
        </w:rPr>
        <w:t>adoption and implementation</w:t>
      </w:r>
      <w:r w:rsidR="00101CDD" w:rsidRPr="00AC49B0">
        <w:rPr>
          <w:sz w:val="22"/>
          <w:szCs w:val="22"/>
        </w:rPr>
        <w:t xml:space="preserve"> processes of a multi-centred and multi-disciplinary Hospital Transfer Pathway</w:t>
      </w:r>
      <w:r w:rsidR="008A1609" w:rsidRPr="00AC49B0">
        <w:rPr>
          <w:sz w:val="22"/>
          <w:szCs w:val="22"/>
        </w:rPr>
        <w:t xml:space="preserve"> (HTP)</w:t>
      </w:r>
      <w:r w:rsidR="00101CDD" w:rsidRPr="00AC49B0">
        <w:rPr>
          <w:sz w:val="22"/>
          <w:szCs w:val="22"/>
        </w:rPr>
        <w:t xml:space="preserve"> known as the </w:t>
      </w:r>
      <w:r w:rsidR="002F7254" w:rsidRPr="00AC49B0">
        <w:rPr>
          <w:sz w:val="22"/>
          <w:szCs w:val="22"/>
        </w:rPr>
        <w:t>‘</w:t>
      </w:r>
      <w:r w:rsidR="00E428FD" w:rsidRPr="00AC49B0">
        <w:rPr>
          <w:sz w:val="22"/>
          <w:szCs w:val="22"/>
        </w:rPr>
        <w:t>Red Bag</w:t>
      </w:r>
      <w:r w:rsidR="002F7254" w:rsidRPr="00AC49B0">
        <w:rPr>
          <w:sz w:val="22"/>
          <w:szCs w:val="22"/>
        </w:rPr>
        <w:t>’</w:t>
      </w:r>
      <w:r w:rsidR="00101CDD" w:rsidRPr="00AC49B0">
        <w:rPr>
          <w:sz w:val="22"/>
          <w:szCs w:val="22"/>
        </w:rPr>
        <w:t>.</w:t>
      </w:r>
      <w:r w:rsidR="0099284A" w:rsidRPr="00AC49B0">
        <w:rPr>
          <w:sz w:val="22"/>
          <w:szCs w:val="22"/>
        </w:rPr>
        <w:t xml:space="preserve"> Ideally, and i</w:t>
      </w:r>
      <w:r w:rsidR="002C5616" w:rsidRPr="00AC49B0">
        <w:rPr>
          <w:sz w:val="22"/>
          <w:szCs w:val="22"/>
        </w:rPr>
        <w:t xml:space="preserve">n accordance with the originally implemented scheme, </w:t>
      </w:r>
      <w:r w:rsidRPr="00AC49B0">
        <w:rPr>
          <w:sz w:val="22"/>
          <w:szCs w:val="22"/>
        </w:rPr>
        <w:t>the</w:t>
      </w:r>
      <w:r w:rsidR="002C5616" w:rsidRPr="00AC49B0">
        <w:rPr>
          <w:sz w:val="22"/>
          <w:szCs w:val="22"/>
        </w:rPr>
        <w:t xml:space="preserve"> Red Bag ought to contain standardised information about the</w:t>
      </w:r>
      <w:r w:rsidR="0099284A" w:rsidRPr="00AC49B0">
        <w:rPr>
          <w:sz w:val="22"/>
          <w:szCs w:val="22"/>
        </w:rPr>
        <w:t xml:space="preserve"> </w:t>
      </w:r>
      <w:r w:rsidR="0099284A" w:rsidRPr="00AC49B0">
        <w:rPr>
          <w:sz w:val="22"/>
          <w:szCs w:val="22"/>
        </w:rPr>
        <w:lastRenderedPageBreak/>
        <w:t>nursing and residential care home</w:t>
      </w:r>
      <w:r w:rsidR="002C5616" w:rsidRPr="00AC49B0">
        <w:rPr>
          <w:sz w:val="22"/>
          <w:szCs w:val="22"/>
        </w:rPr>
        <w:t xml:space="preserve"> resident's general health, any existing medical conditions they have, medication they are taking, as well as highlighting the current health concern</w:t>
      </w:r>
      <w:r w:rsidR="0099284A" w:rsidRPr="00AC49B0">
        <w:rPr>
          <w:sz w:val="22"/>
          <w:szCs w:val="22"/>
        </w:rPr>
        <w:t xml:space="preserve"> which necessitates a hospital visit</w:t>
      </w:r>
      <w:r w:rsidR="002C5616" w:rsidRPr="00AC49B0">
        <w:rPr>
          <w:sz w:val="22"/>
          <w:szCs w:val="22"/>
        </w:rPr>
        <w:t>.</w:t>
      </w:r>
      <w:r w:rsidR="0099284A" w:rsidRPr="00AC49B0">
        <w:rPr>
          <w:sz w:val="22"/>
          <w:szCs w:val="22"/>
        </w:rPr>
        <w:t xml:space="preserve"> The bag also has room for personal belongings (such as clothes for day of discharge, glasses, hearing aid, dentures etc.) and it ought to stay with the patient whilst they are in hospital. When patients are ready to go home, a copy of their discharge summary (which details every aspect of the care they received in hospital) ought to be placed in the red bag so that care home staff have access to this important information when their residents' arrive back home. The approach to hospital transfer facilitates and enables front line </w:t>
      </w:r>
      <w:r w:rsidR="002C5616" w:rsidRPr="00AC49B0">
        <w:rPr>
          <w:sz w:val="22"/>
          <w:szCs w:val="22"/>
        </w:rPr>
        <w:t xml:space="preserve">ambulance </w:t>
      </w:r>
      <w:r w:rsidR="0099284A" w:rsidRPr="00AC49B0">
        <w:rPr>
          <w:sz w:val="22"/>
          <w:szCs w:val="22"/>
        </w:rPr>
        <w:t>workers</w:t>
      </w:r>
      <w:r w:rsidR="002C5616" w:rsidRPr="00AC49B0">
        <w:rPr>
          <w:sz w:val="22"/>
          <w:szCs w:val="22"/>
        </w:rPr>
        <w:t xml:space="preserve"> </w:t>
      </w:r>
      <w:r w:rsidR="0099284A" w:rsidRPr="00AC49B0">
        <w:rPr>
          <w:sz w:val="22"/>
          <w:szCs w:val="22"/>
        </w:rPr>
        <w:t xml:space="preserve">to optimally manage the needs of residents in a timely manner. It is worth noting that these are often older vulnerable patients who may have a condition which impacts on their cognitive capacity to articulate their specific needs or who may be physically too ill to be able to communicate with those caring for them.  .  </w:t>
      </w:r>
    </w:p>
    <w:p w14:paraId="76472515" w14:textId="77777777" w:rsidR="002C5616" w:rsidRPr="00AC49B0" w:rsidRDefault="002C5616" w:rsidP="002C5616">
      <w:pPr>
        <w:spacing w:line="276" w:lineRule="auto"/>
        <w:jc w:val="both"/>
        <w:rPr>
          <w:sz w:val="22"/>
          <w:szCs w:val="22"/>
        </w:rPr>
      </w:pPr>
      <w:r w:rsidRPr="00AC49B0">
        <w:rPr>
          <w:sz w:val="22"/>
          <w:szCs w:val="22"/>
        </w:rPr>
        <w:t>The Red Bag also clearly identifies a patient as being a care home resident</w:t>
      </w:r>
      <w:r w:rsidR="00C633C7" w:rsidRPr="00AC49B0">
        <w:rPr>
          <w:sz w:val="22"/>
          <w:szCs w:val="22"/>
        </w:rPr>
        <w:t>, which potentially</w:t>
      </w:r>
      <w:r w:rsidRPr="00AC49B0">
        <w:rPr>
          <w:sz w:val="22"/>
          <w:szCs w:val="22"/>
        </w:rPr>
        <w:t xml:space="preserve"> means that it may be possible for the patient to be discharged</w:t>
      </w:r>
      <w:r w:rsidR="00C633C7" w:rsidRPr="00AC49B0">
        <w:rPr>
          <w:sz w:val="22"/>
          <w:szCs w:val="22"/>
        </w:rPr>
        <w:t xml:space="preserve"> from hospital more quickly. This is possible since the care home staff can then be engaged in discussions with hospital </w:t>
      </w:r>
      <w:r w:rsidR="00F74C9E" w:rsidRPr="00AC49B0">
        <w:rPr>
          <w:sz w:val="22"/>
          <w:szCs w:val="22"/>
        </w:rPr>
        <w:t>staff so</w:t>
      </w:r>
      <w:r w:rsidRPr="00AC49B0">
        <w:rPr>
          <w:sz w:val="22"/>
          <w:szCs w:val="22"/>
        </w:rPr>
        <w:t xml:space="preserve"> </w:t>
      </w:r>
      <w:r w:rsidR="00C633C7" w:rsidRPr="00AC49B0">
        <w:rPr>
          <w:sz w:val="22"/>
          <w:szCs w:val="22"/>
        </w:rPr>
        <w:t>that a clear mechanism of continuing</w:t>
      </w:r>
      <w:r w:rsidRPr="00AC49B0">
        <w:rPr>
          <w:sz w:val="22"/>
          <w:szCs w:val="22"/>
        </w:rPr>
        <w:t xml:space="preserve"> support </w:t>
      </w:r>
      <w:r w:rsidR="00C633C7" w:rsidRPr="00AC49B0">
        <w:rPr>
          <w:sz w:val="22"/>
          <w:szCs w:val="22"/>
        </w:rPr>
        <w:t xml:space="preserve">for </w:t>
      </w:r>
      <w:r w:rsidRPr="00AC49B0">
        <w:rPr>
          <w:sz w:val="22"/>
          <w:szCs w:val="22"/>
        </w:rPr>
        <w:t>the resident when they are discharged</w:t>
      </w:r>
      <w:r w:rsidR="00C633C7" w:rsidRPr="00AC49B0">
        <w:rPr>
          <w:sz w:val="22"/>
          <w:szCs w:val="22"/>
        </w:rPr>
        <w:t xml:space="preserve"> can be operationalised.</w:t>
      </w:r>
    </w:p>
    <w:p w14:paraId="22669543" w14:textId="77777777" w:rsidR="008B6D6C" w:rsidRPr="00AC49B0" w:rsidRDefault="00923234" w:rsidP="006021A4">
      <w:pPr>
        <w:spacing w:line="276" w:lineRule="auto"/>
        <w:jc w:val="both"/>
        <w:rPr>
          <w:sz w:val="22"/>
          <w:szCs w:val="22"/>
        </w:rPr>
      </w:pPr>
      <w:r w:rsidRPr="00AC49B0">
        <w:rPr>
          <w:sz w:val="22"/>
          <w:szCs w:val="22"/>
        </w:rPr>
        <w:t xml:space="preserve">A methodological framework called RE-AIM enabled the data analysis to be guided by principles which made it possible to examine the specific impact of an intervention – in this instance the Red Bag. The evaluation revealed both </w:t>
      </w:r>
      <w:r w:rsidR="004035B9" w:rsidRPr="00AC49B0">
        <w:rPr>
          <w:sz w:val="22"/>
          <w:szCs w:val="22"/>
        </w:rPr>
        <w:t>lesso</w:t>
      </w:r>
      <w:r w:rsidR="00FB6E4D" w:rsidRPr="00AC49B0">
        <w:rPr>
          <w:sz w:val="22"/>
          <w:szCs w:val="22"/>
        </w:rPr>
        <w:t>ns learnt and examples of best practice</w:t>
      </w:r>
      <w:r w:rsidR="001B1E2B" w:rsidRPr="00AC49B0">
        <w:rPr>
          <w:sz w:val="22"/>
          <w:szCs w:val="22"/>
        </w:rPr>
        <w:t>,</w:t>
      </w:r>
      <w:r w:rsidR="00101CDD" w:rsidRPr="00AC49B0">
        <w:rPr>
          <w:sz w:val="22"/>
          <w:szCs w:val="22"/>
        </w:rPr>
        <w:t xml:space="preserve"> all of</w:t>
      </w:r>
      <w:r w:rsidR="00FB6E4D" w:rsidRPr="00AC49B0">
        <w:rPr>
          <w:sz w:val="22"/>
          <w:szCs w:val="22"/>
        </w:rPr>
        <w:t xml:space="preserve"> which </w:t>
      </w:r>
      <w:r w:rsidR="00101CDD" w:rsidRPr="00AC49B0">
        <w:rPr>
          <w:sz w:val="22"/>
          <w:szCs w:val="22"/>
        </w:rPr>
        <w:t>have the potential to</w:t>
      </w:r>
      <w:r w:rsidR="00FB6E4D" w:rsidRPr="00AC49B0">
        <w:rPr>
          <w:sz w:val="22"/>
          <w:szCs w:val="22"/>
        </w:rPr>
        <w:t xml:space="preserve"> be</w:t>
      </w:r>
      <w:r w:rsidR="001B1E2B" w:rsidRPr="00AC49B0">
        <w:rPr>
          <w:sz w:val="22"/>
          <w:szCs w:val="22"/>
        </w:rPr>
        <w:t xml:space="preserve"> further</w:t>
      </w:r>
      <w:r w:rsidR="00FB6E4D" w:rsidRPr="00AC49B0">
        <w:rPr>
          <w:sz w:val="22"/>
          <w:szCs w:val="22"/>
        </w:rPr>
        <w:t xml:space="preserve"> shared and disseminated</w:t>
      </w:r>
      <w:r w:rsidR="00E902BA" w:rsidRPr="00AC49B0">
        <w:rPr>
          <w:sz w:val="22"/>
          <w:szCs w:val="22"/>
        </w:rPr>
        <w:t xml:space="preserve"> as part of improving patient care in the context of interprofessional healthcare working</w:t>
      </w:r>
      <w:r w:rsidR="00FB6E4D" w:rsidRPr="00AC49B0">
        <w:rPr>
          <w:sz w:val="22"/>
          <w:szCs w:val="22"/>
        </w:rPr>
        <w:t>.</w:t>
      </w:r>
    </w:p>
    <w:p w14:paraId="5478DDEA" w14:textId="77777777" w:rsidR="009826D5" w:rsidRPr="00AC49B0" w:rsidRDefault="00923234" w:rsidP="00E902BA">
      <w:pPr>
        <w:pStyle w:val="Heading2"/>
        <w:spacing w:before="0" w:line="276" w:lineRule="auto"/>
        <w:jc w:val="both"/>
        <w:rPr>
          <w:rFonts w:ascii="Arial" w:hAnsi="Arial" w:cs="Arial"/>
          <w:b/>
          <w:color w:val="auto"/>
          <w:sz w:val="22"/>
          <w:szCs w:val="22"/>
        </w:rPr>
      </w:pPr>
      <w:r w:rsidRPr="00AC49B0">
        <w:rPr>
          <w:rFonts w:ascii="Arial" w:hAnsi="Arial" w:cs="Arial"/>
          <w:b/>
          <w:color w:val="auto"/>
          <w:sz w:val="22"/>
          <w:szCs w:val="22"/>
        </w:rPr>
        <w:t>Strategic and Operational Background to the Red Bag Hospital Transfer Pathway</w:t>
      </w:r>
    </w:p>
    <w:p w14:paraId="3BE64B26" w14:textId="77777777" w:rsidR="00F66E82" w:rsidRPr="00AC49B0" w:rsidRDefault="000F7C7E" w:rsidP="00E902BA">
      <w:pPr>
        <w:spacing w:line="276" w:lineRule="auto"/>
        <w:jc w:val="both"/>
        <w:rPr>
          <w:sz w:val="22"/>
          <w:szCs w:val="22"/>
        </w:rPr>
      </w:pPr>
      <w:r w:rsidRPr="00AC49B0">
        <w:rPr>
          <w:sz w:val="22"/>
          <w:szCs w:val="22"/>
        </w:rPr>
        <w:t>In 2015, the National Institute for Health and Care Excellence</w:t>
      </w:r>
      <w:r w:rsidR="008A1609" w:rsidRPr="00AC49B0">
        <w:rPr>
          <w:sz w:val="22"/>
          <w:szCs w:val="22"/>
        </w:rPr>
        <w:t xml:space="preserve"> (NICE)</w:t>
      </w:r>
      <w:r w:rsidRPr="00AC49B0">
        <w:rPr>
          <w:sz w:val="22"/>
          <w:szCs w:val="22"/>
        </w:rPr>
        <w:t xml:space="preserve"> introduced guidance on the transfer of p</w:t>
      </w:r>
      <w:r w:rsidR="002742EF" w:rsidRPr="00AC49B0">
        <w:rPr>
          <w:sz w:val="22"/>
          <w:szCs w:val="22"/>
        </w:rPr>
        <w:t>atients with social care needs</w:t>
      </w:r>
      <w:r w:rsidRPr="00AC49B0">
        <w:rPr>
          <w:sz w:val="22"/>
          <w:szCs w:val="22"/>
        </w:rPr>
        <w:t xml:space="preserve"> from</w:t>
      </w:r>
      <w:r w:rsidR="001B1E2B" w:rsidRPr="00AC49B0">
        <w:rPr>
          <w:sz w:val="22"/>
          <w:szCs w:val="22"/>
        </w:rPr>
        <w:t xml:space="preserve"> </w:t>
      </w:r>
      <w:r w:rsidRPr="00AC49B0">
        <w:rPr>
          <w:sz w:val="22"/>
          <w:szCs w:val="22"/>
        </w:rPr>
        <w:t>care homes</w:t>
      </w:r>
      <w:r w:rsidR="002742EF" w:rsidRPr="00AC49B0">
        <w:rPr>
          <w:sz w:val="22"/>
          <w:szCs w:val="22"/>
        </w:rPr>
        <w:t xml:space="preserve"> and community settings to hospital</w:t>
      </w:r>
      <w:r w:rsidR="00573BDF" w:rsidRPr="00AC49B0">
        <w:rPr>
          <w:sz w:val="22"/>
          <w:szCs w:val="22"/>
        </w:rPr>
        <w:t xml:space="preserve"> </w:t>
      </w:r>
      <w:r w:rsidR="00573BDF" w:rsidRPr="00AC49B0">
        <w:rPr>
          <w:sz w:val="22"/>
          <w:szCs w:val="22"/>
        </w:rPr>
        <w:fldChar w:fldCharType="begin"/>
      </w:r>
      <w:r w:rsidR="00573BDF" w:rsidRPr="00AC49B0">
        <w:rPr>
          <w:sz w:val="22"/>
          <w:szCs w:val="22"/>
        </w:rPr>
        <w:instrText xml:space="preserve"> ADDIN EN.CITE &lt;EndNote&gt;&lt;Cite&gt;&lt;Author&gt;National Institute for Health and Care Excellence&lt;/Author&gt;&lt;Year&gt;2015&lt;/Year&gt;&lt;RecNum&gt;2627&lt;/RecNum&gt;&lt;DisplayText&gt;(1)&lt;/DisplayText&gt;&lt;record&gt;&lt;rec-number&gt;2627&lt;/rec-number&gt;&lt;foreign-keys&gt;&lt;key app="EN" db-id="saz9raftmsa2dbex2x05fvaas25vwxpdpe5s" timestamp="1557506460"&gt;2627&lt;/key&gt;&lt;/foreign-keys&gt;&lt;ref-type name="Government Document"&gt;46&lt;/ref-type&gt;&lt;contributors&gt;&lt;authors&gt;&lt;author&gt;National Institute for Health and Care Excellence,&lt;/author&gt;&lt;/authors&gt;&lt;/contributors&gt;&lt;titles&gt;&lt;title&gt;Transition between inpatient hospital settings and community or care home settings for adults with social care needs&lt;/title&gt;&lt;/titles&gt;&lt;dates&gt;&lt;year&gt;2015&lt;/year&gt;&lt;/dates&gt;&lt;pub-location&gt;London&lt;/pub-location&gt;&lt;publisher&gt;National Institute of Health and Care Excellence&lt;/publisher&gt;&lt;isbn&gt;NG27&lt;/isbn&gt;&lt;urls&gt;&lt;/urls&gt;&lt;/record&gt;&lt;/Cite&gt;&lt;/EndNote&gt;</w:instrText>
      </w:r>
      <w:r w:rsidR="00573BDF" w:rsidRPr="00AC49B0">
        <w:rPr>
          <w:sz w:val="22"/>
          <w:szCs w:val="22"/>
        </w:rPr>
        <w:fldChar w:fldCharType="separate"/>
      </w:r>
      <w:r w:rsidR="00573BDF" w:rsidRPr="00AC49B0">
        <w:rPr>
          <w:noProof/>
          <w:sz w:val="22"/>
          <w:szCs w:val="22"/>
        </w:rPr>
        <w:t>(</w:t>
      </w:r>
      <w:r w:rsidR="00747094" w:rsidRPr="00AC49B0">
        <w:rPr>
          <w:noProof/>
          <w:sz w:val="22"/>
          <w:szCs w:val="22"/>
        </w:rPr>
        <w:t>National Institute for Health and Care Excellence, 2015</w:t>
      </w:r>
      <w:r w:rsidR="00573BDF" w:rsidRPr="00AC49B0">
        <w:rPr>
          <w:noProof/>
          <w:sz w:val="22"/>
          <w:szCs w:val="22"/>
        </w:rPr>
        <w:t>)</w:t>
      </w:r>
      <w:r w:rsidR="00573BDF" w:rsidRPr="00AC49B0">
        <w:rPr>
          <w:sz w:val="22"/>
          <w:szCs w:val="22"/>
        </w:rPr>
        <w:fldChar w:fldCharType="end"/>
      </w:r>
      <w:r w:rsidR="00573BDF" w:rsidRPr="00AC49B0">
        <w:rPr>
          <w:sz w:val="22"/>
          <w:szCs w:val="22"/>
        </w:rPr>
        <w:t xml:space="preserve">. </w:t>
      </w:r>
      <w:r w:rsidR="001B1E2B" w:rsidRPr="00AC49B0">
        <w:rPr>
          <w:sz w:val="22"/>
          <w:szCs w:val="22"/>
        </w:rPr>
        <w:t xml:space="preserve">The </w:t>
      </w:r>
      <w:r w:rsidR="00101CDD" w:rsidRPr="00AC49B0">
        <w:rPr>
          <w:sz w:val="22"/>
          <w:szCs w:val="22"/>
        </w:rPr>
        <w:t>HTP</w:t>
      </w:r>
      <w:r w:rsidR="00F66E82" w:rsidRPr="00AC49B0">
        <w:rPr>
          <w:sz w:val="22"/>
          <w:szCs w:val="22"/>
        </w:rPr>
        <w:t xml:space="preserve"> is designed to </w:t>
      </w:r>
      <w:r w:rsidR="001B1E2B" w:rsidRPr="00AC49B0">
        <w:rPr>
          <w:sz w:val="22"/>
          <w:szCs w:val="22"/>
        </w:rPr>
        <w:t xml:space="preserve">provide optimal </w:t>
      </w:r>
      <w:r w:rsidR="00F66E82" w:rsidRPr="00AC49B0">
        <w:rPr>
          <w:sz w:val="22"/>
          <w:szCs w:val="22"/>
        </w:rPr>
        <w:t xml:space="preserve">support </w:t>
      </w:r>
      <w:r w:rsidR="001B1E2B" w:rsidRPr="00AC49B0">
        <w:rPr>
          <w:sz w:val="22"/>
          <w:szCs w:val="22"/>
        </w:rPr>
        <w:t xml:space="preserve">to </w:t>
      </w:r>
      <w:r w:rsidR="00F66E82" w:rsidRPr="00AC49B0">
        <w:rPr>
          <w:sz w:val="22"/>
          <w:szCs w:val="22"/>
        </w:rPr>
        <w:t>care homes, ambulance services and local hospitals</w:t>
      </w:r>
      <w:r w:rsidR="00101CDD" w:rsidRPr="00AC49B0">
        <w:rPr>
          <w:sz w:val="22"/>
          <w:szCs w:val="22"/>
        </w:rPr>
        <w:t>,</w:t>
      </w:r>
      <w:r w:rsidR="00F66E82" w:rsidRPr="00AC49B0">
        <w:rPr>
          <w:sz w:val="22"/>
          <w:szCs w:val="22"/>
        </w:rPr>
        <w:t xml:space="preserve"> </w:t>
      </w:r>
      <w:r w:rsidR="001B1E2B" w:rsidRPr="00AC49B0">
        <w:rPr>
          <w:sz w:val="22"/>
          <w:szCs w:val="22"/>
        </w:rPr>
        <w:t xml:space="preserve">in </w:t>
      </w:r>
      <w:r w:rsidR="00F66E82" w:rsidRPr="00AC49B0">
        <w:rPr>
          <w:sz w:val="22"/>
          <w:szCs w:val="22"/>
        </w:rPr>
        <w:t>meet</w:t>
      </w:r>
      <w:r w:rsidR="001B1E2B" w:rsidRPr="00AC49B0">
        <w:rPr>
          <w:sz w:val="22"/>
          <w:szCs w:val="22"/>
        </w:rPr>
        <w:t>ing</w:t>
      </w:r>
      <w:r w:rsidR="00F66E82" w:rsidRPr="00AC49B0">
        <w:rPr>
          <w:sz w:val="22"/>
          <w:szCs w:val="22"/>
        </w:rPr>
        <w:t xml:space="preserve"> the recommendations of the NICE guideline NG27 ‘Transition between inpatient hospital settings and community or care homes’. </w:t>
      </w:r>
    </w:p>
    <w:p w14:paraId="0CDDD549" w14:textId="77777777" w:rsidR="00F66E82" w:rsidRPr="00AC49B0" w:rsidRDefault="00F66E82" w:rsidP="006021A4">
      <w:pPr>
        <w:spacing w:line="276" w:lineRule="auto"/>
        <w:jc w:val="both"/>
        <w:rPr>
          <w:sz w:val="22"/>
          <w:szCs w:val="22"/>
        </w:rPr>
      </w:pPr>
      <w:r w:rsidRPr="00AC49B0">
        <w:rPr>
          <w:sz w:val="22"/>
          <w:szCs w:val="22"/>
        </w:rPr>
        <w:t xml:space="preserve">The </w:t>
      </w:r>
      <w:r w:rsidR="003F2837" w:rsidRPr="00AC49B0">
        <w:rPr>
          <w:sz w:val="22"/>
          <w:szCs w:val="22"/>
        </w:rPr>
        <w:t>H</w:t>
      </w:r>
      <w:r w:rsidR="00101CDD" w:rsidRPr="00AC49B0">
        <w:rPr>
          <w:sz w:val="22"/>
          <w:szCs w:val="22"/>
        </w:rPr>
        <w:t>TP</w:t>
      </w:r>
      <w:r w:rsidR="001B1E2B" w:rsidRPr="00AC49B0">
        <w:rPr>
          <w:sz w:val="22"/>
          <w:szCs w:val="22"/>
        </w:rPr>
        <w:t>,</w:t>
      </w:r>
      <w:r w:rsidR="003F2837" w:rsidRPr="00AC49B0">
        <w:rPr>
          <w:sz w:val="22"/>
          <w:szCs w:val="22"/>
        </w:rPr>
        <w:t xml:space="preserve"> which incorporated the </w:t>
      </w:r>
      <w:r w:rsidR="00E428FD" w:rsidRPr="00AC49B0">
        <w:rPr>
          <w:sz w:val="22"/>
          <w:szCs w:val="22"/>
        </w:rPr>
        <w:t>Red Bag</w:t>
      </w:r>
      <w:r w:rsidR="003F2837" w:rsidRPr="00AC49B0">
        <w:rPr>
          <w:sz w:val="22"/>
          <w:szCs w:val="22"/>
        </w:rPr>
        <w:t>, was</w:t>
      </w:r>
      <w:r w:rsidR="00101CDD" w:rsidRPr="00AC49B0">
        <w:rPr>
          <w:sz w:val="22"/>
          <w:szCs w:val="22"/>
        </w:rPr>
        <w:t xml:space="preserve"> initially</w:t>
      </w:r>
      <w:r w:rsidRPr="00AC49B0">
        <w:rPr>
          <w:sz w:val="22"/>
          <w:szCs w:val="22"/>
        </w:rPr>
        <w:t xml:space="preserve"> introduced by Sutton Clinical Commissioning Group in 2016 to improve the handover process between care homes and ambulance staff</w:t>
      </w:r>
      <w:r w:rsidR="00101CDD" w:rsidRPr="00AC49B0">
        <w:rPr>
          <w:sz w:val="22"/>
          <w:szCs w:val="22"/>
        </w:rPr>
        <w:t>,</w:t>
      </w:r>
      <w:r w:rsidRPr="00AC49B0">
        <w:rPr>
          <w:sz w:val="22"/>
          <w:szCs w:val="22"/>
        </w:rPr>
        <w:t xml:space="preserve"> when </w:t>
      </w:r>
      <w:r w:rsidR="00101CDD" w:rsidRPr="00AC49B0">
        <w:rPr>
          <w:sz w:val="22"/>
          <w:szCs w:val="22"/>
        </w:rPr>
        <w:t>residents were</w:t>
      </w:r>
      <w:r w:rsidRPr="00AC49B0">
        <w:rPr>
          <w:sz w:val="22"/>
          <w:szCs w:val="22"/>
        </w:rPr>
        <w:t xml:space="preserve"> admitted to hospital in Sutton. </w:t>
      </w:r>
      <w:r w:rsidR="001720E4" w:rsidRPr="00AC49B0">
        <w:rPr>
          <w:sz w:val="22"/>
          <w:szCs w:val="22"/>
        </w:rPr>
        <w:t xml:space="preserve">Specific aims of the HTP were to </w:t>
      </w:r>
      <w:r w:rsidRPr="00AC49B0">
        <w:rPr>
          <w:sz w:val="22"/>
          <w:szCs w:val="22"/>
        </w:rPr>
        <w:t>improve communication</w:t>
      </w:r>
      <w:r w:rsidR="001720E4" w:rsidRPr="00AC49B0">
        <w:rPr>
          <w:sz w:val="22"/>
          <w:szCs w:val="22"/>
        </w:rPr>
        <w:t xml:space="preserve"> between staff</w:t>
      </w:r>
      <w:r w:rsidRPr="00AC49B0">
        <w:rPr>
          <w:sz w:val="22"/>
          <w:szCs w:val="22"/>
        </w:rPr>
        <w:t xml:space="preserve"> and minimise</w:t>
      </w:r>
      <w:r w:rsidR="001720E4" w:rsidRPr="00AC49B0">
        <w:rPr>
          <w:sz w:val="22"/>
          <w:szCs w:val="22"/>
        </w:rPr>
        <w:t xml:space="preserve"> time</w:t>
      </w:r>
      <w:r w:rsidRPr="00AC49B0">
        <w:rPr>
          <w:sz w:val="22"/>
          <w:szCs w:val="22"/>
        </w:rPr>
        <w:t xml:space="preserve"> delays in </w:t>
      </w:r>
      <w:r w:rsidR="008A1609" w:rsidRPr="00AC49B0">
        <w:rPr>
          <w:sz w:val="22"/>
          <w:szCs w:val="22"/>
        </w:rPr>
        <w:t xml:space="preserve">patient </w:t>
      </w:r>
      <w:r w:rsidRPr="00AC49B0">
        <w:rPr>
          <w:sz w:val="22"/>
          <w:szCs w:val="22"/>
        </w:rPr>
        <w:t>transfers</w:t>
      </w:r>
      <w:r w:rsidR="001720E4" w:rsidRPr="00AC49B0">
        <w:rPr>
          <w:sz w:val="22"/>
          <w:szCs w:val="22"/>
        </w:rPr>
        <w:t xml:space="preserve">. This pertained to </w:t>
      </w:r>
      <w:r w:rsidRPr="00AC49B0">
        <w:rPr>
          <w:sz w:val="22"/>
          <w:szCs w:val="22"/>
        </w:rPr>
        <w:t>paperwork</w:t>
      </w:r>
      <w:r w:rsidR="001B1E2B" w:rsidRPr="00AC49B0">
        <w:rPr>
          <w:sz w:val="22"/>
          <w:szCs w:val="22"/>
        </w:rPr>
        <w:t xml:space="preserve"> </w:t>
      </w:r>
      <w:r w:rsidR="001720E4" w:rsidRPr="00AC49B0">
        <w:rPr>
          <w:sz w:val="22"/>
          <w:szCs w:val="22"/>
        </w:rPr>
        <w:t xml:space="preserve">collation, </w:t>
      </w:r>
      <w:r w:rsidR="008A1609" w:rsidRPr="00AC49B0">
        <w:rPr>
          <w:sz w:val="22"/>
          <w:szCs w:val="22"/>
        </w:rPr>
        <w:t xml:space="preserve">misplacement </w:t>
      </w:r>
      <w:r w:rsidR="002C5616" w:rsidRPr="00AC49B0">
        <w:rPr>
          <w:sz w:val="22"/>
          <w:szCs w:val="22"/>
        </w:rPr>
        <w:t>of or</w:t>
      </w:r>
      <w:r w:rsidR="001B1E2B" w:rsidRPr="00AC49B0">
        <w:rPr>
          <w:sz w:val="22"/>
          <w:szCs w:val="22"/>
        </w:rPr>
        <w:t xml:space="preserve"> </w:t>
      </w:r>
      <w:r w:rsidR="008A1609" w:rsidRPr="00AC49B0">
        <w:rPr>
          <w:sz w:val="22"/>
          <w:szCs w:val="22"/>
        </w:rPr>
        <w:t xml:space="preserve">a paucity </w:t>
      </w:r>
      <w:r w:rsidR="00F75502" w:rsidRPr="00AC49B0">
        <w:rPr>
          <w:sz w:val="22"/>
          <w:szCs w:val="22"/>
        </w:rPr>
        <w:t>of</w:t>
      </w:r>
      <w:r w:rsidRPr="00AC49B0">
        <w:rPr>
          <w:sz w:val="22"/>
          <w:szCs w:val="22"/>
        </w:rPr>
        <w:t xml:space="preserve"> personal belongings </w:t>
      </w:r>
      <w:r w:rsidR="008A1609" w:rsidRPr="00AC49B0">
        <w:rPr>
          <w:sz w:val="22"/>
          <w:szCs w:val="22"/>
        </w:rPr>
        <w:t xml:space="preserve">accompanying </w:t>
      </w:r>
      <w:r w:rsidRPr="00AC49B0">
        <w:rPr>
          <w:sz w:val="22"/>
          <w:szCs w:val="22"/>
        </w:rPr>
        <w:t>the resident</w:t>
      </w:r>
      <w:r w:rsidR="001720E4" w:rsidRPr="00AC49B0">
        <w:rPr>
          <w:sz w:val="22"/>
          <w:szCs w:val="22"/>
        </w:rPr>
        <w:t xml:space="preserve"> to hospital and </w:t>
      </w:r>
      <w:r w:rsidRPr="00AC49B0">
        <w:rPr>
          <w:sz w:val="22"/>
          <w:szCs w:val="22"/>
        </w:rPr>
        <w:t xml:space="preserve">medical teams </w:t>
      </w:r>
      <w:r w:rsidR="001720E4" w:rsidRPr="00AC49B0">
        <w:rPr>
          <w:sz w:val="22"/>
          <w:szCs w:val="22"/>
        </w:rPr>
        <w:t>being provided</w:t>
      </w:r>
      <w:r w:rsidR="001B1E2B" w:rsidRPr="00AC49B0">
        <w:rPr>
          <w:sz w:val="22"/>
          <w:szCs w:val="22"/>
        </w:rPr>
        <w:t xml:space="preserve"> </w:t>
      </w:r>
      <w:r w:rsidR="00F75502" w:rsidRPr="00AC49B0">
        <w:rPr>
          <w:sz w:val="22"/>
          <w:szCs w:val="22"/>
        </w:rPr>
        <w:t>only with</w:t>
      </w:r>
      <w:r w:rsidR="001720E4" w:rsidRPr="00AC49B0">
        <w:rPr>
          <w:sz w:val="22"/>
          <w:szCs w:val="22"/>
        </w:rPr>
        <w:t xml:space="preserve"> </w:t>
      </w:r>
      <w:r w:rsidR="001B1E2B" w:rsidRPr="00AC49B0">
        <w:rPr>
          <w:sz w:val="22"/>
          <w:szCs w:val="22"/>
        </w:rPr>
        <w:t>limited</w:t>
      </w:r>
      <w:r w:rsidRPr="00AC49B0">
        <w:rPr>
          <w:sz w:val="22"/>
          <w:szCs w:val="22"/>
        </w:rPr>
        <w:t xml:space="preserve"> baseline information </w:t>
      </w:r>
      <w:r w:rsidR="001B1E2B" w:rsidRPr="00AC49B0">
        <w:rPr>
          <w:sz w:val="22"/>
          <w:szCs w:val="22"/>
        </w:rPr>
        <w:t xml:space="preserve">of </w:t>
      </w:r>
      <w:r w:rsidR="008A1609" w:rsidRPr="00AC49B0">
        <w:rPr>
          <w:sz w:val="22"/>
          <w:szCs w:val="22"/>
        </w:rPr>
        <w:t xml:space="preserve">a </w:t>
      </w:r>
      <w:r w:rsidRPr="00AC49B0">
        <w:rPr>
          <w:sz w:val="22"/>
          <w:szCs w:val="22"/>
        </w:rPr>
        <w:t>residents’ health, medication, or specific needs</w:t>
      </w:r>
      <w:r w:rsidR="001720E4" w:rsidRPr="00AC49B0">
        <w:rPr>
          <w:sz w:val="22"/>
          <w:szCs w:val="22"/>
        </w:rPr>
        <w:t xml:space="preserve">. Together, these were recognised as having the potential to contribute to </w:t>
      </w:r>
      <w:r w:rsidR="001B1E2B" w:rsidRPr="00AC49B0">
        <w:rPr>
          <w:sz w:val="22"/>
          <w:szCs w:val="22"/>
        </w:rPr>
        <w:t xml:space="preserve">avoidable </w:t>
      </w:r>
      <w:r w:rsidRPr="00AC49B0">
        <w:rPr>
          <w:sz w:val="22"/>
          <w:szCs w:val="22"/>
        </w:rPr>
        <w:t>delays and</w:t>
      </w:r>
      <w:r w:rsidR="001B1E2B" w:rsidRPr="00AC49B0">
        <w:rPr>
          <w:sz w:val="22"/>
          <w:szCs w:val="22"/>
        </w:rPr>
        <w:t xml:space="preserve"> a</w:t>
      </w:r>
      <w:r w:rsidRPr="00AC49B0">
        <w:rPr>
          <w:sz w:val="22"/>
          <w:szCs w:val="22"/>
        </w:rPr>
        <w:t xml:space="preserve"> lack of </w:t>
      </w:r>
      <w:r w:rsidR="001B1E2B" w:rsidRPr="00AC49B0">
        <w:rPr>
          <w:sz w:val="22"/>
          <w:szCs w:val="22"/>
        </w:rPr>
        <w:t xml:space="preserve">effective </w:t>
      </w:r>
      <w:r w:rsidRPr="00AC49B0">
        <w:rPr>
          <w:sz w:val="22"/>
          <w:szCs w:val="22"/>
        </w:rPr>
        <w:t xml:space="preserve">communication </w:t>
      </w:r>
      <w:r w:rsidRPr="00AC49B0">
        <w:rPr>
          <w:sz w:val="22"/>
          <w:szCs w:val="22"/>
        </w:rPr>
        <w:fldChar w:fldCharType="begin"/>
      </w:r>
      <w:r w:rsidR="00573BDF" w:rsidRPr="00AC49B0">
        <w:rPr>
          <w:sz w:val="22"/>
          <w:szCs w:val="22"/>
        </w:rPr>
        <w:instrText xml:space="preserve"> ADDIN EN.CITE &lt;EndNote&gt;&lt;Cite&gt;&lt;Author&gt;Sutton Clinical Commissioning Group&lt;/Author&gt;&lt;Year&gt;2016&lt;/Year&gt;&lt;RecNum&gt;2632&lt;/RecNum&gt;&lt;DisplayText&gt;(2)&lt;/DisplayText&gt;&lt;record&gt;&lt;rec-number&gt;2632&lt;/rec-number&gt;&lt;foreign-keys&gt;&lt;key app="EN" db-id="saz9raftmsa2dbex2x05fvaas25vwxpdpe5s" timestamp="1557506460"&gt;2632&lt;/key&gt;&lt;/foreign-keys&gt;&lt;ref-type name="Web Page"&gt;12&lt;/ref-type&gt;&lt;contributors&gt;&lt;authors&gt;&lt;author&gt;Sutton Clinical Commissioning Group,&lt;/author&gt;&lt;/authors&gt;&lt;/contributors&gt;&lt;titles&gt;&lt;title&gt;Shared learning database: Hospital Transfer Pathway (Red Bag Pathway)&lt;/title&gt;&lt;/titles&gt;&lt;dates&gt;&lt;year&gt;2016&lt;/year&gt;&lt;/dates&gt;&lt;pub-location&gt;London&lt;/pub-location&gt;&lt;publisher&gt;National Institute of Health and Care Excellence&lt;/publisher&gt;&lt;urls&gt;&lt;/urls&gt;&lt;/record&gt;&lt;/Cite&gt;&lt;/EndNote&gt;</w:instrText>
      </w:r>
      <w:r w:rsidRPr="00AC49B0">
        <w:rPr>
          <w:sz w:val="22"/>
          <w:szCs w:val="22"/>
        </w:rPr>
        <w:fldChar w:fldCharType="separate"/>
      </w:r>
      <w:r w:rsidR="00573BDF" w:rsidRPr="00AC49B0">
        <w:rPr>
          <w:noProof/>
          <w:sz w:val="22"/>
          <w:szCs w:val="22"/>
        </w:rPr>
        <w:t>(</w:t>
      </w:r>
      <w:r w:rsidR="00747094" w:rsidRPr="00AC49B0">
        <w:rPr>
          <w:noProof/>
          <w:sz w:val="22"/>
          <w:szCs w:val="22"/>
        </w:rPr>
        <w:t>Sutton Clinical Commissioning Group, 2016</w:t>
      </w:r>
      <w:r w:rsidR="00573BDF" w:rsidRPr="00AC49B0">
        <w:rPr>
          <w:noProof/>
          <w:sz w:val="22"/>
          <w:szCs w:val="22"/>
        </w:rPr>
        <w:t>)</w:t>
      </w:r>
      <w:r w:rsidRPr="00AC49B0">
        <w:rPr>
          <w:sz w:val="22"/>
          <w:szCs w:val="22"/>
        </w:rPr>
        <w:fldChar w:fldCharType="end"/>
      </w:r>
      <w:r w:rsidRPr="00AC49B0">
        <w:rPr>
          <w:sz w:val="22"/>
          <w:szCs w:val="22"/>
        </w:rPr>
        <w:t xml:space="preserve">. </w:t>
      </w:r>
    </w:p>
    <w:p w14:paraId="354C1B40" w14:textId="77777777" w:rsidR="00947FD1" w:rsidRPr="00AC49B0" w:rsidRDefault="001720E4" w:rsidP="006021A4">
      <w:pPr>
        <w:spacing w:line="276" w:lineRule="auto"/>
        <w:jc w:val="both"/>
        <w:rPr>
          <w:b/>
          <w:sz w:val="22"/>
          <w:szCs w:val="22"/>
        </w:rPr>
      </w:pPr>
      <w:r w:rsidRPr="00AC49B0">
        <w:rPr>
          <w:sz w:val="22"/>
          <w:szCs w:val="22"/>
        </w:rPr>
        <w:t>P</w:t>
      </w:r>
      <w:r w:rsidR="00194232" w:rsidRPr="00AC49B0">
        <w:rPr>
          <w:sz w:val="22"/>
          <w:szCs w:val="22"/>
        </w:rPr>
        <w:t>rinciples of the Hospital Transfer Pathway were</w:t>
      </w:r>
      <w:r w:rsidR="001B1E2B" w:rsidRPr="00AC49B0">
        <w:rPr>
          <w:sz w:val="22"/>
          <w:szCs w:val="22"/>
        </w:rPr>
        <w:t xml:space="preserve"> formally</w:t>
      </w:r>
      <w:r w:rsidR="00194232" w:rsidRPr="00AC49B0">
        <w:rPr>
          <w:sz w:val="22"/>
          <w:szCs w:val="22"/>
        </w:rPr>
        <w:t xml:space="preserve"> adopted by NHS England with a launch across localities in the North East and North Cumbria</w:t>
      </w:r>
      <w:r w:rsidR="00205A57" w:rsidRPr="00AC49B0">
        <w:rPr>
          <w:sz w:val="22"/>
          <w:szCs w:val="22"/>
        </w:rPr>
        <w:t xml:space="preserve"> in early 2018</w:t>
      </w:r>
      <w:r w:rsidRPr="00AC49B0">
        <w:rPr>
          <w:sz w:val="22"/>
          <w:szCs w:val="22"/>
        </w:rPr>
        <w:t xml:space="preserve"> characterised by mu</w:t>
      </w:r>
      <w:r w:rsidR="001B1E2B" w:rsidRPr="00AC49B0">
        <w:rPr>
          <w:sz w:val="22"/>
          <w:szCs w:val="22"/>
        </w:rPr>
        <w:t>lti-agency</w:t>
      </w:r>
      <w:r w:rsidR="00205A57" w:rsidRPr="00AC49B0">
        <w:rPr>
          <w:sz w:val="22"/>
          <w:szCs w:val="22"/>
        </w:rPr>
        <w:t xml:space="preserve"> collaboration </w:t>
      </w:r>
      <w:r w:rsidRPr="00AC49B0">
        <w:rPr>
          <w:sz w:val="22"/>
          <w:szCs w:val="22"/>
        </w:rPr>
        <w:t>between</w:t>
      </w:r>
      <w:r w:rsidR="00205A57" w:rsidRPr="00AC49B0">
        <w:rPr>
          <w:sz w:val="22"/>
          <w:szCs w:val="22"/>
        </w:rPr>
        <w:t xml:space="preserve"> NHS, local authorit</w:t>
      </w:r>
      <w:r w:rsidR="001B1E2B" w:rsidRPr="00AC49B0">
        <w:rPr>
          <w:sz w:val="22"/>
          <w:szCs w:val="22"/>
        </w:rPr>
        <w:t>ies</w:t>
      </w:r>
      <w:r w:rsidR="00205A57" w:rsidRPr="00AC49B0">
        <w:rPr>
          <w:sz w:val="22"/>
          <w:szCs w:val="22"/>
        </w:rPr>
        <w:t xml:space="preserve">, and private </w:t>
      </w:r>
      <w:r w:rsidR="001B1E2B" w:rsidRPr="00AC49B0">
        <w:rPr>
          <w:sz w:val="22"/>
          <w:szCs w:val="22"/>
        </w:rPr>
        <w:t>sectors</w:t>
      </w:r>
      <w:r w:rsidR="00205A57" w:rsidRPr="00AC49B0">
        <w:rPr>
          <w:sz w:val="22"/>
          <w:szCs w:val="22"/>
        </w:rPr>
        <w:t>.</w:t>
      </w:r>
      <w:r w:rsidR="004716B9" w:rsidRPr="00AC49B0">
        <w:rPr>
          <w:sz w:val="22"/>
          <w:szCs w:val="22"/>
        </w:rPr>
        <w:t xml:space="preserve"> </w:t>
      </w:r>
    </w:p>
    <w:p w14:paraId="43BE35E6" w14:textId="77777777" w:rsidR="008B6D6C" w:rsidRPr="00AC49B0" w:rsidRDefault="008B6D6C" w:rsidP="00E902BA">
      <w:pPr>
        <w:pStyle w:val="Heading2"/>
        <w:spacing w:line="240" w:lineRule="auto"/>
        <w:jc w:val="both"/>
        <w:rPr>
          <w:rFonts w:ascii="Arial" w:hAnsi="Arial" w:cs="Arial"/>
          <w:b/>
          <w:color w:val="auto"/>
          <w:sz w:val="22"/>
          <w:szCs w:val="22"/>
        </w:rPr>
      </w:pPr>
      <w:r w:rsidRPr="00AC49B0">
        <w:rPr>
          <w:rFonts w:ascii="Arial" w:hAnsi="Arial" w:cs="Arial"/>
          <w:b/>
          <w:color w:val="auto"/>
          <w:sz w:val="22"/>
          <w:szCs w:val="22"/>
        </w:rPr>
        <w:lastRenderedPageBreak/>
        <w:t>Evaluation Aim</w:t>
      </w:r>
    </w:p>
    <w:p w14:paraId="7326959D" w14:textId="77777777" w:rsidR="008B6D6C" w:rsidRPr="00AC49B0" w:rsidRDefault="001720E4" w:rsidP="006021A4">
      <w:pPr>
        <w:spacing w:line="276" w:lineRule="auto"/>
        <w:jc w:val="both"/>
        <w:rPr>
          <w:sz w:val="22"/>
          <w:szCs w:val="22"/>
        </w:rPr>
      </w:pPr>
      <w:r w:rsidRPr="00AC49B0">
        <w:rPr>
          <w:sz w:val="22"/>
          <w:szCs w:val="22"/>
        </w:rPr>
        <w:t>The aim of the</w:t>
      </w:r>
      <w:r w:rsidR="008B6D6C" w:rsidRPr="00AC49B0">
        <w:rPr>
          <w:sz w:val="22"/>
          <w:szCs w:val="22"/>
        </w:rPr>
        <w:t xml:space="preserve"> evaluation was to </w:t>
      </w:r>
      <w:r w:rsidRPr="00AC49B0">
        <w:rPr>
          <w:sz w:val="22"/>
          <w:szCs w:val="22"/>
        </w:rPr>
        <w:t xml:space="preserve">provide an insight into </w:t>
      </w:r>
      <w:r w:rsidR="00E811F3" w:rsidRPr="00AC49B0">
        <w:rPr>
          <w:sz w:val="22"/>
          <w:szCs w:val="22"/>
        </w:rPr>
        <w:t>the</w:t>
      </w:r>
      <w:r w:rsidR="008B6D6C" w:rsidRPr="00AC49B0">
        <w:rPr>
          <w:sz w:val="22"/>
          <w:szCs w:val="22"/>
        </w:rPr>
        <w:t xml:space="preserve"> processes</w:t>
      </w:r>
      <w:r w:rsidR="009F3A44" w:rsidRPr="00AC49B0">
        <w:rPr>
          <w:sz w:val="22"/>
          <w:szCs w:val="22"/>
        </w:rPr>
        <w:t xml:space="preserve"> of</w:t>
      </w:r>
      <w:r w:rsidR="008B6D6C" w:rsidRPr="00AC49B0">
        <w:rPr>
          <w:sz w:val="22"/>
          <w:szCs w:val="22"/>
        </w:rPr>
        <w:t xml:space="preserve"> the implementation and adoption of the </w:t>
      </w:r>
      <w:r w:rsidR="00E428FD" w:rsidRPr="00AC49B0">
        <w:rPr>
          <w:sz w:val="22"/>
          <w:szCs w:val="22"/>
        </w:rPr>
        <w:t>Red Bag</w:t>
      </w:r>
      <w:r w:rsidR="009F3A44" w:rsidRPr="00AC49B0">
        <w:rPr>
          <w:sz w:val="22"/>
          <w:szCs w:val="22"/>
        </w:rPr>
        <w:t xml:space="preserve"> Scheme in the </w:t>
      </w:r>
      <w:r w:rsidR="008B6D6C" w:rsidRPr="00AC49B0">
        <w:rPr>
          <w:sz w:val="22"/>
          <w:szCs w:val="22"/>
        </w:rPr>
        <w:t>H</w:t>
      </w:r>
      <w:r w:rsidRPr="00AC49B0">
        <w:rPr>
          <w:sz w:val="22"/>
          <w:szCs w:val="22"/>
        </w:rPr>
        <w:t>TP across th</w:t>
      </w:r>
      <w:r w:rsidR="008B6D6C" w:rsidRPr="00AC49B0">
        <w:rPr>
          <w:sz w:val="22"/>
          <w:szCs w:val="22"/>
        </w:rPr>
        <w:t>e North East and North Cumbria, establish</w:t>
      </w:r>
      <w:r w:rsidRPr="00AC49B0">
        <w:rPr>
          <w:sz w:val="22"/>
          <w:szCs w:val="22"/>
        </w:rPr>
        <w:t>ing</w:t>
      </w:r>
      <w:r w:rsidR="008B6D6C" w:rsidRPr="00AC49B0">
        <w:rPr>
          <w:sz w:val="22"/>
          <w:szCs w:val="22"/>
        </w:rPr>
        <w:t xml:space="preserve"> </w:t>
      </w:r>
      <w:r w:rsidRPr="00AC49B0">
        <w:rPr>
          <w:sz w:val="22"/>
          <w:szCs w:val="22"/>
        </w:rPr>
        <w:t>how</w:t>
      </w:r>
      <w:r w:rsidR="008B6D6C" w:rsidRPr="00AC49B0">
        <w:rPr>
          <w:sz w:val="22"/>
          <w:szCs w:val="22"/>
        </w:rPr>
        <w:t xml:space="preserve"> effecti</w:t>
      </w:r>
      <w:r w:rsidRPr="00AC49B0">
        <w:rPr>
          <w:sz w:val="22"/>
          <w:szCs w:val="22"/>
        </w:rPr>
        <w:t xml:space="preserve">ve this was </w:t>
      </w:r>
      <w:r w:rsidR="008B6D6C" w:rsidRPr="00AC49B0">
        <w:rPr>
          <w:sz w:val="22"/>
          <w:szCs w:val="22"/>
        </w:rPr>
        <w:t>in practice.</w:t>
      </w:r>
    </w:p>
    <w:p w14:paraId="2A4698CE" w14:textId="77777777" w:rsidR="00E902BA" w:rsidRPr="00AC49B0" w:rsidRDefault="00E902BA" w:rsidP="00E902BA">
      <w:pPr>
        <w:pStyle w:val="Heading2"/>
        <w:spacing w:line="276" w:lineRule="auto"/>
        <w:jc w:val="both"/>
        <w:rPr>
          <w:rFonts w:ascii="Arial" w:hAnsi="Arial" w:cs="Arial"/>
          <w:b/>
          <w:color w:val="auto"/>
          <w:sz w:val="22"/>
          <w:szCs w:val="22"/>
        </w:rPr>
      </w:pPr>
      <w:bookmarkStart w:id="1" w:name="_Toc534915756"/>
    </w:p>
    <w:p w14:paraId="7160D88C" w14:textId="77777777" w:rsidR="008B6D6C" w:rsidRPr="00AC49B0" w:rsidRDefault="008B6D6C" w:rsidP="00E902BA">
      <w:pPr>
        <w:pStyle w:val="Heading2"/>
        <w:spacing w:line="276" w:lineRule="auto"/>
        <w:jc w:val="both"/>
        <w:rPr>
          <w:rFonts w:ascii="Arial" w:hAnsi="Arial" w:cs="Arial"/>
          <w:b/>
          <w:color w:val="auto"/>
          <w:sz w:val="22"/>
          <w:szCs w:val="22"/>
        </w:rPr>
      </w:pPr>
      <w:r w:rsidRPr="00AC49B0">
        <w:rPr>
          <w:rFonts w:ascii="Arial" w:hAnsi="Arial" w:cs="Arial"/>
          <w:b/>
          <w:color w:val="auto"/>
          <w:sz w:val="22"/>
          <w:szCs w:val="22"/>
        </w:rPr>
        <w:t>Objectives</w:t>
      </w:r>
      <w:bookmarkEnd w:id="1"/>
    </w:p>
    <w:p w14:paraId="2B60582A" w14:textId="77777777" w:rsidR="008B6D6C" w:rsidRPr="00AC49B0" w:rsidRDefault="001720E4" w:rsidP="006021A4">
      <w:pPr>
        <w:spacing w:line="276" w:lineRule="auto"/>
        <w:jc w:val="both"/>
        <w:rPr>
          <w:sz w:val="22"/>
          <w:szCs w:val="22"/>
        </w:rPr>
      </w:pPr>
      <w:r w:rsidRPr="00AC49B0">
        <w:rPr>
          <w:sz w:val="22"/>
          <w:szCs w:val="22"/>
        </w:rPr>
        <w:t>O</w:t>
      </w:r>
      <w:r w:rsidR="008B6D6C" w:rsidRPr="00AC49B0">
        <w:rPr>
          <w:sz w:val="22"/>
          <w:szCs w:val="22"/>
        </w:rPr>
        <w:t xml:space="preserve">bjectives </w:t>
      </w:r>
      <w:r w:rsidR="00B14DC9" w:rsidRPr="00AC49B0">
        <w:rPr>
          <w:sz w:val="22"/>
          <w:szCs w:val="22"/>
        </w:rPr>
        <w:t xml:space="preserve">for the study </w:t>
      </w:r>
      <w:r w:rsidR="008B6D6C" w:rsidRPr="00AC49B0">
        <w:rPr>
          <w:sz w:val="22"/>
          <w:szCs w:val="22"/>
        </w:rPr>
        <w:t>were designed to:</w:t>
      </w:r>
    </w:p>
    <w:p w14:paraId="2A230CEA" w14:textId="77777777" w:rsidR="008B6D6C" w:rsidRPr="00AC49B0" w:rsidRDefault="008B6D6C" w:rsidP="006021A4">
      <w:pPr>
        <w:pStyle w:val="ListParagraph"/>
        <w:numPr>
          <w:ilvl w:val="0"/>
          <w:numId w:val="15"/>
        </w:numPr>
        <w:spacing w:line="276" w:lineRule="auto"/>
        <w:jc w:val="both"/>
        <w:rPr>
          <w:sz w:val="22"/>
          <w:szCs w:val="22"/>
        </w:rPr>
      </w:pPr>
      <w:r w:rsidRPr="00AC49B0">
        <w:rPr>
          <w:sz w:val="22"/>
          <w:szCs w:val="22"/>
        </w:rPr>
        <w:t>Understand the experiences of</w:t>
      </w:r>
      <w:r w:rsidR="00FB6E9B" w:rsidRPr="00AC49B0">
        <w:rPr>
          <w:sz w:val="22"/>
          <w:szCs w:val="22"/>
        </w:rPr>
        <w:t xml:space="preserve"> a range of</w:t>
      </w:r>
      <w:r w:rsidRPr="00AC49B0">
        <w:rPr>
          <w:sz w:val="22"/>
          <w:szCs w:val="22"/>
        </w:rPr>
        <w:t xml:space="preserve"> users of the scheme</w:t>
      </w:r>
      <w:r w:rsidR="001720E4" w:rsidRPr="00AC49B0">
        <w:rPr>
          <w:sz w:val="22"/>
          <w:szCs w:val="22"/>
        </w:rPr>
        <w:t xml:space="preserve">, specifically </w:t>
      </w:r>
      <w:r w:rsidRPr="00AC49B0">
        <w:rPr>
          <w:sz w:val="22"/>
          <w:szCs w:val="22"/>
        </w:rPr>
        <w:t xml:space="preserve"> Care Home Managers, Clinical Commissioning Groups, Hospital Staff, </w:t>
      </w:r>
      <w:r w:rsidR="00E811F3" w:rsidRPr="00AC49B0">
        <w:rPr>
          <w:sz w:val="22"/>
          <w:szCs w:val="22"/>
        </w:rPr>
        <w:t>Paramedics, and</w:t>
      </w:r>
      <w:r w:rsidRPr="00AC49B0">
        <w:rPr>
          <w:sz w:val="22"/>
          <w:szCs w:val="22"/>
        </w:rPr>
        <w:t xml:space="preserve"> Local Authority staff.</w:t>
      </w:r>
    </w:p>
    <w:p w14:paraId="1DB335B1" w14:textId="77777777" w:rsidR="008B6D6C" w:rsidRPr="00AC49B0" w:rsidRDefault="008B6D6C" w:rsidP="006021A4">
      <w:pPr>
        <w:pStyle w:val="ListParagraph"/>
        <w:numPr>
          <w:ilvl w:val="0"/>
          <w:numId w:val="15"/>
        </w:numPr>
        <w:spacing w:line="276" w:lineRule="auto"/>
        <w:jc w:val="both"/>
        <w:rPr>
          <w:sz w:val="22"/>
          <w:szCs w:val="22"/>
        </w:rPr>
      </w:pPr>
      <w:r w:rsidRPr="00AC49B0">
        <w:rPr>
          <w:sz w:val="22"/>
          <w:szCs w:val="22"/>
        </w:rPr>
        <w:t xml:space="preserve">Identify areas of best practice </w:t>
      </w:r>
      <w:r w:rsidR="001720E4" w:rsidRPr="00AC49B0">
        <w:rPr>
          <w:sz w:val="22"/>
          <w:szCs w:val="22"/>
        </w:rPr>
        <w:t>for sharing and dissemination</w:t>
      </w:r>
      <w:r w:rsidRPr="00AC49B0">
        <w:rPr>
          <w:sz w:val="22"/>
          <w:szCs w:val="22"/>
        </w:rPr>
        <w:t xml:space="preserve"> with </w:t>
      </w:r>
      <w:r w:rsidR="001720E4" w:rsidRPr="00AC49B0">
        <w:rPr>
          <w:sz w:val="22"/>
          <w:szCs w:val="22"/>
        </w:rPr>
        <w:t>NHS England regional colleagues.</w:t>
      </w:r>
    </w:p>
    <w:p w14:paraId="7F1F821E" w14:textId="77777777" w:rsidR="008B6D6C" w:rsidRPr="00AC49B0" w:rsidRDefault="008B6D6C" w:rsidP="006021A4">
      <w:pPr>
        <w:pStyle w:val="ListParagraph"/>
        <w:numPr>
          <w:ilvl w:val="0"/>
          <w:numId w:val="15"/>
        </w:numPr>
        <w:spacing w:line="276" w:lineRule="auto"/>
        <w:jc w:val="both"/>
        <w:rPr>
          <w:sz w:val="22"/>
          <w:szCs w:val="22"/>
        </w:rPr>
      </w:pPr>
      <w:r w:rsidRPr="00AC49B0">
        <w:rPr>
          <w:sz w:val="22"/>
          <w:szCs w:val="22"/>
        </w:rPr>
        <w:t>Identify</w:t>
      </w:r>
      <w:r w:rsidR="001720E4" w:rsidRPr="00AC49B0">
        <w:rPr>
          <w:sz w:val="22"/>
          <w:szCs w:val="22"/>
        </w:rPr>
        <w:t xml:space="preserve"> reasons for</w:t>
      </w:r>
      <w:r w:rsidRPr="00AC49B0">
        <w:rPr>
          <w:sz w:val="22"/>
          <w:szCs w:val="22"/>
        </w:rPr>
        <w:t xml:space="preserve"> gaps in the </w:t>
      </w:r>
      <w:r w:rsidR="001720E4" w:rsidRPr="00AC49B0">
        <w:rPr>
          <w:sz w:val="22"/>
          <w:szCs w:val="22"/>
        </w:rPr>
        <w:t>HTP</w:t>
      </w:r>
      <w:r w:rsidRPr="00AC49B0">
        <w:rPr>
          <w:sz w:val="22"/>
          <w:szCs w:val="22"/>
        </w:rPr>
        <w:t xml:space="preserve">, </w:t>
      </w:r>
      <w:r w:rsidR="001720E4" w:rsidRPr="00AC49B0">
        <w:rPr>
          <w:sz w:val="22"/>
          <w:szCs w:val="22"/>
        </w:rPr>
        <w:t xml:space="preserve">in order to provide information as to </w:t>
      </w:r>
      <w:r w:rsidRPr="00AC49B0">
        <w:rPr>
          <w:sz w:val="22"/>
          <w:szCs w:val="22"/>
        </w:rPr>
        <w:t xml:space="preserve">why these </w:t>
      </w:r>
      <w:r w:rsidR="00B14DC9" w:rsidRPr="00AC49B0">
        <w:rPr>
          <w:sz w:val="22"/>
          <w:szCs w:val="22"/>
        </w:rPr>
        <w:t>might be apparent</w:t>
      </w:r>
      <w:r w:rsidRPr="00AC49B0">
        <w:rPr>
          <w:sz w:val="22"/>
          <w:szCs w:val="22"/>
        </w:rPr>
        <w:t xml:space="preserve"> and</w:t>
      </w:r>
      <w:r w:rsidR="001720E4" w:rsidRPr="00AC49B0">
        <w:rPr>
          <w:sz w:val="22"/>
          <w:szCs w:val="22"/>
        </w:rPr>
        <w:t xml:space="preserve"> also to</w:t>
      </w:r>
      <w:r w:rsidRPr="00AC49B0">
        <w:rPr>
          <w:sz w:val="22"/>
          <w:szCs w:val="22"/>
        </w:rPr>
        <w:t xml:space="preserve"> recommend strategies for</w:t>
      </w:r>
      <w:r w:rsidR="001720E4" w:rsidRPr="00AC49B0">
        <w:rPr>
          <w:sz w:val="22"/>
          <w:szCs w:val="22"/>
        </w:rPr>
        <w:t xml:space="preserve"> context specific</w:t>
      </w:r>
      <w:r w:rsidRPr="00AC49B0">
        <w:rPr>
          <w:sz w:val="22"/>
          <w:szCs w:val="22"/>
        </w:rPr>
        <w:t xml:space="preserve"> improvement</w:t>
      </w:r>
      <w:r w:rsidR="001720E4" w:rsidRPr="00AC49B0">
        <w:rPr>
          <w:sz w:val="22"/>
          <w:szCs w:val="22"/>
        </w:rPr>
        <w:t>s.</w:t>
      </w:r>
      <w:r w:rsidRPr="00AC49B0">
        <w:rPr>
          <w:sz w:val="22"/>
          <w:szCs w:val="22"/>
        </w:rPr>
        <w:t xml:space="preserve"> </w:t>
      </w:r>
    </w:p>
    <w:p w14:paraId="76CFA94A" w14:textId="77777777" w:rsidR="008B6D6C" w:rsidRPr="00AC49B0" w:rsidRDefault="00B14DC9" w:rsidP="006021A4">
      <w:pPr>
        <w:spacing w:line="276" w:lineRule="auto"/>
        <w:jc w:val="both"/>
        <w:rPr>
          <w:sz w:val="22"/>
          <w:szCs w:val="22"/>
        </w:rPr>
      </w:pPr>
      <w:r w:rsidRPr="00AC49B0">
        <w:rPr>
          <w:sz w:val="22"/>
          <w:szCs w:val="22"/>
        </w:rPr>
        <w:t xml:space="preserve">Whilst the focus of this article is to provide an insight into the specific findings relevant to nursing and residential care home settings, it is clear to see that </w:t>
      </w:r>
      <w:r w:rsidR="00127392" w:rsidRPr="00AC49B0">
        <w:rPr>
          <w:sz w:val="22"/>
          <w:szCs w:val="22"/>
        </w:rPr>
        <w:t>the HTP</w:t>
      </w:r>
      <w:r w:rsidR="0022302E" w:rsidRPr="00AC49B0">
        <w:rPr>
          <w:sz w:val="22"/>
          <w:szCs w:val="22"/>
        </w:rPr>
        <w:t xml:space="preserve"> </w:t>
      </w:r>
      <w:r w:rsidR="001720E4" w:rsidRPr="00AC49B0">
        <w:rPr>
          <w:sz w:val="22"/>
          <w:szCs w:val="22"/>
        </w:rPr>
        <w:t>is reliant</w:t>
      </w:r>
      <w:r w:rsidR="0022302E" w:rsidRPr="00AC49B0">
        <w:rPr>
          <w:sz w:val="22"/>
          <w:szCs w:val="22"/>
        </w:rPr>
        <w:t xml:space="preserve"> on</w:t>
      </w:r>
      <w:r w:rsidR="001720E4" w:rsidRPr="00AC49B0">
        <w:rPr>
          <w:sz w:val="22"/>
          <w:szCs w:val="22"/>
        </w:rPr>
        <w:t xml:space="preserve"> effective</w:t>
      </w:r>
      <w:r w:rsidR="0022302E" w:rsidRPr="00AC49B0">
        <w:rPr>
          <w:sz w:val="22"/>
          <w:szCs w:val="22"/>
        </w:rPr>
        <w:t xml:space="preserve"> communication between organisations during handover periods</w:t>
      </w:r>
      <w:r w:rsidRPr="00AC49B0">
        <w:rPr>
          <w:sz w:val="22"/>
          <w:szCs w:val="22"/>
        </w:rPr>
        <w:t>, of which these are an integral part</w:t>
      </w:r>
      <w:r w:rsidR="0022302E" w:rsidRPr="00AC49B0">
        <w:rPr>
          <w:sz w:val="22"/>
          <w:szCs w:val="22"/>
        </w:rPr>
        <w:t xml:space="preserve"> (see Figure 1). </w:t>
      </w:r>
    </w:p>
    <w:p w14:paraId="179E6768" w14:textId="77777777" w:rsidR="008B6D6C" w:rsidRPr="00AC49B0" w:rsidRDefault="003E1571" w:rsidP="008D4119">
      <w:pPr>
        <w:pStyle w:val="Caption"/>
        <w:rPr>
          <w:color w:val="auto"/>
          <w:sz w:val="22"/>
          <w:szCs w:val="22"/>
        </w:rPr>
      </w:pPr>
      <w:bookmarkStart w:id="2" w:name="_Toc9194232"/>
      <w:r w:rsidRPr="00AC49B0">
        <w:rPr>
          <w:color w:val="auto"/>
          <w:sz w:val="22"/>
          <w:szCs w:val="22"/>
        </w:rPr>
        <w:t>Figure</w:t>
      </w:r>
      <w:r w:rsidR="0052734F" w:rsidRPr="00AC49B0">
        <w:rPr>
          <w:color w:val="auto"/>
          <w:sz w:val="22"/>
          <w:szCs w:val="22"/>
        </w:rPr>
        <w:t xml:space="preserve"> </w:t>
      </w:r>
      <w:r w:rsidR="00004FA8" w:rsidRPr="00AC49B0">
        <w:rPr>
          <w:color w:val="auto"/>
          <w:sz w:val="22"/>
          <w:szCs w:val="22"/>
        </w:rPr>
        <w:fldChar w:fldCharType="begin"/>
      </w:r>
      <w:r w:rsidR="00004FA8" w:rsidRPr="00AC49B0">
        <w:rPr>
          <w:color w:val="auto"/>
          <w:sz w:val="22"/>
          <w:szCs w:val="22"/>
        </w:rPr>
        <w:instrText xml:space="preserve"> SEQ Table \* ARABIC </w:instrText>
      </w:r>
      <w:r w:rsidR="00004FA8" w:rsidRPr="00AC49B0">
        <w:rPr>
          <w:color w:val="auto"/>
          <w:sz w:val="22"/>
          <w:szCs w:val="22"/>
        </w:rPr>
        <w:fldChar w:fldCharType="separate"/>
      </w:r>
      <w:r w:rsidR="00920310" w:rsidRPr="00AC49B0">
        <w:rPr>
          <w:noProof/>
          <w:color w:val="auto"/>
          <w:sz w:val="22"/>
          <w:szCs w:val="22"/>
        </w:rPr>
        <w:t>1</w:t>
      </w:r>
      <w:r w:rsidR="00004FA8" w:rsidRPr="00AC49B0">
        <w:rPr>
          <w:color w:val="auto"/>
          <w:sz w:val="22"/>
          <w:szCs w:val="22"/>
        </w:rPr>
        <w:fldChar w:fldCharType="end"/>
      </w:r>
      <w:r w:rsidR="004B7D1F" w:rsidRPr="00AC49B0">
        <w:rPr>
          <w:color w:val="auto"/>
          <w:sz w:val="22"/>
          <w:szCs w:val="22"/>
        </w:rPr>
        <w:t>:</w:t>
      </w:r>
      <w:r w:rsidR="0052734F" w:rsidRPr="00AC49B0">
        <w:rPr>
          <w:color w:val="auto"/>
          <w:sz w:val="22"/>
          <w:szCs w:val="22"/>
        </w:rPr>
        <w:t xml:space="preserve"> The Hospital Transfer Pathway: Key times for the initiation of communication and transfer of responsibility</w:t>
      </w:r>
      <w:bookmarkEnd w:id="2"/>
    </w:p>
    <w:p w14:paraId="32F1CD6F" w14:textId="77777777" w:rsidR="008B6D6C" w:rsidRPr="00AC49B0" w:rsidRDefault="008B6D6C" w:rsidP="008D4119">
      <w:pPr>
        <w:spacing w:line="240" w:lineRule="auto"/>
        <w:rPr>
          <w:rFonts w:ascii="Cambria" w:hAnsi="Cambria"/>
          <w:sz w:val="22"/>
          <w:szCs w:val="22"/>
        </w:rPr>
      </w:pPr>
    </w:p>
    <w:p w14:paraId="0162EE33" w14:textId="77777777" w:rsidR="008B6D6C" w:rsidRPr="00AC49B0" w:rsidRDefault="008B6D6C" w:rsidP="008D4119">
      <w:pPr>
        <w:spacing w:line="240" w:lineRule="auto"/>
        <w:rPr>
          <w:rFonts w:ascii="Cambria" w:hAnsi="Cambria"/>
          <w:sz w:val="22"/>
          <w:szCs w:val="22"/>
        </w:rPr>
      </w:pPr>
      <w:r w:rsidRPr="00AC49B0">
        <w:rPr>
          <w:rFonts w:ascii="Cambria" w:hAnsi="Cambria"/>
          <w:noProof/>
          <w:sz w:val="22"/>
          <w:szCs w:val="22"/>
          <w:lang w:eastAsia="en-GB"/>
        </w:rPr>
        <w:drawing>
          <wp:inline distT="0" distB="0" distL="0" distR="0" wp14:anchorId="5DBE6AD5" wp14:editId="6D1543C5">
            <wp:extent cx="5486400" cy="32004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B58C9F5" w14:textId="77777777" w:rsidR="00B14DC9" w:rsidRPr="00AC49B0" w:rsidRDefault="00B14DC9" w:rsidP="00B14DC9">
      <w:pPr>
        <w:pStyle w:val="Heading3"/>
        <w:spacing w:line="240" w:lineRule="auto"/>
        <w:rPr>
          <w:rFonts w:ascii="Cambria" w:hAnsi="Cambria" w:cs="Arial"/>
          <w:b/>
          <w:color w:val="auto"/>
          <w:sz w:val="22"/>
          <w:szCs w:val="22"/>
        </w:rPr>
      </w:pPr>
    </w:p>
    <w:p w14:paraId="28489506" w14:textId="77777777" w:rsidR="003F0047" w:rsidRPr="00AC49B0" w:rsidRDefault="00B14DC9" w:rsidP="00B14DC9">
      <w:pPr>
        <w:pStyle w:val="Heading3"/>
        <w:spacing w:line="240" w:lineRule="auto"/>
        <w:rPr>
          <w:rFonts w:ascii="Arial" w:hAnsi="Arial" w:cs="Arial"/>
          <w:b/>
          <w:color w:val="auto"/>
          <w:sz w:val="22"/>
          <w:szCs w:val="22"/>
        </w:rPr>
      </w:pPr>
      <w:r w:rsidRPr="00AC49B0">
        <w:rPr>
          <w:rFonts w:ascii="Arial" w:hAnsi="Arial" w:cs="Arial"/>
          <w:b/>
          <w:color w:val="auto"/>
          <w:sz w:val="22"/>
          <w:szCs w:val="22"/>
        </w:rPr>
        <w:t>Geographical Context of the Study</w:t>
      </w:r>
    </w:p>
    <w:p w14:paraId="0389BE08" w14:textId="77777777" w:rsidR="003F0047" w:rsidRPr="00AC49B0" w:rsidRDefault="00B14DC9" w:rsidP="006021A4">
      <w:pPr>
        <w:spacing w:line="276" w:lineRule="auto"/>
        <w:jc w:val="both"/>
        <w:rPr>
          <w:sz w:val="22"/>
          <w:szCs w:val="22"/>
        </w:rPr>
      </w:pPr>
      <w:r w:rsidRPr="00AC49B0">
        <w:rPr>
          <w:sz w:val="22"/>
          <w:szCs w:val="22"/>
        </w:rPr>
        <w:t>The</w:t>
      </w:r>
      <w:r w:rsidR="003F0047" w:rsidRPr="00AC49B0">
        <w:rPr>
          <w:sz w:val="22"/>
          <w:szCs w:val="22"/>
        </w:rPr>
        <w:t xml:space="preserve"> localities incorporated into the evaluation process were Darlington, Durham Dales, Easington and Sedgefield, Durham, Hambleton, Richmond and Whitby, Hartlepool and North </w:t>
      </w:r>
      <w:r w:rsidR="003F0047" w:rsidRPr="00AC49B0">
        <w:rPr>
          <w:sz w:val="22"/>
          <w:szCs w:val="22"/>
        </w:rPr>
        <w:lastRenderedPageBreak/>
        <w:t>Tees, Northumberland, North Cumbria, Newcastle/Gateshead, North Tyneside, South Tyneside, Sunderland</w:t>
      </w:r>
      <w:r w:rsidR="00714AA8" w:rsidRPr="00AC49B0">
        <w:rPr>
          <w:sz w:val="22"/>
          <w:szCs w:val="22"/>
        </w:rPr>
        <w:t xml:space="preserve"> and</w:t>
      </w:r>
      <w:r w:rsidR="003F0047" w:rsidRPr="00AC49B0">
        <w:rPr>
          <w:sz w:val="22"/>
          <w:szCs w:val="22"/>
        </w:rPr>
        <w:t xml:space="preserve"> South Tees</w:t>
      </w:r>
      <w:r w:rsidR="00714AA8" w:rsidRPr="00AC49B0">
        <w:rPr>
          <w:sz w:val="22"/>
          <w:szCs w:val="22"/>
        </w:rPr>
        <w:t>.</w:t>
      </w:r>
    </w:p>
    <w:p w14:paraId="564BEAE2" w14:textId="77777777" w:rsidR="00C86BCE" w:rsidRPr="00AC49B0" w:rsidRDefault="00C86BCE" w:rsidP="00F458CC">
      <w:pPr>
        <w:pStyle w:val="Heading1"/>
        <w:spacing w:line="240" w:lineRule="auto"/>
        <w:jc w:val="both"/>
        <w:rPr>
          <w:rFonts w:ascii="Arial" w:hAnsi="Arial" w:cs="Arial"/>
          <w:b/>
          <w:color w:val="auto"/>
          <w:sz w:val="22"/>
          <w:szCs w:val="22"/>
        </w:rPr>
      </w:pPr>
      <w:r w:rsidRPr="00AC49B0">
        <w:rPr>
          <w:rFonts w:ascii="Arial" w:hAnsi="Arial" w:cs="Arial"/>
          <w:b/>
          <w:color w:val="auto"/>
          <w:sz w:val="22"/>
          <w:szCs w:val="22"/>
        </w:rPr>
        <w:t>Method</w:t>
      </w:r>
      <w:r w:rsidR="009C7013" w:rsidRPr="00AC49B0">
        <w:rPr>
          <w:rFonts w:ascii="Arial" w:hAnsi="Arial" w:cs="Arial"/>
          <w:b/>
          <w:color w:val="auto"/>
          <w:sz w:val="22"/>
          <w:szCs w:val="22"/>
        </w:rPr>
        <w:t>ology</w:t>
      </w:r>
      <w:r w:rsidR="00B14DC9" w:rsidRPr="00AC49B0">
        <w:rPr>
          <w:rFonts w:ascii="Arial" w:hAnsi="Arial" w:cs="Arial"/>
          <w:b/>
          <w:color w:val="auto"/>
          <w:sz w:val="22"/>
          <w:szCs w:val="22"/>
        </w:rPr>
        <w:t xml:space="preserve"> and Methods</w:t>
      </w:r>
    </w:p>
    <w:p w14:paraId="397EBFDC" w14:textId="77777777" w:rsidR="00C86BCE" w:rsidRPr="00AC49B0" w:rsidRDefault="00B14DC9" w:rsidP="00E47CE0">
      <w:pPr>
        <w:spacing w:line="276" w:lineRule="auto"/>
        <w:jc w:val="both"/>
        <w:rPr>
          <w:sz w:val="22"/>
          <w:szCs w:val="22"/>
        </w:rPr>
      </w:pPr>
      <w:r w:rsidRPr="00AC49B0">
        <w:rPr>
          <w:sz w:val="22"/>
          <w:szCs w:val="22"/>
        </w:rPr>
        <w:t>We adopted a pragmatic approach to the evaluation of the HTP</w:t>
      </w:r>
      <w:r w:rsidR="009C7013" w:rsidRPr="00AC49B0">
        <w:rPr>
          <w:sz w:val="22"/>
          <w:szCs w:val="22"/>
        </w:rPr>
        <w:t>.</w:t>
      </w:r>
      <w:r w:rsidRPr="00AC49B0">
        <w:rPr>
          <w:sz w:val="22"/>
          <w:szCs w:val="22"/>
        </w:rPr>
        <w:t xml:space="preserve"> Simply explained, we acknowledged the complexity of social world settings and the various layers of opinions and perceptions that are true for all of the individuals, groups and institutions, which were of immediate relevance to our evaluation objectives. We therefore adopted a philosophical approach termed critical realism, which specifically acknowledges all of these factors in any study of social reality</w:t>
      </w:r>
      <w:r w:rsidR="009C7013" w:rsidRPr="00AC49B0">
        <w:rPr>
          <w:sz w:val="22"/>
          <w:szCs w:val="22"/>
        </w:rPr>
        <w:t xml:space="preserve"> </w:t>
      </w:r>
      <w:r w:rsidR="00C86BCE" w:rsidRPr="00AC49B0">
        <w:rPr>
          <w:sz w:val="22"/>
          <w:szCs w:val="22"/>
        </w:rPr>
        <w:fldChar w:fldCharType="begin"/>
      </w:r>
      <w:r w:rsidR="00573BDF" w:rsidRPr="00AC49B0">
        <w:rPr>
          <w:sz w:val="22"/>
          <w:szCs w:val="22"/>
        </w:rPr>
        <w:instrText xml:space="preserve"> ADDIN EN.CITE &lt;EndNote&gt;&lt;Cite&gt;&lt;Author&gt;Robson&lt;/Author&gt;&lt;Year&gt;2011&lt;/Year&gt;&lt;RecNum&gt;726&lt;/RecNum&gt;&lt;DisplayText&gt;(3)&lt;/DisplayText&gt;&lt;record&gt;&lt;rec-number&gt;726&lt;/rec-number&gt;&lt;foreign-keys&gt;&lt;key app="EN" db-id="saz9raftmsa2dbex2x05fvaas25vwxpdpe5s" timestamp="0"&gt;726&lt;/key&gt;&lt;/foreign-keys&gt;&lt;ref-type name="Book"&gt;6&lt;/ref-type&gt;&lt;contributors&gt;&lt;authors&gt;&lt;author&gt;Robson, C.&lt;/author&gt;&lt;/authors&gt;&lt;/contributors&gt;&lt;titles&gt;&lt;title&gt;Real world research&lt;/title&gt;&lt;/titles&gt;&lt;edition&gt;3rd&lt;/edition&gt;&lt;dates&gt;&lt;year&gt;2011&lt;/year&gt;&lt;/dates&gt;&lt;pub-location&gt;Chichester&lt;/pub-location&gt;&lt;publisher&gt;John Wiley&lt;/publisher&gt;&lt;urls&gt;&lt;/urls&gt;&lt;/record&gt;&lt;/Cite&gt;&lt;/EndNote&gt;</w:instrText>
      </w:r>
      <w:r w:rsidR="00C86BCE" w:rsidRPr="00AC49B0">
        <w:rPr>
          <w:sz w:val="22"/>
          <w:szCs w:val="22"/>
        </w:rPr>
        <w:fldChar w:fldCharType="separate"/>
      </w:r>
      <w:r w:rsidR="00573BDF" w:rsidRPr="00AC49B0">
        <w:rPr>
          <w:noProof/>
          <w:sz w:val="22"/>
          <w:szCs w:val="22"/>
        </w:rPr>
        <w:t>(</w:t>
      </w:r>
      <w:r w:rsidR="00747094" w:rsidRPr="00AC49B0">
        <w:rPr>
          <w:noProof/>
          <w:sz w:val="22"/>
          <w:szCs w:val="22"/>
        </w:rPr>
        <w:t>Robson, 2011</w:t>
      </w:r>
      <w:r w:rsidR="00573BDF" w:rsidRPr="00AC49B0">
        <w:rPr>
          <w:noProof/>
          <w:sz w:val="22"/>
          <w:szCs w:val="22"/>
        </w:rPr>
        <w:t>)</w:t>
      </w:r>
      <w:r w:rsidR="00C86BCE" w:rsidRPr="00AC49B0">
        <w:rPr>
          <w:sz w:val="22"/>
          <w:szCs w:val="22"/>
        </w:rPr>
        <w:fldChar w:fldCharType="end"/>
      </w:r>
      <w:r w:rsidR="00C86BCE" w:rsidRPr="00AC49B0">
        <w:rPr>
          <w:sz w:val="22"/>
          <w:szCs w:val="22"/>
        </w:rPr>
        <w:t xml:space="preserve">. </w:t>
      </w:r>
      <w:r w:rsidRPr="00AC49B0">
        <w:rPr>
          <w:sz w:val="22"/>
          <w:szCs w:val="22"/>
        </w:rPr>
        <w:t xml:space="preserve">In relation to the data sets we collected, it also enabled us to place our findings in the contexts of where information had been collected and could be explained. </w:t>
      </w:r>
      <w:r w:rsidR="00C86BCE" w:rsidRPr="00AC49B0">
        <w:rPr>
          <w:sz w:val="22"/>
          <w:szCs w:val="22"/>
        </w:rPr>
        <w:fldChar w:fldCharType="begin"/>
      </w:r>
      <w:r w:rsidR="00573BDF" w:rsidRPr="00AC49B0">
        <w:rPr>
          <w:sz w:val="22"/>
          <w:szCs w:val="22"/>
        </w:rPr>
        <w:instrText xml:space="preserve"> ADDIN EN.CITE &lt;EndNote&gt;&lt;Cite&gt;&lt;Author&gt;Corson&lt;/Author&gt;&lt;Year&gt;1991&lt;/Year&gt;&lt;RecNum&gt;2637&lt;/RecNum&gt;&lt;DisplayText&gt;(4)&lt;/DisplayText&gt;&lt;record&gt;&lt;rec-number&gt;2637&lt;/rec-number&gt;&lt;foreign-keys&gt;&lt;key app="EN" db-id="saz9raftmsa2dbex2x05fvaas25vwxpdpe5s" timestamp="1557585749"&gt;2637&lt;/key&gt;&lt;/foreign-keys&gt;&lt;ref-type name="Journal Article"&gt;17&lt;/ref-type&gt;&lt;contributors&gt;&lt;authors&gt;&lt;author&gt;Corson, David&lt;/author&gt;&lt;/authors&gt;&lt;/contributors&gt;&lt;titles&gt;&lt;title&gt;Educational Research and Bhaskar&amp;apos;s Conception of Discovery&lt;/title&gt;&lt;secondary-title&gt;Educational Theory&lt;/secondary-title&gt;&lt;/titles&gt;&lt;periodical&gt;&lt;full-title&gt;Educational Theory&lt;/full-title&gt;&lt;/periodical&gt;&lt;pages&gt;189-198&lt;/pages&gt;&lt;volume&gt;41&lt;/volume&gt;&lt;number&gt;2&lt;/number&gt;&lt;dates&gt;&lt;year&gt;1991&lt;/year&gt;&lt;/dates&gt;&lt;isbn&gt;0013-2004&lt;/isbn&gt;&lt;urls&gt;&lt;related-urls&gt;&lt;url&gt;https://onlinelibrary.wiley.com/doi/abs/10.1111/j.1741-5446.1991.00189.x&lt;/url&gt;&lt;/related-urls&gt;&lt;/urls&gt;&lt;electronic-resource-num&gt;10.1111/j.1741-5446.1991.00189.x&lt;/electronic-resource-num&gt;&lt;/record&gt;&lt;/Cite&gt;&lt;/EndNote&gt;</w:instrText>
      </w:r>
      <w:r w:rsidR="00C86BCE" w:rsidRPr="00AC49B0">
        <w:rPr>
          <w:sz w:val="22"/>
          <w:szCs w:val="22"/>
        </w:rPr>
        <w:fldChar w:fldCharType="separate"/>
      </w:r>
      <w:r w:rsidR="00747094" w:rsidRPr="00AC49B0">
        <w:rPr>
          <w:noProof/>
          <w:sz w:val="22"/>
          <w:szCs w:val="22"/>
        </w:rPr>
        <w:t>(Corson, 1991</w:t>
      </w:r>
      <w:r w:rsidR="00573BDF" w:rsidRPr="00AC49B0">
        <w:rPr>
          <w:noProof/>
          <w:sz w:val="22"/>
          <w:szCs w:val="22"/>
        </w:rPr>
        <w:t>)</w:t>
      </w:r>
      <w:r w:rsidR="00C86BCE" w:rsidRPr="00AC49B0">
        <w:rPr>
          <w:sz w:val="22"/>
          <w:szCs w:val="22"/>
        </w:rPr>
        <w:fldChar w:fldCharType="end"/>
      </w:r>
      <w:r w:rsidR="00C86BCE" w:rsidRPr="00AC49B0">
        <w:rPr>
          <w:sz w:val="22"/>
          <w:szCs w:val="22"/>
        </w:rPr>
        <w:t xml:space="preserve">.  </w:t>
      </w:r>
    </w:p>
    <w:p w14:paraId="4E933A01" w14:textId="77777777" w:rsidR="00C86BCE" w:rsidRPr="00AC49B0" w:rsidRDefault="00B14DC9" w:rsidP="00E47CE0">
      <w:pPr>
        <w:spacing w:line="276" w:lineRule="auto"/>
        <w:jc w:val="both"/>
        <w:rPr>
          <w:sz w:val="22"/>
          <w:szCs w:val="22"/>
        </w:rPr>
      </w:pPr>
      <w:r w:rsidRPr="00AC49B0">
        <w:rPr>
          <w:sz w:val="22"/>
          <w:szCs w:val="22"/>
        </w:rPr>
        <w:t>We implemented a mixed</w:t>
      </w:r>
      <w:r w:rsidR="00A3084F" w:rsidRPr="00AC49B0">
        <w:rPr>
          <w:sz w:val="22"/>
          <w:szCs w:val="22"/>
        </w:rPr>
        <w:t xml:space="preserve"> methods approach</w:t>
      </w:r>
      <w:r w:rsidRPr="00AC49B0">
        <w:rPr>
          <w:sz w:val="22"/>
          <w:szCs w:val="22"/>
        </w:rPr>
        <w:t xml:space="preserve"> which integrated</w:t>
      </w:r>
      <w:r w:rsidR="009C7013" w:rsidRPr="00AC49B0">
        <w:rPr>
          <w:sz w:val="22"/>
          <w:szCs w:val="22"/>
        </w:rPr>
        <w:t xml:space="preserve"> both</w:t>
      </w:r>
      <w:r w:rsidR="00C86BCE" w:rsidRPr="00AC49B0">
        <w:rPr>
          <w:sz w:val="22"/>
          <w:szCs w:val="22"/>
        </w:rPr>
        <w:t xml:space="preserve"> qualitative and quantitative methods</w:t>
      </w:r>
      <w:r w:rsidRPr="00AC49B0">
        <w:rPr>
          <w:sz w:val="22"/>
          <w:szCs w:val="22"/>
        </w:rPr>
        <w:t>. This</w:t>
      </w:r>
      <w:r w:rsidR="00C86BCE" w:rsidRPr="00AC49B0">
        <w:rPr>
          <w:sz w:val="22"/>
          <w:szCs w:val="22"/>
        </w:rPr>
        <w:t xml:space="preserve"> </w:t>
      </w:r>
      <w:r w:rsidRPr="00AC49B0">
        <w:rPr>
          <w:sz w:val="22"/>
          <w:szCs w:val="22"/>
        </w:rPr>
        <w:t>meant that we could both qualify and quantify research findings which had been captured at the front line of patient care. We adopted a</w:t>
      </w:r>
      <w:r w:rsidR="00C86BCE" w:rsidRPr="00AC49B0">
        <w:rPr>
          <w:sz w:val="22"/>
          <w:szCs w:val="22"/>
        </w:rPr>
        <w:t xml:space="preserve"> thematic analytic approach </w:t>
      </w:r>
      <w:r w:rsidRPr="00AC49B0">
        <w:rPr>
          <w:sz w:val="22"/>
          <w:szCs w:val="22"/>
        </w:rPr>
        <w:t>in order to</w:t>
      </w:r>
      <w:r w:rsidR="00C86BCE" w:rsidRPr="00AC49B0">
        <w:rPr>
          <w:sz w:val="22"/>
          <w:szCs w:val="22"/>
        </w:rPr>
        <w:t xml:space="preserve"> provide a robust, structured analysis of the qualitative data.  </w:t>
      </w:r>
    </w:p>
    <w:p w14:paraId="01252577" w14:textId="77777777" w:rsidR="009C7013" w:rsidRPr="00AC49B0" w:rsidRDefault="00B14DC9" w:rsidP="00E47CE0">
      <w:pPr>
        <w:spacing w:line="276" w:lineRule="auto"/>
        <w:jc w:val="both"/>
        <w:rPr>
          <w:color w:val="000000"/>
          <w:sz w:val="22"/>
          <w:szCs w:val="22"/>
          <w:shd w:val="clear" w:color="auto" w:fill="FFFFFF"/>
        </w:rPr>
      </w:pPr>
      <w:r w:rsidRPr="00AC49B0">
        <w:rPr>
          <w:sz w:val="22"/>
          <w:szCs w:val="22"/>
        </w:rPr>
        <w:t xml:space="preserve">In relation to the wide geographical area over which the evaluation took place, a bricolage approach was used. This is a mechanism of </w:t>
      </w:r>
      <w:r w:rsidR="009C7013" w:rsidRPr="00AC49B0">
        <w:rPr>
          <w:sz w:val="22"/>
          <w:szCs w:val="22"/>
        </w:rPr>
        <w:t>using and adapting data collection tools to make meaning and establish understanding</w:t>
      </w:r>
      <w:r w:rsidRPr="00AC49B0">
        <w:rPr>
          <w:sz w:val="22"/>
          <w:szCs w:val="22"/>
        </w:rPr>
        <w:t xml:space="preserve"> by several different approaches</w:t>
      </w:r>
      <w:r w:rsidR="00F77590" w:rsidRPr="00AC49B0">
        <w:rPr>
          <w:color w:val="000000"/>
          <w:sz w:val="22"/>
          <w:szCs w:val="22"/>
          <w:shd w:val="clear" w:color="auto" w:fill="FFFFFF"/>
        </w:rPr>
        <w:t xml:space="preserve">. </w:t>
      </w:r>
    </w:p>
    <w:p w14:paraId="091AE554" w14:textId="77777777" w:rsidR="00C86BCE" w:rsidRPr="00AC49B0" w:rsidRDefault="00C86BCE" w:rsidP="00E47CE0">
      <w:pPr>
        <w:spacing w:line="276" w:lineRule="auto"/>
        <w:jc w:val="both"/>
        <w:rPr>
          <w:sz w:val="22"/>
          <w:szCs w:val="22"/>
        </w:rPr>
      </w:pPr>
      <w:r w:rsidRPr="00AC49B0">
        <w:rPr>
          <w:sz w:val="22"/>
          <w:szCs w:val="22"/>
        </w:rPr>
        <w:t xml:space="preserve">To more fully understand the </w:t>
      </w:r>
      <w:proofErr w:type="spellStart"/>
      <w:r w:rsidRPr="00AC49B0">
        <w:rPr>
          <w:sz w:val="22"/>
          <w:szCs w:val="22"/>
        </w:rPr>
        <w:t>sociodynamics</w:t>
      </w:r>
      <w:proofErr w:type="spellEnd"/>
      <w:r w:rsidRPr="00AC49B0">
        <w:rPr>
          <w:sz w:val="22"/>
          <w:szCs w:val="22"/>
        </w:rPr>
        <w:t xml:space="preserve"> of the </w:t>
      </w:r>
      <w:r w:rsidR="00E428FD" w:rsidRPr="00AC49B0">
        <w:rPr>
          <w:sz w:val="22"/>
          <w:szCs w:val="22"/>
        </w:rPr>
        <w:t>Red Bag</w:t>
      </w:r>
      <w:r w:rsidRPr="00AC49B0">
        <w:rPr>
          <w:sz w:val="22"/>
          <w:szCs w:val="22"/>
        </w:rPr>
        <w:t xml:space="preserve"> implementation</w:t>
      </w:r>
      <w:r w:rsidR="00E366CF" w:rsidRPr="00AC49B0">
        <w:rPr>
          <w:sz w:val="22"/>
          <w:szCs w:val="22"/>
        </w:rPr>
        <w:t xml:space="preserve"> in practice,</w:t>
      </w:r>
      <w:r w:rsidRPr="00AC49B0">
        <w:rPr>
          <w:sz w:val="22"/>
          <w:szCs w:val="22"/>
        </w:rPr>
        <w:t xml:space="preserve"> the researchers attended as many formal and informal meetings across the NHS, local authority and care home settings as</w:t>
      </w:r>
      <w:r w:rsidR="004135FE" w:rsidRPr="00AC49B0">
        <w:rPr>
          <w:sz w:val="22"/>
          <w:szCs w:val="22"/>
        </w:rPr>
        <w:t xml:space="preserve"> was</w:t>
      </w:r>
      <w:r w:rsidRPr="00AC49B0">
        <w:rPr>
          <w:sz w:val="22"/>
          <w:szCs w:val="22"/>
        </w:rPr>
        <w:t xml:space="preserve"> feasibly possible. This allowed engagement with potential participants in their</w:t>
      </w:r>
      <w:r w:rsidR="00193749" w:rsidRPr="00AC49B0">
        <w:rPr>
          <w:sz w:val="22"/>
          <w:szCs w:val="22"/>
        </w:rPr>
        <w:t xml:space="preserve"> everyday</w:t>
      </w:r>
      <w:r w:rsidRPr="00AC49B0">
        <w:rPr>
          <w:sz w:val="22"/>
          <w:szCs w:val="22"/>
        </w:rPr>
        <w:t xml:space="preserve"> natural working environments, where dynamics of working </w:t>
      </w:r>
      <w:r w:rsidR="00E366CF" w:rsidRPr="00AC49B0">
        <w:rPr>
          <w:sz w:val="22"/>
          <w:szCs w:val="22"/>
        </w:rPr>
        <w:t>practice</w:t>
      </w:r>
      <w:r w:rsidRPr="00AC49B0">
        <w:rPr>
          <w:sz w:val="22"/>
          <w:szCs w:val="22"/>
        </w:rPr>
        <w:t xml:space="preserve"> could be</w:t>
      </w:r>
      <w:r w:rsidR="00193749" w:rsidRPr="00AC49B0">
        <w:rPr>
          <w:sz w:val="22"/>
          <w:szCs w:val="22"/>
        </w:rPr>
        <w:t xml:space="preserve"> further</w:t>
      </w:r>
      <w:r w:rsidRPr="00AC49B0">
        <w:rPr>
          <w:sz w:val="22"/>
          <w:szCs w:val="22"/>
        </w:rPr>
        <w:t xml:space="preserve"> observed and contextual</w:t>
      </w:r>
      <w:r w:rsidR="004135FE" w:rsidRPr="00AC49B0">
        <w:rPr>
          <w:sz w:val="22"/>
          <w:szCs w:val="22"/>
        </w:rPr>
        <w:t>ly framed in the evaluation report</w:t>
      </w:r>
      <w:r w:rsidRPr="00AC49B0">
        <w:rPr>
          <w:sz w:val="22"/>
          <w:szCs w:val="22"/>
        </w:rPr>
        <w:t>.</w:t>
      </w:r>
    </w:p>
    <w:p w14:paraId="67DC899A" w14:textId="77777777" w:rsidR="00C86BCE" w:rsidRPr="00AC49B0" w:rsidRDefault="00C86BCE" w:rsidP="00E47CE0">
      <w:pPr>
        <w:spacing w:line="276" w:lineRule="auto"/>
        <w:jc w:val="both"/>
        <w:rPr>
          <w:sz w:val="22"/>
          <w:szCs w:val="22"/>
        </w:rPr>
      </w:pPr>
      <w:r w:rsidRPr="00AC49B0">
        <w:rPr>
          <w:sz w:val="22"/>
          <w:szCs w:val="22"/>
        </w:rPr>
        <w:t>Three surveys were designed for each</w:t>
      </w:r>
      <w:r w:rsidR="004135FE" w:rsidRPr="00AC49B0">
        <w:rPr>
          <w:sz w:val="22"/>
          <w:szCs w:val="22"/>
        </w:rPr>
        <w:t xml:space="preserve"> </w:t>
      </w:r>
      <w:r w:rsidRPr="00AC49B0">
        <w:rPr>
          <w:sz w:val="22"/>
          <w:szCs w:val="22"/>
        </w:rPr>
        <w:t>organisation</w:t>
      </w:r>
      <w:r w:rsidR="004135FE" w:rsidRPr="00AC49B0">
        <w:rPr>
          <w:sz w:val="22"/>
          <w:szCs w:val="22"/>
        </w:rPr>
        <w:t xml:space="preserve"> involved in the HTP, </w:t>
      </w:r>
      <w:r w:rsidR="00E366CF" w:rsidRPr="00AC49B0">
        <w:rPr>
          <w:sz w:val="22"/>
          <w:szCs w:val="22"/>
        </w:rPr>
        <w:t>pilot tested to ensure questions were fully understood and that they reflected the current context of practice of the HTP implementation. These s</w:t>
      </w:r>
      <w:r w:rsidRPr="00AC49B0">
        <w:rPr>
          <w:sz w:val="22"/>
          <w:szCs w:val="22"/>
        </w:rPr>
        <w:t>urveys were administered</w:t>
      </w:r>
      <w:r w:rsidR="004135FE" w:rsidRPr="00AC49B0">
        <w:rPr>
          <w:sz w:val="22"/>
          <w:szCs w:val="22"/>
        </w:rPr>
        <w:t xml:space="preserve"> between November 2018 and February 2019 via</w:t>
      </w:r>
      <w:r w:rsidRPr="00AC49B0">
        <w:rPr>
          <w:sz w:val="22"/>
          <w:szCs w:val="22"/>
        </w:rPr>
        <w:t xml:space="preserve"> purposive and snowball sampling </w:t>
      </w:r>
      <w:r w:rsidR="00853F35" w:rsidRPr="00AC49B0">
        <w:rPr>
          <w:sz w:val="22"/>
          <w:szCs w:val="22"/>
        </w:rPr>
        <w:t>techniques</w:t>
      </w:r>
      <w:r w:rsidRPr="00AC49B0">
        <w:rPr>
          <w:sz w:val="22"/>
          <w:szCs w:val="22"/>
        </w:rPr>
        <w:t xml:space="preserve"> to ensure </w:t>
      </w:r>
      <w:r w:rsidR="00193749" w:rsidRPr="00AC49B0">
        <w:rPr>
          <w:sz w:val="22"/>
          <w:szCs w:val="22"/>
        </w:rPr>
        <w:t xml:space="preserve">staff from multi-agency settings were </w:t>
      </w:r>
      <w:r w:rsidRPr="00AC49B0">
        <w:rPr>
          <w:sz w:val="22"/>
          <w:szCs w:val="22"/>
        </w:rPr>
        <w:t>effectively targeted</w:t>
      </w:r>
      <w:r w:rsidR="004135FE" w:rsidRPr="00AC49B0">
        <w:rPr>
          <w:sz w:val="22"/>
          <w:szCs w:val="22"/>
        </w:rPr>
        <w:t xml:space="preserve">. </w:t>
      </w:r>
      <w:r w:rsidR="00E366CF" w:rsidRPr="00AC49B0">
        <w:rPr>
          <w:sz w:val="22"/>
          <w:szCs w:val="22"/>
        </w:rPr>
        <w:t xml:space="preserve">Data collection </w:t>
      </w:r>
      <w:r w:rsidR="00220363" w:rsidRPr="00AC49B0">
        <w:rPr>
          <w:sz w:val="22"/>
          <w:szCs w:val="22"/>
        </w:rPr>
        <w:t xml:space="preserve">formally ceased at the end of April 2019. </w:t>
      </w:r>
      <w:r w:rsidR="00E366CF" w:rsidRPr="00AC49B0">
        <w:rPr>
          <w:sz w:val="22"/>
          <w:szCs w:val="22"/>
        </w:rPr>
        <w:t xml:space="preserve"> </w:t>
      </w:r>
    </w:p>
    <w:p w14:paraId="1297C63B" w14:textId="77777777" w:rsidR="00C86BCE" w:rsidRPr="00AC49B0" w:rsidRDefault="00220363" w:rsidP="00220363">
      <w:pPr>
        <w:spacing w:line="276" w:lineRule="auto"/>
        <w:jc w:val="both"/>
        <w:rPr>
          <w:sz w:val="22"/>
          <w:szCs w:val="22"/>
        </w:rPr>
      </w:pPr>
      <w:r w:rsidRPr="00AC49B0">
        <w:rPr>
          <w:sz w:val="22"/>
          <w:szCs w:val="22"/>
        </w:rPr>
        <w:t>An initial s</w:t>
      </w:r>
      <w:r w:rsidR="004135FE" w:rsidRPr="00AC49B0">
        <w:rPr>
          <w:sz w:val="22"/>
          <w:szCs w:val="22"/>
        </w:rPr>
        <w:t>coping</w:t>
      </w:r>
      <w:r w:rsidRPr="00AC49B0">
        <w:rPr>
          <w:sz w:val="22"/>
          <w:szCs w:val="22"/>
        </w:rPr>
        <w:t xml:space="preserve"> exercise</w:t>
      </w:r>
      <w:r w:rsidR="004135FE" w:rsidRPr="00AC49B0">
        <w:rPr>
          <w:sz w:val="22"/>
          <w:szCs w:val="22"/>
        </w:rPr>
        <w:t xml:space="preserve"> revealed care </w:t>
      </w:r>
      <w:r w:rsidR="00C86BCE" w:rsidRPr="00AC49B0">
        <w:rPr>
          <w:sz w:val="22"/>
          <w:szCs w:val="22"/>
        </w:rPr>
        <w:t xml:space="preserve">home residents admitted to hospital progressed through a variety of </w:t>
      </w:r>
      <w:r w:rsidR="00193749" w:rsidRPr="00AC49B0">
        <w:rPr>
          <w:sz w:val="22"/>
          <w:szCs w:val="22"/>
        </w:rPr>
        <w:t xml:space="preserve">organisational infrastructures </w:t>
      </w:r>
      <w:r w:rsidRPr="00AC49B0">
        <w:rPr>
          <w:sz w:val="22"/>
          <w:szCs w:val="22"/>
        </w:rPr>
        <w:t xml:space="preserve">which had a </w:t>
      </w:r>
      <w:r w:rsidR="004135FE" w:rsidRPr="00AC49B0">
        <w:rPr>
          <w:sz w:val="22"/>
          <w:szCs w:val="22"/>
        </w:rPr>
        <w:t>correspondingly</w:t>
      </w:r>
      <w:r w:rsidR="00193749" w:rsidRPr="00AC49B0">
        <w:rPr>
          <w:sz w:val="22"/>
          <w:szCs w:val="22"/>
        </w:rPr>
        <w:t xml:space="preserve"> diverse range of </w:t>
      </w:r>
      <w:r w:rsidR="004135FE" w:rsidRPr="00AC49B0">
        <w:rPr>
          <w:sz w:val="22"/>
          <w:szCs w:val="22"/>
        </w:rPr>
        <w:t>interactions</w:t>
      </w:r>
      <w:r w:rsidR="00193749" w:rsidRPr="00AC49B0">
        <w:rPr>
          <w:sz w:val="22"/>
          <w:szCs w:val="22"/>
        </w:rPr>
        <w:t xml:space="preserve"> with </w:t>
      </w:r>
      <w:r w:rsidR="00C86BCE" w:rsidRPr="00AC49B0">
        <w:rPr>
          <w:sz w:val="22"/>
          <w:szCs w:val="22"/>
        </w:rPr>
        <w:t>people, places and processes</w:t>
      </w:r>
      <w:r w:rsidR="004135FE" w:rsidRPr="00AC49B0">
        <w:rPr>
          <w:sz w:val="22"/>
          <w:szCs w:val="22"/>
        </w:rPr>
        <w:t>.</w:t>
      </w:r>
      <w:r w:rsidR="00C86BCE" w:rsidRPr="00AC49B0">
        <w:rPr>
          <w:sz w:val="22"/>
          <w:szCs w:val="22"/>
        </w:rPr>
        <w:t xml:space="preserve">  </w:t>
      </w:r>
      <w:r w:rsidRPr="00AC49B0">
        <w:rPr>
          <w:sz w:val="22"/>
          <w:szCs w:val="22"/>
        </w:rPr>
        <w:t xml:space="preserve">We triangulated data findings by subcontracting the North East Ambulance Service (NEAS) </w:t>
      </w:r>
      <w:r w:rsidR="00C86BCE" w:rsidRPr="00AC49B0">
        <w:rPr>
          <w:sz w:val="22"/>
          <w:szCs w:val="22"/>
        </w:rPr>
        <w:t>to</w:t>
      </w:r>
      <w:r w:rsidR="0011794C" w:rsidRPr="00AC49B0">
        <w:rPr>
          <w:sz w:val="22"/>
          <w:szCs w:val="22"/>
        </w:rPr>
        <w:t xml:space="preserve"> both</w:t>
      </w:r>
      <w:r w:rsidR="00C86BCE" w:rsidRPr="00AC49B0">
        <w:rPr>
          <w:sz w:val="22"/>
          <w:szCs w:val="22"/>
        </w:rPr>
        <w:t xml:space="preserve"> advise on this phase of the evaluation </w:t>
      </w:r>
      <w:proofErr w:type="gramStart"/>
      <w:r w:rsidR="00C86BCE" w:rsidRPr="00AC49B0">
        <w:rPr>
          <w:sz w:val="22"/>
          <w:szCs w:val="22"/>
        </w:rPr>
        <w:t xml:space="preserve">and </w:t>
      </w:r>
      <w:r w:rsidRPr="00AC49B0">
        <w:rPr>
          <w:sz w:val="22"/>
          <w:szCs w:val="22"/>
        </w:rPr>
        <w:t>also</w:t>
      </w:r>
      <w:proofErr w:type="gramEnd"/>
      <w:r w:rsidRPr="00AC49B0">
        <w:rPr>
          <w:sz w:val="22"/>
          <w:szCs w:val="22"/>
        </w:rPr>
        <w:t xml:space="preserve"> to </w:t>
      </w:r>
      <w:r w:rsidR="00C86BCE" w:rsidRPr="00AC49B0">
        <w:rPr>
          <w:sz w:val="22"/>
          <w:szCs w:val="22"/>
        </w:rPr>
        <w:t xml:space="preserve">collect </w:t>
      </w:r>
      <w:r w:rsidRPr="00AC49B0">
        <w:rPr>
          <w:sz w:val="22"/>
          <w:szCs w:val="22"/>
        </w:rPr>
        <w:t xml:space="preserve">parallel experiential </w:t>
      </w:r>
      <w:r w:rsidR="00C86BCE" w:rsidRPr="00AC49B0">
        <w:rPr>
          <w:sz w:val="22"/>
          <w:szCs w:val="22"/>
        </w:rPr>
        <w:t xml:space="preserve">data from paramedics.  </w:t>
      </w:r>
    </w:p>
    <w:p w14:paraId="639C892B" w14:textId="77777777" w:rsidR="00C86BCE" w:rsidRPr="00AC49B0" w:rsidRDefault="00220363" w:rsidP="00E47CE0">
      <w:pPr>
        <w:spacing w:line="276" w:lineRule="auto"/>
        <w:jc w:val="both"/>
        <w:rPr>
          <w:sz w:val="22"/>
          <w:szCs w:val="22"/>
        </w:rPr>
      </w:pPr>
      <w:r w:rsidRPr="00AC49B0">
        <w:rPr>
          <w:sz w:val="22"/>
          <w:szCs w:val="22"/>
        </w:rPr>
        <w:t xml:space="preserve">A </w:t>
      </w:r>
      <w:r w:rsidR="00C86BCE" w:rsidRPr="00AC49B0">
        <w:rPr>
          <w:sz w:val="22"/>
          <w:szCs w:val="22"/>
        </w:rPr>
        <w:t>thematic analytic approach</w:t>
      </w:r>
      <w:r w:rsidRPr="00AC49B0">
        <w:rPr>
          <w:sz w:val="22"/>
          <w:szCs w:val="22"/>
        </w:rPr>
        <w:t xml:space="preserve"> was adopted in the data analysis phase of the research. This entailed the identification of specific themes and categories and the generation of codes from them </w:t>
      </w:r>
      <w:r w:rsidR="00C86BCE" w:rsidRPr="00AC49B0">
        <w:rPr>
          <w:sz w:val="22"/>
          <w:szCs w:val="22"/>
        </w:rPr>
        <w:fldChar w:fldCharType="begin"/>
      </w:r>
      <w:r w:rsidR="00573BDF" w:rsidRPr="00AC49B0">
        <w:rPr>
          <w:sz w:val="22"/>
          <w:szCs w:val="22"/>
        </w:rPr>
        <w:instrText xml:space="preserve"> ADDIN EN.CITE &lt;EndNote&gt;&lt;Cite&gt;&lt;Author&gt;Robson&lt;/Author&gt;&lt;Year&gt;2011&lt;/Year&gt;&lt;RecNum&gt;726&lt;/RecNum&gt;&lt;DisplayText&gt;(3)&lt;/DisplayText&gt;&lt;record&gt;&lt;rec-number&gt;726&lt;/rec-number&gt;&lt;foreign-keys&gt;&lt;key app="EN" db-id="saz9raftmsa2dbex2x05fvaas25vwxpdpe5s" timestamp="0"&gt;726&lt;/key&gt;&lt;/foreign-keys&gt;&lt;ref-type name="Book"&gt;6&lt;/ref-type&gt;&lt;contributors&gt;&lt;authors&gt;&lt;author&gt;Robson, C.&lt;/author&gt;&lt;/authors&gt;&lt;/contributors&gt;&lt;titles&gt;&lt;title&gt;Real world research&lt;/title&gt;&lt;/titles&gt;&lt;edition&gt;3rd&lt;/edition&gt;&lt;dates&gt;&lt;year&gt;2011&lt;/year&gt;&lt;/dates&gt;&lt;pub-location&gt;Chichester&lt;/pub-location&gt;&lt;publisher&gt;John Wiley&lt;/publisher&gt;&lt;urls&gt;&lt;/urls&gt;&lt;/record&gt;&lt;/Cite&gt;&lt;/EndNote&gt;</w:instrText>
      </w:r>
      <w:r w:rsidR="00C86BCE" w:rsidRPr="00AC49B0">
        <w:rPr>
          <w:sz w:val="22"/>
          <w:szCs w:val="22"/>
        </w:rPr>
        <w:fldChar w:fldCharType="separate"/>
      </w:r>
      <w:r w:rsidR="00573BDF" w:rsidRPr="00AC49B0">
        <w:rPr>
          <w:noProof/>
          <w:sz w:val="22"/>
          <w:szCs w:val="22"/>
        </w:rPr>
        <w:t>(</w:t>
      </w:r>
      <w:r w:rsidR="00747094" w:rsidRPr="00AC49B0">
        <w:rPr>
          <w:sz w:val="22"/>
          <w:szCs w:val="22"/>
        </w:rPr>
        <w:t>Denzin and Lincoln</w:t>
      </w:r>
      <w:r w:rsidR="00D83AB5" w:rsidRPr="00AC49B0">
        <w:rPr>
          <w:noProof/>
          <w:sz w:val="22"/>
          <w:szCs w:val="22"/>
        </w:rPr>
        <w:t>, 2011</w:t>
      </w:r>
      <w:r w:rsidR="00573BDF" w:rsidRPr="00AC49B0">
        <w:rPr>
          <w:noProof/>
          <w:sz w:val="22"/>
          <w:szCs w:val="22"/>
        </w:rPr>
        <w:t>)</w:t>
      </w:r>
      <w:r w:rsidR="00C86BCE" w:rsidRPr="00AC49B0">
        <w:rPr>
          <w:sz w:val="22"/>
          <w:szCs w:val="22"/>
        </w:rPr>
        <w:fldChar w:fldCharType="end"/>
      </w:r>
      <w:r w:rsidR="00C86BCE" w:rsidRPr="00AC49B0">
        <w:rPr>
          <w:sz w:val="22"/>
          <w:szCs w:val="22"/>
        </w:rPr>
        <w:t xml:space="preserve">.  </w:t>
      </w:r>
      <w:r w:rsidRPr="00AC49B0">
        <w:rPr>
          <w:sz w:val="22"/>
          <w:szCs w:val="22"/>
        </w:rPr>
        <w:t xml:space="preserve">Final codes were agreed by consensus between the </w:t>
      </w:r>
      <w:r w:rsidR="00C86BCE" w:rsidRPr="00AC49B0">
        <w:rPr>
          <w:sz w:val="22"/>
          <w:szCs w:val="22"/>
        </w:rPr>
        <w:t>research team</w:t>
      </w:r>
      <w:r w:rsidRPr="00AC49B0">
        <w:rPr>
          <w:sz w:val="22"/>
          <w:szCs w:val="22"/>
        </w:rPr>
        <w:t xml:space="preserve">, where they were specifically </w:t>
      </w:r>
      <w:r w:rsidR="00C86BCE" w:rsidRPr="00AC49B0">
        <w:rPr>
          <w:sz w:val="22"/>
          <w:szCs w:val="22"/>
        </w:rPr>
        <w:t>grouped into themes in the context of the</w:t>
      </w:r>
      <w:r w:rsidR="00294B81" w:rsidRPr="00AC49B0">
        <w:rPr>
          <w:sz w:val="22"/>
          <w:szCs w:val="22"/>
        </w:rPr>
        <w:t>ir</w:t>
      </w:r>
      <w:r w:rsidR="00C86BCE" w:rsidRPr="00AC49B0">
        <w:rPr>
          <w:sz w:val="22"/>
          <w:szCs w:val="22"/>
        </w:rPr>
        <w:t xml:space="preserve"> relevance to the research questions</w:t>
      </w:r>
      <w:r w:rsidR="00294B81" w:rsidRPr="00AC49B0">
        <w:rPr>
          <w:sz w:val="22"/>
          <w:szCs w:val="22"/>
        </w:rPr>
        <w:t xml:space="preserve"> and</w:t>
      </w:r>
      <w:r w:rsidR="00C86BCE" w:rsidRPr="00AC49B0">
        <w:rPr>
          <w:sz w:val="22"/>
          <w:szCs w:val="22"/>
        </w:rPr>
        <w:t xml:space="preserve"> interpretation of the social processes in the organisations.</w:t>
      </w:r>
    </w:p>
    <w:p w14:paraId="07471842" w14:textId="77777777" w:rsidR="00C86BCE" w:rsidRPr="00AC49B0" w:rsidRDefault="00C86BCE" w:rsidP="00E47CE0">
      <w:pPr>
        <w:spacing w:line="276" w:lineRule="auto"/>
        <w:jc w:val="both"/>
        <w:rPr>
          <w:sz w:val="22"/>
          <w:szCs w:val="22"/>
        </w:rPr>
      </w:pPr>
      <w:r w:rsidRPr="00AC49B0">
        <w:rPr>
          <w:sz w:val="22"/>
          <w:szCs w:val="22"/>
        </w:rPr>
        <w:t xml:space="preserve">A constant comparative framework was implemented, where data was </w:t>
      </w:r>
      <w:r w:rsidR="006276AF" w:rsidRPr="00AC49B0">
        <w:rPr>
          <w:sz w:val="22"/>
          <w:szCs w:val="22"/>
        </w:rPr>
        <w:t>iteratively</w:t>
      </w:r>
      <w:r w:rsidRPr="00AC49B0">
        <w:rPr>
          <w:sz w:val="22"/>
          <w:szCs w:val="22"/>
        </w:rPr>
        <w:t xml:space="preserve"> compared with other collated data, which facilitated the identification of tacit me</w:t>
      </w:r>
      <w:r w:rsidR="006276AF" w:rsidRPr="00AC49B0">
        <w:rPr>
          <w:sz w:val="22"/>
          <w:szCs w:val="22"/>
        </w:rPr>
        <w:t>aning</w:t>
      </w:r>
      <w:r w:rsidRPr="00AC49B0">
        <w:rPr>
          <w:sz w:val="22"/>
          <w:szCs w:val="22"/>
        </w:rPr>
        <w:t xml:space="preserve"> and actions </w:t>
      </w:r>
      <w:r w:rsidRPr="00AC49B0">
        <w:rPr>
          <w:sz w:val="22"/>
          <w:szCs w:val="22"/>
        </w:rPr>
        <w:lastRenderedPageBreak/>
        <w:t xml:space="preserve">underlying specific processes </w:t>
      </w:r>
      <w:r w:rsidRPr="00AC49B0">
        <w:rPr>
          <w:sz w:val="22"/>
          <w:szCs w:val="22"/>
        </w:rPr>
        <w:fldChar w:fldCharType="begin"/>
      </w:r>
      <w:r w:rsidR="00573BDF" w:rsidRPr="00AC49B0">
        <w:rPr>
          <w:sz w:val="22"/>
          <w:szCs w:val="22"/>
        </w:rPr>
        <w:instrText xml:space="preserve"> ADDIN EN.CITE &lt;EndNote&gt;&lt;Cite&gt;&lt;Author&gt;Charmaz&lt;/Author&gt;&lt;Year&gt;2014&lt;/Year&gt;&lt;RecNum&gt;159&lt;/RecNum&gt;&lt;DisplayText&gt;(6)&lt;/DisplayText&gt;&lt;record&gt;&lt;rec-number&gt;159&lt;/rec-number&gt;&lt;foreign-keys&gt;&lt;key app="EN" db-id="saz9raftmsa2dbex2x05fvaas25vwxpdpe5s" timestamp="0"&gt;159&lt;/key&gt;&lt;/foreign-keys&gt;&lt;ref-type name="Book"&gt;6&lt;/ref-type&gt;&lt;contributors&gt;&lt;authors&gt;&lt;author&gt;Charmaz, K.&lt;/author&gt;&lt;/authors&gt;&lt;/contributors&gt;&lt;titles&gt;&lt;title&gt;Constructing grounded theory. 2nd edn&lt;/title&gt;&lt;/titles&gt;&lt;edition&gt;2nd&lt;/edition&gt;&lt;dates&gt;&lt;year&gt;2014&lt;/year&gt;&lt;/dates&gt;&lt;pub-location&gt;London&lt;/pub-location&gt;&lt;publisher&gt;Sage&lt;/publisher&gt;&lt;isbn&gt;978-0-85702-9140&lt;/isbn&gt;&lt;urls&gt;&lt;/urls&gt;&lt;/record&gt;&lt;/Cite&gt;&lt;/EndNote&gt;</w:instrText>
      </w:r>
      <w:r w:rsidRPr="00AC49B0">
        <w:rPr>
          <w:sz w:val="22"/>
          <w:szCs w:val="22"/>
        </w:rPr>
        <w:fldChar w:fldCharType="separate"/>
      </w:r>
      <w:r w:rsidR="00747094" w:rsidRPr="00AC49B0">
        <w:rPr>
          <w:noProof/>
          <w:sz w:val="22"/>
          <w:szCs w:val="22"/>
        </w:rPr>
        <w:t>(Charmaz, 2014</w:t>
      </w:r>
      <w:r w:rsidR="00573BDF" w:rsidRPr="00AC49B0">
        <w:rPr>
          <w:noProof/>
          <w:sz w:val="22"/>
          <w:szCs w:val="22"/>
        </w:rPr>
        <w:t>)</w:t>
      </w:r>
      <w:r w:rsidRPr="00AC49B0">
        <w:rPr>
          <w:sz w:val="22"/>
          <w:szCs w:val="22"/>
        </w:rPr>
        <w:fldChar w:fldCharType="end"/>
      </w:r>
      <w:r w:rsidRPr="00AC49B0">
        <w:rPr>
          <w:sz w:val="22"/>
          <w:szCs w:val="22"/>
        </w:rPr>
        <w:t>.</w:t>
      </w:r>
      <w:r w:rsidR="0066486B" w:rsidRPr="00AC49B0">
        <w:rPr>
          <w:sz w:val="22"/>
          <w:szCs w:val="22"/>
        </w:rPr>
        <w:t xml:space="preserve"> </w:t>
      </w:r>
      <w:r w:rsidR="006276AF" w:rsidRPr="00AC49B0">
        <w:rPr>
          <w:sz w:val="22"/>
          <w:szCs w:val="22"/>
        </w:rPr>
        <w:t>C</w:t>
      </w:r>
      <w:r w:rsidRPr="00AC49B0">
        <w:rPr>
          <w:sz w:val="22"/>
          <w:szCs w:val="22"/>
        </w:rPr>
        <w:t>onsensus on the final confirmed</w:t>
      </w:r>
      <w:r w:rsidR="006276AF" w:rsidRPr="00AC49B0">
        <w:rPr>
          <w:sz w:val="22"/>
          <w:szCs w:val="22"/>
        </w:rPr>
        <w:t xml:space="preserve"> set of themes was </w:t>
      </w:r>
      <w:r w:rsidRPr="00AC49B0">
        <w:rPr>
          <w:sz w:val="22"/>
          <w:szCs w:val="22"/>
        </w:rPr>
        <w:t>agreed</w:t>
      </w:r>
      <w:r w:rsidR="006276AF" w:rsidRPr="00AC49B0">
        <w:rPr>
          <w:sz w:val="22"/>
          <w:szCs w:val="22"/>
        </w:rPr>
        <w:t xml:space="preserve"> collectively</w:t>
      </w:r>
      <w:r w:rsidRPr="00AC49B0">
        <w:rPr>
          <w:sz w:val="22"/>
          <w:szCs w:val="22"/>
        </w:rPr>
        <w:t xml:space="preserve"> between research team members.</w:t>
      </w:r>
    </w:p>
    <w:p w14:paraId="4D7A4317" w14:textId="77777777" w:rsidR="003E5549" w:rsidRPr="00AC49B0" w:rsidRDefault="00543186" w:rsidP="00E47CE0">
      <w:pPr>
        <w:pStyle w:val="Heading2"/>
        <w:spacing w:line="276" w:lineRule="auto"/>
        <w:jc w:val="both"/>
        <w:rPr>
          <w:rFonts w:ascii="Arial" w:hAnsi="Arial" w:cs="Arial"/>
          <w:b/>
          <w:color w:val="auto"/>
          <w:sz w:val="22"/>
          <w:szCs w:val="22"/>
        </w:rPr>
      </w:pPr>
      <w:r w:rsidRPr="00AC49B0">
        <w:rPr>
          <w:rFonts w:ascii="Arial" w:hAnsi="Arial" w:cs="Arial"/>
          <w:b/>
          <w:color w:val="auto"/>
          <w:sz w:val="22"/>
          <w:szCs w:val="22"/>
        </w:rPr>
        <w:t>Overview of the principles of RE-AIM Framework for the evaluation</w:t>
      </w:r>
    </w:p>
    <w:p w14:paraId="666C9C26" w14:textId="77777777" w:rsidR="007D3338" w:rsidRPr="00AC49B0" w:rsidRDefault="00220363" w:rsidP="00E47CE0">
      <w:pPr>
        <w:spacing w:line="276" w:lineRule="auto"/>
        <w:jc w:val="both"/>
        <w:rPr>
          <w:sz w:val="22"/>
          <w:szCs w:val="22"/>
        </w:rPr>
      </w:pPr>
      <w:r w:rsidRPr="00AC49B0">
        <w:rPr>
          <w:sz w:val="22"/>
          <w:szCs w:val="22"/>
        </w:rPr>
        <w:t>The research team adopted a formal framework abbreviated to RE-AIM, and can be seen in Table 1. We mapped out and were guided by this framework in our analysis of the</w:t>
      </w:r>
      <w:r w:rsidR="00C86BCE" w:rsidRPr="00AC49B0">
        <w:rPr>
          <w:sz w:val="22"/>
          <w:szCs w:val="22"/>
        </w:rPr>
        <w:t xml:space="preserve"> </w:t>
      </w:r>
      <w:r w:rsidR="00802220" w:rsidRPr="00AC49B0">
        <w:rPr>
          <w:sz w:val="22"/>
          <w:szCs w:val="22"/>
        </w:rPr>
        <w:t xml:space="preserve">implementation and </w:t>
      </w:r>
      <w:r w:rsidR="00C86BCE" w:rsidRPr="00AC49B0">
        <w:rPr>
          <w:sz w:val="22"/>
          <w:szCs w:val="22"/>
        </w:rPr>
        <w:t xml:space="preserve">adoption of the </w:t>
      </w:r>
      <w:r w:rsidR="00E428FD" w:rsidRPr="00AC49B0">
        <w:rPr>
          <w:sz w:val="22"/>
          <w:szCs w:val="22"/>
        </w:rPr>
        <w:t>Red Bag</w:t>
      </w:r>
      <w:r w:rsidR="00C86BCE" w:rsidRPr="00AC49B0">
        <w:rPr>
          <w:sz w:val="22"/>
          <w:szCs w:val="22"/>
        </w:rPr>
        <w:t>.</w:t>
      </w:r>
      <w:r w:rsidR="005A3C92" w:rsidRPr="00AC49B0">
        <w:rPr>
          <w:sz w:val="22"/>
          <w:szCs w:val="22"/>
        </w:rPr>
        <w:t xml:space="preserve"> </w:t>
      </w:r>
      <w:r w:rsidRPr="00AC49B0">
        <w:rPr>
          <w:sz w:val="22"/>
          <w:szCs w:val="22"/>
        </w:rPr>
        <w:t>As illustrated in Table 1, t</w:t>
      </w:r>
      <w:r w:rsidR="005A3C92" w:rsidRPr="00AC49B0">
        <w:rPr>
          <w:sz w:val="22"/>
          <w:szCs w:val="22"/>
        </w:rPr>
        <w:t>he framework consists of five dimensions</w:t>
      </w:r>
      <w:r w:rsidR="00C86BCE" w:rsidRPr="00AC49B0">
        <w:rPr>
          <w:sz w:val="22"/>
          <w:szCs w:val="22"/>
        </w:rPr>
        <w:t xml:space="preserve"> (reach, effectiveness, adoption, implementation, </w:t>
      </w:r>
      <w:r w:rsidR="00364E5B" w:rsidRPr="00AC49B0">
        <w:rPr>
          <w:sz w:val="22"/>
          <w:szCs w:val="22"/>
        </w:rPr>
        <w:t>maintenance) which can be used to</w:t>
      </w:r>
      <w:r w:rsidR="007335E7" w:rsidRPr="00AC49B0">
        <w:rPr>
          <w:sz w:val="22"/>
          <w:szCs w:val="22"/>
        </w:rPr>
        <w:t xml:space="preserve"> </w:t>
      </w:r>
      <w:r w:rsidR="00AF2720" w:rsidRPr="00AC49B0">
        <w:rPr>
          <w:sz w:val="22"/>
          <w:szCs w:val="22"/>
        </w:rPr>
        <w:t>illuminate more than just traditional outcomes</w:t>
      </w:r>
      <w:r w:rsidRPr="00AC49B0">
        <w:rPr>
          <w:sz w:val="22"/>
          <w:szCs w:val="22"/>
        </w:rPr>
        <w:t xml:space="preserve"> of whether the scheme worked and was efficient, in that it also enabled the capture of the subtle and often nuanced tacit experiences of healthcare workers</w:t>
      </w:r>
      <w:r w:rsidR="00AF2720" w:rsidRPr="00AC49B0">
        <w:rPr>
          <w:sz w:val="22"/>
          <w:szCs w:val="22"/>
        </w:rPr>
        <w:t xml:space="preserve"> </w:t>
      </w:r>
      <w:r w:rsidR="009F7E04" w:rsidRPr="00AC49B0">
        <w:rPr>
          <w:sz w:val="22"/>
          <w:szCs w:val="22"/>
        </w:rPr>
        <w:fldChar w:fldCharType="begin"/>
      </w:r>
      <w:r w:rsidR="008E34C2" w:rsidRPr="00AC49B0">
        <w:rPr>
          <w:sz w:val="22"/>
          <w:szCs w:val="22"/>
        </w:rPr>
        <w:instrText xml:space="preserve"> ADDIN EN.CITE &lt;EndNote&gt;&lt;Cite&gt;&lt;Author&gt;Holtrop&lt;/Author&gt;&lt;Year&gt;2018&lt;/Year&gt;&lt;RecNum&gt;2638&lt;/RecNum&gt;&lt;DisplayText&gt;(7)&lt;/DisplayText&gt;&lt;record&gt;&lt;rec-number&gt;2638&lt;/rec-number&gt;&lt;foreign-keys&gt;&lt;key app="EN" db-id="saz9raftmsa2dbex2x05fvaas25vwxpdpe5s" timestamp="1557648600"&gt;2638&lt;/key&gt;&lt;/foreign-keys&gt;&lt;ref-type name="Journal Article"&gt;17&lt;/ref-type&gt;&lt;contributors&gt;&lt;authors&gt;&lt;author&gt;Holtrop, Jodi Summers&lt;/author&gt;&lt;author&gt;Rabin, Borsika A.&lt;/author&gt;&lt;author&gt;Glasgow, Russell E.&lt;/author&gt;&lt;/authors&gt;&lt;/contributors&gt;&lt;titles&gt;&lt;title&gt;Qualitative approaches to use of the RE-AIM framework: rationale and methods&lt;/title&gt;&lt;secondary-title&gt;BMC health services research&lt;/secondary-title&gt;&lt;/titles&gt;&lt;periodical&gt;&lt;full-title&gt;BMC Health Services Research&lt;/full-title&gt;&lt;/periodical&gt;&lt;pages&gt;177-177&lt;/pages&gt;&lt;volume&gt;18&lt;/volume&gt;&lt;number&gt;1&lt;/number&gt;&lt;dates&gt;&lt;year&gt;2018&lt;/year&gt;&lt;/dates&gt;&lt;publisher&gt;BioMed Central&lt;/publisher&gt;&lt;isbn&gt;1472-6963&lt;/isbn&gt;&lt;accession-num&gt;29534729&lt;/accession-num&gt;&lt;urls&gt;&lt;related-urls&gt;&lt;url&gt;https://www.ncbi.nlm.nih.gov/pubmed/29534729&lt;/url&gt;&lt;url&gt;https://www.ncbi.nlm.nih.gov/pmc/PMC5851243/&lt;/url&gt;&lt;/related-urls&gt;&lt;/urls&gt;&lt;electronic-resource-num&gt;10.1186/s12913-018-2938-8&lt;/electronic-resource-num&gt;&lt;remote-database-name&gt;PubMed&lt;/remote-database-name&gt;&lt;language&gt;eng&lt;/language&gt;&lt;/record&gt;&lt;/Cite&gt;&lt;/EndNote&gt;</w:instrText>
      </w:r>
      <w:r w:rsidR="009F7E04" w:rsidRPr="00AC49B0">
        <w:rPr>
          <w:sz w:val="22"/>
          <w:szCs w:val="22"/>
        </w:rPr>
        <w:fldChar w:fldCharType="separate"/>
      </w:r>
      <w:r w:rsidR="00573BDF" w:rsidRPr="00AC49B0">
        <w:rPr>
          <w:noProof/>
          <w:sz w:val="22"/>
          <w:szCs w:val="22"/>
        </w:rPr>
        <w:t>(</w:t>
      </w:r>
      <w:r w:rsidR="00747094" w:rsidRPr="00AC49B0">
        <w:rPr>
          <w:noProof/>
          <w:sz w:val="22"/>
          <w:szCs w:val="22"/>
        </w:rPr>
        <w:t>Holtrop, Rabin  and Glasgow, 2018</w:t>
      </w:r>
      <w:r w:rsidR="00573BDF" w:rsidRPr="00AC49B0">
        <w:rPr>
          <w:noProof/>
          <w:sz w:val="22"/>
          <w:szCs w:val="22"/>
        </w:rPr>
        <w:t>)</w:t>
      </w:r>
      <w:r w:rsidR="009F7E04" w:rsidRPr="00AC49B0">
        <w:rPr>
          <w:sz w:val="22"/>
          <w:szCs w:val="22"/>
        </w:rPr>
        <w:fldChar w:fldCharType="end"/>
      </w:r>
      <w:r w:rsidR="005D7F01" w:rsidRPr="00AC49B0">
        <w:rPr>
          <w:sz w:val="22"/>
          <w:szCs w:val="22"/>
        </w:rPr>
        <w:t>.</w:t>
      </w:r>
      <w:r w:rsidR="00AC3815" w:rsidRPr="00AC49B0">
        <w:rPr>
          <w:sz w:val="22"/>
          <w:szCs w:val="22"/>
        </w:rPr>
        <w:t xml:space="preserve"> </w:t>
      </w:r>
    </w:p>
    <w:p w14:paraId="6FAF52FD" w14:textId="77777777" w:rsidR="00D620B7" w:rsidRPr="00AC49B0" w:rsidRDefault="00004FA8" w:rsidP="00E47CE0">
      <w:pPr>
        <w:pStyle w:val="Caption"/>
        <w:keepNext/>
        <w:spacing w:line="276" w:lineRule="auto"/>
        <w:jc w:val="both"/>
        <w:rPr>
          <w:color w:val="auto"/>
          <w:sz w:val="22"/>
          <w:szCs w:val="22"/>
        </w:rPr>
      </w:pPr>
      <w:bookmarkStart w:id="3" w:name="_Toc9194233"/>
      <w:r w:rsidRPr="00AC49B0">
        <w:rPr>
          <w:color w:val="auto"/>
          <w:sz w:val="22"/>
          <w:szCs w:val="22"/>
        </w:rPr>
        <w:t>Table</w:t>
      </w:r>
      <w:r w:rsidR="00D620B7" w:rsidRPr="00AC49B0">
        <w:rPr>
          <w:color w:val="auto"/>
          <w:sz w:val="22"/>
          <w:szCs w:val="22"/>
        </w:rPr>
        <w:t xml:space="preserve"> </w:t>
      </w:r>
      <w:r w:rsidR="00473161" w:rsidRPr="00AC49B0">
        <w:rPr>
          <w:color w:val="auto"/>
          <w:sz w:val="22"/>
          <w:szCs w:val="22"/>
        </w:rPr>
        <w:t>1</w:t>
      </w:r>
      <w:r w:rsidR="00D620B7" w:rsidRPr="00AC49B0">
        <w:rPr>
          <w:color w:val="auto"/>
          <w:sz w:val="22"/>
          <w:szCs w:val="22"/>
        </w:rPr>
        <w:t xml:space="preserve"> Framework for scoping the evaluation</w:t>
      </w:r>
      <w:bookmarkEnd w:id="3"/>
    </w:p>
    <w:tbl>
      <w:tblPr>
        <w:tblStyle w:val="PlainTable11"/>
        <w:tblW w:w="8926" w:type="dxa"/>
        <w:tblLook w:val="04A0" w:firstRow="1" w:lastRow="0" w:firstColumn="1" w:lastColumn="0" w:noHBand="0" w:noVBand="1"/>
      </w:tblPr>
      <w:tblGrid>
        <w:gridCol w:w="2608"/>
        <w:gridCol w:w="6318"/>
      </w:tblGrid>
      <w:tr w:rsidR="007D3338" w:rsidRPr="00AC49B0" w14:paraId="34E273B4" w14:textId="77777777" w:rsidTr="00F45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8" w:type="dxa"/>
          </w:tcPr>
          <w:p w14:paraId="340FB769" w14:textId="77777777" w:rsidR="007D3338" w:rsidRPr="00AC49B0" w:rsidRDefault="007D3338" w:rsidP="00E47CE0">
            <w:pPr>
              <w:spacing w:line="276" w:lineRule="auto"/>
              <w:jc w:val="both"/>
              <w:rPr>
                <w:b w:val="0"/>
                <w:sz w:val="22"/>
                <w:szCs w:val="22"/>
              </w:rPr>
            </w:pPr>
            <w:r w:rsidRPr="00AC49B0">
              <w:rPr>
                <w:sz w:val="22"/>
                <w:szCs w:val="22"/>
              </w:rPr>
              <w:t>RE-Aim Dimension</w:t>
            </w:r>
          </w:p>
        </w:tc>
        <w:tc>
          <w:tcPr>
            <w:tcW w:w="6318" w:type="dxa"/>
          </w:tcPr>
          <w:p w14:paraId="59FC0897" w14:textId="77777777" w:rsidR="007D3338" w:rsidRPr="00AC49B0" w:rsidRDefault="009E43B5" w:rsidP="00E47CE0">
            <w:pPr>
              <w:spacing w:line="276" w:lineRule="auto"/>
              <w:jc w:val="both"/>
              <w:cnfStyle w:val="100000000000" w:firstRow="1" w:lastRow="0" w:firstColumn="0" w:lastColumn="0" w:oddVBand="0" w:evenVBand="0" w:oddHBand="0" w:evenHBand="0" w:firstRowFirstColumn="0" w:firstRowLastColumn="0" w:lastRowFirstColumn="0" w:lastRowLastColumn="0"/>
              <w:rPr>
                <w:sz w:val="22"/>
                <w:szCs w:val="22"/>
              </w:rPr>
            </w:pPr>
            <w:r w:rsidRPr="00AC49B0">
              <w:rPr>
                <w:sz w:val="22"/>
                <w:szCs w:val="22"/>
              </w:rPr>
              <w:t>Addresses</w:t>
            </w:r>
          </w:p>
        </w:tc>
      </w:tr>
      <w:tr w:rsidR="007D3338" w:rsidRPr="00AC49B0" w14:paraId="5915571A" w14:textId="77777777" w:rsidTr="00F45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8" w:type="dxa"/>
          </w:tcPr>
          <w:p w14:paraId="6E7D9AFA" w14:textId="77777777" w:rsidR="007D3338" w:rsidRPr="00AC49B0" w:rsidRDefault="007D3338" w:rsidP="00E47CE0">
            <w:pPr>
              <w:spacing w:line="276" w:lineRule="auto"/>
              <w:jc w:val="both"/>
              <w:rPr>
                <w:sz w:val="22"/>
                <w:szCs w:val="22"/>
              </w:rPr>
            </w:pPr>
            <w:r w:rsidRPr="00AC49B0">
              <w:rPr>
                <w:sz w:val="22"/>
                <w:szCs w:val="22"/>
              </w:rPr>
              <w:t>Reach</w:t>
            </w:r>
          </w:p>
        </w:tc>
        <w:tc>
          <w:tcPr>
            <w:tcW w:w="6318" w:type="dxa"/>
          </w:tcPr>
          <w:p w14:paraId="63AF59CF" w14:textId="77777777" w:rsidR="007D3338" w:rsidRPr="00AC49B0" w:rsidRDefault="007D3338" w:rsidP="00E47CE0">
            <w:pPr>
              <w:spacing w:line="276" w:lineRule="auto"/>
              <w:jc w:val="both"/>
              <w:cnfStyle w:val="000000100000" w:firstRow="0" w:lastRow="0" w:firstColumn="0" w:lastColumn="0" w:oddVBand="0" w:evenVBand="0" w:oddHBand="1" w:evenHBand="0" w:firstRowFirstColumn="0" w:firstRowLastColumn="0" w:lastRowFirstColumn="0" w:lastRowLastColumn="0"/>
              <w:rPr>
                <w:sz w:val="22"/>
                <w:szCs w:val="22"/>
              </w:rPr>
            </w:pPr>
            <w:r w:rsidRPr="00AC49B0">
              <w:rPr>
                <w:sz w:val="22"/>
                <w:szCs w:val="22"/>
              </w:rPr>
              <w:t>Define participant</w:t>
            </w:r>
            <w:r w:rsidR="00C15E6D" w:rsidRPr="00AC49B0">
              <w:rPr>
                <w:sz w:val="22"/>
                <w:szCs w:val="22"/>
              </w:rPr>
              <w:t>s across the organisations involved</w:t>
            </w:r>
            <w:r w:rsidR="009F516D" w:rsidRPr="00AC49B0">
              <w:rPr>
                <w:sz w:val="22"/>
                <w:szCs w:val="22"/>
              </w:rPr>
              <w:t xml:space="preserve"> </w:t>
            </w:r>
          </w:p>
        </w:tc>
      </w:tr>
      <w:tr w:rsidR="007D3338" w:rsidRPr="00AC49B0" w14:paraId="07FFAEB2" w14:textId="77777777" w:rsidTr="00F458CC">
        <w:tc>
          <w:tcPr>
            <w:cnfStyle w:val="001000000000" w:firstRow="0" w:lastRow="0" w:firstColumn="1" w:lastColumn="0" w:oddVBand="0" w:evenVBand="0" w:oddHBand="0" w:evenHBand="0" w:firstRowFirstColumn="0" w:firstRowLastColumn="0" w:lastRowFirstColumn="0" w:lastRowLastColumn="0"/>
            <w:tcW w:w="2608" w:type="dxa"/>
          </w:tcPr>
          <w:p w14:paraId="22BB78C8" w14:textId="77777777" w:rsidR="007D3338" w:rsidRPr="00AC49B0" w:rsidRDefault="007D3338" w:rsidP="00E47CE0">
            <w:pPr>
              <w:spacing w:line="276" w:lineRule="auto"/>
              <w:jc w:val="both"/>
              <w:rPr>
                <w:sz w:val="22"/>
                <w:szCs w:val="22"/>
              </w:rPr>
            </w:pPr>
            <w:r w:rsidRPr="00AC49B0">
              <w:rPr>
                <w:sz w:val="22"/>
                <w:szCs w:val="22"/>
              </w:rPr>
              <w:t>Effectiveness</w:t>
            </w:r>
          </w:p>
        </w:tc>
        <w:tc>
          <w:tcPr>
            <w:tcW w:w="6318" w:type="dxa"/>
          </w:tcPr>
          <w:p w14:paraId="0D155F8F" w14:textId="77777777" w:rsidR="007D3338" w:rsidRPr="00AC49B0" w:rsidRDefault="007D3338" w:rsidP="00E47CE0">
            <w:pPr>
              <w:spacing w:line="276" w:lineRule="auto"/>
              <w:jc w:val="both"/>
              <w:cnfStyle w:val="000000000000" w:firstRow="0" w:lastRow="0" w:firstColumn="0" w:lastColumn="0" w:oddVBand="0" w:evenVBand="0" w:oddHBand="0" w:evenHBand="0" w:firstRowFirstColumn="0" w:firstRowLastColumn="0" w:lastRowFirstColumn="0" w:lastRowLastColumn="0"/>
              <w:rPr>
                <w:sz w:val="22"/>
                <w:szCs w:val="22"/>
              </w:rPr>
            </w:pPr>
            <w:r w:rsidRPr="00AC49B0">
              <w:rPr>
                <w:sz w:val="22"/>
                <w:szCs w:val="22"/>
              </w:rPr>
              <w:t xml:space="preserve">Define </w:t>
            </w:r>
            <w:r w:rsidR="00C15E6D" w:rsidRPr="00AC49B0">
              <w:rPr>
                <w:sz w:val="22"/>
                <w:szCs w:val="22"/>
              </w:rPr>
              <w:t>benefits that are trying to be achieved and identify any negative consequences</w:t>
            </w:r>
          </w:p>
        </w:tc>
      </w:tr>
      <w:tr w:rsidR="007D3338" w:rsidRPr="00AC49B0" w14:paraId="1C4E85A9" w14:textId="77777777" w:rsidTr="00F45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8" w:type="dxa"/>
          </w:tcPr>
          <w:p w14:paraId="76DD898D" w14:textId="77777777" w:rsidR="007D3338" w:rsidRPr="00AC49B0" w:rsidRDefault="007D3338" w:rsidP="00E47CE0">
            <w:pPr>
              <w:spacing w:line="276" w:lineRule="auto"/>
              <w:jc w:val="both"/>
              <w:rPr>
                <w:sz w:val="22"/>
                <w:szCs w:val="22"/>
              </w:rPr>
            </w:pPr>
            <w:r w:rsidRPr="00AC49B0">
              <w:rPr>
                <w:sz w:val="22"/>
                <w:szCs w:val="22"/>
              </w:rPr>
              <w:t>Adoption</w:t>
            </w:r>
          </w:p>
        </w:tc>
        <w:tc>
          <w:tcPr>
            <w:tcW w:w="6318" w:type="dxa"/>
          </w:tcPr>
          <w:p w14:paraId="2BF2CA7A" w14:textId="77777777" w:rsidR="007D3338" w:rsidRPr="00AC49B0" w:rsidRDefault="00272232" w:rsidP="00E47CE0">
            <w:pPr>
              <w:spacing w:line="276" w:lineRule="auto"/>
              <w:jc w:val="both"/>
              <w:cnfStyle w:val="000000100000" w:firstRow="0" w:lastRow="0" w:firstColumn="0" w:lastColumn="0" w:oddVBand="0" w:evenVBand="0" w:oddHBand="1" w:evenHBand="0" w:firstRowFirstColumn="0" w:firstRowLastColumn="0" w:lastRowFirstColumn="0" w:lastRowLastColumn="0"/>
              <w:rPr>
                <w:sz w:val="22"/>
                <w:szCs w:val="22"/>
              </w:rPr>
            </w:pPr>
            <w:r w:rsidRPr="00AC49B0">
              <w:rPr>
                <w:sz w:val="22"/>
                <w:szCs w:val="22"/>
              </w:rPr>
              <w:t xml:space="preserve">Where is the </w:t>
            </w:r>
            <w:r w:rsidR="00841F20" w:rsidRPr="00AC49B0">
              <w:rPr>
                <w:sz w:val="22"/>
                <w:szCs w:val="22"/>
              </w:rPr>
              <w:t>HTP</w:t>
            </w:r>
            <w:r w:rsidRPr="00AC49B0">
              <w:rPr>
                <w:sz w:val="22"/>
                <w:szCs w:val="22"/>
              </w:rPr>
              <w:t xml:space="preserve"> being applied and who is applying it?</w:t>
            </w:r>
            <w:r w:rsidR="007D3338" w:rsidRPr="00AC49B0">
              <w:rPr>
                <w:sz w:val="22"/>
                <w:szCs w:val="22"/>
              </w:rPr>
              <w:t xml:space="preserve"> </w:t>
            </w:r>
          </w:p>
        </w:tc>
      </w:tr>
      <w:tr w:rsidR="007D3338" w:rsidRPr="00AC49B0" w14:paraId="56B71C75" w14:textId="77777777" w:rsidTr="00F458CC">
        <w:tc>
          <w:tcPr>
            <w:cnfStyle w:val="001000000000" w:firstRow="0" w:lastRow="0" w:firstColumn="1" w:lastColumn="0" w:oddVBand="0" w:evenVBand="0" w:oddHBand="0" w:evenHBand="0" w:firstRowFirstColumn="0" w:firstRowLastColumn="0" w:lastRowFirstColumn="0" w:lastRowLastColumn="0"/>
            <w:tcW w:w="2608" w:type="dxa"/>
          </w:tcPr>
          <w:p w14:paraId="0B6A67FC" w14:textId="77777777" w:rsidR="007D3338" w:rsidRPr="00AC49B0" w:rsidRDefault="007D3338" w:rsidP="00E47CE0">
            <w:pPr>
              <w:spacing w:line="276" w:lineRule="auto"/>
              <w:jc w:val="both"/>
              <w:rPr>
                <w:sz w:val="22"/>
                <w:szCs w:val="22"/>
              </w:rPr>
            </w:pPr>
            <w:r w:rsidRPr="00AC49B0">
              <w:rPr>
                <w:sz w:val="22"/>
                <w:szCs w:val="22"/>
              </w:rPr>
              <w:t>Implementation</w:t>
            </w:r>
          </w:p>
        </w:tc>
        <w:tc>
          <w:tcPr>
            <w:tcW w:w="6318" w:type="dxa"/>
          </w:tcPr>
          <w:p w14:paraId="0C23DBE2" w14:textId="77777777" w:rsidR="007D3338" w:rsidRPr="00AC49B0" w:rsidRDefault="00272232" w:rsidP="00E47CE0">
            <w:pPr>
              <w:spacing w:line="276" w:lineRule="auto"/>
              <w:jc w:val="both"/>
              <w:cnfStyle w:val="000000000000" w:firstRow="0" w:lastRow="0" w:firstColumn="0" w:lastColumn="0" w:oddVBand="0" w:evenVBand="0" w:oddHBand="0" w:evenHBand="0" w:firstRowFirstColumn="0" w:firstRowLastColumn="0" w:lastRowFirstColumn="0" w:lastRowLastColumn="0"/>
              <w:rPr>
                <w:sz w:val="22"/>
                <w:szCs w:val="22"/>
              </w:rPr>
            </w:pPr>
            <w:r w:rsidRPr="00AC49B0">
              <w:rPr>
                <w:sz w:val="22"/>
                <w:szCs w:val="22"/>
              </w:rPr>
              <w:t>How consistently is t</w:t>
            </w:r>
            <w:r w:rsidR="006E5F30" w:rsidRPr="00AC49B0">
              <w:rPr>
                <w:sz w:val="22"/>
                <w:szCs w:val="22"/>
              </w:rPr>
              <w:t xml:space="preserve">he </w:t>
            </w:r>
            <w:r w:rsidR="00E428FD" w:rsidRPr="00AC49B0">
              <w:rPr>
                <w:sz w:val="22"/>
                <w:szCs w:val="22"/>
              </w:rPr>
              <w:t>Red Bag</w:t>
            </w:r>
            <w:r w:rsidR="006E5F30" w:rsidRPr="00AC49B0">
              <w:rPr>
                <w:sz w:val="22"/>
                <w:szCs w:val="22"/>
              </w:rPr>
              <w:t xml:space="preserve"> scheme being applied, what are the barriers and enablers and, how </w:t>
            </w:r>
            <w:r w:rsidR="00A14D0B" w:rsidRPr="00AC49B0">
              <w:rPr>
                <w:sz w:val="22"/>
                <w:szCs w:val="22"/>
              </w:rPr>
              <w:t>will best practice be shared?</w:t>
            </w:r>
          </w:p>
        </w:tc>
      </w:tr>
      <w:tr w:rsidR="007D3338" w:rsidRPr="00AC49B0" w14:paraId="2DCB4357" w14:textId="77777777" w:rsidTr="00F45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8" w:type="dxa"/>
          </w:tcPr>
          <w:p w14:paraId="49CB868D" w14:textId="77777777" w:rsidR="007D3338" w:rsidRPr="00AC49B0" w:rsidRDefault="007D3338" w:rsidP="00E47CE0">
            <w:pPr>
              <w:spacing w:line="276" w:lineRule="auto"/>
              <w:jc w:val="both"/>
              <w:rPr>
                <w:sz w:val="22"/>
                <w:szCs w:val="22"/>
              </w:rPr>
            </w:pPr>
            <w:r w:rsidRPr="00AC49B0">
              <w:rPr>
                <w:sz w:val="22"/>
                <w:szCs w:val="22"/>
              </w:rPr>
              <w:t>Maintenance</w:t>
            </w:r>
          </w:p>
        </w:tc>
        <w:tc>
          <w:tcPr>
            <w:tcW w:w="6318" w:type="dxa"/>
          </w:tcPr>
          <w:p w14:paraId="1FF5A518" w14:textId="77777777" w:rsidR="007D3338" w:rsidRPr="00AC49B0" w:rsidRDefault="00A07AEE" w:rsidP="00E47CE0">
            <w:pPr>
              <w:spacing w:line="276" w:lineRule="auto"/>
              <w:jc w:val="both"/>
              <w:cnfStyle w:val="000000100000" w:firstRow="0" w:lastRow="0" w:firstColumn="0" w:lastColumn="0" w:oddVBand="0" w:evenVBand="0" w:oddHBand="1" w:evenHBand="0" w:firstRowFirstColumn="0" w:firstRowLastColumn="0" w:lastRowFirstColumn="0" w:lastRowLastColumn="0"/>
              <w:rPr>
                <w:sz w:val="22"/>
                <w:szCs w:val="22"/>
              </w:rPr>
            </w:pPr>
            <w:r w:rsidRPr="00AC49B0">
              <w:rPr>
                <w:sz w:val="22"/>
                <w:szCs w:val="22"/>
              </w:rPr>
              <w:t xml:space="preserve">When did the </w:t>
            </w:r>
            <w:r w:rsidR="00E428FD" w:rsidRPr="00AC49B0">
              <w:rPr>
                <w:sz w:val="22"/>
                <w:szCs w:val="22"/>
              </w:rPr>
              <w:t>Red Bag</w:t>
            </w:r>
            <w:r w:rsidRPr="00AC49B0">
              <w:rPr>
                <w:sz w:val="22"/>
                <w:szCs w:val="22"/>
              </w:rPr>
              <w:t xml:space="preserve"> scheme become operational in each locality and what can be shared to inform development of sustainability?</w:t>
            </w:r>
          </w:p>
        </w:tc>
      </w:tr>
    </w:tbl>
    <w:p w14:paraId="69E32E3B" w14:textId="77777777" w:rsidR="00ED2A90" w:rsidRPr="00AC49B0" w:rsidRDefault="00ED2A90" w:rsidP="00E47CE0">
      <w:pPr>
        <w:spacing w:line="276" w:lineRule="auto"/>
        <w:jc w:val="right"/>
        <w:rPr>
          <w:b/>
          <w:sz w:val="22"/>
          <w:szCs w:val="22"/>
        </w:rPr>
      </w:pPr>
      <w:r w:rsidRPr="00AC49B0">
        <w:rPr>
          <w:b/>
          <w:sz w:val="22"/>
          <w:szCs w:val="22"/>
        </w:rPr>
        <w:t xml:space="preserve">Adapted from </w:t>
      </w:r>
      <w:proofErr w:type="spellStart"/>
      <w:r w:rsidRPr="00AC49B0">
        <w:rPr>
          <w:b/>
          <w:sz w:val="22"/>
          <w:szCs w:val="22"/>
        </w:rPr>
        <w:t>Holtrop</w:t>
      </w:r>
      <w:proofErr w:type="spellEnd"/>
      <w:r w:rsidRPr="00AC49B0">
        <w:rPr>
          <w:b/>
          <w:sz w:val="22"/>
          <w:szCs w:val="22"/>
        </w:rPr>
        <w:t xml:space="preserve"> et al (2018)</w:t>
      </w:r>
    </w:p>
    <w:p w14:paraId="4B716E2A" w14:textId="77777777" w:rsidR="003E5549" w:rsidRPr="00AC49B0" w:rsidRDefault="00C86BCE" w:rsidP="00E47CE0">
      <w:pPr>
        <w:spacing w:line="276" w:lineRule="auto"/>
        <w:jc w:val="both"/>
        <w:rPr>
          <w:sz w:val="22"/>
          <w:szCs w:val="22"/>
        </w:rPr>
      </w:pPr>
      <w:r w:rsidRPr="00AC49B0">
        <w:rPr>
          <w:sz w:val="22"/>
          <w:szCs w:val="22"/>
        </w:rPr>
        <w:t xml:space="preserve">These dimensions occur at multiple levels, e.g. service users, surgeries, organisations and communities </w:t>
      </w:r>
      <w:r w:rsidRPr="00AC49B0">
        <w:rPr>
          <w:sz w:val="22"/>
          <w:szCs w:val="22"/>
        </w:rPr>
        <w:fldChar w:fldCharType="begin"/>
      </w:r>
      <w:r w:rsidR="008E34C2" w:rsidRPr="00AC49B0">
        <w:rPr>
          <w:sz w:val="22"/>
          <w:szCs w:val="22"/>
        </w:rPr>
        <w:instrText xml:space="preserve"> ADDIN EN.CITE &lt;EndNote&gt;&lt;Cite&gt;&lt;Author&gt;Glasgow&lt;/Author&gt;&lt;Year&gt;1999&lt;/Year&gt;&lt;RecNum&gt;2643&lt;/RecNum&gt;&lt;DisplayText&gt;(8)&lt;/DisplayText&gt;&lt;record&gt;&lt;rec-number&gt;2643&lt;/rec-number&gt;&lt;foreign-keys&gt;&lt;key app="EN" db-id="saz9raftmsa2dbex2x05fvaas25vwxpdpe5s" timestamp="1557654107"&gt;2643&lt;/key&gt;&lt;/foreign-keys&gt;&lt;ref-type name="Journal Article"&gt;17&lt;/ref-type&gt;&lt;contributors&gt;&lt;authors&gt;&lt;author&gt;Glasgow, R. E.&lt;/author&gt;&lt;author&gt;Vogt, T. M.&lt;/author&gt;&lt;author&gt;Boles, S. M.&lt;/author&gt;&lt;/authors&gt;&lt;/contributors&gt;&lt;titles&gt;&lt;title&gt;Evaluating the public health impact of health promotion interventions: the RE-AIM framework&lt;/title&gt;&lt;secondary-title&gt;American Journal of Public Health&lt;/secondary-title&gt;&lt;/titles&gt;&lt;periodical&gt;&lt;full-title&gt;American Journal of Public Health&lt;/full-title&gt;&lt;/periodical&gt;&lt;pages&gt;1322-1327&lt;/pages&gt;&lt;volume&gt;89&lt;/volume&gt;&lt;number&gt;9&lt;/number&gt;&lt;dates&gt;&lt;year&gt;1999&lt;/year&gt;&lt;/dates&gt;&lt;isbn&gt;0090-0036&amp;#xD;1541-0048&lt;/isbn&gt;&lt;accession-num&gt;PMC1508772&lt;/accession-num&gt;&lt;urls&gt;&lt;related-urls&gt;&lt;url&gt;http://www.ncbi.nlm.nih.gov/pmc/articles/PMC1508772/&lt;/url&gt;&lt;/related-urls&gt;&lt;/urls&gt;&lt;remote-database-name&gt;PMC&lt;/remote-database-name&gt;&lt;/record&gt;&lt;/Cite&gt;&lt;/EndNote&gt;</w:instrText>
      </w:r>
      <w:r w:rsidRPr="00AC49B0">
        <w:rPr>
          <w:sz w:val="22"/>
          <w:szCs w:val="22"/>
        </w:rPr>
        <w:fldChar w:fldCharType="separate"/>
      </w:r>
      <w:r w:rsidR="00573BDF" w:rsidRPr="00AC49B0">
        <w:rPr>
          <w:noProof/>
          <w:sz w:val="22"/>
          <w:szCs w:val="22"/>
        </w:rPr>
        <w:t>(</w:t>
      </w:r>
      <w:r w:rsidR="00747094" w:rsidRPr="00AC49B0">
        <w:rPr>
          <w:noProof/>
          <w:sz w:val="22"/>
          <w:szCs w:val="22"/>
        </w:rPr>
        <w:t>Glasgow, Vogt and Boles, 1999</w:t>
      </w:r>
      <w:r w:rsidR="00573BDF" w:rsidRPr="00AC49B0">
        <w:rPr>
          <w:noProof/>
          <w:sz w:val="22"/>
          <w:szCs w:val="22"/>
        </w:rPr>
        <w:t>)</w:t>
      </w:r>
      <w:r w:rsidRPr="00AC49B0">
        <w:rPr>
          <w:sz w:val="22"/>
          <w:szCs w:val="22"/>
        </w:rPr>
        <w:fldChar w:fldCharType="end"/>
      </w:r>
      <w:r w:rsidRPr="00AC49B0">
        <w:rPr>
          <w:sz w:val="22"/>
          <w:szCs w:val="22"/>
        </w:rPr>
        <w:t xml:space="preserve"> which need to be taken into account when evaluating the success of the locality interventions.</w:t>
      </w:r>
      <w:r w:rsidR="0057168C" w:rsidRPr="00AC49B0">
        <w:rPr>
          <w:sz w:val="22"/>
          <w:szCs w:val="22"/>
        </w:rPr>
        <w:t xml:space="preserve"> The principles of the framework have been used for this evaluation, rather than using it as a prescriptive tool, </w:t>
      </w:r>
      <w:r w:rsidR="00843A99" w:rsidRPr="00AC49B0">
        <w:rPr>
          <w:sz w:val="22"/>
          <w:szCs w:val="22"/>
        </w:rPr>
        <w:t xml:space="preserve">in line with other evaluations which have used this method </w:t>
      </w:r>
      <w:r w:rsidR="009F5D7A" w:rsidRPr="00AC49B0">
        <w:rPr>
          <w:sz w:val="22"/>
          <w:szCs w:val="22"/>
        </w:rPr>
        <w:fldChar w:fldCharType="begin"/>
      </w:r>
      <w:r w:rsidR="00573BDF" w:rsidRPr="00AC49B0">
        <w:rPr>
          <w:sz w:val="22"/>
          <w:szCs w:val="22"/>
        </w:rPr>
        <w:instrText xml:space="preserve"> ADDIN EN.CITE &lt;EndNote&gt;&lt;Cite&gt;&lt;Author&gt;Finch&lt;/Author&gt;&lt;Year&gt;2010&lt;/Year&gt;&lt;RecNum&gt;2647&lt;/RecNum&gt;&lt;DisplayText&gt;(9)&lt;/DisplayText&gt;&lt;record&gt;&lt;rec-number&gt;2647&lt;/rec-number&gt;&lt;foreign-keys&gt;&lt;key app="EN" db-id="saz9raftmsa2dbex2x05fvaas25vwxpdpe5s" timestamp="1557661104"&gt;2647&lt;/key&gt;&lt;/foreign-keys&gt;&lt;ref-type name="Journal Article"&gt;17&lt;/ref-type&gt;&lt;contributors&gt;&lt;authors&gt;&lt;author&gt;Finch, C. F.&lt;/author&gt;&lt;author&gt;Donaldson, A.&lt;/author&gt;&lt;/authors&gt;&lt;/contributors&gt;&lt;auth-address&gt;School of Human Movement and Sport Science, University of Ballarat, Mt Helen, Victoria, 3353, Australia. c.finch@ballarat.edu.au&lt;/auth-address&gt;&lt;titles&gt;&lt;title&gt;A sports setting matrix for understanding the implementation context for community sport&lt;/title&gt;&lt;secondary-title&gt;Br J Sports Med&lt;/secondary-title&gt;&lt;alt-title&gt;British journal of sports medicine&lt;/alt-title&gt;&lt;/titles&gt;&lt;periodical&gt;&lt;full-title&gt;Br J Sports Med&lt;/full-title&gt;&lt;abbr-1&gt;British journal of sports medicine&lt;/abbr-1&gt;&lt;/periodical&gt;&lt;alt-periodical&gt;&lt;full-title&gt;Br J Sports Med&lt;/full-title&gt;&lt;abbr-1&gt;British journal of sports medicine&lt;/abbr-1&gt;&lt;/alt-periodical&gt;&lt;pages&gt;973-8&lt;/pages&gt;&lt;volume&gt;44&lt;/volume&gt;&lt;number&gt;13&lt;/number&gt;&lt;edition&gt;2009/02/10&lt;/edition&gt;&lt;keywords&gt;&lt;keyword&gt;Athletic Injuries/*prevention &amp;amp; control&lt;/keyword&gt;&lt;keyword&gt;Diffusion of Innovation&lt;/keyword&gt;&lt;keyword&gt;Exercise Therapy/methods&lt;/keyword&gt;&lt;keyword&gt;Health Promotion&lt;/keyword&gt;&lt;keyword&gt;Humans&lt;/keyword&gt;&lt;keyword&gt;Residence Characteristics&lt;/keyword&gt;&lt;keyword&gt;Safety Management&lt;/keyword&gt;&lt;/keywords&gt;&lt;dates&gt;&lt;year&gt;2010&lt;/year&gt;&lt;pub-dates&gt;&lt;date&gt;Oct&lt;/date&gt;&lt;/pub-dates&gt;&lt;/dates&gt;&lt;isbn&gt;0306-3674&lt;/isbn&gt;&lt;accession-num&gt;19201766&lt;/accession-num&gt;&lt;urls&gt;&lt;/urls&gt;&lt;electronic-resource-num&gt;10.1136/bjsm.2008.056069&lt;/electronic-resource-num&gt;&lt;remote-database-provider&gt;NLM&lt;/remote-database-provider&gt;&lt;language&gt;eng&lt;/language&gt;&lt;/record&gt;&lt;/Cite&gt;&lt;/EndNote&gt;</w:instrText>
      </w:r>
      <w:r w:rsidR="009F5D7A" w:rsidRPr="00AC49B0">
        <w:rPr>
          <w:sz w:val="22"/>
          <w:szCs w:val="22"/>
        </w:rPr>
        <w:fldChar w:fldCharType="separate"/>
      </w:r>
      <w:r w:rsidR="00573BDF" w:rsidRPr="00AC49B0">
        <w:rPr>
          <w:noProof/>
          <w:sz w:val="22"/>
          <w:szCs w:val="22"/>
        </w:rPr>
        <w:t>(</w:t>
      </w:r>
      <w:r w:rsidR="001A3A20" w:rsidRPr="00AC49B0">
        <w:rPr>
          <w:noProof/>
          <w:sz w:val="22"/>
          <w:szCs w:val="22"/>
        </w:rPr>
        <w:t>Finch and Donaldson, 2010</w:t>
      </w:r>
      <w:r w:rsidR="00573BDF" w:rsidRPr="00AC49B0">
        <w:rPr>
          <w:noProof/>
          <w:sz w:val="22"/>
          <w:szCs w:val="22"/>
        </w:rPr>
        <w:t>)</w:t>
      </w:r>
      <w:r w:rsidR="009F5D7A" w:rsidRPr="00AC49B0">
        <w:rPr>
          <w:sz w:val="22"/>
          <w:szCs w:val="22"/>
        </w:rPr>
        <w:fldChar w:fldCharType="end"/>
      </w:r>
      <w:r w:rsidR="00843A99" w:rsidRPr="00AC49B0">
        <w:rPr>
          <w:sz w:val="22"/>
          <w:szCs w:val="22"/>
        </w:rPr>
        <w:t>, as we sought to be guided by induction</w:t>
      </w:r>
      <w:r w:rsidR="008F0B99" w:rsidRPr="00AC49B0">
        <w:rPr>
          <w:sz w:val="22"/>
          <w:szCs w:val="22"/>
        </w:rPr>
        <w:t xml:space="preserve"> </w:t>
      </w:r>
      <w:r w:rsidR="004A2C1E" w:rsidRPr="00AC49B0">
        <w:rPr>
          <w:sz w:val="22"/>
          <w:szCs w:val="22"/>
        </w:rPr>
        <w:t>in keeping</w:t>
      </w:r>
      <w:r w:rsidR="008F0B99" w:rsidRPr="00AC49B0">
        <w:rPr>
          <w:sz w:val="22"/>
          <w:szCs w:val="22"/>
        </w:rPr>
        <w:t xml:space="preserve"> with qualitative methodology</w:t>
      </w:r>
      <w:r w:rsidR="00843A99" w:rsidRPr="00AC49B0">
        <w:rPr>
          <w:sz w:val="22"/>
          <w:szCs w:val="22"/>
        </w:rPr>
        <w:t xml:space="preserve"> to allow a wide range of possibilities</w:t>
      </w:r>
      <w:r w:rsidR="008F0B99" w:rsidRPr="00AC49B0">
        <w:rPr>
          <w:sz w:val="22"/>
          <w:szCs w:val="22"/>
        </w:rPr>
        <w:t xml:space="preserve"> when evaluating the </w:t>
      </w:r>
      <w:r w:rsidR="00E428FD" w:rsidRPr="00AC49B0">
        <w:rPr>
          <w:sz w:val="22"/>
          <w:szCs w:val="22"/>
        </w:rPr>
        <w:t>Red Bag</w:t>
      </w:r>
      <w:r w:rsidR="008F0B99" w:rsidRPr="00AC49B0">
        <w:rPr>
          <w:sz w:val="22"/>
          <w:szCs w:val="22"/>
        </w:rPr>
        <w:t xml:space="preserve"> scheme in practice </w:t>
      </w:r>
      <w:r w:rsidR="008F0B99" w:rsidRPr="00AC49B0">
        <w:rPr>
          <w:sz w:val="22"/>
          <w:szCs w:val="22"/>
        </w:rPr>
        <w:fldChar w:fldCharType="begin"/>
      </w:r>
      <w:r w:rsidR="00573BDF" w:rsidRPr="00AC49B0">
        <w:rPr>
          <w:sz w:val="22"/>
          <w:szCs w:val="22"/>
        </w:rPr>
        <w:instrText xml:space="preserve"> ADDIN EN.CITE &lt;EndNote&gt;&lt;Cite&gt;&lt;Author&gt;Sweet&lt;/Author&gt;&lt;Year&gt;2014&lt;/Year&gt;&lt;RecNum&gt;2646&lt;/RecNum&gt;&lt;DisplayText&gt;(10)&lt;/DisplayText&gt;&lt;record&gt;&lt;rec-number&gt;2646&lt;/rec-number&gt;&lt;foreign-keys&gt;&lt;key app="EN" db-id="saz9raftmsa2dbex2x05fvaas25vwxpdpe5s" timestamp="1557654108"&gt;2646&lt;/key&gt;&lt;/foreign-keys&gt;&lt;ref-type name="Journal Article"&gt;17&lt;/ref-type&gt;&lt;contributors&gt;&lt;authors&gt;&lt;author&gt;Sweet, Shane N.&lt;/author&gt;&lt;author&gt;Ginis, Kathleen A. Martin&lt;/author&gt;&lt;author&gt;Estabrooks, Paul A.&lt;/author&gt;&lt;author&gt;Latimer-Cheung, Amy E.&lt;/author&gt;&lt;/authors&gt;&lt;/contributors&gt;&lt;titles&gt;&lt;title&gt;Operationalizing the RE-AIM framework to evaluate the impact of multi-sector partnerships&lt;/title&gt;&lt;secondary-title&gt;Implementation Science&lt;/secondary-title&gt;&lt;/titles&gt;&lt;periodical&gt;&lt;full-title&gt;Implementation Science&lt;/full-title&gt;&lt;/periodical&gt;&lt;pages&gt;74&lt;/pages&gt;&lt;volume&gt;9&lt;/volume&gt;&lt;number&gt;1&lt;/number&gt;&lt;dates&gt;&lt;year&gt;2014&lt;/year&gt;&lt;pub-dates&gt;&lt;date&gt;June 12&lt;/date&gt;&lt;/pub-dates&gt;&lt;/dates&gt;&lt;isbn&gt;1748-5908&lt;/isbn&gt;&lt;label&gt;Sweet2014&lt;/label&gt;&lt;work-type&gt;journal article&lt;/work-type&gt;&lt;urls&gt;&lt;related-urls&gt;&lt;url&gt;https://doi.org/10.1186/1748-5908-9-74&lt;/url&gt;&lt;/related-urls&gt;&lt;/urls&gt;&lt;electronic-resource-num&gt;10.1186/1748-5908-9-74&lt;/electronic-resource-num&gt;&lt;/record&gt;&lt;/Cite&gt;&lt;/EndNote&gt;</w:instrText>
      </w:r>
      <w:r w:rsidR="008F0B99" w:rsidRPr="00AC49B0">
        <w:rPr>
          <w:sz w:val="22"/>
          <w:szCs w:val="22"/>
        </w:rPr>
        <w:fldChar w:fldCharType="separate"/>
      </w:r>
      <w:r w:rsidR="00573BDF" w:rsidRPr="00AC49B0">
        <w:rPr>
          <w:noProof/>
          <w:sz w:val="22"/>
          <w:szCs w:val="22"/>
        </w:rPr>
        <w:t>(</w:t>
      </w:r>
      <w:r w:rsidR="001A3A20" w:rsidRPr="00AC49B0">
        <w:rPr>
          <w:noProof/>
          <w:sz w:val="22"/>
          <w:szCs w:val="22"/>
        </w:rPr>
        <w:t>Sweet et al, 2014</w:t>
      </w:r>
      <w:r w:rsidR="00573BDF" w:rsidRPr="00AC49B0">
        <w:rPr>
          <w:noProof/>
          <w:sz w:val="22"/>
          <w:szCs w:val="22"/>
        </w:rPr>
        <w:t>)</w:t>
      </w:r>
      <w:r w:rsidR="008F0B99" w:rsidRPr="00AC49B0">
        <w:rPr>
          <w:sz w:val="22"/>
          <w:szCs w:val="22"/>
        </w:rPr>
        <w:fldChar w:fldCharType="end"/>
      </w:r>
      <w:r w:rsidR="008F0B99" w:rsidRPr="00AC49B0">
        <w:rPr>
          <w:sz w:val="22"/>
          <w:szCs w:val="22"/>
        </w:rPr>
        <w:t>.</w:t>
      </w:r>
    </w:p>
    <w:p w14:paraId="599C2E34" w14:textId="77777777" w:rsidR="00C86BCE" w:rsidRPr="00AC49B0" w:rsidRDefault="00C86BCE" w:rsidP="00E47CE0">
      <w:pPr>
        <w:pStyle w:val="Heading2"/>
        <w:spacing w:line="276" w:lineRule="auto"/>
        <w:jc w:val="both"/>
        <w:rPr>
          <w:rFonts w:ascii="Arial" w:hAnsi="Arial" w:cs="Arial"/>
          <w:b/>
          <w:color w:val="auto"/>
          <w:sz w:val="22"/>
          <w:szCs w:val="22"/>
        </w:rPr>
      </w:pPr>
      <w:r w:rsidRPr="00AC49B0">
        <w:rPr>
          <w:rFonts w:ascii="Arial" w:hAnsi="Arial" w:cs="Arial"/>
          <w:b/>
          <w:color w:val="auto"/>
          <w:sz w:val="22"/>
          <w:szCs w:val="22"/>
        </w:rPr>
        <w:t>Ethical approval</w:t>
      </w:r>
    </w:p>
    <w:p w14:paraId="57A55EC6" w14:textId="77777777" w:rsidR="0053665C" w:rsidRPr="00AC49B0" w:rsidRDefault="00C86BCE" w:rsidP="0053665C">
      <w:pPr>
        <w:spacing w:line="276" w:lineRule="auto"/>
        <w:jc w:val="both"/>
        <w:rPr>
          <w:sz w:val="22"/>
          <w:szCs w:val="22"/>
        </w:rPr>
      </w:pPr>
      <w:r w:rsidRPr="00AC49B0">
        <w:rPr>
          <w:sz w:val="22"/>
          <w:szCs w:val="22"/>
        </w:rPr>
        <w:t xml:space="preserve">Formal ethical approval for this evaluation was </w:t>
      </w:r>
      <w:r w:rsidR="00F75502" w:rsidRPr="00AC49B0">
        <w:rPr>
          <w:sz w:val="22"/>
          <w:szCs w:val="22"/>
        </w:rPr>
        <w:t>granted by</w:t>
      </w:r>
      <w:r w:rsidRPr="00AC49B0">
        <w:rPr>
          <w:sz w:val="22"/>
          <w:szCs w:val="22"/>
        </w:rPr>
        <w:t xml:space="preserve"> the University of </w:t>
      </w:r>
      <w:r w:rsidR="00F75502" w:rsidRPr="00AC49B0">
        <w:rPr>
          <w:sz w:val="22"/>
          <w:szCs w:val="22"/>
        </w:rPr>
        <w:t xml:space="preserve">Sunderland. </w:t>
      </w:r>
      <w:r w:rsidR="00615F95" w:rsidRPr="00AC49B0">
        <w:rPr>
          <w:sz w:val="22"/>
          <w:szCs w:val="22"/>
        </w:rPr>
        <w:t xml:space="preserve">For the arm of the evaluation involving the North East Ambulance Service, ethical approval was </w:t>
      </w:r>
      <w:r w:rsidR="00220363" w:rsidRPr="00AC49B0">
        <w:rPr>
          <w:sz w:val="22"/>
          <w:szCs w:val="22"/>
        </w:rPr>
        <w:t>provided</w:t>
      </w:r>
      <w:r w:rsidR="00615F95" w:rsidRPr="00AC49B0">
        <w:rPr>
          <w:sz w:val="22"/>
          <w:szCs w:val="22"/>
        </w:rPr>
        <w:t xml:space="preserve"> by the Health Research Authority</w:t>
      </w:r>
      <w:r w:rsidR="00A63436" w:rsidRPr="00AC49B0">
        <w:rPr>
          <w:sz w:val="22"/>
          <w:szCs w:val="22"/>
        </w:rPr>
        <w:t>.</w:t>
      </w:r>
    </w:p>
    <w:p w14:paraId="7E31C29E" w14:textId="77777777" w:rsidR="009F0F19" w:rsidRPr="00AC49B0" w:rsidRDefault="009F0F19" w:rsidP="0053665C">
      <w:pPr>
        <w:spacing w:line="276" w:lineRule="auto"/>
        <w:jc w:val="both"/>
        <w:rPr>
          <w:sz w:val="22"/>
          <w:szCs w:val="22"/>
        </w:rPr>
      </w:pPr>
      <w:r w:rsidRPr="00AC49B0">
        <w:rPr>
          <w:b/>
          <w:sz w:val="22"/>
          <w:szCs w:val="22"/>
        </w:rPr>
        <w:t>Findings</w:t>
      </w:r>
      <w:r w:rsidR="00220363" w:rsidRPr="00AC49B0">
        <w:rPr>
          <w:b/>
          <w:sz w:val="22"/>
          <w:szCs w:val="22"/>
        </w:rPr>
        <w:t xml:space="preserve"> of Direct Relevance to Nursing and Residential Care Home Settings</w:t>
      </w:r>
    </w:p>
    <w:p w14:paraId="56042ECB" w14:textId="77777777" w:rsidR="00DD71C6" w:rsidRPr="00AC49B0" w:rsidRDefault="006276AF" w:rsidP="002F7A38">
      <w:pPr>
        <w:spacing w:line="276" w:lineRule="auto"/>
        <w:jc w:val="both"/>
        <w:rPr>
          <w:sz w:val="22"/>
          <w:szCs w:val="22"/>
        </w:rPr>
      </w:pPr>
      <w:r w:rsidRPr="00AC49B0">
        <w:rPr>
          <w:sz w:val="22"/>
          <w:szCs w:val="22"/>
        </w:rPr>
        <w:t>V</w:t>
      </w:r>
      <w:r w:rsidR="00A736E0" w:rsidRPr="00AC49B0">
        <w:rPr>
          <w:sz w:val="22"/>
          <w:szCs w:val="22"/>
        </w:rPr>
        <w:t>ariance in practice</w:t>
      </w:r>
      <w:r w:rsidRPr="00AC49B0">
        <w:rPr>
          <w:sz w:val="22"/>
          <w:szCs w:val="22"/>
        </w:rPr>
        <w:t xml:space="preserve"> was revealed</w:t>
      </w:r>
      <w:r w:rsidR="00A736E0" w:rsidRPr="00AC49B0">
        <w:rPr>
          <w:sz w:val="22"/>
          <w:szCs w:val="22"/>
        </w:rPr>
        <w:t>, ranging from</w:t>
      </w:r>
      <w:r w:rsidR="00294B81" w:rsidRPr="00AC49B0">
        <w:rPr>
          <w:sz w:val="22"/>
          <w:szCs w:val="22"/>
        </w:rPr>
        <w:t xml:space="preserve"> identified</w:t>
      </w:r>
      <w:r w:rsidR="00A736E0" w:rsidRPr="00AC49B0">
        <w:rPr>
          <w:sz w:val="22"/>
          <w:szCs w:val="22"/>
        </w:rPr>
        <w:t xml:space="preserve"> implementation strategies, </w:t>
      </w:r>
      <w:r w:rsidR="00D81B44" w:rsidRPr="00AC49B0">
        <w:rPr>
          <w:sz w:val="22"/>
          <w:szCs w:val="22"/>
        </w:rPr>
        <w:t xml:space="preserve">processes across organisations e.g. paperwork, what went in the </w:t>
      </w:r>
      <w:r w:rsidR="00E428FD" w:rsidRPr="00AC49B0">
        <w:rPr>
          <w:sz w:val="22"/>
          <w:szCs w:val="22"/>
        </w:rPr>
        <w:t>Red Bag</w:t>
      </w:r>
      <w:r w:rsidR="00D81B44" w:rsidRPr="00AC49B0">
        <w:rPr>
          <w:sz w:val="22"/>
          <w:szCs w:val="22"/>
        </w:rPr>
        <w:t xml:space="preserve">, type of </w:t>
      </w:r>
      <w:r w:rsidR="00E428FD" w:rsidRPr="00AC49B0">
        <w:rPr>
          <w:sz w:val="22"/>
          <w:szCs w:val="22"/>
        </w:rPr>
        <w:t>Red Bag</w:t>
      </w:r>
      <w:r w:rsidR="00D81B44" w:rsidRPr="00AC49B0">
        <w:rPr>
          <w:sz w:val="22"/>
          <w:szCs w:val="22"/>
        </w:rPr>
        <w:t xml:space="preserve"> and other documentation which accompanied the </w:t>
      </w:r>
      <w:r w:rsidR="00E428FD" w:rsidRPr="00AC49B0">
        <w:rPr>
          <w:sz w:val="22"/>
          <w:szCs w:val="22"/>
        </w:rPr>
        <w:t>Red Bag</w:t>
      </w:r>
      <w:r w:rsidR="00D81B44" w:rsidRPr="00AC49B0">
        <w:rPr>
          <w:sz w:val="22"/>
          <w:szCs w:val="22"/>
        </w:rPr>
        <w:t xml:space="preserve">. </w:t>
      </w:r>
      <w:r w:rsidR="001620B4" w:rsidRPr="00AC49B0">
        <w:rPr>
          <w:sz w:val="22"/>
          <w:szCs w:val="22"/>
        </w:rPr>
        <w:t>The surveys to care homes elicited 40 responses (as of April 30</w:t>
      </w:r>
      <w:r w:rsidR="001620B4" w:rsidRPr="00AC49B0">
        <w:rPr>
          <w:sz w:val="22"/>
          <w:szCs w:val="22"/>
          <w:vertAlign w:val="superscript"/>
        </w:rPr>
        <w:t>th</w:t>
      </w:r>
      <w:r w:rsidR="001620B4" w:rsidRPr="00AC49B0">
        <w:rPr>
          <w:sz w:val="22"/>
          <w:szCs w:val="22"/>
        </w:rPr>
        <w:t xml:space="preserve"> 2019).  The majority of the responses were from Managers (92.5%</w:t>
      </w:r>
      <w:r w:rsidR="00E7713C" w:rsidRPr="00AC49B0">
        <w:rPr>
          <w:sz w:val="22"/>
          <w:szCs w:val="22"/>
        </w:rPr>
        <w:t xml:space="preserve">, n= 37), Nurses </w:t>
      </w:r>
      <w:r w:rsidR="00E811F3" w:rsidRPr="00AC49B0">
        <w:rPr>
          <w:sz w:val="22"/>
          <w:szCs w:val="22"/>
        </w:rPr>
        <w:t>(5</w:t>
      </w:r>
      <w:r w:rsidR="00E7713C" w:rsidRPr="00AC49B0">
        <w:rPr>
          <w:sz w:val="22"/>
          <w:szCs w:val="22"/>
        </w:rPr>
        <w:t xml:space="preserve">%, n=2) and a self-reported Deputy Manager </w:t>
      </w:r>
      <w:r w:rsidR="00E811F3" w:rsidRPr="00AC49B0">
        <w:rPr>
          <w:sz w:val="22"/>
          <w:szCs w:val="22"/>
        </w:rPr>
        <w:t>(2.5</w:t>
      </w:r>
      <w:r w:rsidR="00E7713C" w:rsidRPr="00AC49B0">
        <w:rPr>
          <w:sz w:val="22"/>
          <w:szCs w:val="22"/>
        </w:rPr>
        <w:t>%, n=1). All respondents were employed full-time</w:t>
      </w:r>
      <w:r w:rsidR="00675559" w:rsidRPr="00AC49B0">
        <w:rPr>
          <w:sz w:val="22"/>
          <w:szCs w:val="22"/>
        </w:rPr>
        <w:t xml:space="preserve"> on a permanent basis</w:t>
      </w:r>
      <w:r w:rsidR="00E811F3" w:rsidRPr="00AC49B0">
        <w:rPr>
          <w:sz w:val="22"/>
          <w:szCs w:val="22"/>
        </w:rPr>
        <w:t>, with</w:t>
      </w:r>
      <w:r w:rsidR="00A13CF8" w:rsidRPr="00AC49B0">
        <w:rPr>
          <w:sz w:val="22"/>
          <w:szCs w:val="22"/>
        </w:rPr>
        <w:t xml:space="preserve"> 90% (n= 36) working during the day, and 10% (n=4) working at night. When asked if they were aware of the </w:t>
      </w:r>
      <w:r w:rsidR="00A13CF8" w:rsidRPr="00AC49B0">
        <w:rPr>
          <w:sz w:val="22"/>
          <w:szCs w:val="22"/>
        </w:rPr>
        <w:lastRenderedPageBreak/>
        <w:t xml:space="preserve">procedures for the transfer of patients to hospital, </w:t>
      </w:r>
      <w:r w:rsidR="00675559" w:rsidRPr="00AC49B0">
        <w:rPr>
          <w:sz w:val="22"/>
          <w:szCs w:val="22"/>
        </w:rPr>
        <w:t xml:space="preserve">95% (n=37) reported they were, </w:t>
      </w:r>
      <w:r w:rsidR="00501648" w:rsidRPr="00AC49B0">
        <w:rPr>
          <w:sz w:val="22"/>
          <w:szCs w:val="22"/>
        </w:rPr>
        <w:t xml:space="preserve">and 5% (n=2) said they didn’t know. </w:t>
      </w:r>
      <w:r w:rsidR="002C5616" w:rsidRPr="00AC49B0">
        <w:rPr>
          <w:sz w:val="22"/>
          <w:szCs w:val="22"/>
        </w:rPr>
        <w:t>One form was not completed fully with regard to this question.</w:t>
      </w:r>
    </w:p>
    <w:p w14:paraId="79840446" w14:textId="77777777" w:rsidR="00A13CF8" w:rsidRPr="00AC49B0" w:rsidRDefault="00DD71C6" w:rsidP="00F458CC">
      <w:pPr>
        <w:spacing w:line="240" w:lineRule="auto"/>
        <w:jc w:val="both"/>
        <w:rPr>
          <w:sz w:val="22"/>
          <w:szCs w:val="22"/>
        </w:rPr>
      </w:pPr>
      <w:r w:rsidRPr="00AC49B0">
        <w:rPr>
          <w:sz w:val="22"/>
          <w:szCs w:val="22"/>
        </w:rPr>
        <w:t xml:space="preserve">When asked to describe the </w:t>
      </w:r>
      <w:r w:rsidR="00E428FD" w:rsidRPr="00AC49B0">
        <w:rPr>
          <w:sz w:val="22"/>
          <w:szCs w:val="22"/>
        </w:rPr>
        <w:t>Red Bag</w:t>
      </w:r>
      <w:r w:rsidR="006276AF" w:rsidRPr="00AC49B0">
        <w:rPr>
          <w:sz w:val="22"/>
          <w:szCs w:val="22"/>
        </w:rPr>
        <w:t xml:space="preserve"> s</w:t>
      </w:r>
      <w:r w:rsidRPr="00AC49B0">
        <w:rPr>
          <w:sz w:val="22"/>
          <w:szCs w:val="22"/>
        </w:rPr>
        <w:t xml:space="preserve">cheme, the </w:t>
      </w:r>
      <w:r w:rsidR="00DB4017" w:rsidRPr="00AC49B0">
        <w:rPr>
          <w:sz w:val="22"/>
          <w:szCs w:val="22"/>
        </w:rPr>
        <w:t>fo</w:t>
      </w:r>
      <w:r w:rsidR="00115665" w:rsidRPr="00AC49B0">
        <w:rPr>
          <w:sz w:val="22"/>
          <w:szCs w:val="22"/>
        </w:rPr>
        <w:t>llowing in-vivo quotes reflect</w:t>
      </w:r>
      <w:r w:rsidR="006276AF" w:rsidRPr="00AC49B0">
        <w:rPr>
          <w:sz w:val="22"/>
          <w:szCs w:val="22"/>
        </w:rPr>
        <w:t>ed</w:t>
      </w:r>
      <w:r w:rsidR="00115665" w:rsidRPr="00AC49B0">
        <w:rPr>
          <w:sz w:val="22"/>
          <w:szCs w:val="22"/>
        </w:rPr>
        <w:t xml:space="preserve"> </w:t>
      </w:r>
      <w:r w:rsidR="00853F35" w:rsidRPr="00AC49B0">
        <w:rPr>
          <w:sz w:val="22"/>
          <w:szCs w:val="22"/>
        </w:rPr>
        <w:t>perceptions of</w:t>
      </w:r>
      <w:r w:rsidR="00115665" w:rsidRPr="00AC49B0">
        <w:rPr>
          <w:sz w:val="22"/>
          <w:szCs w:val="22"/>
        </w:rPr>
        <w:t xml:space="preserve"> the process</w:t>
      </w:r>
      <w:r w:rsidR="00294B81" w:rsidRPr="00AC49B0">
        <w:rPr>
          <w:sz w:val="22"/>
          <w:szCs w:val="22"/>
        </w:rPr>
        <w:t xml:space="preserve"> in practice</w:t>
      </w:r>
      <w:r w:rsidR="004A2C1E" w:rsidRPr="00AC49B0">
        <w:rPr>
          <w:sz w:val="22"/>
          <w:szCs w:val="22"/>
        </w:rPr>
        <w:t xml:space="preserve"> (Permission was granted by participants of the evaluation for the sharing of these quotes prior to data collection)</w:t>
      </w:r>
      <w:r w:rsidR="00B3457E" w:rsidRPr="00AC49B0">
        <w:rPr>
          <w:sz w:val="22"/>
          <w:szCs w:val="22"/>
        </w:rPr>
        <w:t>. Responses ranged from short answers to lengthy descriptions. It w</w:t>
      </w:r>
      <w:r w:rsidR="008D4119" w:rsidRPr="00AC49B0">
        <w:rPr>
          <w:sz w:val="22"/>
          <w:szCs w:val="22"/>
        </w:rPr>
        <w:t>as noted that there was greater</w:t>
      </w:r>
      <w:r w:rsidR="00B3457E" w:rsidRPr="00AC49B0">
        <w:rPr>
          <w:sz w:val="22"/>
          <w:szCs w:val="22"/>
        </w:rPr>
        <w:t xml:space="preserve"> emphasis on the journey </w:t>
      </w:r>
      <w:r w:rsidR="00B3457E" w:rsidRPr="00AC49B0">
        <w:rPr>
          <w:i/>
          <w:sz w:val="22"/>
          <w:szCs w:val="22"/>
        </w:rPr>
        <w:t>to</w:t>
      </w:r>
      <w:r w:rsidR="00B3457E" w:rsidRPr="00AC49B0">
        <w:rPr>
          <w:sz w:val="22"/>
          <w:szCs w:val="22"/>
        </w:rPr>
        <w:t xml:space="preserve"> hospital </w:t>
      </w:r>
      <w:r w:rsidR="008D4119" w:rsidRPr="00AC49B0">
        <w:rPr>
          <w:sz w:val="22"/>
          <w:szCs w:val="22"/>
        </w:rPr>
        <w:t>rather</w:t>
      </w:r>
      <w:r w:rsidR="00B3457E" w:rsidRPr="00AC49B0">
        <w:rPr>
          <w:sz w:val="22"/>
          <w:szCs w:val="22"/>
        </w:rPr>
        <w:t xml:space="preserve"> than the return to the care home following discharge.</w:t>
      </w:r>
    </w:p>
    <w:p w14:paraId="58A4EC29" w14:textId="77777777" w:rsidR="00A44D04" w:rsidRPr="00AC49B0" w:rsidRDefault="008D4119" w:rsidP="00F458CC">
      <w:pPr>
        <w:spacing w:line="240" w:lineRule="auto"/>
        <w:jc w:val="both"/>
        <w:rPr>
          <w:sz w:val="22"/>
          <w:szCs w:val="22"/>
        </w:rPr>
      </w:pPr>
      <w:r w:rsidRPr="00AC49B0">
        <w:rPr>
          <w:sz w:val="22"/>
          <w:szCs w:val="22"/>
        </w:rPr>
        <w:t>For example, the following quotes:</w:t>
      </w:r>
    </w:p>
    <w:p w14:paraId="4A04CF1D" w14:textId="77777777" w:rsidR="00B3457E" w:rsidRPr="00AC49B0" w:rsidRDefault="00F0530C" w:rsidP="00F458CC">
      <w:pPr>
        <w:spacing w:line="240" w:lineRule="auto"/>
        <w:jc w:val="both"/>
        <w:rPr>
          <w:i/>
          <w:sz w:val="22"/>
          <w:szCs w:val="22"/>
          <w:shd w:val="clear" w:color="auto" w:fill="F4F5F5"/>
        </w:rPr>
      </w:pPr>
      <w:r w:rsidRPr="00AC49B0">
        <w:rPr>
          <w:i/>
          <w:sz w:val="22"/>
          <w:szCs w:val="22"/>
          <w:shd w:val="clear" w:color="auto" w:fill="F4F5F5"/>
        </w:rPr>
        <w:t>‘</w:t>
      </w:r>
      <w:r w:rsidR="00936A79" w:rsidRPr="00AC49B0">
        <w:rPr>
          <w:i/>
          <w:sz w:val="22"/>
          <w:szCs w:val="22"/>
          <w:shd w:val="clear" w:color="auto" w:fill="F4F5F5"/>
        </w:rPr>
        <w:t>A safe system of transport of paperwork relevant to the service user</w:t>
      </w:r>
      <w:r w:rsidRPr="00AC49B0">
        <w:rPr>
          <w:i/>
          <w:sz w:val="22"/>
          <w:szCs w:val="22"/>
          <w:shd w:val="clear" w:color="auto" w:fill="F4F5F5"/>
        </w:rPr>
        <w:t>’</w:t>
      </w:r>
    </w:p>
    <w:p w14:paraId="358A6CCB" w14:textId="77777777" w:rsidR="007469CF" w:rsidRPr="00AC49B0" w:rsidRDefault="007433EF" w:rsidP="00F458CC">
      <w:pPr>
        <w:spacing w:line="240" w:lineRule="auto"/>
        <w:jc w:val="both"/>
        <w:rPr>
          <w:i/>
          <w:sz w:val="22"/>
          <w:szCs w:val="22"/>
          <w:shd w:val="clear" w:color="auto" w:fill="F4F5F5"/>
        </w:rPr>
      </w:pPr>
      <w:r w:rsidRPr="00AC49B0">
        <w:rPr>
          <w:i/>
          <w:sz w:val="22"/>
          <w:szCs w:val="22"/>
          <w:shd w:val="clear" w:color="auto" w:fill="F4F5F5"/>
        </w:rPr>
        <w:t xml:space="preserve"> </w:t>
      </w:r>
      <w:r w:rsidR="0084410F" w:rsidRPr="00AC49B0">
        <w:rPr>
          <w:i/>
          <w:sz w:val="22"/>
          <w:szCs w:val="22"/>
          <w:shd w:val="clear" w:color="auto" w:fill="F4F5F5"/>
        </w:rPr>
        <w:t>‘</w:t>
      </w:r>
      <w:r w:rsidR="00115665" w:rsidRPr="00AC49B0">
        <w:rPr>
          <w:i/>
          <w:sz w:val="22"/>
          <w:szCs w:val="22"/>
          <w:shd w:val="clear" w:color="auto" w:fill="F4F5F5"/>
        </w:rPr>
        <w:t xml:space="preserve">Upon transfer, we complete the documentation with the info relating to the reason for admission and the checklist of any accompanying records. Also, overnight clothes, pads </w:t>
      </w:r>
      <w:r w:rsidR="00E811F3" w:rsidRPr="00AC49B0">
        <w:rPr>
          <w:i/>
          <w:sz w:val="22"/>
          <w:szCs w:val="22"/>
          <w:shd w:val="clear" w:color="auto" w:fill="F4F5F5"/>
        </w:rPr>
        <w:t>etc.</w:t>
      </w:r>
      <w:r w:rsidR="00115665" w:rsidRPr="00AC49B0">
        <w:rPr>
          <w:i/>
          <w:sz w:val="22"/>
          <w:szCs w:val="22"/>
          <w:shd w:val="clear" w:color="auto" w:fill="F4F5F5"/>
        </w:rPr>
        <w:t xml:space="preserve"> go in the </w:t>
      </w:r>
      <w:r w:rsidR="00E428FD" w:rsidRPr="00AC49B0">
        <w:rPr>
          <w:i/>
          <w:sz w:val="22"/>
          <w:szCs w:val="22"/>
          <w:shd w:val="clear" w:color="auto" w:fill="F4F5F5"/>
        </w:rPr>
        <w:t>Red Bag</w:t>
      </w:r>
      <w:r w:rsidR="00115665" w:rsidRPr="00AC49B0">
        <w:rPr>
          <w:i/>
          <w:sz w:val="22"/>
          <w:szCs w:val="22"/>
          <w:shd w:val="clear" w:color="auto" w:fill="F4F5F5"/>
        </w:rPr>
        <w:t>. The ambulance crew sign off receipt of everything and then again in the hospital. The hospital fill in the return to care home document and continue the tick-list for the accompanying items and the care home then sign it off upon return to the care home</w:t>
      </w:r>
      <w:r w:rsidR="0084410F" w:rsidRPr="00AC49B0">
        <w:rPr>
          <w:i/>
          <w:sz w:val="22"/>
          <w:szCs w:val="22"/>
          <w:shd w:val="clear" w:color="auto" w:fill="F4F5F5"/>
        </w:rPr>
        <w:t>’</w:t>
      </w:r>
    </w:p>
    <w:p w14:paraId="1A7C78BF" w14:textId="77777777" w:rsidR="007469CF" w:rsidRPr="00AC49B0" w:rsidRDefault="003A160D" w:rsidP="00F458CC">
      <w:pPr>
        <w:spacing w:line="240" w:lineRule="auto"/>
        <w:jc w:val="both"/>
        <w:rPr>
          <w:sz w:val="22"/>
          <w:szCs w:val="22"/>
        </w:rPr>
      </w:pPr>
      <w:r w:rsidRPr="00AC49B0">
        <w:rPr>
          <w:sz w:val="22"/>
          <w:szCs w:val="22"/>
        </w:rPr>
        <w:t xml:space="preserve">Participants were then asked what they felt worked well with the process of transferring residents from care homes, with 36 responding and 4 </w:t>
      </w:r>
      <w:r w:rsidR="00561CE5" w:rsidRPr="00AC49B0">
        <w:rPr>
          <w:sz w:val="22"/>
          <w:szCs w:val="22"/>
        </w:rPr>
        <w:t>not answering</w:t>
      </w:r>
      <w:r w:rsidRPr="00AC49B0">
        <w:rPr>
          <w:sz w:val="22"/>
          <w:szCs w:val="22"/>
        </w:rPr>
        <w:t xml:space="preserve"> the question in line with the previous question</w:t>
      </w:r>
      <w:r w:rsidR="00EC606B" w:rsidRPr="00AC49B0">
        <w:rPr>
          <w:sz w:val="22"/>
          <w:szCs w:val="22"/>
        </w:rPr>
        <w:t xml:space="preserve"> logic.</w:t>
      </w:r>
      <w:r w:rsidR="00F0530C" w:rsidRPr="00AC49B0">
        <w:rPr>
          <w:sz w:val="22"/>
          <w:szCs w:val="22"/>
        </w:rPr>
        <w:t xml:space="preserve"> </w:t>
      </w:r>
      <w:r w:rsidR="00D14554" w:rsidRPr="00AC49B0">
        <w:rPr>
          <w:sz w:val="22"/>
          <w:szCs w:val="22"/>
        </w:rPr>
        <w:t>The following quotes</w:t>
      </w:r>
      <w:r w:rsidR="008D4119" w:rsidRPr="00AC49B0">
        <w:rPr>
          <w:sz w:val="22"/>
          <w:szCs w:val="22"/>
        </w:rPr>
        <w:t xml:space="preserve"> are </w:t>
      </w:r>
      <w:r w:rsidR="00592594" w:rsidRPr="00AC49B0">
        <w:rPr>
          <w:sz w:val="22"/>
          <w:szCs w:val="22"/>
        </w:rPr>
        <w:t>examples which</w:t>
      </w:r>
      <w:r w:rsidR="008D4119" w:rsidRPr="00AC49B0">
        <w:rPr>
          <w:sz w:val="22"/>
          <w:szCs w:val="22"/>
        </w:rPr>
        <w:t xml:space="preserve"> reflect</w:t>
      </w:r>
      <w:r w:rsidR="00D14554" w:rsidRPr="00AC49B0">
        <w:rPr>
          <w:sz w:val="22"/>
          <w:szCs w:val="22"/>
        </w:rPr>
        <w:t xml:space="preserve"> the respondents’ perspectives:</w:t>
      </w:r>
    </w:p>
    <w:p w14:paraId="3430F86D" w14:textId="77777777" w:rsidR="00F0530C" w:rsidRPr="00AC49B0" w:rsidRDefault="00F0530C" w:rsidP="00F458CC">
      <w:pPr>
        <w:spacing w:line="240" w:lineRule="auto"/>
        <w:jc w:val="both"/>
        <w:rPr>
          <w:i/>
          <w:color w:val="333E48"/>
          <w:sz w:val="22"/>
          <w:szCs w:val="22"/>
          <w:shd w:val="clear" w:color="auto" w:fill="F4F5F5"/>
        </w:rPr>
      </w:pPr>
      <w:r w:rsidRPr="00AC49B0">
        <w:rPr>
          <w:i/>
          <w:color w:val="333E48"/>
          <w:sz w:val="22"/>
          <w:szCs w:val="22"/>
          <w:shd w:val="clear" w:color="auto" w:fill="F4F5F5"/>
        </w:rPr>
        <w:t>The process works well in our care home as our carers have a good knowledge and understanding of the residents who they care for and can pass this information on to hospital staff</w:t>
      </w:r>
    </w:p>
    <w:p w14:paraId="55B73A8C" w14:textId="77777777" w:rsidR="00F0530C" w:rsidRPr="00AC49B0" w:rsidRDefault="00F0530C" w:rsidP="00F458CC">
      <w:pPr>
        <w:spacing w:line="240" w:lineRule="auto"/>
        <w:jc w:val="both"/>
        <w:rPr>
          <w:i/>
          <w:color w:val="333E48"/>
          <w:sz w:val="22"/>
          <w:szCs w:val="22"/>
          <w:shd w:val="clear" w:color="auto" w:fill="F4F5F5"/>
        </w:rPr>
      </w:pPr>
      <w:r w:rsidRPr="00AC49B0">
        <w:rPr>
          <w:i/>
          <w:color w:val="333E48"/>
          <w:sz w:val="22"/>
          <w:szCs w:val="22"/>
          <w:shd w:val="clear" w:color="auto" w:fill="F4F5F5"/>
        </w:rPr>
        <w:t>Having everything in one place for the individual regarding them, person centred</w:t>
      </w:r>
    </w:p>
    <w:p w14:paraId="714DFB9A" w14:textId="77777777" w:rsidR="007469CF" w:rsidRPr="00AC49B0" w:rsidRDefault="00F0530C" w:rsidP="00F458CC">
      <w:pPr>
        <w:spacing w:line="240" w:lineRule="auto"/>
        <w:jc w:val="both"/>
        <w:rPr>
          <w:i/>
          <w:sz w:val="22"/>
          <w:szCs w:val="22"/>
        </w:rPr>
      </w:pPr>
      <w:r w:rsidRPr="00AC49B0">
        <w:rPr>
          <w:i/>
          <w:color w:val="333E48"/>
          <w:sz w:val="22"/>
          <w:szCs w:val="22"/>
          <w:shd w:val="clear" w:color="auto" w:fill="F4F5F5"/>
        </w:rPr>
        <w:t>Ambulance crew are usually helpful and supportive</w:t>
      </w:r>
    </w:p>
    <w:p w14:paraId="57BA2E9E" w14:textId="77777777" w:rsidR="0022274A" w:rsidRPr="00AC49B0" w:rsidRDefault="00D456CD" w:rsidP="00F458CC">
      <w:pPr>
        <w:spacing w:line="240" w:lineRule="auto"/>
        <w:jc w:val="both"/>
        <w:rPr>
          <w:sz w:val="22"/>
          <w:szCs w:val="22"/>
        </w:rPr>
      </w:pPr>
      <w:r w:rsidRPr="00AC49B0">
        <w:rPr>
          <w:sz w:val="22"/>
          <w:szCs w:val="22"/>
        </w:rPr>
        <w:t>It is noted</w:t>
      </w:r>
      <w:r w:rsidR="0022274A" w:rsidRPr="00AC49B0">
        <w:rPr>
          <w:sz w:val="22"/>
          <w:szCs w:val="22"/>
        </w:rPr>
        <w:t xml:space="preserve"> that 8 of the responses contained negative comments despite the question as</w:t>
      </w:r>
      <w:r w:rsidR="00B24D05" w:rsidRPr="00AC49B0">
        <w:rPr>
          <w:sz w:val="22"/>
          <w:szCs w:val="22"/>
        </w:rPr>
        <w:t xml:space="preserve">king for what had worked well. These </w:t>
      </w:r>
      <w:r w:rsidR="008D4119" w:rsidRPr="00AC49B0">
        <w:rPr>
          <w:sz w:val="22"/>
          <w:szCs w:val="22"/>
        </w:rPr>
        <w:t>were</w:t>
      </w:r>
      <w:r w:rsidR="00B24D05" w:rsidRPr="00AC49B0">
        <w:rPr>
          <w:sz w:val="22"/>
          <w:szCs w:val="22"/>
        </w:rPr>
        <w:t xml:space="preserve"> worthy of note</w:t>
      </w:r>
      <w:r w:rsidR="008D4119" w:rsidRPr="00AC49B0">
        <w:rPr>
          <w:sz w:val="22"/>
          <w:szCs w:val="22"/>
        </w:rPr>
        <w:t xml:space="preserve"> and typified by the following quotes</w:t>
      </w:r>
      <w:r w:rsidR="00B24D05" w:rsidRPr="00AC49B0">
        <w:rPr>
          <w:sz w:val="22"/>
          <w:szCs w:val="22"/>
        </w:rPr>
        <w:t>:</w:t>
      </w:r>
    </w:p>
    <w:p w14:paraId="1C9B3DFD" w14:textId="77777777" w:rsidR="002E7449" w:rsidRPr="00AC49B0" w:rsidRDefault="00E811F3" w:rsidP="00F458CC">
      <w:pPr>
        <w:spacing w:line="240" w:lineRule="auto"/>
        <w:jc w:val="both"/>
        <w:rPr>
          <w:color w:val="333E48"/>
          <w:sz w:val="22"/>
          <w:szCs w:val="22"/>
          <w:shd w:val="clear" w:color="auto" w:fill="F4F5F5"/>
        </w:rPr>
      </w:pPr>
      <w:r w:rsidRPr="00AC49B0">
        <w:rPr>
          <w:i/>
          <w:color w:val="333E48"/>
          <w:sz w:val="22"/>
          <w:szCs w:val="22"/>
          <w:shd w:val="clear" w:color="auto" w:fill="F4F5F5"/>
        </w:rPr>
        <w:t>The</w:t>
      </w:r>
      <w:r w:rsidR="002E7449" w:rsidRPr="00AC49B0">
        <w:rPr>
          <w:i/>
          <w:color w:val="333E48"/>
          <w:sz w:val="22"/>
          <w:szCs w:val="22"/>
          <w:shd w:val="clear" w:color="auto" w:fill="F4F5F5"/>
        </w:rPr>
        <w:t xml:space="preserve"> </w:t>
      </w:r>
      <w:r w:rsidR="00E428FD" w:rsidRPr="00AC49B0">
        <w:rPr>
          <w:i/>
          <w:color w:val="333E48"/>
          <w:sz w:val="22"/>
          <w:szCs w:val="22"/>
          <w:shd w:val="clear" w:color="auto" w:fill="F4F5F5"/>
        </w:rPr>
        <w:t>Red Bag</w:t>
      </w:r>
      <w:r w:rsidR="002E7449" w:rsidRPr="00AC49B0">
        <w:rPr>
          <w:i/>
          <w:color w:val="333E48"/>
          <w:sz w:val="22"/>
          <w:szCs w:val="22"/>
          <w:shd w:val="clear" w:color="auto" w:fill="F4F5F5"/>
        </w:rPr>
        <w:t xml:space="preserve"> works effectively. </w:t>
      </w:r>
      <w:r w:rsidRPr="00AC49B0">
        <w:rPr>
          <w:i/>
          <w:color w:val="333E48"/>
          <w:sz w:val="22"/>
          <w:szCs w:val="22"/>
          <w:shd w:val="clear" w:color="auto" w:fill="F4F5F5"/>
        </w:rPr>
        <w:t>However</w:t>
      </w:r>
      <w:r w:rsidR="002E7449" w:rsidRPr="00AC49B0">
        <w:rPr>
          <w:i/>
          <w:color w:val="333E48"/>
          <w:sz w:val="22"/>
          <w:szCs w:val="22"/>
          <w:shd w:val="clear" w:color="auto" w:fill="F4F5F5"/>
        </w:rPr>
        <w:t xml:space="preserve"> we don't always get the </w:t>
      </w:r>
      <w:r w:rsidR="00E428FD" w:rsidRPr="00AC49B0">
        <w:rPr>
          <w:i/>
          <w:color w:val="333E48"/>
          <w:sz w:val="22"/>
          <w:szCs w:val="22"/>
          <w:shd w:val="clear" w:color="auto" w:fill="F4F5F5"/>
        </w:rPr>
        <w:t>Red Bag</w:t>
      </w:r>
      <w:r w:rsidR="002E7449" w:rsidRPr="00AC49B0">
        <w:rPr>
          <w:i/>
          <w:color w:val="333E48"/>
          <w:sz w:val="22"/>
          <w:szCs w:val="22"/>
          <w:shd w:val="clear" w:color="auto" w:fill="F4F5F5"/>
        </w:rPr>
        <w:t>s back especially if a resident has passed away in hospital.</w:t>
      </w:r>
    </w:p>
    <w:p w14:paraId="0AA5DD8B" w14:textId="77777777" w:rsidR="002E7449" w:rsidRPr="00AC49B0" w:rsidRDefault="002E7449" w:rsidP="00F458CC">
      <w:pPr>
        <w:spacing w:line="240" w:lineRule="auto"/>
        <w:jc w:val="both"/>
        <w:rPr>
          <w:i/>
          <w:color w:val="333E48"/>
          <w:sz w:val="22"/>
          <w:szCs w:val="22"/>
          <w:shd w:val="clear" w:color="auto" w:fill="F4F5F5"/>
        </w:rPr>
      </w:pPr>
      <w:r w:rsidRPr="00AC49B0">
        <w:rPr>
          <w:i/>
          <w:color w:val="333E48"/>
          <w:sz w:val="22"/>
          <w:szCs w:val="22"/>
          <w:shd w:val="clear" w:color="auto" w:fill="F4F5F5"/>
        </w:rPr>
        <w:t xml:space="preserve">The </w:t>
      </w:r>
      <w:r w:rsidR="00E428FD" w:rsidRPr="00AC49B0">
        <w:rPr>
          <w:i/>
          <w:color w:val="333E48"/>
          <w:sz w:val="22"/>
          <w:szCs w:val="22"/>
          <w:shd w:val="clear" w:color="auto" w:fill="F4F5F5"/>
        </w:rPr>
        <w:t>Red Bag</w:t>
      </w:r>
      <w:r w:rsidRPr="00AC49B0">
        <w:rPr>
          <w:i/>
          <w:color w:val="333E48"/>
          <w:sz w:val="22"/>
          <w:szCs w:val="22"/>
          <w:shd w:val="clear" w:color="auto" w:fill="F4F5F5"/>
        </w:rPr>
        <w:t xml:space="preserve"> scheme works well from our end of the process, however we rarely receive the bag back and if we do, it is often not filled in by the ambulance service or the hospital staff on the wards or A &amp; E</w:t>
      </w:r>
    </w:p>
    <w:p w14:paraId="1830CDAE" w14:textId="77777777" w:rsidR="0022274A" w:rsidRPr="00AC49B0" w:rsidRDefault="0022274A" w:rsidP="007433EF">
      <w:pPr>
        <w:spacing w:line="276" w:lineRule="auto"/>
        <w:jc w:val="both"/>
        <w:rPr>
          <w:sz w:val="22"/>
          <w:szCs w:val="22"/>
        </w:rPr>
      </w:pPr>
      <w:r w:rsidRPr="00AC49B0">
        <w:rPr>
          <w:sz w:val="22"/>
          <w:szCs w:val="22"/>
        </w:rPr>
        <w:t xml:space="preserve">Respondents were then asked what </w:t>
      </w:r>
      <w:r w:rsidR="00156B32" w:rsidRPr="00AC49B0">
        <w:rPr>
          <w:sz w:val="22"/>
          <w:szCs w:val="22"/>
        </w:rPr>
        <w:t xml:space="preserve">could be improved in the context of the </w:t>
      </w:r>
      <w:r w:rsidR="00E428FD" w:rsidRPr="00AC49B0">
        <w:rPr>
          <w:sz w:val="22"/>
          <w:szCs w:val="22"/>
        </w:rPr>
        <w:t>Red Bag</w:t>
      </w:r>
      <w:r w:rsidR="00156B32" w:rsidRPr="00AC49B0">
        <w:rPr>
          <w:sz w:val="22"/>
          <w:szCs w:val="22"/>
        </w:rPr>
        <w:t xml:space="preserve"> Scheme, with 37 respondents providing comments. The following </w:t>
      </w:r>
      <w:r w:rsidR="00D14554" w:rsidRPr="00AC49B0">
        <w:rPr>
          <w:sz w:val="22"/>
          <w:szCs w:val="22"/>
        </w:rPr>
        <w:t>quote</w:t>
      </w:r>
      <w:r w:rsidR="008D4119" w:rsidRPr="00AC49B0">
        <w:rPr>
          <w:sz w:val="22"/>
          <w:szCs w:val="22"/>
        </w:rPr>
        <w:t>s</w:t>
      </w:r>
      <w:r w:rsidR="00D14554" w:rsidRPr="00AC49B0">
        <w:rPr>
          <w:sz w:val="22"/>
          <w:szCs w:val="22"/>
        </w:rPr>
        <w:t xml:space="preserve"> reflect </w:t>
      </w:r>
      <w:r w:rsidR="008D4119" w:rsidRPr="00AC49B0">
        <w:rPr>
          <w:sz w:val="22"/>
          <w:szCs w:val="22"/>
        </w:rPr>
        <w:t xml:space="preserve">the </w:t>
      </w:r>
      <w:r w:rsidR="00D14554" w:rsidRPr="00AC49B0">
        <w:rPr>
          <w:sz w:val="22"/>
          <w:szCs w:val="22"/>
        </w:rPr>
        <w:t>main issues articulated:</w:t>
      </w:r>
    </w:p>
    <w:p w14:paraId="234F37D2" w14:textId="77777777" w:rsidR="0022274A" w:rsidRPr="00AC49B0" w:rsidRDefault="00DF5902" w:rsidP="00F458CC">
      <w:pPr>
        <w:spacing w:line="240" w:lineRule="auto"/>
        <w:jc w:val="both"/>
        <w:rPr>
          <w:i/>
          <w:color w:val="333E48"/>
          <w:sz w:val="22"/>
          <w:szCs w:val="22"/>
          <w:shd w:val="clear" w:color="auto" w:fill="F4F5F5"/>
        </w:rPr>
      </w:pPr>
      <w:r w:rsidRPr="00AC49B0">
        <w:rPr>
          <w:i/>
          <w:color w:val="333E48"/>
          <w:sz w:val="22"/>
          <w:szCs w:val="22"/>
          <w:shd w:val="clear" w:color="auto" w:fill="F4F5F5"/>
        </w:rPr>
        <w:t xml:space="preserve">There is a lack of communication between hospital wards and we find quite often that we receive telephone </w:t>
      </w:r>
      <w:r w:rsidR="00E811F3" w:rsidRPr="00AC49B0">
        <w:rPr>
          <w:i/>
          <w:color w:val="333E48"/>
          <w:sz w:val="22"/>
          <w:szCs w:val="22"/>
          <w:shd w:val="clear" w:color="auto" w:fill="F4F5F5"/>
        </w:rPr>
        <w:t>calls asking for information which we know were</w:t>
      </w:r>
      <w:r w:rsidRPr="00AC49B0">
        <w:rPr>
          <w:i/>
          <w:color w:val="333E48"/>
          <w:sz w:val="22"/>
          <w:szCs w:val="22"/>
          <w:shd w:val="clear" w:color="auto" w:fill="F4F5F5"/>
        </w:rPr>
        <w:t xml:space="preserve"> handed over to hospital </w:t>
      </w:r>
      <w:r w:rsidR="00E811F3" w:rsidRPr="00AC49B0">
        <w:rPr>
          <w:i/>
          <w:color w:val="333E48"/>
          <w:sz w:val="22"/>
          <w:szCs w:val="22"/>
          <w:shd w:val="clear" w:color="auto" w:fill="F4F5F5"/>
        </w:rPr>
        <w:t>staff. This</w:t>
      </w:r>
      <w:r w:rsidRPr="00AC49B0">
        <w:rPr>
          <w:i/>
          <w:color w:val="333E48"/>
          <w:sz w:val="22"/>
          <w:szCs w:val="22"/>
          <w:shd w:val="clear" w:color="auto" w:fill="F4F5F5"/>
        </w:rPr>
        <w:t xml:space="preserve"> sometimes happens days after the resident has been admitted</w:t>
      </w:r>
      <w:r w:rsidR="008D4119" w:rsidRPr="00AC49B0">
        <w:rPr>
          <w:i/>
          <w:color w:val="333E48"/>
          <w:sz w:val="22"/>
          <w:szCs w:val="22"/>
          <w:shd w:val="clear" w:color="auto" w:fill="F4F5F5"/>
        </w:rPr>
        <w:t>…</w:t>
      </w:r>
    </w:p>
    <w:p w14:paraId="311D4231" w14:textId="77777777" w:rsidR="00D14554" w:rsidRPr="00AC49B0" w:rsidRDefault="00C5064B" w:rsidP="00F458CC">
      <w:pPr>
        <w:spacing w:line="240" w:lineRule="auto"/>
        <w:jc w:val="both"/>
        <w:rPr>
          <w:i/>
          <w:color w:val="333E48"/>
          <w:sz w:val="22"/>
          <w:szCs w:val="22"/>
          <w:shd w:val="clear" w:color="auto" w:fill="F4F5F5"/>
        </w:rPr>
      </w:pPr>
      <w:r w:rsidRPr="00AC49B0">
        <w:rPr>
          <w:i/>
          <w:color w:val="333E48"/>
          <w:sz w:val="22"/>
          <w:szCs w:val="22"/>
          <w:shd w:val="clear" w:color="auto" w:fill="F4F5F5"/>
        </w:rPr>
        <w:t xml:space="preserve">The bag does not always return from the hospital and the home has to chase up the whereabouts of the </w:t>
      </w:r>
      <w:r w:rsidR="00E428FD" w:rsidRPr="00AC49B0">
        <w:rPr>
          <w:i/>
          <w:color w:val="333E48"/>
          <w:sz w:val="22"/>
          <w:szCs w:val="22"/>
          <w:shd w:val="clear" w:color="auto" w:fill="F4F5F5"/>
        </w:rPr>
        <w:t>Red Bag</w:t>
      </w:r>
      <w:r w:rsidRPr="00AC49B0">
        <w:rPr>
          <w:i/>
          <w:color w:val="333E48"/>
          <w:sz w:val="22"/>
          <w:szCs w:val="22"/>
          <w:shd w:val="clear" w:color="auto" w:fill="F4F5F5"/>
        </w:rPr>
        <w:t>.</w:t>
      </w:r>
    </w:p>
    <w:p w14:paraId="4A810F8B" w14:textId="77777777" w:rsidR="00060CD1" w:rsidRPr="00AC49B0" w:rsidRDefault="00060CD1" w:rsidP="00F458CC">
      <w:pPr>
        <w:spacing w:line="240" w:lineRule="auto"/>
        <w:jc w:val="both"/>
        <w:rPr>
          <w:i/>
          <w:color w:val="333E48"/>
          <w:sz w:val="22"/>
          <w:szCs w:val="22"/>
          <w:shd w:val="clear" w:color="auto" w:fill="F4F5F5"/>
        </w:rPr>
      </w:pPr>
      <w:r w:rsidRPr="00AC49B0">
        <w:rPr>
          <w:i/>
          <w:color w:val="333E48"/>
          <w:sz w:val="22"/>
          <w:szCs w:val="22"/>
          <w:shd w:val="clear" w:color="auto" w:fill="F4F5F5"/>
        </w:rPr>
        <w:t>Some documentation sent previously was not always looked at by hospital staff resulting in lots of telephone calls</w:t>
      </w:r>
      <w:r w:rsidR="008D4119" w:rsidRPr="00AC49B0">
        <w:rPr>
          <w:i/>
          <w:color w:val="333E48"/>
          <w:sz w:val="22"/>
          <w:szCs w:val="22"/>
          <w:shd w:val="clear" w:color="auto" w:fill="F4F5F5"/>
        </w:rPr>
        <w:t>.</w:t>
      </w:r>
    </w:p>
    <w:p w14:paraId="543E14BF" w14:textId="77777777" w:rsidR="009F0F19" w:rsidRPr="00AC49B0" w:rsidRDefault="005E164D" w:rsidP="007433EF">
      <w:pPr>
        <w:spacing w:line="276" w:lineRule="auto"/>
        <w:jc w:val="both"/>
        <w:rPr>
          <w:sz w:val="22"/>
          <w:szCs w:val="22"/>
        </w:rPr>
      </w:pPr>
      <w:r w:rsidRPr="00AC49B0">
        <w:rPr>
          <w:sz w:val="22"/>
          <w:szCs w:val="22"/>
        </w:rPr>
        <w:t xml:space="preserve">Participants were asked to state </w:t>
      </w:r>
      <w:r w:rsidR="008D4119" w:rsidRPr="00AC49B0">
        <w:rPr>
          <w:sz w:val="22"/>
          <w:szCs w:val="22"/>
        </w:rPr>
        <w:t>the</w:t>
      </w:r>
      <w:r w:rsidRPr="00AC49B0">
        <w:rPr>
          <w:sz w:val="22"/>
          <w:szCs w:val="22"/>
        </w:rPr>
        <w:t xml:space="preserve"> training they had been given </w:t>
      </w:r>
      <w:r w:rsidR="0035672E" w:rsidRPr="00AC49B0">
        <w:rPr>
          <w:sz w:val="22"/>
          <w:szCs w:val="22"/>
        </w:rPr>
        <w:t xml:space="preserve">in the transfer of care of residents including the </w:t>
      </w:r>
      <w:r w:rsidR="00E428FD" w:rsidRPr="00AC49B0">
        <w:rPr>
          <w:sz w:val="22"/>
          <w:szCs w:val="22"/>
        </w:rPr>
        <w:t>Red Bag</w:t>
      </w:r>
      <w:r w:rsidRPr="00AC49B0">
        <w:rPr>
          <w:sz w:val="22"/>
          <w:szCs w:val="22"/>
        </w:rPr>
        <w:t xml:space="preserve"> Scheme. All participants responded</w:t>
      </w:r>
      <w:r w:rsidR="0035672E" w:rsidRPr="00AC49B0">
        <w:rPr>
          <w:sz w:val="22"/>
          <w:szCs w:val="22"/>
        </w:rPr>
        <w:t xml:space="preserve">, with </w:t>
      </w:r>
      <w:r w:rsidR="0085574C" w:rsidRPr="00AC49B0">
        <w:rPr>
          <w:sz w:val="22"/>
          <w:szCs w:val="22"/>
        </w:rPr>
        <w:t xml:space="preserve">nearly half of the </w:t>
      </w:r>
      <w:r w:rsidR="0085574C" w:rsidRPr="00AC49B0">
        <w:rPr>
          <w:sz w:val="22"/>
          <w:szCs w:val="22"/>
        </w:rPr>
        <w:lastRenderedPageBreak/>
        <w:t>respondents (</w:t>
      </w:r>
      <w:r w:rsidR="0090478B" w:rsidRPr="00AC49B0">
        <w:rPr>
          <w:sz w:val="22"/>
          <w:szCs w:val="22"/>
        </w:rPr>
        <w:t>47%, n= 19) reporting not having any</w:t>
      </w:r>
      <w:r w:rsidR="004B1D65" w:rsidRPr="00AC49B0">
        <w:rPr>
          <w:sz w:val="22"/>
          <w:szCs w:val="22"/>
        </w:rPr>
        <w:t xml:space="preserve"> formal</w:t>
      </w:r>
      <w:r w:rsidR="0090478B" w:rsidRPr="00AC49B0">
        <w:rPr>
          <w:sz w:val="22"/>
          <w:szCs w:val="22"/>
        </w:rPr>
        <w:t xml:space="preserve"> training</w:t>
      </w:r>
      <w:r w:rsidR="004B1D65" w:rsidRPr="00AC49B0">
        <w:rPr>
          <w:sz w:val="22"/>
          <w:szCs w:val="22"/>
        </w:rPr>
        <w:t xml:space="preserve"> in relation to the Hospital Transfer Pathway</w:t>
      </w:r>
      <w:r w:rsidR="00AD2C9C" w:rsidRPr="00AC49B0">
        <w:rPr>
          <w:sz w:val="22"/>
          <w:szCs w:val="22"/>
        </w:rPr>
        <w:t xml:space="preserve"> (see </w:t>
      </w:r>
      <w:r w:rsidR="00BB1084" w:rsidRPr="00AC49B0">
        <w:rPr>
          <w:sz w:val="22"/>
          <w:szCs w:val="22"/>
        </w:rPr>
        <w:t>Figure</w:t>
      </w:r>
      <w:r w:rsidR="00AD2C9C" w:rsidRPr="00AC49B0">
        <w:rPr>
          <w:sz w:val="22"/>
          <w:szCs w:val="22"/>
        </w:rPr>
        <w:t xml:space="preserve"> 2)</w:t>
      </w:r>
      <w:r w:rsidR="004B1D65" w:rsidRPr="00AC49B0">
        <w:rPr>
          <w:sz w:val="22"/>
          <w:szCs w:val="22"/>
        </w:rPr>
        <w:t>.</w:t>
      </w:r>
    </w:p>
    <w:p w14:paraId="6CAEC7A3" w14:textId="77777777" w:rsidR="007433EF" w:rsidRPr="00AC49B0" w:rsidRDefault="007433EF" w:rsidP="00F458CC">
      <w:pPr>
        <w:spacing w:line="240" w:lineRule="auto"/>
        <w:jc w:val="both"/>
        <w:rPr>
          <w:sz w:val="22"/>
          <w:szCs w:val="22"/>
        </w:rPr>
      </w:pPr>
    </w:p>
    <w:p w14:paraId="082DB9C5" w14:textId="77777777" w:rsidR="00B24D05" w:rsidRPr="00AC49B0" w:rsidRDefault="00BB1084" w:rsidP="00F458CC">
      <w:pPr>
        <w:pStyle w:val="Caption"/>
        <w:jc w:val="both"/>
        <w:rPr>
          <w:color w:val="auto"/>
          <w:sz w:val="22"/>
          <w:szCs w:val="22"/>
        </w:rPr>
      </w:pPr>
      <w:bookmarkStart w:id="4" w:name="_Toc9194235"/>
      <w:r w:rsidRPr="00AC49B0">
        <w:rPr>
          <w:color w:val="auto"/>
          <w:sz w:val="22"/>
          <w:szCs w:val="22"/>
        </w:rPr>
        <w:t>Figure</w:t>
      </w:r>
      <w:r w:rsidR="00911CAE" w:rsidRPr="00AC49B0">
        <w:rPr>
          <w:color w:val="auto"/>
          <w:sz w:val="22"/>
          <w:szCs w:val="22"/>
        </w:rPr>
        <w:t xml:space="preserve"> </w:t>
      </w:r>
      <w:r w:rsidR="003430DB" w:rsidRPr="00AC49B0">
        <w:rPr>
          <w:color w:val="auto"/>
          <w:sz w:val="22"/>
          <w:szCs w:val="22"/>
        </w:rPr>
        <w:t>2</w:t>
      </w:r>
      <w:r w:rsidR="00E52B9F" w:rsidRPr="00AC49B0">
        <w:rPr>
          <w:color w:val="auto"/>
          <w:sz w:val="22"/>
          <w:szCs w:val="22"/>
        </w:rPr>
        <w:t>:</w:t>
      </w:r>
      <w:r w:rsidR="00911CAE" w:rsidRPr="00AC49B0">
        <w:rPr>
          <w:color w:val="auto"/>
          <w:sz w:val="22"/>
          <w:szCs w:val="22"/>
        </w:rPr>
        <w:t xml:space="preserve"> Respondent reported levels of training in the transfer of care</w:t>
      </w:r>
      <w:bookmarkEnd w:id="4"/>
    </w:p>
    <w:p w14:paraId="5D3C704A" w14:textId="77777777" w:rsidR="009645E4" w:rsidRPr="00AC49B0" w:rsidRDefault="009645E4" w:rsidP="00F458CC">
      <w:pPr>
        <w:spacing w:line="240" w:lineRule="auto"/>
        <w:jc w:val="both"/>
        <w:rPr>
          <w:sz w:val="22"/>
          <w:szCs w:val="22"/>
        </w:rPr>
      </w:pPr>
    </w:p>
    <w:p w14:paraId="72ACA9C9" w14:textId="77777777" w:rsidR="001E3B19" w:rsidRPr="00AC49B0" w:rsidRDefault="001E3B19" w:rsidP="00F458CC">
      <w:pPr>
        <w:spacing w:line="240" w:lineRule="auto"/>
        <w:jc w:val="both"/>
        <w:rPr>
          <w:sz w:val="22"/>
          <w:szCs w:val="22"/>
        </w:rPr>
      </w:pPr>
      <w:r w:rsidRPr="00AC49B0">
        <w:rPr>
          <w:noProof/>
          <w:sz w:val="22"/>
          <w:szCs w:val="22"/>
          <w:lang w:eastAsia="en-GB"/>
        </w:rPr>
        <w:drawing>
          <wp:inline distT="0" distB="0" distL="0" distR="0" wp14:anchorId="63D5C6F6" wp14:editId="1B3EC8E0">
            <wp:extent cx="5570220" cy="25984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0220" cy="2598420"/>
                    </a:xfrm>
                    <a:prstGeom prst="rect">
                      <a:avLst/>
                    </a:prstGeom>
                    <a:noFill/>
                    <a:ln>
                      <a:noFill/>
                    </a:ln>
                  </pic:spPr>
                </pic:pic>
              </a:graphicData>
            </a:graphic>
          </wp:inline>
        </w:drawing>
      </w:r>
    </w:p>
    <w:p w14:paraId="64FA7B3B" w14:textId="77777777" w:rsidR="009645E4" w:rsidRPr="00AC49B0" w:rsidRDefault="009645E4" w:rsidP="00F458CC">
      <w:pPr>
        <w:spacing w:line="240" w:lineRule="auto"/>
        <w:jc w:val="both"/>
        <w:rPr>
          <w:sz w:val="22"/>
          <w:szCs w:val="22"/>
        </w:rPr>
      </w:pPr>
    </w:p>
    <w:p w14:paraId="78565FF8" w14:textId="77777777" w:rsidR="00E84A50" w:rsidRPr="00AC49B0" w:rsidRDefault="001E3B19" w:rsidP="00F458CC">
      <w:pPr>
        <w:spacing w:line="240" w:lineRule="auto"/>
        <w:jc w:val="both"/>
        <w:rPr>
          <w:sz w:val="22"/>
          <w:szCs w:val="22"/>
        </w:rPr>
      </w:pPr>
      <w:r w:rsidRPr="00AC49B0">
        <w:rPr>
          <w:sz w:val="22"/>
          <w:szCs w:val="22"/>
        </w:rPr>
        <w:t>For the 23% (n= 9) who had training and the</w:t>
      </w:r>
      <w:r w:rsidR="00E84A50" w:rsidRPr="00AC49B0">
        <w:rPr>
          <w:sz w:val="22"/>
          <w:szCs w:val="22"/>
        </w:rPr>
        <w:t xml:space="preserve"> 10% (n=4) who stated having some </w:t>
      </w:r>
      <w:r w:rsidR="00BA2CF6" w:rsidRPr="00AC49B0">
        <w:rPr>
          <w:sz w:val="22"/>
          <w:szCs w:val="22"/>
        </w:rPr>
        <w:t xml:space="preserve">formal </w:t>
      </w:r>
      <w:r w:rsidR="00E84A50" w:rsidRPr="00AC49B0">
        <w:rPr>
          <w:sz w:val="22"/>
          <w:szCs w:val="22"/>
        </w:rPr>
        <w:t xml:space="preserve">training, </w:t>
      </w:r>
      <w:r w:rsidR="008D4119" w:rsidRPr="00AC49B0">
        <w:rPr>
          <w:sz w:val="22"/>
          <w:szCs w:val="22"/>
        </w:rPr>
        <w:t>examples of responses are</w:t>
      </w:r>
      <w:r w:rsidR="0090757D" w:rsidRPr="00AC49B0">
        <w:rPr>
          <w:sz w:val="22"/>
          <w:szCs w:val="22"/>
        </w:rPr>
        <w:t>:</w:t>
      </w:r>
    </w:p>
    <w:p w14:paraId="24ACAF9F" w14:textId="77777777" w:rsidR="00E84A50" w:rsidRPr="00AC49B0" w:rsidRDefault="00E84A50" w:rsidP="00F458CC">
      <w:pPr>
        <w:spacing w:line="240" w:lineRule="auto"/>
        <w:jc w:val="both"/>
        <w:rPr>
          <w:i/>
          <w:sz w:val="22"/>
          <w:szCs w:val="22"/>
          <w:shd w:val="clear" w:color="auto" w:fill="F4F5F5"/>
        </w:rPr>
      </w:pPr>
      <w:r w:rsidRPr="00AC49B0">
        <w:rPr>
          <w:i/>
          <w:sz w:val="22"/>
          <w:szCs w:val="22"/>
          <w:shd w:val="clear" w:color="auto" w:fill="F4F5F5"/>
        </w:rPr>
        <w:t>Documentation to support this initiative &amp; face to face short discussion with representative.</w:t>
      </w:r>
    </w:p>
    <w:p w14:paraId="0FDA2A6D" w14:textId="77777777" w:rsidR="001E3B19" w:rsidRPr="00AC49B0" w:rsidRDefault="00E84A50" w:rsidP="00F458CC">
      <w:pPr>
        <w:spacing w:line="240" w:lineRule="auto"/>
        <w:jc w:val="both"/>
        <w:rPr>
          <w:i/>
          <w:sz w:val="22"/>
          <w:szCs w:val="22"/>
          <w:shd w:val="clear" w:color="auto" w:fill="F4F5F5"/>
        </w:rPr>
      </w:pPr>
      <w:r w:rsidRPr="00AC49B0">
        <w:rPr>
          <w:i/>
          <w:sz w:val="22"/>
          <w:szCs w:val="22"/>
          <w:shd w:val="clear" w:color="auto" w:fill="F4F5F5"/>
        </w:rPr>
        <w:t>I received a visit from a staff member explaining the procedure to me, which I passed onto fellow staff.</w:t>
      </w:r>
    </w:p>
    <w:p w14:paraId="3F9A4BE6" w14:textId="77777777" w:rsidR="0090757D" w:rsidRPr="00AC49B0" w:rsidRDefault="0090757D" w:rsidP="007C74AA">
      <w:pPr>
        <w:spacing w:line="276" w:lineRule="auto"/>
        <w:jc w:val="both"/>
        <w:rPr>
          <w:sz w:val="22"/>
          <w:szCs w:val="22"/>
        </w:rPr>
      </w:pPr>
      <w:r w:rsidRPr="00AC49B0">
        <w:rPr>
          <w:sz w:val="22"/>
          <w:szCs w:val="22"/>
        </w:rPr>
        <w:t xml:space="preserve">Respondents were then asked about their confidence levels in </w:t>
      </w:r>
      <w:r w:rsidR="00BA2CF6" w:rsidRPr="00AC49B0">
        <w:rPr>
          <w:sz w:val="22"/>
          <w:szCs w:val="22"/>
        </w:rPr>
        <w:t xml:space="preserve">terms of </w:t>
      </w:r>
      <w:r w:rsidRPr="00AC49B0">
        <w:rPr>
          <w:sz w:val="22"/>
          <w:szCs w:val="22"/>
        </w:rPr>
        <w:t>knowledge and awareness of procedures of tra</w:t>
      </w:r>
      <w:r w:rsidR="00A908D9" w:rsidRPr="00AC49B0">
        <w:rPr>
          <w:sz w:val="22"/>
          <w:szCs w:val="22"/>
        </w:rPr>
        <w:t>nsferring residents to hospital with 67% (n=</w:t>
      </w:r>
      <w:r w:rsidR="00E66600" w:rsidRPr="00AC49B0">
        <w:rPr>
          <w:sz w:val="22"/>
          <w:szCs w:val="22"/>
        </w:rPr>
        <w:t xml:space="preserve"> </w:t>
      </w:r>
      <w:r w:rsidR="00E811F3" w:rsidRPr="00AC49B0">
        <w:rPr>
          <w:sz w:val="22"/>
          <w:szCs w:val="22"/>
        </w:rPr>
        <w:t>27)</w:t>
      </w:r>
      <w:r w:rsidR="00A908D9" w:rsidRPr="00AC49B0">
        <w:rPr>
          <w:sz w:val="22"/>
          <w:szCs w:val="22"/>
        </w:rPr>
        <w:t xml:space="preserve"> stating they were very confident,</w:t>
      </w:r>
      <w:r w:rsidR="00E66600" w:rsidRPr="00AC49B0">
        <w:rPr>
          <w:sz w:val="22"/>
          <w:szCs w:val="22"/>
        </w:rPr>
        <w:t xml:space="preserve"> 28% (n=11) somewhat confident, 2.5% (n=1) feeling not so confident and 2.55 (n=1) not confident at all.</w:t>
      </w:r>
    </w:p>
    <w:p w14:paraId="1D5E8827" w14:textId="77777777" w:rsidR="0090757D" w:rsidRPr="00AC49B0" w:rsidRDefault="001C1B27" w:rsidP="007C74AA">
      <w:pPr>
        <w:spacing w:line="276" w:lineRule="auto"/>
        <w:jc w:val="both"/>
        <w:rPr>
          <w:sz w:val="22"/>
          <w:szCs w:val="22"/>
        </w:rPr>
      </w:pPr>
      <w:r w:rsidRPr="00AC49B0">
        <w:rPr>
          <w:sz w:val="22"/>
          <w:szCs w:val="22"/>
        </w:rPr>
        <w:t xml:space="preserve">Participants were then asked what further training they felt was needed, with 29 answering the question and 11 declining to respond. </w:t>
      </w:r>
      <w:r w:rsidR="00053884" w:rsidRPr="00AC49B0">
        <w:rPr>
          <w:sz w:val="22"/>
          <w:szCs w:val="22"/>
        </w:rPr>
        <w:t xml:space="preserve">Half the respondents stated they did not have any further training requirements, and the other half </w:t>
      </w:r>
      <w:r w:rsidR="008D4119" w:rsidRPr="00AC49B0">
        <w:rPr>
          <w:sz w:val="22"/>
          <w:szCs w:val="22"/>
        </w:rPr>
        <w:t xml:space="preserve">typically </w:t>
      </w:r>
      <w:r w:rsidR="00053884" w:rsidRPr="00AC49B0">
        <w:rPr>
          <w:sz w:val="22"/>
          <w:szCs w:val="22"/>
        </w:rPr>
        <w:t>expressed their training needs as:</w:t>
      </w:r>
    </w:p>
    <w:p w14:paraId="4E9A1297" w14:textId="77777777" w:rsidR="00053884" w:rsidRPr="00AC49B0" w:rsidRDefault="00E811F3" w:rsidP="00F458CC">
      <w:pPr>
        <w:spacing w:line="240" w:lineRule="auto"/>
        <w:jc w:val="both"/>
        <w:rPr>
          <w:i/>
          <w:color w:val="333E48"/>
          <w:sz w:val="22"/>
          <w:szCs w:val="22"/>
          <w:shd w:val="clear" w:color="auto" w:fill="F4F5F5"/>
        </w:rPr>
      </w:pPr>
      <w:r w:rsidRPr="00AC49B0">
        <w:rPr>
          <w:i/>
          <w:color w:val="333E48"/>
          <w:sz w:val="22"/>
          <w:szCs w:val="22"/>
          <w:shd w:val="clear" w:color="auto" w:fill="F4F5F5"/>
        </w:rPr>
        <w:t>I</w:t>
      </w:r>
      <w:r w:rsidR="00863910" w:rsidRPr="00AC49B0">
        <w:rPr>
          <w:i/>
          <w:color w:val="333E48"/>
          <w:sz w:val="22"/>
          <w:szCs w:val="22"/>
          <w:shd w:val="clear" w:color="auto" w:fill="F4F5F5"/>
        </w:rPr>
        <w:t xml:space="preserve"> would like training for staff so they are more aware of the procedure of the bags</w:t>
      </w:r>
      <w:r w:rsidR="008D4119" w:rsidRPr="00AC49B0">
        <w:rPr>
          <w:i/>
          <w:color w:val="333E48"/>
          <w:sz w:val="22"/>
          <w:szCs w:val="22"/>
          <w:shd w:val="clear" w:color="auto" w:fill="F4F5F5"/>
        </w:rPr>
        <w:t>.</w:t>
      </w:r>
    </w:p>
    <w:p w14:paraId="07C7FD35" w14:textId="77777777" w:rsidR="00A63C4A" w:rsidRPr="00AC49B0" w:rsidRDefault="00863910" w:rsidP="00F458CC">
      <w:pPr>
        <w:spacing w:line="240" w:lineRule="auto"/>
        <w:jc w:val="both"/>
        <w:rPr>
          <w:i/>
          <w:sz w:val="22"/>
          <w:szCs w:val="22"/>
        </w:rPr>
      </w:pPr>
      <w:r w:rsidRPr="00AC49B0">
        <w:rPr>
          <w:i/>
          <w:color w:val="333E48"/>
          <w:sz w:val="22"/>
          <w:szCs w:val="22"/>
          <w:shd w:val="clear" w:color="auto" w:fill="F4F5F5"/>
        </w:rPr>
        <w:t>Any training is a bonus</w:t>
      </w:r>
    </w:p>
    <w:p w14:paraId="1E497F45" w14:textId="77777777" w:rsidR="00A63C4A" w:rsidRPr="00AC49B0" w:rsidRDefault="000E6231" w:rsidP="007C74AA">
      <w:pPr>
        <w:spacing w:line="276" w:lineRule="auto"/>
        <w:jc w:val="both"/>
        <w:rPr>
          <w:sz w:val="22"/>
          <w:szCs w:val="22"/>
        </w:rPr>
      </w:pPr>
      <w:r w:rsidRPr="00AC49B0">
        <w:rPr>
          <w:sz w:val="22"/>
          <w:szCs w:val="22"/>
        </w:rPr>
        <w:t>Finally, participants were asked for general comments and suggestions around the transfer of residents</w:t>
      </w:r>
      <w:r w:rsidR="00294B81" w:rsidRPr="00AC49B0">
        <w:rPr>
          <w:sz w:val="22"/>
          <w:szCs w:val="22"/>
        </w:rPr>
        <w:t xml:space="preserve"> in their care</w:t>
      </w:r>
      <w:r w:rsidRPr="00AC49B0">
        <w:rPr>
          <w:sz w:val="22"/>
          <w:szCs w:val="22"/>
        </w:rPr>
        <w:t xml:space="preserve">. Two thirds (n=28) responded to this question and within this, </w:t>
      </w:r>
      <w:r w:rsidR="003808CB" w:rsidRPr="00AC49B0">
        <w:rPr>
          <w:sz w:val="22"/>
          <w:szCs w:val="22"/>
        </w:rPr>
        <w:t xml:space="preserve">ten said they did not have any suggestions.  The comments and suggestions were framed around improved communication, </w:t>
      </w:r>
      <w:r w:rsidR="0050708E" w:rsidRPr="00AC49B0">
        <w:rPr>
          <w:sz w:val="22"/>
          <w:szCs w:val="22"/>
        </w:rPr>
        <w:t xml:space="preserve">increasing the number of </w:t>
      </w:r>
      <w:r w:rsidR="00E428FD" w:rsidRPr="00AC49B0">
        <w:rPr>
          <w:sz w:val="22"/>
          <w:szCs w:val="22"/>
        </w:rPr>
        <w:t>Red Bag</w:t>
      </w:r>
      <w:r w:rsidR="00E811F3" w:rsidRPr="00AC49B0">
        <w:rPr>
          <w:sz w:val="22"/>
          <w:szCs w:val="22"/>
        </w:rPr>
        <w:t>s</w:t>
      </w:r>
      <w:r w:rsidR="00294B81" w:rsidRPr="00AC49B0">
        <w:rPr>
          <w:sz w:val="22"/>
          <w:szCs w:val="22"/>
        </w:rPr>
        <w:t xml:space="preserve"> available</w:t>
      </w:r>
      <w:r w:rsidR="00E811F3" w:rsidRPr="00AC49B0">
        <w:rPr>
          <w:sz w:val="22"/>
          <w:szCs w:val="22"/>
        </w:rPr>
        <w:t>,</w:t>
      </w:r>
      <w:r w:rsidR="0050708E" w:rsidRPr="00AC49B0">
        <w:rPr>
          <w:sz w:val="22"/>
          <w:szCs w:val="22"/>
        </w:rPr>
        <w:t xml:space="preserve"> </w:t>
      </w:r>
      <w:r w:rsidR="00E63647" w:rsidRPr="00AC49B0">
        <w:rPr>
          <w:sz w:val="22"/>
          <w:szCs w:val="22"/>
        </w:rPr>
        <w:t>ensuring paperwork is completed across the pathway, defining expectations of organisations and reducing</w:t>
      </w:r>
      <w:r w:rsidR="00294B81" w:rsidRPr="00AC49B0">
        <w:rPr>
          <w:sz w:val="22"/>
          <w:szCs w:val="22"/>
        </w:rPr>
        <w:t xml:space="preserve"> overall</w:t>
      </w:r>
      <w:r w:rsidR="00E63647" w:rsidRPr="00AC49B0">
        <w:rPr>
          <w:sz w:val="22"/>
          <w:szCs w:val="22"/>
        </w:rPr>
        <w:t xml:space="preserve"> time taken to</w:t>
      </w:r>
      <w:r w:rsidR="005326B9" w:rsidRPr="00AC49B0">
        <w:rPr>
          <w:sz w:val="22"/>
          <w:szCs w:val="22"/>
        </w:rPr>
        <w:t xml:space="preserve"> complete paperwork</w:t>
      </w:r>
      <w:r w:rsidR="008D4119" w:rsidRPr="00AC49B0">
        <w:rPr>
          <w:sz w:val="22"/>
          <w:szCs w:val="22"/>
        </w:rPr>
        <w:t>.</w:t>
      </w:r>
    </w:p>
    <w:p w14:paraId="04A44992" w14:textId="77777777" w:rsidR="005326B9" w:rsidRPr="00AC49B0" w:rsidRDefault="005326B9" w:rsidP="00F458CC">
      <w:pPr>
        <w:spacing w:line="240" w:lineRule="auto"/>
        <w:jc w:val="both"/>
        <w:rPr>
          <w:i/>
          <w:color w:val="333E48"/>
          <w:sz w:val="22"/>
          <w:szCs w:val="22"/>
          <w:shd w:val="clear" w:color="auto" w:fill="F4F5F5"/>
        </w:rPr>
      </w:pPr>
      <w:r w:rsidRPr="00AC49B0">
        <w:rPr>
          <w:i/>
          <w:color w:val="333E48"/>
          <w:sz w:val="22"/>
          <w:szCs w:val="22"/>
          <w:shd w:val="clear" w:color="auto" w:fill="F4F5F5"/>
        </w:rPr>
        <w:lastRenderedPageBreak/>
        <w:t>The process for our clients being admitted onto a ward can take up to 8 hours and staff need to stay with the client. Would there be a way of looking into the procedure to make this less stressful for the patient who is waiting but also given then information in the bag, should staff be required to stay until ward bed is available if not necessary?</w:t>
      </w:r>
    </w:p>
    <w:p w14:paraId="2DA70ECD" w14:textId="77777777" w:rsidR="005326B9" w:rsidRPr="00AC49B0" w:rsidRDefault="005326B9" w:rsidP="00F458CC">
      <w:pPr>
        <w:spacing w:line="240" w:lineRule="auto"/>
        <w:jc w:val="both"/>
        <w:rPr>
          <w:i/>
          <w:color w:val="333E48"/>
          <w:sz w:val="22"/>
          <w:szCs w:val="22"/>
          <w:shd w:val="clear" w:color="auto" w:fill="F4F5F5"/>
        </w:rPr>
      </w:pPr>
      <w:r w:rsidRPr="00AC49B0">
        <w:rPr>
          <w:i/>
          <w:color w:val="333E48"/>
          <w:sz w:val="22"/>
          <w:szCs w:val="22"/>
          <w:shd w:val="clear" w:color="auto" w:fill="F4F5F5"/>
        </w:rPr>
        <w:t xml:space="preserve">Everyone using the </w:t>
      </w:r>
      <w:r w:rsidR="00E428FD" w:rsidRPr="00AC49B0">
        <w:rPr>
          <w:i/>
          <w:color w:val="333E48"/>
          <w:sz w:val="22"/>
          <w:szCs w:val="22"/>
          <w:shd w:val="clear" w:color="auto" w:fill="F4F5F5"/>
        </w:rPr>
        <w:t>Red Bag</w:t>
      </w:r>
      <w:r w:rsidRPr="00AC49B0">
        <w:rPr>
          <w:i/>
          <w:color w:val="333E48"/>
          <w:sz w:val="22"/>
          <w:szCs w:val="22"/>
          <w:shd w:val="clear" w:color="auto" w:fill="F4F5F5"/>
        </w:rPr>
        <w:t xml:space="preserve"> as standard. </w:t>
      </w:r>
      <w:r w:rsidR="00E811F3" w:rsidRPr="00AC49B0">
        <w:rPr>
          <w:i/>
          <w:color w:val="333E48"/>
          <w:sz w:val="22"/>
          <w:szCs w:val="22"/>
          <w:shd w:val="clear" w:color="auto" w:fill="F4F5F5"/>
        </w:rPr>
        <w:t>The</w:t>
      </w:r>
      <w:r w:rsidRPr="00AC49B0">
        <w:rPr>
          <w:i/>
          <w:color w:val="333E48"/>
          <w:sz w:val="22"/>
          <w:szCs w:val="22"/>
          <w:shd w:val="clear" w:color="auto" w:fill="F4F5F5"/>
        </w:rPr>
        <w:t xml:space="preserve"> forms that come with the bag could do with being reviewed if some sections are not being completed by some departments.</w:t>
      </w:r>
    </w:p>
    <w:p w14:paraId="7CEFA11D" w14:textId="77777777" w:rsidR="003313AF" w:rsidRPr="00AC49B0" w:rsidRDefault="00D74B4A" w:rsidP="007C74AA">
      <w:pPr>
        <w:spacing w:line="276" w:lineRule="auto"/>
        <w:jc w:val="both"/>
        <w:rPr>
          <w:sz w:val="22"/>
          <w:szCs w:val="22"/>
        </w:rPr>
      </w:pPr>
      <w:r w:rsidRPr="00AC49B0">
        <w:rPr>
          <w:sz w:val="22"/>
          <w:szCs w:val="22"/>
        </w:rPr>
        <w:t>Further data</w:t>
      </w:r>
      <w:r w:rsidR="00147EFF" w:rsidRPr="00AC49B0">
        <w:rPr>
          <w:sz w:val="22"/>
          <w:szCs w:val="22"/>
        </w:rPr>
        <w:t xml:space="preserve"> from </w:t>
      </w:r>
      <w:r w:rsidR="008C7E27" w:rsidRPr="00AC49B0">
        <w:rPr>
          <w:sz w:val="22"/>
          <w:szCs w:val="22"/>
        </w:rPr>
        <w:t>meetings was</w:t>
      </w:r>
      <w:r w:rsidRPr="00AC49B0">
        <w:rPr>
          <w:sz w:val="22"/>
          <w:szCs w:val="22"/>
        </w:rPr>
        <w:t xml:space="preserve"> collected fro</w:t>
      </w:r>
      <w:r w:rsidR="00AB54A3" w:rsidRPr="00AC49B0">
        <w:rPr>
          <w:sz w:val="22"/>
          <w:szCs w:val="22"/>
        </w:rPr>
        <w:t>m</w:t>
      </w:r>
      <w:r w:rsidR="00CE2AE0" w:rsidRPr="00AC49B0">
        <w:rPr>
          <w:sz w:val="22"/>
          <w:szCs w:val="22"/>
        </w:rPr>
        <w:t xml:space="preserve"> key staff </w:t>
      </w:r>
      <w:r w:rsidR="00E811F3" w:rsidRPr="00AC49B0">
        <w:rPr>
          <w:sz w:val="22"/>
          <w:szCs w:val="22"/>
        </w:rPr>
        <w:t>in Clinical</w:t>
      </w:r>
      <w:r w:rsidR="00AB54A3" w:rsidRPr="00AC49B0">
        <w:rPr>
          <w:sz w:val="22"/>
          <w:szCs w:val="22"/>
        </w:rPr>
        <w:t xml:space="preserve"> Commissioning Groups (n=6) which was </w:t>
      </w:r>
      <w:r w:rsidR="00F02166" w:rsidRPr="00AC49B0">
        <w:rPr>
          <w:sz w:val="22"/>
          <w:szCs w:val="22"/>
        </w:rPr>
        <w:t xml:space="preserve">analysed and </w:t>
      </w:r>
      <w:r w:rsidR="00AB54A3" w:rsidRPr="00AC49B0">
        <w:rPr>
          <w:sz w:val="22"/>
          <w:szCs w:val="22"/>
        </w:rPr>
        <w:t>compared with t</w:t>
      </w:r>
      <w:r w:rsidR="00F02166" w:rsidRPr="00AC49B0">
        <w:rPr>
          <w:sz w:val="22"/>
          <w:szCs w:val="22"/>
        </w:rPr>
        <w:t>he findings from the care homes to give further context</w:t>
      </w:r>
      <w:r w:rsidR="00294B81" w:rsidRPr="00AC49B0">
        <w:rPr>
          <w:sz w:val="22"/>
          <w:szCs w:val="22"/>
        </w:rPr>
        <w:t>ual relevance</w:t>
      </w:r>
      <w:r w:rsidR="00F02166" w:rsidRPr="00AC49B0">
        <w:rPr>
          <w:sz w:val="22"/>
          <w:szCs w:val="22"/>
        </w:rPr>
        <w:t xml:space="preserve"> to the</w:t>
      </w:r>
      <w:r w:rsidR="005C165A" w:rsidRPr="00AC49B0">
        <w:rPr>
          <w:sz w:val="22"/>
          <w:szCs w:val="22"/>
        </w:rPr>
        <w:t xml:space="preserve"> findings from care home staff</w:t>
      </w:r>
      <w:r w:rsidR="006C5932" w:rsidRPr="00AC49B0">
        <w:rPr>
          <w:sz w:val="22"/>
          <w:szCs w:val="22"/>
        </w:rPr>
        <w:t>.</w:t>
      </w:r>
    </w:p>
    <w:p w14:paraId="1004E327" w14:textId="77777777" w:rsidR="006C5932" w:rsidRPr="00AC49B0" w:rsidRDefault="006C5932" w:rsidP="007C74AA">
      <w:pPr>
        <w:spacing w:line="276" w:lineRule="auto"/>
        <w:jc w:val="both"/>
        <w:rPr>
          <w:sz w:val="22"/>
          <w:szCs w:val="22"/>
        </w:rPr>
      </w:pPr>
      <w:r w:rsidRPr="00AC49B0">
        <w:rPr>
          <w:sz w:val="22"/>
          <w:szCs w:val="22"/>
        </w:rPr>
        <w:t xml:space="preserve">In line with the bricolage approach, further data was collected through telephone calls, targeted emails,  individual, face to face and small group meetings with key Trust staff and attendance at multi-organisational (CCGs, Local Authority) scheduled meetings where the </w:t>
      </w:r>
      <w:r w:rsidR="00E428FD" w:rsidRPr="00AC49B0">
        <w:rPr>
          <w:sz w:val="22"/>
          <w:szCs w:val="22"/>
        </w:rPr>
        <w:t>Red Bag</w:t>
      </w:r>
      <w:r w:rsidRPr="00AC49B0">
        <w:rPr>
          <w:sz w:val="22"/>
          <w:szCs w:val="22"/>
        </w:rPr>
        <w:t xml:space="preserve"> was discussed in routine practice.  The face to face meetings were undertaken as informal discussions, rather than as semi-structured interviews in order to facilitate a natural conversation, capture nuances of the organisations and allow the researcher to observe staff in a work environment. It also established a mutual reciprocity between the researcher and staff member(s)  as equal partners in the discussions, which is important in qualitative research</w:t>
      </w:r>
      <w:r w:rsidR="00294B81" w:rsidRPr="00AC49B0">
        <w:rPr>
          <w:sz w:val="22"/>
          <w:szCs w:val="22"/>
        </w:rPr>
        <w:t>,</w:t>
      </w:r>
      <w:r w:rsidRPr="00AC49B0">
        <w:rPr>
          <w:sz w:val="22"/>
          <w:szCs w:val="22"/>
        </w:rPr>
        <w:t xml:space="preserve"> to aid the flow of conversation </w:t>
      </w:r>
      <w:r w:rsidRPr="00AC49B0">
        <w:rPr>
          <w:sz w:val="22"/>
          <w:szCs w:val="22"/>
        </w:rPr>
        <w:fldChar w:fldCharType="begin"/>
      </w:r>
      <w:r w:rsidRPr="00AC49B0">
        <w:rPr>
          <w:sz w:val="22"/>
          <w:szCs w:val="22"/>
        </w:rPr>
        <w:instrText xml:space="preserve"> ADDIN EN.CITE &lt;EndNote&gt;&lt;Cite&gt;&lt;Author&gt;Charmaz&lt;/Author&gt;&lt;Year&gt;2014&lt;/Year&gt;&lt;RecNum&gt;159&lt;/RecNum&gt;&lt;DisplayText&gt;(6)&lt;/DisplayText&gt;&lt;record&gt;&lt;rec-number&gt;159&lt;/rec-number&gt;&lt;foreign-keys&gt;&lt;key app="EN" db-id="saz9raftmsa2dbex2x05fvaas25vwxpdpe5s" timestamp="0"&gt;159&lt;/key&gt;&lt;/foreign-keys&gt;&lt;ref-type name="Book"&gt;6&lt;/ref-type&gt;&lt;contributors&gt;&lt;authors&gt;&lt;author&gt;Charmaz, K.&lt;/author&gt;&lt;/authors&gt;&lt;/contributors&gt;&lt;titles&gt;&lt;title&gt;Constructing grounded theory. 2nd edn&lt;/title&gt;&lt;/titles&gt;&lt;edition&gt;2nd&lt;/edition&gt;&lt;dates&gt;&lt;year&gt;2014&lt;/year&gt;&lt;/dates&gt;&lt;pub-location&gt;London&lt;/pub-location&gt;&lt;publisher&gt;Sage&lt;/publisher&gt;&lt;isbn&gt;978-0-85702-9140&lt;/isbn&gt;&lt;urls&gt;&lt;/urls&gt;&lt;/record&gt;&lt;/Cite&gt;&lt;/EndNote&gt;</w:instrText>
      </w:r>
      <w:r w:rsidRPr="00AC49B0">
        <w:rPr>
          <w:sz w:val="22"/>
          <w:szCs w:val="22"/>
        </w:rPr>
        <w:fldChar w:fldCharType="separate"/>
      </w:r>
      <w:r w:rsidRPr="00AC49B0">
        <w:rPr>
          <w:noProof/>
          <w:sz w:val="22"/>
          <w:szCs w:val="22"/>
        </w:rPr>
        <w:t>(</w:t>
      </w:r>
      <w:r w:rsidR="001A3A20" w:rsidRPr="00AC49B0">
        <w:rPr>
          <w:noProof/>
          <w:sz w:val="22"/>
          <w:szCs w:val="22"/>
        </w:rPr>
        <w:t>Charmaz, 2014</w:t>
      </w:r>
      <w:r w:rsidRPr="00AC49B0">
        <w:rPr>
          <w:noProof/>
          <w:sz w:val="22"/>
          <w:szCs w:val="22"/>
        </w:rPr>
        <w:t>)</w:t>
      </w:r>
      <w:r w:rsidRPr="00AC49B0">
        <w:rPr>
          <w:sz w:val="22"/>
          <w:szCs w:val="22"/>
        </w:rPr>
        <w:fldChar w:fldCharType="end"/>
      </w:r>
      <w:r w:rsidRPr="00AC49B0">
        <w:rPr>
          <w:sz w:val="22"/>
          <w:szCs w:val="22"/>
        </w:rPr>
        <w:t>.</w:t>
      </w:r>
    </w:p>
    <w:p w14:paraId="268B0E56" w14:textId="77777777" w:rsidR="006C5932" w:rsidRPr="00AC49B0" w:rsidRDefault="00592594" w:rsidP="007C74AA">
      <w:pPr>
        <w:spacing w:line="276" w:lineRule="auto"/>
        <w:jc w:val="both"/>
        <w:rPr>
          <w:sz w:val="22"/>
          <w:szCs w:val="22"/>
        </w:rPr>
      </w:pPr>
      <w:r w:rsidRPr="00AC49B0">
        <w:rPr>
          <w:sz w:val="22"/>
          <w:szCs w:val="22"/>
        </w:rPr>
        <w:t>P</w:t>
      </w:r>
      <w:r w:rsidR="006C5932" w:rsidRPr="00AC49B0">
        <w:rPr>
          <w:sz w:val="22"/>
          <w:szCs w:val="22"/>
        </w:rPr>
        <w:t>rompts resulted in in-depth discussion and were deemed useful in practice</w:t>
      </w:r>
      <w:r w:rsidRPr="00AC49B0">
        <w:rPr>
          <w:sz w:val="22"/>
          <w:szCs w:val="22"/>
        </w:rPr>
        <w:t>, these are outlined below as:</w:t>
      </w:r>
      <w:r w:rsidR="006C5932" w:rsidRPr="00AC49B0">
        <w:rPr>
          <w:sz w:val="22"/>
          <w:szCs w:val="22"/>
        </w:rPr>
        <w:t xml:space="preserve"> </w:t>
      </w:r>
    </w:p>
    <w:p w14:paraId="3FB1B170" w14:textId="77777777" w:rsidR="006C5932" w:rsidRPr="00AC49B0" w:rsidRDefault="006C5932" w:rsidP="007C74AA">
      <w:pPr>
        <w:pStyle w:val="ListParagraph"/>
        <w:numPr>
          <w:ilvl w:val="0"/>
          <w:numId w:val="8"/>
        </w:numPr>
        <w:spacing w:line="276" w:lineRule="auto"/>
        <w:jc w:val="both"/>
        <w:rPr>
          <w:sz w:val="22"/>
          <w:szCs w:val="22"/>
        </w:rPr>
      </w:pPr>
      <w:r w:rsidRPr="00AC49B0">
        <w:rPr>
          <w:sz w:val="22"/>
          <w:szCs w:val="22"/>
        </w:rPr>
        <w:t>Please can you tell us how many care homes there are in your locality relative to those who have implemented the scheme?</w:t>
      </w:r>
    </w:p>
    <w:p w14:paraId="1EF0F85F" w14:textId="77777777" w:rsidR="00592594" w:rsidRPr="00AC49B0" w:rsidRDefault="00592594" w:rsidP="007C74AA">
      <w:pPr>
        <w:pStyle w:val="ListParagraph"/>
        <w:spacing w:line="276" w:lineRule="auto"/>
        <w:jc w:val="both"/>
        <w:rPr>
          <w:sz w:val="22"/>
          <w:szCs w:val="22"/>
        </w:rPr>
      </w:pPr>
    </w:p>
    <w:p w14:paraId="1D751075" w14:textId="77777777" w:rsidR="006C5932" w:rsidRPr="00AC49B0" w:rsidRDefault="006C5932" w:rsidP="007C74AA">
      <w:pPr>
        <w:pStyle w:val="ListParagraph"/>
        <w:numPr>
          <w:ilvl w:val="0"/>
          <w:numId w:val="8"/>
        </w:numPr>
        <w:spacing w:line="276" w:lineRule="auto"/>
        <w:jc w:val="both"/>
        <w:rPr>
          <w:sz w:val="22"/>
          <w:szCs w:val="22"/>
        </w:rPr>
      </w:pPr>
      <w:r w:rsidRPr="00AC49B0">
        <w:rPr>
          <w:sz w:val="22"/>
          <w:szCs w:val="22"/>
        </w:rPr>
        <w:t xml:space="preserve">Please can you tell us when the </w:t>
      </w:r>
      <w:r w:rsidR="00E428FD" w:rsidRPr="00AC49B0">
        <w:rPr>
          <w:sz w:val="22"/>
          <w:szCs w:val="22"/>
        </w:rPr>
        <w:t>Red Bag</w:t>
      </w:r>
      <w:r w:rsidRPr="00AC49B0">
        <w:rPr>
          <w:sz w:val="22"/>
          <w:szCs w:val="22"/>
        </w:rPr>
        <w:t xml:space="preserve"> was launched and if possible the process that led to the formal launch? (We are aware that this isn’t necessarily a standardised process and we are keen to capture these different approaches.</w:t>
      </w:r>
    </w:p>
    <w:p w14:paraId="2F0517F8" w14:textId="77777777" w:rsidR="006C5932" w:rsidRPr="00AC49B0" w:rsidRDefault="006C5932" w:rsidP="007C74AA">
      <w:pPr>
        <w:pStyle w:val="ListParagraph"/>
        <w:spacing w:line="276" w:lineRule="auto"/>
        <w:jc w:val="both"/>
        <w:rPr>
          <w:sz w:val="22"/>
          <w:szCs w:val="22"/>
        </w:rPr>
      </w:pPr>
    </w:p>
    <w:p w14:paraId="71755929" w14:textId="77777777" w:rsidR="006C5932" w:rsidRPr="00AC49B0" w:rsidRDefault="006C5932" w:rsidP="007C74AA">
      <w:pPr>
        <w:pStyle w:val="ListParagraph"/>
        <w:numPr>
          <w:ilvl w:val="0"/>
          <w:numId w:val="8"/>
        </w:numPr>
        <w:spacing w:line="276" w:lineRule="auto"/>
        <w:jc w:val="both"/>
        <w:rPr>
          <w:sz w:val="22"/>
          <w:szCs w:val="22"/>
        </w:rPr>
      </w:pPr>
      <w:r w:rsidRPr="00AC49B0">
        <w:rPr>
          <w:sz w:val="22"/>
          <w:szCs w:val="22"/>
        </w:rPr>
        <w:t xml:space="preserve">Would you let us know what has worked well with the </w:t>
      </w:r>
      <w:r w:rsidR="00E428FD" w:rsidRPr="00AC49B0">
        <w:rPr>
          <w:sz w:val="22"/>
          <w:szCs w:val="22"/>
        </w:rPr>
        <w:t>Red Bag</w:t>
      </w:r>
      <w:r w:rsidRPr="00AC49B0">
        <w:rPr>
          <w:sz w:val="22"/>
          <w:szCs w:val="22"/>
        </w:rPr>
        <w:t xml:space="preserve"> in practice? (for obvious reasons, if we can identify and advocate potential areas of best practice, that would be great)</w:t>
      </w:r>
    </w:p>
    <w:p w14:paraId="3DEA7274" w14:textId="77777777" w:rsidR="006C5932" w:rsidRPr="00AC49B0" w:rsidRDefault="006C5932" w:rsidP="007C74AA">
      <w:pPr>
        <w:pStyle w:val="ListParagraph"/>
        <w:spacing w:line="276" w:lineRule="auto"/>
        <w:jc w:val="both"/>
        <w:rPr>
          <w:sz w:val="22"/>
          <w:szCs w:val="22"/>
        </w:rPr>
      </w:pPr>
    </w:p>
    <w:p w14:paraId="6635B005" w14:textId="77777777" w:rsidR="006C5932" w:rsidRPr="00AC49B0" w:rsidRDefault="006C5932" w:rsidP="007C74AA">
      <w:pPr>
        <w:pStyle w:val="ListParagraph"/>
        <w:numPr>
          <w:ilvl w:val="0"/>
          <w:numId w:val="8"/>
        </w:numPr>
        <w:spacing w:line="276" w:lineRule="auto"/>
        <w:jc w:val="both"/>
        <w:rPr>
          <w:sz w:val="22"/>
          <w:szCs w:val="22"/>
        </w:rPr>
      </w:pPr>
      <w:r w:rsidRPr="00AC49B0">
        <w:rPr>
          <w:sz w:val="22"/>
          <w:szCs w:val="22"/>
        </w:rPr>
        <w:t xml:space="preserve">Can you let us know the reflective cycle outcome following implementation of the scheme in practice i.e. what the key lessons learnt are and how this will influence being able to move forward? Are there specific reflections that have taken place on process and practice with the </w:t>
      </w:r>
      <w:r w:rsidR="00E428FD" w:rsidRPr="00AC49B0">
        <w:rPr>
          <w:sz w:val="22"/>
          <w:szCs w:val="22"/>
        </w:rPr>
        <w:t>Red Bag</w:t>
      </w:r>
      <w:r w:rsidRPr="00AC49B0">
        <w:rPr>
          <w:sz w:val="22"/>
          <w:szCs w:val="22"/>
        </w:rPr>
        <w:t>?</w:t>
      </w:r>
    </w:p>
    <w:p w14:paraId="34AE8E87" w14:textId="77777777" w:rsidR="006C5932" w:rsidRPr="00AC49B0" w:rsidRDefault="006C5932" w:rsidP="007C74AA">
      <w:pPr>
        <w:pStyle w:val="ListParagraph"/>
        <w:spacing w:line="276" w:lineRule="auto"/>
        <w:jc w:val="both"/>
        <w:rPr>
          <w:sz w:val="22"/>
          <w:szCs w:val="22"/>
        </w:rPr>
      </w:pPr>
    </w:p>
    <w:p w14:paraId="279E9B4C" w14:textId="77777777" w:rsidR="006C5932" w:rsidRPr="00AC49B0" w:rsidRDefault="006C5932" w:rsidP="007C74AA">
      <w:pPr>
        <w:pStyle w:val="ListParagraph"/>
        <w:numPr>
          <w:ilvl w:val="0"/>
          <w:numId w:val="8"/>
        </w:numPr>
        <w:spacing w:line="276" w:lineRule="auto"/>
        <w:jc w:val="both"/>
        <w:rPr>
          <w:sz w:val="22"/>
          <w:szCs w:val="22"/>
        </w:rPr>
      </w:pPr>
      <w:r w:rsidRPr="00AC49B0">
        <w:rPr>
          <w:sz w:val="22"/>
          <w:szCs w:val="22"/>
        </w:rPr>
        <w:t>Can you let us know what hasn’t worked as well, and specific issues relating to this, where/if possible? (this will afford us a degree of critical reflexivity in moving forward which we are keen to capture)</w:t>
      </w:r>
    </w:p>
    <w:p w14:paraId="0AB88CAD" w14:textId="77777777" w:rsidR="006C5932" w:rsidRPr="00AC49B0" w:rsidRDefault="00592594" w:rsidP="007C74AA">
      <w:pPr>
        <w:spacing w:line="276" w:lineRule="auto"/>
        <w:jc w:val="both"/>
        <w:rPr>
          <w:sz w:val="22"/>
          <w:szCs w:val="22"/>
        </w:rPr>
      </w:pPr>
      <w:r w:rsidRPr="00AC49B0">
        <w:rPr>
          <w:sz w:val="22"/>
          <w:szCs w:val="22"/>
        </w:rPr>
        <w:t>V</w:t>
      </w:r>
      <w:r w:rsidR="006C5932" w:rsidRPr="00AC49B0">
        <w:rPr>
          <w:sz w:val="22"/>
          <w:szCs w:val="22"/>
        </w:rPr>
        <w:t xml:space="preserve">ariance in how the </w:t>
      </w:r>
      <w:r w:rsidR="00E428FD" w:rsidRPr="00AC49B0">
        <w:rPr>
          <w:sz w:val="22"/>
          <w:szCs w:val="22"/>
        </w:rPr>
        <w:t>Red Bag</w:t>
      </w:r>
      <w:r w:rsidR="006C5932" w:rsidRPr="00AC49B0">
        <w:rPr>
          <w:sz w:val="22"/>
          <w:szCs w:val="22"/>
        </w:rPr>
        <w:t xml:space="preserve"> scheme was implemented in each locality</w:t>
      </w:r>
      <w:r w:rsidRPr="00AC49B0">
        <w:rPr>
          <w:sz w:val="22"/>
          <w:szCs w:val="22"/>
        </w:rPr>
        <w:t xml:space="preserve"> was evident – for example</w:t>
      </w:r>
      <w:r w:rsidR="006C5932" w:rsidRPr="00AC49B0">
        <w:rPr>
          <w:sz w:val="22"/>
          <w:szCs w:val="22"/>
        </w:rPr>
        <w:t xml:space="preserve"> with the timing of the launches, how long the scheme has been in practice, how it has been rolled out (some localities took a phased approach) and  two localities in various stages of re-launching the scheme</w:t>
      </w:r>
      <w:r w:rsidR="00D45E92" w:rsidRPr="00AC49B0">
        <w:rPr>
          <w:sz w:val="22"/>
          <w:szCs w:val="22"/>
        </w:rPr>
        <w:t xml:space="preserve"> at the time the evaluation was completed</w:t>
      </w:r>
      <w:r w:rsidRPr="00AC49B0">
        <w:rPr>
          <w:sz w:val="22"/>
          <w:szCs w:val="22"/>
        </w:rPr>
        <w:t>. As a result of this, it was</w:t>
      </w:r>
      <w:r w:rsidR="006C5932" w:rsidRPr="00AC49B0">
        <w:rPr>
          <w:sz w:val="22"/>
          <w:szCs w:val="22"/>
        </w:rPr>
        <w:t xml:space="preserve"> difficult to make comparison</w:t>
      </w:r>
      <w:r w:rsidRPr="00AC49B0">
        <w:rPr>
          <w:sz w:val="22"/>
          <w:szCs w:val="22"/>
        </w:rPr>
        <w:t>s between localities as there was</w:t>
      </w:r>
      <w:r w:rsidR="006C5932" w:rsidRPr="00AC49B0">
        <w:rPr>
          <w:sz w:val="22"/>
          <w:szCs w:val="22"/>
        </w:rPr>
        <w:t xml:space="preserve"> </w:t>
      </w:r>
      <w:r w:rsidR="00F0069F" w:rsidRPr="00AC49B0">
        <w:rPr>
          <w:sz w:val="22"/>
          <w:szCs w:val="22"/>
        </w:rPr>
        <w:t>insufficient</w:t>
      </w:r>
      <w:r w:rsidR="006C5932" w:rsidRPr="00AC49B0">
        <w:rPr>
          <w:sz w:val="22"/>
          <w:szCs w:val="22"/>
        </w:rPr>
        <w:t xml:space="preserve"> data to </w:t>
      </w:r>
      <w:r w:rsidR="006C5932" w:rsidRPr="00AC49B0">
        <w:rPr>
          <w:sz w:val="22"/>
          <w:szCs w:val="22"/>
        </w:rPr>
        <w:lastRenderedPageBreak/>
        <w:t>p</w:t>
      </w:r>
      <w:r w:rsidR="00D45E92" w:rsidRPr="00AC49B0">
        <w:rPr>
          <w:sz w:val="22"/>
          <w:szCs w:val="22"/>
        </w:rPr>
        <w:t xml:space="preserve">rovide a retrospective account, however the following </w:t>
      </w:r>
      <w:r w:rsidRPr="00AC49B0">
        <w:rPr>
          <w:sz w:val="22"/>
          <w:szCs w:val="22"/>
        </w:rPr>
        <w:t xml:space="preserve">typical </w:t>
      </w:r>
      <w:r w:rsidR="00D45E92" w:rsidRPr="00AC49B0">
        <w:rPr>
          <w:sz w:val="22"/>
          <w:szCs w:val="22"/>
        </w:rPr>
        <w:t>quotes highlight the f</w:t>
      </w:r>
      <w:r w:rsidR="00670BBA" w:rsidRPr="00AC49B0">
        <w:rPr>
          <w:sz w:val="22"/>
          <w:szCs w:val="22"/>
        </w:rPr>
        <w:t>indings which are consistent with the data collected from care home staff</w:t>
      </w:r>
      <w:r w:rsidR="00D45E92" w:rsidRPr="00AC49B0">
        <w:rPr>
          <w:sz w:val="22"/>
          <w:szCs w:val="22"/>
        </w:rPr>
        <w:t>:</w:t>
      </w:r>
    </w:p>
    <w:p w14:paraId="64F9890F" w14:textId="77777777" w:rsidR="00D45E92" w:rsidRPr="00AC49B0" w:rsidRDefault="00D45E92" w:rsidP="00F458CC">
      <w:pPr>
        <w:spacing w:line="240" w:lineRule="auto"/>
        <w:jc w:val="both"/>
        <w:rPr>
          <w:i/>
          <w:sz w:val="22"/>
          <w:szCs w:val="22"/>
        </w:rPr>
      </w:pPr>
      <w:r w:rsidRPr="00AC49B0">
        <w:rPr>
          <w:i/>
          <w:sz w:val="22"/>
          <w:szCs w:val="22"/>
        </w:rPr>
        <w:t xml:space="preserve">The care homes having an opportunity to use the </w:t>
      </w:r>
      <w:r w:rsidR="00E428FD" w:rsidRPr="00AC49B0">
        <w:rPr>
          <w:i/>
          <w:sz w:val="22"/>
          <w:szCs w:val="22"/>
        </w:rPr>
        <w:t>Red Bag</w:t>
      </w:r>
      <w:r w:rsidRPr="00AC49B0">
        <w:rPr>
          <w:i/>
          <w:sz w:val="22"/>
          <w:szCs w:val="22"/>
        </w:rPr>
        <w:t>s when a resident is t</w:t>
      </w:r>
      <w:r w:rsidR="003A643A" w:rsidRPr="00AC49B0">
        <w:rPr>
          <w:i/>
          <w:sz w:val="22"/>
          <w:szCs w:val="22"/>
        </w:rPr>
        <w:t xml:space="preserve">ransferred to hospital have </w:t>
      </w:r>
      <w:r w:rsidR="00F75502" w:rsidRPr="00AC49B0">
        <w:rPr>
          <w:i/>
          <w:sz w:val="22"/>
          <w:szCs w:val="22"/>
        </w:rPr>
        <w:t xml:space="preserve">been </w:t>
      </w:r>
      <w:r w:rsidR="003A643A" w:rsidRPr="00AC49B0">
        <w:rPr>
          <w:i/>
          <w:sz w:val="22"/>
          <w:szCs w:val="22"/>
        </w:rPr>
        <w:t>very good in feeding back both good and bad things about their use</w:t>
      </w:r>
      <w:r w:rsidR="00592594" w:rsidRPr="00AC49B0">
        <w:rPr>
          <w:i/>
          <w:sz w:val="22"/>
          <w:szCs w:val="22"/>
        </w:rPr>
        <w:t>.</w:t>
      </w:r>
    </w:p>
    <w:p w14:paraId="540BF7D6" w14:textId="77777777" w:rsidR="003A643A" w:rsidRPr="00AC49B0" w:rsidRDefault="003A643A" w:rsidP="00F458CC">
      <w:pPr>
        <w:pStyle w:val="PlainText"/>
        <w:jc w:val="both"/>
        <w:rPr>
          <w:rFonts w:ascii="Arial" w:hAnsi="Arial" w:cs="Arial"/>
          <w:i/>
          <w:szCs w:val="22"/>
        </w:rPr>
      </w:pPr>
      <w:r w:rsidRPr="00AC49B0">
        <w:rPr>
          <w:rFonts w:ascii="Arial" w:hAnsi="Arial" w:cs="Arial"/>
          <w:i/>
          <w:szCs w:val="22"/>
        </w:rPr>
        <w:t xml:space="preserve">The paperwork had been changed accordingly as we have moved along through the process. Some further simplifying could help to reduce time filling in the paperwork. </w:t>
      </w:r>
    </w:p>
    <w:p w14:paraId="6A2FC274" w14:textId="77777777" w:rsidR="003A643A" w:rsidRPr="00AC49B0" w:rsidRDefault="003A643A" w:rsidP="00F458CC">
      <w:pPr>
        <w:pStyle w:val="PlainText"/>
        <w:jc w:val="both"/>
        <w:rPr>
          <w:rFonts w:ascii="Arial" w:hAnsi="Arial" w:cs="Arial"/>
          <w:i/>
          <w:szCs w:val="22"/>
        </w:rPr>
      </w:pPr>
      <w:r w:rsidRPr="00AC49B0">
        <w:rPr>
          <w:rFonts w:ascii="Arial" w:hAnsi="Arial" w:cs="Arial"/>
          <w:i/>
          <w:szCs w:val="22"/>
        </w:rPr>
        <w:t>We also had issues raised about the DNACPR forms which are being addressed</w:t>
      </w:r>
      <w:r w:rsidR="00592594" w:rsidRPr="00AC49B0">
        <w:rPr>
          <w:rFonts w:ascii="Arial" w:hAnsi="Arial" w:cs="Arial"/>
          <w:i/>
          <w:szCs w:val="22"/>
        </w:rPr>
        <w:t>.</w:t>
      </w:r>
    </w:p>
    <w:p w14:paraId="4543C3B1" w14:textId="77777777" w:rsidR="003A643A" w:rsidRPr="00AC49B0" w:rsidRDefault="003A643A" w:rsidP="00F458CC">
      <w:pPr>
        <w:pStyle w:val="PlainText"/>
        <w:jc w:val="both"/>
        <w:rPr>
          <w:rFonts w:ascii="Cambria" w:hAnsi="Cambria" w:cs="Arial"/>
          <w:i/>
          <w:szCs w:val="22"/>
        </w:rPr>
      </w:pPr>
    </w:p>
    <w:p w14:paraId="53B73830" w14:textId="77777777" w:rsidR="00C72D44" w:rsidRPr="00AC49B0" w:rsidRDefault="007216D5" w:rsidP="00F458CC">
      <w:pPr>
        <w:spacing w:after="0" w:line="240" w:lineRule="auto"/>
        <w:jc w:val="both"/>
        <w:rPr>
          <w:b/>
          <w:sz w:val="22"/>
          <w:szCs w:val="22"/>
        </w:rPr>
      </w:pPr>
      <w:r w:rsidRPr="00AC49B0">
        <w:rPr>
          <w:b/>
          <w:sz w:val="22"/>
          <w:szCs w:val="22"/>
        </w:rPr>
        <w:t>Theme 1:</w:t>
      </w:r>
      <w:r w:rsidR="00A6155A" w:rsidRPr="00AC49B0">
        <w:rPr>
          <w:b/>
          <w:sz w:val="22"/>
          <w:szCs w:val="22"/>
        </w:rPr>
        <w:t xml:space="preserve"> </w:t>
      </w:r>
      <w:r w:rsidR="003119E6" w:rsidRPr="00AC49B0">
        <w:rPr>
          <w:b/>
          <w:sz w:val="22"/>
          <w:szCs w:val="22"/>
        </w:rPr>
        <w:t>Conflicting priorities</w:t>
      </w:r>
    </w:p>
    <w:p w14:paraId="36F36FF1" w14:textId="77777777" w:rsidR="001E1E5C" w:rsidRPr="00AC49B0" w:rsidRDefault="001E1E5C" w:rsidP="00F458CC">
      <w:pPr>
        <w:spacing w:after="0" w:line="240" w:lineRule="auto"/>
        <w:jc w:val="both"/>
        <w:rPr>
          <w:b/>
          <w:sz w:val="22"/>
          <w:szCs w:val="22"/>
        </w:rPr>
      </w:pPr>
    </w:p>
    <w:p w14:paraId="341A369C" w14:textId="77777777" w:rsidR="00A6155A" w:rsidRPr="00AC49B0" w:rsidRDefault="00A6155A" w:rsidP="004B6BC4">
      <w:pPr>
        <w:spacing w:after="0" w:line="276" w:lineRule="auto"/>
        <w:jc w:val="both"/>
        <w:rPr>
          <w:color w:val="000000"/>
          <w:sz w:val="22"/>
          <w:szCs w:val="22"/>
        </w:rPr>
      </w:pPr>
      <w:r w:rsidRPr="00AC49B0">
        <w:rPr>
          <w:color w:val="000000"/>
          <w:sz w:val="22"/>
          <w:szCs w:val="22"/>
        </w:rPr>
        <w:t xml:space="preserve">Healthcare service personnel involved in the implementation of the </w:t>
      </w:r>
      <w:r w:rsidR="00E428FD" w:rsidRPr="00AC49B0">
        <w:rPr>
          <w:color w:val="000000"/>
          <w:sz w:val="22"/>
          <w:szCs w:val="22"/>
        </w:rPr>
        <w:t>Red Bag</w:t>
      </w:r>
      <w:r w:rsidRPr="00AC49B0">
        <w:rPr>
          <w:color w:val="000000"/>
          <w:sz w:val="22"/>
          <w:szCs w:val="22"/>
        </w:rPr>
        <w:t xml:space="preserve"> initiative as part of the patient care transfer pathway provided an insight into the adoption and potential use of them in the longer term. A salient theme though, were the conflicting priorities of the healthcare professionals implementing the </w:t>
      </w:r>
      <w:r w:rsidR="00E428FD" w:rsidRPr="00AC49B0">
        <w:rPr>
          <w:color w:val="000000"/>
          <w:sz w:val="22"/>
          <w:szCs w:val="22"/>
        </w:rPr>
        <w:t>Red Bag</w:t>
      </w:r>
      <w:r w:rsidRPr="00AC49B0">
        <w:rPr>
          <w:color w:val="000000"/>
          <w:sz w:val="22"/>
          <w:szCs w:val="22"/>
        </w:rPr>
        <w:t xml:space="preserve"> scheme</w:t>
      </w:r>
      <w:r w:rsidR="00CB2E56" w:rsidRPr="00AC49B0">
        <w:rPr>
          <w:color w:val="000000"/>
          <w:sz w:val="22"/>
          <w:szCs w:val="22"/>
        </w:rPr>
        <w:t>.</w:t>
      </w:r>
      <w:r w:rsidRPr="00AC49B0">
        <w:rPr>
          <w:color w:val="000000"/>
          <w:sz w:val="22"/>
          <w:szCs w:val="22"/>
        </w:rPr>
        <w:t xml:space="preserve"> As with any other innovation, resources are evidently an issue in relation to the thorough training and assessment of staff in how to use the </w:t>
      </w:r>
      <w:r w:rsidR="00E428FD" w:rsidRPr="00AC49B0">
        <w:rPr>
          <w:color w:val="000000"/>
          <w:sz w:val="22"/>
          <w:szCs w:val="22"/>
        </w:rPr>
        <w:t>Red Bag</w:t>
      </w:r>
      <w:r w:rsidRPr="00AC49B0">
        <w:rPr>
          <w:color w:val="000000"/>
          <w:sz w:val="22"/>
          <w:szCs w:val="22"/>
        </w:rPr>
        <w:t xml:space="preserve"> as a resource in practice, building consensus as to the inherent value of the </w:t>
      </w:r>
      <w:r w:rsidR="00E428FD" w:rsidRPr="00AC49B0">
        <w:rPr>
          <w:color w:val="000000"/>
          <w:sz w:val="22"/>
          <w:szCs w:val="22"/>
        </w:rPr>
        <w:t>Red Bag</w:t>
      </w:r>
      <w:r w:rsidRPr="00AC49B0">
        <w:rPr>
          <w:color w:val="000000"/>
          <w:sz w:val="22"/>
          <w:szCs w:val="22"/>
        </w:rPr>
        <w:t xml:space="preserve"> as a product in practice and also advocacy for early adoption and implementation, the number of innovative approaches to longstanding processes often outstrips the resources necessary for their effective implementation. Within this context</w:t>
      </w:r>
      <w:r w:rsidR="004B4E9B" w:rsidRPr="00AC49B0">
        <w:rPr>
          <w:color w:val="000000"/>
          <w:sz w:val="22"/>
          <w:szCs w:val="22"/>
        </w:rPr>
        <w:t>,</w:t>
      </w:r>
      <w:r w:rsidRPr="00AC49B0">
        <w:rPr>
          <w:color w:val="000000"/>
          <w:sz w:val="22"/>
          <w:szCs w:val="22"/>
        </w:rPr>
        <w:t xml:space="preserve"> it was the severity of the emergency, which ultimately impacted on the capacity of staff to prioritise the </w:t>
      </w:r>
      <w:r w:rsidR="00E428FD" w:rsidRPr="00AC49B0">
        <w:rPr>
          <w:color w:val="000000"/>
          <w:sz w:val="22"/>
          <w:szCs w:val="22"/>
        </w:rPr>
        <w:t>Red Bag</w:t>
      </w:r>
      <w:r w:rsidRPr="00AC49B0">
        <w:rPr>
          <w:color w:val="000000"/>
          <w:sz w:val="22"/>
          <w:szCs w:val="22"/>
        </w:rPr>
        <w:t xml:space="preserve"> as an integral part of the patient care pathway, and often also led to the fewest returns of the </w:t>
      </w:r>
      <w:r w:rsidR="00E428FD" w:rsidRPr="00AC49B0">
        <w:rPr>
          <w:color w:val="000000"/>
          <w:sz w:val="22"/>
          <w:szCs w:val="22"/>
        </w:rPr>
        <w:t>Red Bag</w:t>
      </w:r>
      <w:r w:rsidRPr="00AC49B0">
        <w:rPr>
          <w:color w:val="000000"/>
          <w:sz w:val="22"/>
          <w:szCs w:val="22"/>
        </w:rPr>
        <w:t xml:space="preserve">s back to residential care settings.  These findings are entirely consistent with extant literature from the field of care, which illuminate the relevance of the population targeted, the health benefits likely to result from implementation and the perception of the intervention as an innovative approach to a relatively routine task, where staff may be resistant to change or not necessarily perceive any benefit to the </w:t>
      </w:r>
      <w:r w:rsidR="00362541" w:rsidRPr="00AC49B0">
        <w:rPr>
          <w:color w:val="000000"/>
          <w:sz w:val="22"/>
          <w:szCs w:val="22"/>
        </w:rPr>
        <w:t>a</w:t>
      </w:r>
      <w:r w:rsidRPr="00AC49B0">
        <w:rPr>
          <w:color w:val="000000"/>
          <w:sz w:val="22"/>
          <w:szCs w:val="22"/>
        </w:rPr>
        <w:t xml:space="preserve">ddition of different or further functional tasks as an integral part of their respective roles </w:t>
      </w:r>
      <w:r w:rsidR="00585A9E" w:rsidRPr="00AC49B0">
        <w:rPr>
          <w:color w:val="000000"/>
          <w:sz w:val="22"/>
          <w:szCs w:val="22"/>
        </w:rPr>
        <w:fldChar w:fldCharType="begin"/>
      </w:r>
      <w:r w:rsidR="00585A9E" w:rsidRPr="00AC49B0">
        <w:rPr>
          <w:color w:val="000000"/>
          <w:sz w:val="22"/>
          <w:szCs w:val="22"/>
        </w:rPr>
        <w:instrText xml:space="preserve"> ADDIN EN.CITE &lt;EndNote&gt;&lt;Cite&gt;&lt;Author&gt;Erdem&lt;/Author&gt;&lt;Year&gt;2014&lt;/Year&gt;&lt;RecNum&gt;2668&lt;/RecNum&gt;&lt;DisplayText&gt;(11)&lt;/DisplayText&gt;&lt;record&gt;&lt;rec-number&gt;2668&lt;/rec-number&gt;&lt;foreign-keys&gt;&lt;key app="EN" db-id="saz9raftmsa2dbex2x05fvaas25vwxpdpe5s" timestamp="1561325427"&gt;2668&lt;/key&gt;&lt;/foreign-keys&gt;&lt;ref-type name="Journal Article"&gt;17&lt;/ref-type&gt;&lt;contributors&gt;&lt;authors&gt;&lt;author&gt;Erdem, S.&lt;/author&gt;&lt;author&gt;Thompson, C.&lt;/author&gt;&lt;/authors&gt;&lt;/contributors&gt;&lt;auth-address&gt;Economics Division, Stirling Management School, University of Stirling, Cottrell Building, Stirling FK9 4LA, UK. seda.erdem@stir.ac.uk.&lt;/auth-address&gt;&lt;titles&gt;&lt;title&gt;Prioritising health service innovation investments using public preferences: a discrete choice experiment&lt;/title&gt;&lt;secondary-title&gt;BMC Health Serv Res&lt;/secondary-title&gt;&lt;alt-title&gt;BMC health services research&lt;/alt-title&gt;&lt;/titles&gt;&lt;periodical&gt;&lt;full-title&gt;BMC Health Serv Res&lt;/full-title&gt;&lt;/periodical&gt;&lt;alt-periodical&gt;&lt;full-title&gt;BMC Health Services Research&lt;/full-title&gt;&lt;/alt-periodical&gt;&lt;pages&gt;360&lt;/pages&gt;&lt;volume&gt;14&lt;/volume&gt;&lt;edition&gt;2014/08/30&lt;/edition&gt;&lt;keywords&gt;&lt;keyword&gt;Adolescent&lt;/keyword&gt;&lt;keyword&gt;Adult&lt;/keyword&gt;&lt;keyword&gt;Aged&lt;/keyword&gt;&lt;keyword&gt;*Decision Making, Organizational&lt;/keyword&gt;&lt;keyword&gt;Female&lt;/keyword&gt;&lt;keyword&gt;*Health Priorities&lt;/keyword&gt;&lt;keyword&gt;*Health Services&lt;/keyword&gt;&lt;keyword&gt;Health Status&lt;/keyword&gt;&lt;keyword&gt;Humans&lt;/keyword&gt;&lt;keyword&gt;*Investments&lt;/keyword&gt;&lt;keyword&gt;Male&lt;/keyword&gt;&lt;keyword&gt;Middle Aged&lt;/keyword&gt;&lt;keyword&gt;Organizational Innovation&lt;/keyword&gt;&lt;keyword&gt;Public Sector&lt;/keyword&gt;&lt;keyword&gt;State Medicine&lt;/keyword&gt;&lt;keyword&gt;Surveys and Questionnaires&lt;/keyword&gt;&lt;keyword&gt;United Kingdom&lt;/keyword&gt;&lt;keyword&gt;Young Adult&lt;/keyword&gt;&lt;/keywords&gt;&lt;dates&gt;&lt;year&gt;2014&lt;/year&gt;&lt;pub-dates&gt;&lt;date&gt;Aug 28&lt;/date&gt;&lt;/pub-dates&gt;&lt;/dates&gt;&lt;isbn&gt;1472-6963&lt;/isbn&gt;&lt;accession-num&gt;25167926&lt;/accession-num&gt;&lt;urls&gt;&lt;/urls&gt;&lt;custom2&gt;PMC4166469&lt;/custom2&gt;&lt;electronic-resource-num&gt;10.1186/1472-6963-14-360&lt;/electronic-resource-num&gt;&lt;remote-database-provider&gt;NLM&lt;/remote-database-provider&gt;&lt;language&gt;eng&lt;/language&gt;&lt;/record&gt;&lt;/Cite&gt;&lt;/EndNote&gt;</w:instrText>
      </w:r>
      <w:r w:rsidR="00585A9E" w:rsidRPr="00AC49B0">
        <w:rPr>
          <w:color w:val="000000"/>
          <w:sz w:val="22"/>
          <w:szCs w:val="22"/>
        </w:rPr>
        <w:fldChar w:fldCharType="separate"/>
      </w:r>
      <w:r w:rsidR="00585A9E" w:rsidRPr="00AC49B0">
        <w:rPr>
          <w:noProof/>
          <w:color w:val="000000"/>
          <w:sz w:val="22"/>
          <w:szCs w:val="22"/>
        </w:rPr>
        <w:t>(</w:t>
      </w:r>
      <w:r w:rsidR="001A3A20" w:rsidRPr="00AC49B0">
        <w:rPr>
          <w:noProof/>
          <w:color w:val="000000"/>
          <w:sz w:val="22"/>
          <w:szCs w:val="22"/>
        </w:rPr>
        <w:t>Erdem and Thompson, 2014</w:t>
      </w:r>
      <w:r w:rsidR="00585A9E" w:rsidRPr="00AC49B0">
        <w:rPr>
          <w:noProof/>
          <w:color w:val="000000"/>
          <w:sz w:val="22"/>
          <w:szCs w:val="22"/>
        </w:rPr>
        <w:t>)</w:t>
      </w:r>
      <w:r w:rsidR="00585A9E" w:rsidRPr="00AC49B0">
        <w:rPr>
          <w:color w:val="000000"/>
          <w:sz w:val="22"/>
          <w:szCs w:val="22"/>
        </w:rPr>
        <w:fldChar w:fldCharType="end"/>
      </w:r>
      <w:r w:rsidR="00585A9E" w:rsidRPr="00AC49B0">
        <w:rPr>
          <w:color w:val="000000"/>
          <w:sz w:val="22"/>
          <w:szCs w:val="22"/>
        </w:rPr>
        <w:t>.</w:t>
      </w:r>
      <w:r w:rsidRPr="00AC49B0">
        <w:rPr>
          <w:color w:val="000000"/>
          <w:sz w:val="22"/>
          <w:szCs w:val="22"/>
        </w:rPr>
        <w:t xml:space="preserve"> This raises important issues in relation to how clear and unambiguous parameters of </w:t>
      </w:r>
      <w:r w:rsidR="00E428FD" w:rsidRPr="00AC49B0">
        <w:rPr>
          <w:color w:val="000000"/>
          <w:sz w:val="22"/>
          <w:szCs w:val="22"/>
        </w:rPr>
        <w:t>Red Bag</w:t>
      </w:r>
      <w:r w:rsidRPr="00AC49B0">
        <w:rPr>
          <w:color w:val="000000"/>
          <w:sz w:val="22"/>
          <w:szCs w:val="22"/>
        </w:rPr>
        <w:t xml:space="preserve"> implementation in practice can effectively be traded off against relatively unclear procedural regularity of use and subsequent return in practice. In relation to the everyday implementation of the </w:t>
      </w:r>
      <w:r w:rsidR="00E428FD" w:rsidRPr="00AC49B0">
        <w:rPr>
          <w:color w:val="000000"/>
          <w:sz w:val="22"/>
          <w:szCs w:val="22"/>
        </w:rPr>
        <w:t>Red Bag</w:t>
      </w:r>
      <w:r w:rsidRPr="00AC49B0">
        <w:rPr>
          <w:color w:val="000000"/>
          <w:sz w:val="22"/>
          <w:szCs w:val="22"/>
        </w:rPr>
        <w:t xml:space="preserve"> scheme in practice, this has important repercussions for all staff responsible for patient transfer, regardless of their organisational origins. Methods adopted within the study have successfully illuminated, though, the means in which processes might be better facilitated in relation to the situated nature of care and how the delineation between professional roles and contexts might be incorporated for awareness raising in for example, training sessions on implementation of the scheme.  It is also important to acknowledge the relative overlap of themes throughout this analysis. For example, the concept of conflicting priorities is of direct relevance to the attribution of </w:t>
      </w:r>
      <w:r w:rsidR="008E6591" w:rsidRPr="00AC49B0">
        <w:rPr>
          <w:color w:val="000000"/>
          <w:sz w:val="22"/>
          <w:szCs w:val="22"/>
        </w:rPr>
        <w:t xml:space="preserve">responsibility </w:t>
      </w:r>
      <w:r w:rsidRPr="00AC49B0">
        <w:rPr>
          <w:color w:val="000000"/>
          <w:sz w:val="22"/>
          <w:szCs w:val="22"/>
        </w:rPr>
        <w:t>and the capacity of interprofessional working to accommodate differences in approach of implementation. </w:t>
      </w:r>
    </w:p>
    <w:p w14:paraId="6CADD224" w14:textId="77777777" w:rsidR="00E52B9F" w:rsidRPr="00AC49B0" w:rsidRDefault="00E52B9F" w:rsidP="004B6BC4">
      <w:pPr>
        <w:spacing w:after="0" w:line="276" w:lineRule="auto"/>
        <w:jc w:val="both"/>
        <w:rPr>
          <w:b/>
          <w:sz w:val="22"/>
          <w:szCs w:val="22"/>
        </w:rPr>
      </w:pPr>
    </w:p>
    <w:p w14:paraId="63639641" w14:textId="77777777" w:rsidR="00EF13D1" w:rsidRPr="00AC49B0" w:rsidRDefault="007216D5" w:rsidP="00F458CC">
      <w:pPr>
        <w:spacing w:after="0" w:line="240" w:lineRule="auto"/>
        <w:jc w:val="both"/>
        <w:rPr>
          <w:b/>
          <w:sz w:val="22"/>
          <w:szCs w:val="22"/>
        </w:rPr>
      </w:pPr>
      <w:r w:rsidRPr="00AC49B0">
        <w:rPr>
          <w:b/>
          <w:sz w:val="22"/>
          <w:szCs w:val="22"/>
        </w:rPr>
        <w:t>Theme 2:</w:t>
      </w:r>
      <w:r w:rsidR="00E23CF3" w:rsidRPr="00AC49B0">
        <w:rPr>
          <w:b/>
          <w:sz w:val="22"/>
          <w:szCs w:val="22"/>
        </w:rPr>
        <w:t xml:space="preserve"> </w:t>
      </w:r>
      <w:r w:rsidR="00EF13D1" w:rsidRPr="00AC49B0">
        <w:rPr>
          <w:b/>
          <w:sz w:val="22"/>
          <w:szCs w:val="22"/>
        </w:rPr>
        <w:t xml:space="preserve">Attributing </w:t>
      </w:r>
      <w:r w:rsidR="008E6591" w:rsidRPr="00AC49B0">
        <w:rPr>
          <w:b/>
          <w:sz w:val="22"/>
          <w:szCs w:val="22"/>
        </w:rPr>
        <w:t>Responsibility</w:t>
      </w:r>
    </w:p>
    <w:p w14:paraId="7E881A18" w14:textId="77777777" w:rsidR="004B6BC4" w:rsidRPr="00AC49B0" w:rsidRDefault="004B6BC4" w:rsidP="004B6BC4">
      <w:pPr>
        <w:spacing w:after="0" w:line="276" w:lineRule="auto"/>
        <w:jc w:val="both"/>
        <w:rPr>
          <w:b/>
          <w:sz w:val="22"/>
          <w:szCs w:val="22"/>
        </w:rPr>
      </w:pPr>
    </w:p>
    <w:p w14:paraId="465E0CCB" w14:textId="77777777" w:rsidR="002E5907" w:rsidRPr="00AC49B0" w:rsidRDefault="002E5907" w:rsidP="004B6BC4">
      <w:pPr>
        <w:spacing w:after="0" w:line="276" w:lineRule="auto"/>
        <w:jc w:val="both"/>
        <w:rPr>
          <w:color w:val="000000"/>
          <w:sz w:val="22"/>
          <w:szCs w:val="22"/>
        </w:rPr>
      </w:pPr>
      <w:r w:rsidRPr="00AC49B0">
        <w:rPr>
          <w:color w:val="000000"/>
          <w:sz w:val="22"/>
          <w:szCs w:val="22"/>
        </w:rPr>
        <w:t xml:space="preserve">Within and between the healthcare organisations taking part in the evaluation, it was evident that the attribution for </w:t>
      </w:r>
      <w:r w:rsidR="008E6591" w:rsidRPr="00AC49B0">
        <w:rPr>
          <w:color w:val="000000"/>
          <w:sz w:val="22"/>
          <w:szCs w:val="22"/>
        </w:rPr>
        <w:t xml:space="preserve">responsibility </w:t>
      </w:r>
      <w:r w:rsidRPr="00AC49B0">
        <w:rPr>
          <w:color w:val="000000"/>
          <w:sz w:val="22"/>
          <w:szCs w:val="22"/>
        </w:rPr>
        <w:t xml:space="preserve">was characterised by perceived level of belonging to the organisational hierarchy and this was explicitly linked to the capacity of staff to prioritise the </w:t>
      </w:r>
      <w:r w:rsidR="00E428FD" w:rsidRPr="00AC49B0">
        <w:rPr>
          <w:color w:val="000000"/>
          <w:sz w:val="22"/>
          <w:szCs w:val="22"/>
        </w:rPr>
        <w:t>Red Bag</w:t>
      </w:r>
      <w:r w:rsidRPr="00AC49B0">
        <w:rPr>
          <w:color w:val="000000"/>
          <w:sz w:val="22"/>
          <w:szCs w:val="22"/>
        </w:rPr>
        <w:t xml:space="preserve"> as a process in their everyday activities with patients. Staff perceived to work in abstraction from secondary and primary care settings, for example those working in residential care home settings, articulated a clear sense of ownership of the scheme, whereas those </w:t>
      </w:r>
      <w:r w:rsidRPr="00AC49B0">
        <w:rPr>
          <w:color w:val="000000"/>
          <w:sz w:val="22"/>
          <w:szCs w:val="22"/>
        </w:rPr>
        <w:lastRenderedPageBreak/>
        <w:t xml:space="preserve">healthcare practitioners working in secondary care settings articulated feeling less accountable and less responsible for the </w:t>
      </w:r>
      <w:r w:rsidR="00E428FD" w:rsidRPr="00AC49B0">
        <w:rPr>
          <w:color w:val="000000"/>
          <w:sz w:val="22"/>
          <w:szCs w:val="22"/>
        </w:rPr>
        <w:t>Red Bag</w:t>
      </w:r>
      <w:r w:rsidRPr="00AC49B0">
        <w:rPr>
          <w:color w:val="000000"/>
          <w:sz w:val="22"/>
          <w:szCs w:val="22"/>
        </w:rPr>
        <w:t>s following handover in practice. This is indicative of the need to improve the interprofessional and interdisciplinary dynamics between staff in different organisational settings but also of the need to improve awareness raising of the knowledge that all staff have, of others in healthcare practice systems which ought to be patient rather than practitioner centric. This has also been reflected in pedagogical literature, reflecting a need for the active consideration of this in the formal training and education of healthcare staff, regardless of their level in the organisational hierarchy</w:t>
      </w:r>
      <w:r w:rsidR="00225F2E" w:rsidRPr="00AC49B0">
        <w:rPr>
          <w:color w:val="000000"/>
          <w:sz w:val="22"/>
          <w:szCs w:val="22"/>
        </w:rPr>
        <w:t xml:space="preserve"> </w:t>
      </w:r>
      <w:r w:rsidR="00225F2E" w:rsidRPr="00AC49B0">
        <w:rPr>
          <w:color w:val="000000"/>
          <w:sz w:val="22"/>
          <w:szCs w:val="22"/>
        </w:rPr>
        <w:fldChar w:fldCharType="begin"/>
      </w:r>
      <w:r w:rsidR="005E3667" w:rsidRPr="00AC49B0">
        <w:rPr>
          <w:color w:val="000000"/>
          <w:sz w:val="22"/>
          <w:szCs w:val="22"/>
        </w:rPr>
        <w:instrText xml:space="preserve"> ADDIN EN.CITE &lt;EndNote&gt;&lt;Cite&gt;&lt;Author&gt;Vereen&lt;/Author&gt;&lt;Year&gt;2018&lt;/Year&gt;&lt;RecNum&gt;2670&lt;/RecNum&gt;&lt;DisplayText&gt;(12, 13)&lt;/DisplayText&gt;&lt;record&gt;&lt;rec-number&gt;2670&lt;/rec-number&gt;&lt;foreign-keys&gt;&lt;key app="EN" db-id="saz9raftmsa2dbex2x05fvaas25vwxpdpe5s" timestamp="1561325939"&gt;2670&lt;/key&gt;&lt;/foreign-keys&gt;&lt;ref-type name="Journal Article"&gt;17&lt;/ref-type&gt;&lt;contributors&gt;&lt;authors&gt;&lt;author&gt;Vereen, L. G., Yates, C., Hudock, D., Hill, N. R., Jemmett, M., O’Donnell, J., &amp;amp; Knudson, S.,&lt;/author&gt;&lt;/authors&gt;&lt;/contributors&gt;&lt;titles&gt;&lt;title&gt;The Phenomena of Collaborative Practice: the Impact of Interprofessional Education&lt;/title&gt;&lt;secondary-title&gt;International Journal for the Advancement of Counselling&lt;/secondary-title&gt;&lt;/titles&gt;&lt;periodical&gt;&lt;full-title&gt;International Journal for the Advancement of Counselling&lt;/full-title&gt;&lt;/periodical&gt;&lt;pages&gt;427-442&lt;/pages&gt;&lt;volume&gt;40&lt;/volume&gt;&lt;number&gt;4&lt;/number&gt;&lt;dates&gt;&lt;year&gt;2018&lt;/year&gt;&lt;/dates&gt;&lt;urls&gt;&lt;/urls&gt;&lt;/record&gt;&lt;/Cite&gt;&lt;Cite&gt;&lt;Author&gt;Zamjahn&lt;/Author&gt;&lt;Year&gt;2018&lt;/Year&gt;&lt;RecNum&gt;2671&lt;/RecNum&gt;&lt;record&gt;&lt;rec-number&gt;2671&lt;/rec-number&gt;&lt;foreign-keys&gt;&lt;key app="EN" db-id="saz9raftmsa2dbex2x05fvaas25vwxpdpe5s" timestamp="1561326188"&gt;2671&lt;/key&gt;&lt;/foreign-keys&gt;&lt;ref-type name="Journal Article"&gt;17&lt;/ref-type&gt;&lt;contributors&gt;&lt;authors&gt;&lt;author&gt;Zamjahn, J. B., Beyer, E. O., Alig, K. L., Mercante, D. E., Carter, K. L., &amp;amp; Gunaldo, T. P&lt;/author&gt;&lt;/authors&gt;&lt;/contributors&gt;&lt;titles&gt;&lt;title&gt;Increasing Awareness of the Roles, Knowledge, and Skills of Respiratory Therapists Through an Interprofessional Education Experience&lt;/title&gt;&lt;secondary-title&gt;Respiratory care&lt;/secondary-title&gt;&lt;/titles&gt;&lt;periodical&gt;&lt;full-title&gt;Respiratory care&lt;/full-title&gt;&lt;/periodical&gt;&lt;pages&gt;510-318&lt;/pages&gt;&lt;volume&gt;63&lt;/volume&gt;&lt;number&gt;5&lt;/number&gt;&lt;dates&gt;&lt;year&gt;2018&lt;/year&gt;&lt;/dates&gt;&lt;urls&gt;&lt;/urls&gt;&lt;/record&gt;&lt;/Cite&gt;&lt;/EndNote&gt;</w:instrText>
      </w:r>
      <w:r w:rsidR="00225F2E" w:rsidRPr="00AC49B0">
        <w:rPr>
          <w:color w:val="000000"/>
          <w:sz w:val="22"/>
          <w:szCs w:val="22"/>
        </w:rPr>
        <w:fldChar w:fldCharType="separate"/>
      </w:r>
      <w:r w:rsidR="001A3A20" w:rsidRPr="00AC49B0">
        <w:rPr>
          <w:noProof/>
          <w:color w:val="000000"/>
          <w:sz w:val="22"/>
          <w:szCs w:val="22"/>
        </w:rPr>
        <w:t>(Vereen et al, 2018;</w:t>
      </w:r>
      <w:r w:rsidR="001A3A20" w:rsidRPr="00AC49B0">
        <w:rPr>
          <w:sz w:val="22"/>
          <w:szCs w:val="22"/>
        </w:rPr>
        <w:t xml:space="preserve"> </w:t>
      </w:r>
      <w:r w:rsidR="001A3A20" w:rsidRPr="00AC49B0">
        <w:rPr>
          <w:noProof/>
          <w:color w:val="000000"/>
          <w:sz w:val="22"/>
          <w:szCs w:val="22"/>
        </w:rPr>
        <w:t>Zamjahn, 2018</w:t>
      </w:r>
      <w:r w:rsidR="005E3667" w:rsidRPr="00AC49B0">
        <w:rPr>
          <w:noProof/>
          <w:color w:val="000000"/>
          <w:sz w:val="22"/>
          <w:szCs w:val="22"/>
        </w:rPr>
        <w:t>)</w:t>
      </w:r>
      <w:r w:rsidR="00225F2E" w:rsidRPr="00AC49B0">
        <w:rPr>
          <w:color w:val="000000"/>
          <w:sz w:val="22"/>
          <w:szCs w:val="22"/>
        </w:rPr>
        <w:fldChar w:fldCharType="end"/>
      </w:r>
      <w:r w:rsidRPr="00AC49B0">
        <w:rPr>
          <w:color w:val="000000"/>
          <w:sz w:val="22"/>
          <w:szCs w:val="22"/>
        </w:rPr>
        <w:t xml:space="preserve"> .  This is a </w:t>
      </w:r>
      <w:proofErr w:type="gramStart"/>
      <w:r w:rsidRPr="00AC49B0">
        <w:rPr>
          <w:color w:val="000000"/>
          <w:sz w:val="22"/>
          <w:szCs w:val="22"/>
        </w:rPr>
        <w:t>particular issue</w:t>
      </w:r>
      <w:proofErr w:type="gramEnd"/>
      <w:r w:rsidRPr="00AC49B0">
        <w:rPr>
          <w:color w:val="000000"/>
          <w:sz w:val="22"/>
          <w:szCs w:val="22"/>
        </w:rPr>
        <w:t xml:space="preserve"> when paramedics hand over to secondary care contexts in Accident and Emergency services and less so in the context of the interrelational working between front line care staff in residential care settings at the point patients are transferred into param</w:t>
      </w:r>
      <w:r w:rsidR="001A3A20" w:rsidRPr="00AC49B0">
        <w:rPr>
          <w:color w:val="000000"/>
          <w:sz w:val="22"/>
          <w:szCs w:val="22"/>
        </w:rPr>
        <w:t>edic care. Armstrong et al (1982</w:t>
      </w:r>
      <w:r w:rsidRPr="00AC49B0">
        <w:rPr>
          <w:color w:val="000000"/>
          <w:sz w:val="22"/>
          <w:szCs w:val="22"/>
        </w:rPr>
        <w:t>) indicated the evident need for change management to become an integral part of quality improvement where power loci can effectively be limited at the points at which the opportunity for quality improvement may be potentially jeopardised</w:t>
      </w:r>
      <w:r w:rsidR="001A3A20" w:rsidRPr="00AC49B0">
        <w:rPr>
          <w:color w:val="000000"/>
          <w:sz w:val="22"/>
          <w:szCs w:val="22"/>
        </w:rPr>
        <w:t>.</w:t>
      </w:r>
      <w:r w:rsidR="005E3667" w:rsidRPr="00AC49B0">
        <w:rPr>
          <w:color w:val="000000"/>
          <w:sz w:val="22"/>
          <w:szCs w:val="22"/>
        </w:rPr>
        <w:t xml:space="preserve"> </w:t>
      </w:r>
      <w:r w:rsidRPr="00AC49B0">
        <w:rPr>
          <w:color w:val="000000"/>
          <w:sz w:val="22"/>
          <w:szCs w:val="22"/>
        </w:rPr>
        <w:t xml:space="preserve">This is of significance to this study where the </w:t>
      </w:r>
      <w:r w:rsidR="00E428FD" w:rsidRPr="00AC49B0">
        <w:rPr>
          <w:color w:val="000000"/>
          <w:sz w:val="22"/>
          <w:szCs w:val="22"/>
        </w:rPr>
        <w:t>Red Bag</w:t>
      </w:r>
      <w:r w:rsidRPr="00AC49B0">
        <w:rPr>
          <w:color w:val="000000"/>
          <w:sz w:val="22"/>
          <w:szCs w:val="22"/>
        </w:rPr>
        <w:t xml:space="preserve"> scheme illuminated the need for staff to perceive the process of implementation as a positive chance to improve the quality of patient centric care that is being engaged with across multi-agency settings</w:t>
      </w:r>
      <w:r w:rsidR="00451526" w:rsidRPr="00AC49B0">
        <w:rPr>
          <w:color w:val="000000"/>
          <w:sz w:val="22"/>
          <w:szCs w:val="22"/>
        </w:rPr>
        <w:t>.</w:t>
      </w:r>
    </w:p>
    <w:p w14:paraId="211DAE2D" w14:textId="77777777" w:rsidR="00E52B9F" w:rsidRPr="00AC49B0" w:rsidRDefault="00E52B9F" w:rsidP="00F458CC">
      <w:pPr>
        <w:spacing w:line="240" w:lineRule="auto"/>
        <w:jc w:val="both"/>
        <w:rPr>
          <w:b/>
          <w:sz w:val="22"/>
          <w:szCs w:val="22"/>
        </w:rPr>
      </w:pPr>
    </w:p>
    <w:p w14:paraId="0AAFB371" w14:textId="77777777" w:rsidR="003119E6" w:rsidRPr="00AC49B0" w:rsidRDefault="007216D5" w:rsidP="00F458CC">
      <w:pPr>
        <w:spacing w:after="0" w:line="240" w:lineRule="auto"/>
        <w:jc w:val="both"/>
        <w:rPr>
          <w:b/>
          <w:sz w:val="22"/>
          <w:szCs w:val="22"/>
        </w:rPr>
      </w:pPr>
      <w:r w:rsidRPr="00AC49B0">
        <w:rPr>
          <w:b/>
          <w:sz w:val="22"/>
          <w:szCs w:val="22"/>
        </w:rPr>
        <w:t>Theme 3:</w:t>
      </w:r>
      <w:r w:rsidR="00E23CF3" w:rsidRPr="00AC49B0">
        <w:rPr>
          <w:b/>
          <w:sz w:val="22"/>
          <w:szCs w:val="22"/>
        </w:rPr>
        <w:t xml:space="preserve"> </w:t>
      </w:r>
      <w:r w:rsidR="003119E6" w:rsidRPr="00AC49B0">
        <w:rPr>
          <w:b/>
          <w:sz w:val="22"/>
          <w:szCs w:val="22"/>
        </w:rPr>
        <w:t>Understanding</w:t>
      </w:r>
      <w:r w:rsidR="00E23CF3" w:rsidRPr="00AC49B0">
        <w:rPr>
          <w:b/>
          <w:sz w:val="22"/>
          <w:szCs w:val="22"/>
        </w:rPr>
        <w:t xml:space="preserve"> and communicating</w:t>
      </w:r>
      <w:r w:rsidR="003119E6" w:rsidRPr="00AC49B0">
        <w:rPr>
          <w:b/>
          <w:sz w:val="22"/>
          <w:szCs w:val="22"/>
        </w:rPr>
        <w:t xml:space="preserve"> needs of other organisations</w:t>
      </w:r>
    </w:p>
    <w:p w14:paraId="1183A748" w14:textId="77777777" w:rsidR="003240FF" w:rsidRPr="00AC49B0" w:rsidRDefault="003240FF" w:rsidP="00F458CC">
      <w:pPr>
        <w:spacing w:after="0" w:line="240" w:lineRule="auto"/>
        <w:jc w:val="both"/>
        <w:rPr>
          <w:b/>
          <w:sz w:val="22"/>
          <w:szCs w:val="22"/>
        </w:rPr>
      </w:pPr>
    </w:p>
    <w:p w14:paraId="02B53599" w14:textId="77777777" w:rsidR="003119E6" w:rsidRPr="00AC49B0" w:rsidRDefault="00451526" w:rsidP="00390004">
      <w:pPr>
        <w:spacing w:after="0" w:line="276" w:lineRule="auto"/>
        <w:rPr>
          <w:b/>
          <w:sz w:val="22"/>
          <w:szCs w:val="22"/>
        </w:rPr>
      </w:pPr>
      <w:r w:rsidRPr="00AC49B0">
        <w:rPr>
          <w:color w:val="000000"/>
          <w:sz w:val="22"/>
          <w:szCs w:val="22"/>
        </w:rPr>
        <w:t xml:space="preserve">Participant commentaries revealed the need for a process of ongoing improvement of communication within and between organisations generally and healthcare practitioners, regardless of their level in the organisational hierarchy specifically. Findings from this study highlighted that it is difficult but increasingly important to establish communication channels to support those happening beyond the context of fixed organisational structures, so that patient care transfer pathways can remain open to tacit and responsive change wherever necessary so that optimal provision of patient care pathway transfers can be provided wherever organisational structures permit. This will also serve to highlight the bases of accountability and responsibility within key care settings and how the interprofessional communications underpinning these are pivotal to the potential success of this. This ought not only to be a feature of the ongoing training and education that existing qualified staff receive but a feature of initial education and training programmes for all staff, that highlights the significance of effective collaborative working and how central effective mechanisms of communication are to this.  Reducing the ambiguity of core communication is key to this, from the findings of this study. Central to the understanding of the need for implementation and early adoption is the provision of knowledge of the initiative to be implemented, in this instance the </w:t>
      </w:r>
      <w:r w:rsidR="00E428FD" w:rsidRPr="00AC49B0">
        <w:rPr>
          <w:color w:val="000000"/>
          <w:sz w:val="22"/>
          <w:szCs w:val="22"/>
        </w:rPr>
        <w:t>Red Bag</w:t>
      </w:r>
      <w:r w:rsidRPr="00AC49B0">
        <w:rPr>
          <w:color w:val="000000"/>
          <w:sz w:val="22"/>
          <w:szCs w:val="22"/>
        </w:rPr>
        <w:t xml:space="preserve"> transfer pathway. Ensuring equity and parity in the information provided within and between organisations, organisational hierarchies and the staff employed in different healthcare professional groups is paramount to the success of this, as is already well annotated in the published literature</w:t>
      </w:r>
      <w:r w:rsidR="00A21AD8" w:rsidRPr="00AC49B0">
        <w:rPr>
          <w:color w:val="000000"/>
          <w:sz w:val="22"/>
          <w:szCs w:val="22"/>
        </w:rPr>
        <w:t xml:space="preserve"> </w:t>
      </w:r>
      <w:r w:rsidR="00A21AD8" w:rsidRPr="00AC49B0">
        <w:rPr>
          <w:color w:val="000000"/>
          <w:sz w:val="22"/>
          <w:szCs w:val="22"/>
        </w:rPr>
        <w:fldChar w:fldCharType="begin"/>
      </w:r>
      <w:r w:rsidR="00A21AD8" w:rsidRPr="00AC49B0">
        <w:rPr>
          <w:color w:val="000000"/>
          <w:sz w:val="22"/>
          <w:szCs w:val="22"/>
        </w:rPr>
        <w:instrText xml:space="preserve"> ADDIN EN.CITE &lt;EndNote&gt;&lt;Cite&gt;&lt;Author&gt;Bokhour&lt;/Author&gt;&lt;Year&gt;2018&lt;/Year&gt;&lt;RecNum&gt;2672&lt;/RecNum&gt;&lt;DisplayText&gt;(15)&lt;/DisplayText&gt;&lt;record&gt;&lt;rec-number&gt;2672&lt;/rec-number&gt;&lt;foreign-keys&gt;&lt;key app="EN" db-id="saz9raftmsa2dbex2x05fvaas25vwxpdpe5s" timestamp="1561326700"&gt;2672&lt;/key&gt;&lt;/foreign-keys&gt;&lt;ref-type name="Journal Article"&gt;17&lt;/ref-type&gt;&lt;contributors&gt;&lt;authors&gt;&lt;author&gt;Bokhour, Barbara G.&lt;/author&gt;&lt;author&gt;Fix, Gemmae M.&lt;/author&gt;&lt;author&gt;Mueller, Nora M.&lt;/author&gt;&lt;author&gt;Barker, Anna M.&lt;/author&gt;&lt;author&gt;Lavela, Sherri L.&lt;/author&gt;&lt;author&gt;Hill, Jennifer N.&lt;/author&gt;&lt;author&gt;Solomon, Jeffrey L.&lt;/author&gt;&lt;author&gt;Lukas, Carol VanDeusen&lt;/author&gt;&lt;/authors&gt;&lt;/contributors&gt;&lt;titles&gt;&lt;title&gt;How can healthcare organizations implement patient-centered care? Examining a large-scale cultural transformation&lt;/title&gt;&lt;secondary-title&gt;BMC Health Services Research&lt;/secondary-title&gt;&lt;/titles&gt;&lt;periodical&gt;&lt;full-title&gt;BMC Health Services Research&lt;/full-title&gt;&lt;/periodical&gt;&lt;pages&gt;168&lt;/pages&gt;&lt;volume&gt;18&lt;/volume&gt;&lt;number&gt;1&lt;/number&gt;&lt;dates&gt;&lt;year&gt;2018&lt;/year&gt;&lt;pub-dates&gt;&lt;date&gt;March 07&lt;/date&gt;&lt;/pub-dates&gt;&lt;/dates&gt;&lt;isbn&gt;1472-6963&lt;/isbn&gt;&lt;label&gt;Bokhour2018&lt;/label&gt;&lt;work-type&gt;journal article&lt;/work-type&gt;&lt;urls&gt;&lt;related-urls&gt;&lt;url&gt;https://doi.org/10.1186/s12913-018-2949-5&lt;/url&gt;&lt;/related-urls&gt;&lt;/urls&gt;&lt;electronic-resource-num&gt;10.1186/s12913-018-2949-5&lt;/electronic-resource-num&gt;&lt;/record&gt;&lt;/Cite&gt;&lt;/EndNote&gt;</w:instrText>
      </w:r>
      <w:r w:rsidR="00A21AD8" w:rsidRPr="00AC49B0">
        <w:rPr>
          <w:color w:val="000000"/>
          <w:sz w:val="22"/>
          <w:szCs w:val="22"/>
        </w:rPr>
        <w:fldChar w:fldCharType="separate"/>
      </w:r>
      <w:r w:rsidR="00A21AD8" w:rsidRPr="00AC49B0">
        <w:rPr>
          <w:noProof/>
          <w:color w:val="000000"/>
          <w:sz w:val="22"/>
          <w:szCs w:val="22"/>
        </w:rPr>
        <w:t>(</w:t>
      </w:r>
      <w:r w:rsidR="001A3A20" w:rsidRPr="00AC49B0">
        <w:rPr>
          <w:noProof/>
          <w:color w:val="000000"/>
          <w:sz w:val="22"/>
          <w:szCs w:val="22"/>
        </w:rPr>
        <w:t>Bokhour et al, 2018</w:t>
      </w:r>
      <w:r w:rsidR="00A21AD8" w:rsidRPr="00AC49B0">
        <w:rPr>
          <w:noProof/>
          <w:color w:val="000000"/>
          <w:sz w:val="22"/>
          <w:szCs w:val="22"/>
        </w:rPr>
        <w:t>)</w:t>
      </w:r>
      <w:r w:rsidR="00A21AD8" w:rsidRPr="00AC49B0">
        <w:rPr>
          <w:color w:val="000000"/>
          <w:sz w:val="22"/>
          <w:szCs w:val="22"/>
        </w:rPr>
        <w:fldChar w:fldCharType="end"/>
      </w:r>
      <w:r w:rsidRPr="00AC49B0">
        <w:rPr>
          <w:color w:val="000000"/>
          <w:sz w:val="22"/>
          <w:szCs w:val="22"/>
        </w:rPr>
        <w:t xml:space="preserve">. Ensuring this enables all staff working in collaboration with others from differing backgrounds to have an adequate insight and capacity to engage with new initiatives in healthcare practice. Healthcare practitioners have provided findings that clearly broaden understanding of how these problems manifest in practice and as a consequence of this, actions to improve interprofessional working, collaboration, the co-construction of shared knowledge and communication, are now highlighted for address. These are issues raised in contemporary </w:t>
      </w:r>
      <w:r w:rsidRPr="00AC49B0">
        <w:rPr>
          <w:color w:val="000000"/>
          <w:sz w:val="22"/>
          <w:szCs w:val="22"/>
        </w:rPr>
        <w:lastRenderedPageBreak/>
        <w:t>literature surrounding healthcare working relationships in practice</w:t>
      </w:r>
      <w:r w:rsidR="00CE0BD1" w:rsidRPr="00AC49B0">
        <w:rPr>
          <w:color w:val="000000"/>
          <w:sz w:val="22"/>
          <w:szCs w:val="22"/>
        </w:rPr>
        <w:t xml:space="preserve"> </w:t>
      </w:r>
      <w:r w:rsidR="00CE0BD1" w:rsidRPr="00AC49B0">
        <w:rPr>
          <w:color w:val="000000"/>
          <w:sz w:val="22"/>
          <w:szCs w:val="22"/>
        </w:rPr>
        <w:fldChar w:fldCharType="begin"/>
      </w:r>
      <w:r w:rsidR="00CE0BD1" w:rsidRPr="00AC49B0">
        <w:rPr>
          <w:color w:val="000000"/>
          <w:sz w:val="22"/>
          <w:szCs w:val="22"/>
        </w:rPr>
        <w:instrText xml:space="preserve"> ADDIN EN.CITE &lt;EndNote&gt;&lt;Cite&gt;&lt;Author&gt;Moretta Tartaglione&lt;/Author&gt;&lt;Year&gt;2018&lt;/Year&gt;&lt;RecNum&gt;2673&lt;/RecNum&gt;&lt;DisplayText&gt;(16)&lt;/DisplayText&gt;&lt;record&gt;&lt;rec-number&gt;2673&lt;/rec-number&gt;&lt;foreign-keys&gt;&lt;key app="EN" db-id="saz9raftmsa2dbex2x05fvaas25vwxpdpe5s" timestamp="1561326815"&gt;2673&lt;/key&gt;&lt;/foreign-keys&gt;&lt;ref-type name="Journal Article"&gt;17&lt;/ref-type&gt;&lt;contributors&gt;&lt;authors&gt;&lt;author&gt;Moretta Tartaglione, Andrea&lt;/author&gt;&lt;author&gt;Cavacece, Ylenia&lt;/author&gt;&lt;author&gt;Cassia, Fabio&lt;/author&gt;&lt;author&gt;Russo, Giuseppe&lt;/author&gt;&lt;/authors&gt;&lt;/contributors&gt;&lt;titles&gt;&lt;title&gt;The excellence of patient-centered healthcare: Investigating the links between empowerment, co-creation and satisfaction&lt;/title&gt;&lt;secondary-title&gt;The TQM Journal&lt;/secondary-title&gt;&lt;/titles&gt;&lt;periodical&gt;&lt;full-title&gt;The TQM Journal&lt;/full-title&gt;&lt;/periodical&gt;&lt;pages&gt;153-167&lt;/pages&gt;&lt;volume&gt;30&lt;/volume&gt;&lt;number&gt;2&lt;/number&gt;&lt;keywords&gt;&lt;keyword&gt;Service quality,Value co-creation,Patient satisfaction,Healthcare quality,Patient empowerment&lt;/keyword&gt;&lt;/keywords&gt;&lt;dates&gt;&lt;year&gt;2018&lt;/year&gt;&lt;pub-dates&gt;&lt;date&gt;2018/03/05&lt;/date&gt;&lt;/pub-dates&gt;&lt;/dates&gt;&lt;publisher&gt;Emerald&lt;/publisher&gt;&lt;isbn&gt;1754-2731&lt;/isbn&gt;&lt;urls&gt;&lt;related-urls&gt;&lt;url&gt;https://doi.org/10.1108/TQM-11-2017-0138&lt;/url&gt;&lt;/related-urls&gt;&lt;/urls&gt;&lt;electronic-resource-num&gt;10.1108/TQM-11-2017-0138&lt;/electronic-resource-num&gt;&lt;access-date&gt;2019/06/23&lt;/access-date&gt;&lt;/record&gt;&lt;/Cite&gt;&lt;/EndNote&gt;</w:instrText>
      </w:r>
      <w:r w:rsidR="00CE0BD1" w:rsidRPr="00AC49B0">
        <w:rPr>
          <w:color w:val="000000"/>
          <w:sz w:val="22"/>
          <w:szCs w:val="22"/>
        </w:rPr>
        <w:fldChar w:fldCharType="separate"/>
      </w:r>
      <w:r w:rsidR="00CE0BD1" w:rsidRPr="00AC49B0">
        <w:rPr>
          <w:noProof/>
          <w:color w:val="000000"/>
          <w:sz w:val="22"/>
          <w:szCs w:val="22"/>
        </w:rPr>
        <w:t>(</w:t>
      </w:r>
      <w:r w:rsidR="001A3A20" w:rsidRPr="00AC49B0">
        <w:rPr>
          <w:sz w:val="22"/>
          <w:szCs w:val="22"/>
        </w:rPr>
        <w:t xml:space="preserve"> </w:t>
      </w:r>
      <w:r w:rsidR="001A3A20" w:rsidRPr="00AC49B0">
        <w:rPr>
          <w:noProof/>
          <w:color w:val="000000"/>
          <w:sz w:val="22"/>
          <w:szCs w:val="22"/>
        </w:rPr>
        <w:t>Moretta Tartaglione</w:t>
      </w:r>
      <w:r w:rsidR="00390004" w:rsidRPr="00AC49B0">
        <w:rPr>
          <w:noProof/>
          <w:color w:val="000000"/>
          <w:sz w:val="22"/>
          <w:szCs w:val="22"/>
        </w:rPr>
        <w:t xml:space="preserve">, 2018; Rosen et al, 2018 </w:t>
      </w:r>
      <w:r w:rsidR="00CE0BD1" w:rsidRPr="00AC49B0">
        <w:rPr>
          <w:noProof/>
          <w:color w:val="000000"/>
          <w:sz w:val="22"/>
          <w:szCs w:val="22"/>
        </w:rPr>
        <w:t>)</w:t>
      </w:r>
      <w:r w:rsidR="00CE0BD1" w:rsidRPr="00AC49B0">
        <w:rPr>
          <w:color w:val="000000"/>
          <w:sz w:val="22"/>
          <w:szCs w:val="22"/>
        </w:rPr>
        <w:fldChar w:fldCharType="end"/>
      </w:r>
      <w:r w:rsidRPr="00AC49B0">
        <w:rPr>
          <w:color w:val="000000"/>
          <w:sz w:val="22"/>
          <w:szCs w:val="22"/>
        </w:rPr>
        <w:t>.  </w:t>
      </w:r>
      <w:r w:rsidRPr="00AC49B0">
        <w:rPr>
          <w:color w:val="000000"/>
          <w:sz w:val="22"/>
          <w:szCs w:val="22"/>
        </w:rPr>
        <w:br/>
      </w:r>
      <w:r w:rsidRPr="00AC49B0">
        <w:rPr>
          <w:color w:val="000000"/>
          <w:sz w:val="22"/>
          <w:szCs w:val="22"/>
        </w:rPr>
        <w:br/>
      </w:r>
      <w:r w:rsidR="007216D5" w:rsidRPr="00AC49B0">
        <w:rPr>
          <w:b/>
          <w:sz w:val="22"/>
          <w:szCs w:val="22"/>
        </w:rPr>
        <w:t>Theme 4:</w:t>
      </w:r>
      <w:r w:rsidR="00362541" w:rsidRPr="00AC49B0">
        <w:rPr>
          <w:b/>
          <w:sz w:val="22"/>
          <w:szCs w:val="22"/>
        </w:rPr>
        <w:t xml:space="preserve"> </w:t>
      </w:r>
      <w:r w:rsidR="006F171F" w:rsidRPr="00AC49B0">
        <w:rPr>
          <w:b/>
          <w:sz w:val="22"/>
          <w:szCs w:val="22"/>
        </w:rPr>
        <w:t>Challenging perceptions of organisational status</w:t>
      </w:r>
      <w:r w:rsidR="00254A62" w:rsidRPr="00AC49B0">
        <w:rPr>
          <w:b/>
          <w:sz w:val="22"/>
          <w:szCs w:val="22"/>
        </w:rPr>
        <w:t xml:space="preserve"> as hierarchies of care</w:t>
      </w:r>
    </w:p>
    <w:p w14:paraId="7CD5EA26" w14:textId="77777777" w:rsidR="003240FF" w:rsidRPr="00AC49B0" w:rsidRDefault="003240FF" w:rsidP="003240FF">
      <w:pPr>
        <w:spacing w:after="0" w:line="276" w:lineRule="auto"/>
        <w:jc w:val="both"/>
        <w:rPr>
          <w:b/>
          <w:sz w:val="22"/>
          <w:szCs w:val="22"/>
        </w:rPr>
      </w:pPr>
    </w:p>
    <w:p w14:paraId="35849D28" w14:textId="77777777" w:rsidR="00C72D44" w:rsidRPr="00AC49B0" w:rsidRDefault="007061CC" w:rsidP="00D5359F">
      <w:pPr>
        <w:spacing w:line="276" w:lineRule="auto"/>
        <w:rPr>
          <w:b/>
          <w:sz w:val="22"/>
          <w:szCs w:val="22"/>
        </w:rPr>
      </w:pPr>
      <w:r w:rsidRPr="00AC49B0">
        <w:rPr>
          <w:color w:val="000000"/>
          <w:sz w:val="22"/>
          <w:szCs w:val="22"/>
        </w:rPr>
        <w:t xml:space="preserve">The perceived power balance of organisational hierarchies was perceived as a barrier to the effective implementation of the </w:t>
      </w:r>
      <w:r w:rsidR="00E428FD" w:rsidRPr="00AC49B0">
        <w:rPr>
          <w:color w:val="000000"/>
          <w:sz w:val="22"/>
          <w:szCs w:val="22"/>
        </w:rPr>
        <w:t>Red Bag</w:t>
      </w:r>
      <w:r w:rsidRPr="00AC49B0">
        <w:rPr>
          <w:color w:val="000000"/>
          <w:sz w:val="22"/>
          <w:szCs w:val="22"/>
        </w:rPr>
        <w:t xml:space="preserve"> patient care transfer pathway in practice. Longstanding reports of the impact of delineation within and between members of staff in different organisations and settings are evident in published literature</w:t>
      </w:r>
      <w:r w:rsidR="00C7475D" w:rsidRPr="00AC49B0">
        <w:rPr>
          <w:color w:val="000000"/>
          <w:sz w:val="22"/>
          <w:szCs w:val="22"/>
        </w:rPr>
        <w:t xml:space="preserve"> </w:t>
      </w:r>
      <w:r w:rsidR="00C7475D" w:rsidRPr="00AC49B0">
        <w:rPr>
          <w:color w:val="000000"/>
          <w:sz w:val="22"/>
          <w:szCs w:val="22"/>
        </w:rPr>
        <w:fldChar w:fldCharType="begin">
          <w:fldData xml:space="preserve">PEVuZE5vdGU+PENpdGU+PEF1dGhvcj5Hb2RpbjwvQXV0aG9yPjxZZWFyPjIwMDg8L1llYXI+PFJl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</w:fldData>
        </w:fldChar>
      </w:r>
      <w:r w:rsidR="00AB1B32" w:rsidRPr="00AC49B0">
        <w:rPr>
          <w:color w:val="000000"/>
          <w:sz w:val="22"/>
          <w:szCs w:val="22"/>
        </w:rPr>
        <w:instrText xml:space="preserve"> ADDIN EN.CITE </w:instrText>
      </w:r>
      <w:r w:rsidR="00AB1B32" w:rsidRPr="00AC49B0">
        <w:rPr>
          <w:color w:val="000000"/>
          <w:sz w:val="22"/>
          <w:szCs w:val="22"/>
        </w:rPr>
        <w:fldChar w:fldCharType="begin">
          <w:fldData xml:space="preserve">PEVuZE5vdGU+PENpdGU+PEF1dGhvcj5Hb2RpbjwvQXV0aG9yPjxZZWFyPjIwMDg8L1llYXI+PFJl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</w:fldData>
        </w:fldChar>
      </w:r>
      <w:r w:rsidR="00AB1B32" w:rsidRPr="00AC49B0">
        <w:rPr>
          <w:color w:val="000000"/>
          <w:sz w:val="22"/>
          <w:szCs w:val="22"/>
        </w:rPr>
        <w:instrText xml:space="preserve"> ADDIN EN.CITE.DATA </w:instrText>
      </w:r>
      <w:r w:rsidR="00AB1B32" w:rsidRPr="00AC49B0">
        <w:rPr>
          <w:color w:val="000000"/>
          <w:sz w:val="22"/>
          <w:szCs w:val="22"/>
        </w:rPr>
      </w:r>
      <w:r w:rsidR="00AB1B32" w:rsidRPr="00AC49B0">
        <w:rPr>
          <w:color w:val="000000"/>
          <w:sz w:val="22"/>
          <w:szCs w:val="22"/>
        </w:rPr>
        <w:fldChar w:fldCharType="end"/>
      </w:r>
      <w:r w:rsidR="00C7475D" w:rsidRPr="00AC49B0">
        <w:rPr>
          <w:color w:val="000000"/>
          <w:sz w:val="22"/>
          <w:szCs w:val="22"/>
        </w:rPr>
      </w:r>
      <w:r w:rsidR="00C7475D" w:rsidRPr="00AC49B0">
        <w:rPr>
          <w:color w:val="000000"/>
          <w:sz w:val="22"/>
          <w:szCs w:val="22"/>
        </w:rPr>
        <w:fldChar w:fldCharType="separate"/>
      </w:r>
      <w:r w:rsidR="00AB1B32" w:rsidRPr="00AC49B0">
        <w:rPr>
          <w:noProof/>
          <w:color w:val="000000"/>
          <w:sz w:val="22"/>
          <w:szCs w:val="22"/>
        </w:rPr>
        <w:t>(</w:t>
      </w:r>
      <w:r w:rsidR="00390004" w:rsidRPr="00AC49B0">
        <w:rPr>
          <w:noProof/>
          <w:color w:val="000000"/>
          <w:sz w:val="22"/>
          <w:szCs w:val="22"/>
        </w:rPr>
        <w:t>Godin et al, 2008; Gormley,2018; Mitchell, Boyle and Von Stieglitz, 2018</w:t>
      </w:r>
      <w:r w:rsidR="00AB1B32" w:rsidRPr="00AC49B0">
        <w:rPr>
          <w:noProof/>
          <w:color w:val="000000"/>
          <w:sz w:val="22"/>
          <w:szCs w:val="22"/>
        </w:rPr>
        <w:t>)</w:t>
      </w:r>
      <w:r w:rsidR="00C7475D" w:rsidRPr="00AC49B0">
        <w:rPr>
          <w:color w:val="000000"/>
          <w:sz w:val="22"/>
          <w:szCs w:val="22"/>
        </w:rPr>
        <w:fldChar w:fldCharType="end"/>
      </w:r>
      <w:r w:rsidRPr="00AC49B0">
        <w:rPr>
          <w:color w:val="000000"/>
          <w:sz w:val="22"/>
          <w:szCs w:val="22"/>
        </w:rPr>
        <w:t>. Our findings reveal that this is most apparent in relation to those working in the context of residential care settings, the perceptions of which, by other members of the healthcare professions and in particular secondary care staff do not reflect the expertise of these healthcare professions, despite the fact all that differs in care delivery is context. This is reflective of work already undertaken to investigate the perceived marginality between professional disciplines and contexts</w:t>
      </w:r>
      <w:r w:rsidR="00734B7F" w:rsidRPr="00AC49B0">
        <w:rPr>
          <w:color w:val="000000"/>
          <w:sz w:val="22"/>
          <w:szCs w:val="22"/>
        </w:rPr>
        <w:t xml:space="preserve"> </w:t>
      </w:r>
      <w:r w:rsidRPr="00AC49B0">
        <w:rPr>
          <w:color w:val="000000"/>
          <w:sz w:val="22"/>
          <w:szCs w:val="22"/>
        </w:rPr>
        <w:t>and is one which ought to be further developed</w:t>
      </w:r>
      <w:r w:rsidR="0024143A" w:rsidRPr="00AC49B0">
        <w:rPr>
          <w:color w:val="000000"/>
          <w:sz w:val="22"/>
          <w:szCs w:val="22"/>
        </w:rPr>
        <w:t xml:space="preserve"> </w:t>
      </w:r>
      <w:r w:rsidR="0024143A" w:rsidRPr="00AC49B0">
        <w:rPr>
          <w:color w:val="000000"/>
          <w:sz w:val="22"/>
          <w:szCs w:val="22"/>
        </w:rPr>
        <w:fldChar w:fldCharType="begin"/>
      </w:r>
      <w:r w:rsidR="0024143A" w:rsidRPr="00AC49B0">
        <w:rPr>
          <w:color w:val="000000"/>
          <w:sz w:val="22"/>
          <w:szCs w:val="22"/>
        </w:rPr>
        <w:instrText xml:space="preserve"> ADDIN EN.CITE &lt;EndNote&gt;&lt;Cite&gt;&lt;Author&gt;Saks&lt;/Author&gt;&lt;Year&gt;2015&lt;/Year&gt;&lt;RecNum&gt;2678&lt;/RecNum&gt;&lt;DisplayText&gt;(21)&lt;/DisplayText&gt;&lt;record&gt;&lt;rec-number&gt;2678&lt;/rec-number&gt;&lt;foreign-keys&gt;&lt;key app="EN" db-id="saz9raftmsa2dbex2x05fvaas25vwxpdpe5s" timestamp="1561327997"&gt;2678&lt;/key&gt;&lt;/foreign-keys&gt;&lt;ref-type name="Journal Article"&gt;17&lt;/ref-type&gt;&lt;contributors&gt;&lt;authors&gt;&lt;author&gt;Saks, Mike&lt;/author&gt;&lt;/authors&gt;&lt;/contributors&gt;&lt;titles&gt;&lt;title&gt;Inequalities, marginality and the professions&lt;/title&gt;&lt;secondary-title&gt;Current Sociology&lt;/secondary-title&gt;&lt;/titles&gt;&lt;periodical&gt;&lt;full-title&gt;Current Sociology&lt;/full-title&gt;&lt;/periodical&gt;&lt;pages&gt;850-868&lt;/pages&gt;&lt;volume&gt;63&lt;/volume&gt;&lt;number&gt;6&lt;/number&gt;&lt;dates&gt;&lt;year&gt;2015&lt;/year&gt;&lt;pub-dates&gt;&lt;date&gt;2015/10/01&lt;/date&gt;&lt;/pub-dates&gt;&lt;/dates&gt;&lt;publisher&gt;SAGE Publications Ltd&lt;/publisher&gt;&lt;isbn&gt;0011-3921&lt;/isbn&gt;&lt;urls&gt;&lt;related-urls&gt;&lt;url&gt;https://doi.org/10.1177/0011392115587332&lt;/url&gt;&lt;/related-urls&gt;&lt;/urls&gt;&lt;electronic-resource-num&gt;10.1177/0011392115587332&lt;/electronic-resource-num&gt;&lt;access-date&gt;2019/06/23&lt;/access-date&gt;&lt;/record&gt;&lt;/Cite&gt;&lt;/EndNote&gt;</w:instrText>
      </w:r>
      <w:r w:rsidR="0024143A" w:rsidRPr="00AC49B0">
        <w:rPr>
          <w:color w:val="000000"/>
          <w:sz w:val="22"/>
          <w:szCs w:val="22"/>
        </w:rPr>
        <w:fldChar w:fldCharType="separate"/>
      </w:r>
      <w:r w:rsidR="0024143A" w:rsidRPr="00AC49B0">
        <w:rPr>
          <w:noProof/>
          <w:color w:val="000000"/>
          <w:sz w:val="22"/>
          <w:szCs w:val="22"/>
        </w:rPr>
        <w:t>(</w:t>
      </w:r>
      <w:r w:rsidR="00390004" w:rsidRPr="00AC49B0">
        <w:rPr>
          <w:noProof/>
          <w:color w:val="000000"/>
          <w:sz w:val="22"/>
          <w:szCs w:val="22"/>
        </w:rPr>
        <w:t>Saks, 2015</w:t>
      </w:r>
      <w:r w:rsidR="0024143A" w:rsidRPr="00AC49B0">
        <w:rPr>
          <w:noProof/>
          <w:color w:val="000000"/>
          <w:sz w:val="22"/>
          <w:szCs w:val="22"/>
        </w:rPr>
        <w:t>)</w:t>
      </w:r>
      <w:r w:rsidR="0024143A" w:rsidRPr="00AC49B0">
        <w:rPr>
          <w:color w:val="000000"/>
          <w:sz w:val="22"/>
          <w:szCs w:val="22"/>
        </w:rPr>
        <w:fldChar w:fldCharType="end"/>
      </w:r>
      <w:r w:rsidRPr="00AC49B0">
        <w:rPr>
          <w:color w:val="000000"/>
          <w:sz w:val="22"/>
          <w:szCs w:val="22"/>
        </w:rPr>
        <w:t>.</w:t>
      </w:r>
      <w:r w:rsidRPr="00AC49B0">
        <w:rPr>
          <w:color w:val="000000"/>
          <w:sz w:val="22"/>
          <w:szCs w:val="22"/>
        </w:rPr>
        <w:br/>
      </w:r>
      <w:r w:rsidRPr="00AC49B0">
        <w:rPr>
          <w:color w:val="000000"/>
          <w:sz w:val="22"/>
          <w:szCs w:val="22"/>
        </w:rPr>
        <w:br/>
      </w:r>
      <w:r w:rsidR="00C72D44" w:rsidRPr="00AC49B0">
        <w:rPr>
          <w:b/>
          <w:sz w:val="22"/>
          <w:szCs w:val="22"/>
        </w:rPr>
        <w:t>Discussion</w:t>
      </w:r>
    </w:p>
    <w:p w14:paraId="3B8DE0EC" w14:textId="77777777" w:rsidR="009C0777" w:rsidRPr="00AC49B0" w:rsidRDefault="009C0777" w:rsidP="00F458CC">
      <w:pPr>
        <w:pStyle w:val="Heading2"/>
        <w:spacing w:line="240" w:lineRule="auto"/>
        <w:jc w:val="both"/>
        <w:rPr>
          <w:rFonts w:ascii="Arial" w:hAnsi="Arial" w:cs="Arial"/>
          <w:b/>
          <w:color w:val="auto"/>
          <w:sz w:val="22"/>
          <w:szCs w:val="22"/>
        </w:rPr>
      </w:pPr>
      <w:r w:rsidRPr="00AC49B0">
        <w:rPr>
          <w:rFonts w:ascii="Arial" w:hAnsi="Arial" w:cs="Arial"/>
          <w:b/>
          <w:color w:val="auto"/>
          <w:sz w:val="22"/>
          <w:szCs w:val="22"/>
        </w:rPr>
        <w:t>Recommendations</w:t>
      </w:r>
      <w:r w:rsidR="00563AD7" w:rsidRPr="00AC49B0">
        <w:rPr>
          <w:rFonts w:ascii="Arial" w:hAnsi="Arial" w:cs="Arial"/>
          <w:b/>
          <w:color w:val="auto"/>
          <w:sz w:val="22"/>
          <w:szCs w:val="22"/>
        </w:rPr>
        <w:t xml:space="preserve"> for organisations</w:t>
      </w:r>
    </w:p>
    <w:p w14:paraId="4CFA8BF6" w14:textId="77777777" w:rsidR="00371DFD" w:rsidRPr="00AC49B0" w:rsidRDefault="00371DFD" w:rsidP="00371DFD">
      <w:pPr>
        <w:rPr>
          <w:sz w:val="22"/>
          <w:szCs w:val="22"/>
        </w:rPr>
      </w:pPr>
    </w:p>
    <w:p w14:paraId="42D8281F" w14:textId="77777777" w:rsidR="006C75F9" w:rsidRPr="00AC49B0" w:rsidRDefault="00563AD7" w:rsidP="00F458CC">
      <w:pPr>
        <w:spacing w:line="240" w:lineRule="auto"/>
        <w:jc w:val="both"/>
        <w:rPr>
          <w:sz w:val="22"/>
          <w:szCs w:val="22"/>
        </w:rPr>
      </w:pPr>
      <w:r w:rsidRPr="00AC49B0">
        <w:rPr>
          <w:sz w:val="22"/>
          <w:szCs w:val="22"/>
        </w:rPr>
        <w:t xml:space="preserve">There is an overarching need for communication to be improved between organisations.  Although we acknowledge variation in practice in localities and within the individuals and organisations, the </w:t>
      </w:r>
      <w:r w:rsidR="00E428FD" w:rsidRPr="00AC49B0">
        <w:rPr>
          <w:sz w:val="22"/>
          <w:szCs w:val="22"/>
        </w:rPr>
        <w:t>Red Bag</w:t>
      </w:r>
      <w:r w:rsidRPr="00AC49B0">
        <w:rPr>
          <w:sz w:val="22"/>
          <w:szCs w:val="22"/>
        </w:rPr>
        <w:t xml:space="preserve"> is most effective when accompanied by robust processes for communications</w:t>
      </w:r>
      <w:r w:rsidR="00242CB4" w:rsidRPr="00AC49B0">
        <w:rPr>
          <w:sz w:val="22"/>
          <w:szCs w:val="22"/>
        </w:rPr>
        <w:t>.  The communication breakdowns appear to occur during handover of care home residents from one organisation to another a demonstrated in Figure 1</w:t>
      </w:r>
      <w:r w:rsidR="00770217" w:rsidRPr="00AC49B0">
        <w:rPr>
          <w:sz w:val="22"/>
          <w:szCs w:val="22"/>
        </w:rPr>
        <w:t xml:space="preserve"> (see page</w:t>
      </w:r>
      <w:r w:rsidR="001D29B7" w:rsidRPr="00AC49B0">
        <w:rPr>
          <w:sz w:val="22"/>
          <w:szCs w:val="22"/>
        </w:rPr>
        <w:t xml:space="preserve"> 6)</w:t>
      </w:r>
    </w:p>
    <w:p w14:paraId="7987F93C" w14:textId="77777777" w:rsidR="00673AEE" w:rsidRPr="00AC49B0" w:rsidRDefault="00673AEE" w:rsidP="00F458CC">
      <w:pPr>
        <w:spacing w:line="240" w:lineRule="auto"/>
        <w:jc w:val="both"/>
        <w:rPr>
          <w:sz w:val="22"/>
          <w:szCs w:val="22"/>
        </w:rPr>
      </w:pPr>
      <w:r w:rsidRPr="00AC49B0">
        <w:rPr>
          <w:sz w:val="22"/>
          <w:szCs w:val="22"/>
        </w:rPr>
        <w:t xml:space="preserve">There appears to be a disconnect between care homes and </w:t>
      </w:r>
      <w:r w:rsidR="009A071F" w:rsidRPr="00AC49B0">
        <w:rPr>
          <w:sz w:val="22"/>
          <w:szCs w:val="22"/>
        </w:rPr>
        <w:t xml:space="preserve">NHS </w:t>
      </w:r>
      <w:r w:rsidRPr="00AC49B0">
        <w:rPr>
          <w:sz w:val="22"/>
          <w:szCs w:val="22"/>
        </w:rPr>
        <w:t xml:space="preserve">Trust staff, the latter who often </w:t>
      </w:r>
      <w:r w:rsidR="004D3E2C" w:rsidRPr="00AC49B0">
        <w:rPr>
          <w:sz w:val="22"/>
          <w:szCs w:val="22"/>
        </w:rPr>
        <w:t xml:space="preserve">held care </w:t>
      </w:r>
      <w:r w:rsidRPr="00AC49B0">
        <w:rPr>
          <w:sz w:val="22"/>
          <w:szCs w:val="22"/>
        </w:rPr>
        <w:t xml:space="preserve">home staff </w:t>
      </w:r>
      <w:r w:rsidR="004D3E2C" w:rsidRPr="00AC49B0">
        <w:rPr>
          <w:sz w:val="22"/>
          <w:szCs w:val="22"/>
        </w:rPr>
        <w:t xml:space="preserve">responsible </w:t>
      </w:r>
      <w:r w:rsidRPr="00AC49B0">
        <w:rPr>
          <w:sz w:val="22"/>
          <w:szCs w:val="22"/>
        </w:rPr>
        <w:t xml:space="preserve">for delays in transfers of care. This may be down to a lack of knowledge about </w:t>
      </w:r>
      <w:r w:rsidR="000D124F" w:rsidRPr="00AC49B0">
        <w:rPr>
          <w:sz w:val="22"/>
          <w:szCs w:val="22"/>
        </w:rPr>
        <w:t xml:space="preserve">the processes involved and the organisation of care within this </w:t>
      </w:r>
      <w:r w:rsidR="009A071F" w:rsidRPr="00AC49B0">
        <w:rPr>
          <w:sz w:val="22"/>
          <w:szCs w:val="22"/>
        </w:rPr>
        <w:t>setting.  Trust staff should have an awareness of</w:t>
      </w:r>
      <w:r w:rsidR="000D124F" w:rsidRPr="00AC49B0">
        <w:rPr>
          <w:sz w:val="22"/>
          <w:szCs w:val="22"/>
        </w:rPr>
        <w:t xml:space="preserve"> how care homes are organised and why certain processes occur, so they </w:t>
      </w:r>
      <w:r w:rsidR="00D63D23" w:rsidRPr="00AC49B0">
        <w:rPr>
          <w:sz w:val="22"/>
          <w:szCs w:val="22"/>
        </w:rPr>
        <w:t>are able to better understand the context behind processes,</w:t>
      </w:r>
      <w:r w:rsidR="000D124F" w:rsidRPr="00AC49B0">
        <w:rPr>
          <w:sz w:val="22"/>
          <w:szCs w:val="22"/>
        </w:rPr>
        <w:t xml:space="preserve"> may lead to improved communications between the two organisations which would potentially inform better working practices.</w:t>
      </w:r>
    </w:p>
    <w:p w14:paraId="70717A0A" w14:textId="77777777" w:rsidR="008F4D88" w:rsidRPr="00AC49B0" w:rsidRDefault="009F31C1" w:rsidP="00F458CC">
      <w:pPr>
        <w:spacing w:line="240" w:lineRule="auto"/>
        <w:jc w:val="both"/>
        <w:rPr>
          <w:sz w:val="22"/>
          <w:szCs w:val="22"/>
        </w:rPr>
      </w:pPr>
      <w:r w:rsidRPr="00AC49B0">
        <w:rPr>
          <w:sz w:val="22"/>
          <w:szCs w:val="22"/>
        </w:rPr>
        <w:t xml:space="preserve">It is recommended that there are meetings between key staff in </w:t>
      </w:r>
      <w:r w:rsidR="00BB6A7E" w:rsidRPr="00AC49B0">
        <w:rPr>
          <w:sz w:val="22"/>
          <w:szCs w:val="22"/>
        </w:rPr>
        <w:t xml:space="preserve">NHS </w:t>
      </w:r>
      <w:r w:rsidRPr="00AC49B0">
        <w:rPr>
          <w:sz w:val="22"/>
          <w:szCs w:val="22"/>
        </w:rPr>
        <w:t>Trusts and Care Homes to identify and discuss issues relating to care, and work collaboratively to establish mutually beneficial processes and that these processes are piloted and evaluated and are reviewed on a regular basis.</w:t>
      </w:r>
    </w:p>
    <w:p w14:paraId="4C63CC97" w14:textId="77777777" w:rsidR="00A5246B" w:rsidRPr="00AC49B0" w:rsidRDefault="00A5246B" w:rsidP="00F458CC">
      <w:pPr>
        <w:spacing w:line="240" w:lineRule="auto"/>
        <w:jc w:val="both"/>
        <w:rPr>
          <w:sz w:val="22"/>
          <w:szCs w:val="22"/>
        </w:rPr>
      </w:pPr>
      <w:r w:rsidRPr="00AC49B0">
        <w:rPr>
          <w:sz w:val="22"/>
          <w:szCs w:val="22"/>
        </w:rPr>
        <w:t>Additionally, both care homes and</w:t>
      </w:r>
      <w:r w:rsidR="007565AE" w:rsidRPr="00AC49B0">
        <w:rPr>
          <w:sz w:val="22"/>
          <w:szCs w:val="22"/>
        </w:rPr>
        <w:t xml:space="preserve"> NHS </w:t>
      </w:r>
      <w:r w:rsidRPr="00AC49B0">
        <w:rPr>
          <w:sz w:val="22"/>
          <w:szCs w:val="22"/>
        </w:rPr>
        <w:t>Trusts need to work with ambulance services to discuss the delays and how collaboration and communication can be improved.</w:t>
      </w:r>
      <w:r w:rsidR="00CA677C" w:rsidRPr="00AC49B0">
        <w:rPr>
          <w:sz w:val="22"/>
          <w:szCs w:val="22"/>
        </w:rPr>
        <w:t xml:space="preserve"> It is recommended that the ambulance service is actively involved in discussions and recommendations for forward planning and processes.</w:t>
      </w:r>
    </w:p>
    <w:p w14:paraId="2BAC998B" w14:textId="77777777" w:rsidR="00A81D58" w:rsidRPr="00AC49B0" w:rsidRDefault="00D85D6D" w:rsidP="00F458CC">
      <w:pPr>
        <w:spacing w:line="240" w:lineRule="auto"/>
        <w:jc w:val="both"/>
        <w:rPr>
          <w:sz w:val="22"/>
          <w:szCs w:val="22"/>
        </w:rPr>
      </w:pPr>
      <w:r w:rsidRPr="00AC49B0">
        <w:rPr>
          <w:sz w:val="22"/>
          <w:szCs w:val="22"/>
        </w:rPr>
        <w:t>The perspectives of the ambulance service staff</w:t>
      </w:r>
      <w:r w:rsidR="00FC1341" w:rsidRPr="00AC49B0">
        <w:rPr>
          <w:sz w:val="22"/>
          <w:szCs w:val="22"/>
        </w:rPr>
        <w:t xml:space="preserve"> to date</w:t>
      </w:r>
      <w:r w:rsidRPr="00AC49B0">
        <w:rPr>
          <w:sz w:val="22"/>
          <w:szCs w:val="22"/>
        </w:rPr>
        <w:t xml:space="preserve"> showed that there were variances in practice and interpretation of the </w:t>
      </w:r>
      <w:r w:rsidR="00E428FD" w:rsidRPr="00AC49B0">
        <w:rPr>
          <w:sz w:val="22"/>
          <w:szCs w:val="22"/>
        </w:rPr>
        <w:t>Red Bag</w:t>
      </w:r>
      <w:r w:rsidRPr="00AC49B0">
        <w:rPr>
          <w:sz w:val="22"/>
          <w:szCs w:val="22"/>
        </w:rPr>
        <w:t xml:space="preserve"> and highlighted the importance of training and education </w:t>
      </w:r>
      <w:r w:rsidR="007A4BA6" w:rsidRPr="00AC49B0">
        <w:rPr>
          <w:sz w:val="22"/>
          <w:szCs w:val="22"/>
        </w:rPr>
        <w:t>i</w:t>
      </w:r>
      <w:r w:rsidRPr="00AC49B0">
        <w:rPr>
          <w:sz w:val="22"/>
          <w:szCs w:val="22"/>
        </w:rPr>
        <w:t>n the</w:t>
      </w:r>
      <w:r w:rsidR="007A4BA6" w:rsidRPr="00AC49B0">
        <w:rPr>
          <w:sz w:val="22"/>
          <w:szCs w:val="22"/>
        </w:rPr>
        <w:t xml:space="preserve"> interpretations </w:t>
      </w:r>
      <w:r w:rsidR="00FF084A" w:rsidRPr="00AC49B0">
        <w:rPr>
          <w:sz w:val="22"/>
          <w:szCs w:val="22"/>
        </w:rPr>
        <w:t>of hospital</w:t>
      </w:r>
      <w:r w:rsidRPr="00AC49B0">
        <w:rPr>
          <w:sz w:val="22"/>
          <w:szCs w:val="22"/>
        </w:rPr>
        <w:t xml:space="preserve"> transfer pathway, and</w:t>
      </w:r>
      <w:r w:rsidR="008D5343" w:rsidRPr="00AC49B0">
        <w:rPr>
          <w:sz w:val="22"/>
          <w:szCs w:val="22"/>
        </w:rPr>
        <w:t xml:space="preserve"> </w:t>
      </w:r>
      <w:r w:rsidR="007A4BA6" w:rsidRPr="00AC49B0">
        <w:rPr>
          <w:sz w:val="22"/>
          <w:szCs w:val="22"/>
        </w:rPr>
        <w:t xml:space="preserve">the need to </w:t>
      </w:r>
      <w:r w:rsidR="008D5343" w:rsidRPr="00AC49B0">
        <w:rPr>
          <w:sz w:val="22"/>
          <w:szCs w:val="22"/>
        </w:rPr>
        <w:t>hav</w:t>
      </w:r>
      <w:r w:rsidR="007A4BA6" w:rsidRPr="00AC49B0">
        <w:rPr>
          <w:sz w:val="22"/>
          <w:szCs w:val="22"/>
        </w:rPr>
        <w:t>e</w:t>
      </w:r>
      <w:r w:rsidR="008D5343" w:rsidRPr="00AC49B0">
        <w:rPr>
          <w:sz w:val="22"/>
          <w:szCs w:val="22"/>
        </w:rPr>
        <w:t xml:space="preserve"> clear processes and effective communication</w:t>
      </w:r>
      <w:r w:rsidR="007A4BA6" w:rsidRPr="00AC49B0">
        <w:rPr>
          <w:sz w:val="22"/>
          <w:szCs w:val="22"/>
        </w:rPr>
        <w:t xml:space="preserve"> between organisations</w:t>
      </w:r>
      <w:r w:rsidR="008D5343" w:rsidRPr="00AC49B0">
        <w:rPr>
          <w:sz w:val="22"/>
          <w:szCs w:val="22"/>
        </w:rPr>
        <w:t>.</w:t>
      </w:r>
    </w:p>
    <w:p w14:paraId="178B376D" w14:textId="77777777" w:rsidR="00E52B9F" w:rsidRPr="00AC49B0" w:rsidRDefault="00FC1341" w:rsidP="00F458CC">
      <w:pPr>
        <w:spacing w:after="0" w:line="240" w:lineRule="auto"/>
        <w:jc w:val="both"/>
        <w:rPr>
          <w:b/>
          <w:sz w:val="22"/>
          <w:szCs w:val="22"/>
        </w:rPr>
      </w:pPr>
      <w:r w:rsidRPr="00AC49B0">
        <w:rPr>
          <w:b/>
          <w:sz w:val="22"/>
          <w:szCs w:val="22"/>
        </w:rPr>
        <w:t>Guidance on mapping to the RE</w:t>
      </w:r>
      <w:r w:rsidR="004D3E2C" w:rsidRPr="00AC49B0">
        <w:rPr>
          <w:b/>
          <w:sz w:val="22"/>
          <w:szCs w:val="22"/>
        </w:rPr>
        <w:t>-</w:t>
      </w:r>
      <w:r w:rsidRPr="00AC49B0">
        <w:rPr>
          <w:b/>
          <w:sz w:val="22"/>
          <w:szCs w:val="22"/>
        </w:rPr>
        <w:t>AIM Framework in localities</w:t>
      </w:r>
    </w:p>
    <w:p w14:paraId="52DA007A" w14:textId="77777777" w:rsidR="00FC1341" w:rsidRPr="00AC49B0" w:rsidRDefault="00FC1341" w:rsidP="00F458CC">
      <w:pPr>
        <w:spacing w:after="0" w:line="240" w:lineRule="auto"/>
        <w:jc w:val="both"/>
        <w:rPr>
          <w:sz w:val="22"/>
          <w:szCs w:val="22"/>
        </w:rPr>
      </w:pPr>
      <w:r w:rsidRPr="00AC49B0">
        <w:rPr>
          <w:sz w:val="22"/>
          <w:szCs w:val="22"/>
        </w:rPr>
        <w:lastRenderedPageBreak/>
        <w:t>It is suggested that organisations in each locality map their implementation and current status of the HTP against the RE</w:t>
      </w:r>
      <w:r w:rsidR="004D3E2C" w:rsidRPr="00AC49B0">
        <w:rPr>
          <w:sz w:val="22"/>
          <w:szCs w:val="22"/>
        </w:rPr>
        <w:t>-</w:t>
      </w:r>
      <w:r w:rsidRPr="00AC49B0">
        <w:rPr>
          <w:sz w:val="22"/>
          <w:szCs w:val="22"/>
        </w:rPr>
        <w:t>AIM framework to provide insight and discussion to inform future planning using, and possibly adapting the following framework</w:t>
      </w:r>
      <w:r w:rsidR="00E52B9F" w:rsidRPr="00AC49B0">
        <w:rPr>
          <w:sz w:val="22"/>
          <w:szCs w:val="22"/>
        </w:rPr>
        <w:t xml:space="preserve"> (below)</w:t>
      </w:r>
      <w:r w:rsidRPr="00AC49B0">
        <w:rPr>
          <w:sz w:val="22"/>
          <w:szCs w:val="22"/>
        </w:rPr>
        <w:t xml:space="preserve"> as a guide:</w:t>
      </w:r>
    </w:p>
    <w:p w14:paraId="105124C9" w14:textId="77777777" w:rsidR="00E52B9F" w:rsidRPr="00AC49B0" w:rsidRDefault="00E52B9F" w:rsidP="00F458CC">
      <w:pPr>
        <w:spacing w:after="0" w:line="240" w:lineRule="auto"/>
        <w:jc w:val="both"/>
        <w:rPr>
          <w:sz w:val="22"/>
          <w:szCs w:val="22"/>
        </w:rPr>
      </w:pPr>
    </w:p>
    <w:tbl>
      <w:tblPr>
        <w:tblStyle w:val="PlainTable11"/>
        <w:tblW w:w="9067" w:type="dxa"/>
        <w:tblLook w:val="04A0" w:firstRow="1" w:lastRow="0" w:firstColumn="1" w:lastColumn="0" w:noHBand="0" w:noVBand="1"/>
      </w:tblPr>
      <w:tblGrid>
        <w:gridCol w:w="2122"/>
        <w:gridCol w:w="2976"/>
        <w:gridCol w:w="3969"/>
      </w:tblGrid>
      <w:tr w:rsidR="009726BB" w:rsidRPr="00AC49B0" w14:paraId="30ED2316" w14:textId="77777777" w:rsidTr="00F45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3FCEC0B" w14:textId="77777777" w:rsidR="009726BB" w:rsidRPr="00AC49B0" w:rsidRDefault="009726BB" w:rsidP="00F458CC">
            <w:pPr>
              <w:spacing w:line="480" w:lineRule="auto"/>
              <w:jc w:val="both"/>
              <w:rPr>
                <w:b w:val="0"/>
                <w:sz w:val="22"/>
                <w:szCs w:val="22"/>
              </w:rPr>
            </w:pPr>
            <w:r w:rsidRPr="00AC49B0">
              <w:rPr>
                <w:sz w:val="22"/>
                <w:szCs w:val="22"/>
              </w:rPr>
              <w:t>RE-Aim Dimension</w:t>
            </w:r>
          </w:p>
        </w:tc>
        <w:tc>
          <w:tcPr>
            <w:tcW w:w="2976" w:type="dxa"/>
          </w:tcPr>
          <w:p w14:paraId="68F81E3C" w14:textId="77777777" w:rsidR="009726BB" w:rsidRPr="00AC49B0" w:rsidRDefault="009726BB" w:rsidP="00F458CC">
            <w:pPr>
              <w:jc w:val="both"/>
              <w:cnfStyle w:val="100000000000" w:firstRow="1" w:lastRow="0" w:firstColumn="0" w:lastColumn="0" w:oddVBand="0" w:evenVBand="0" w:oddHBand="0" w:evenHBand="0" w:firstRowFirstColumn="0" w:firstRowLastColumn="0" w:lastRowFirstColumn="0" w:lastRowLastColumn="0"/>
              <w:rPr>
                <w:sz w:val="22"/>
                <w:szCs w:val="22"/>
              </w:rPr>
            </w:pPr>
            <w:r w:rsidRPr="00AC49B0">
              <w:rPr>
                <w:sz w:val="22"/>
                <w:szCs w:val="22"/>
              </w:rPr>
              <w:t>Addresses</w:t>
            </w:r>
          </w:p>
        </w:tc>
        <w:tc>
          <w:tcPr>
            <w:tcW w:w="3969" w:type="dxa"/>
          </w:tcPr>
          <w:p w14:paraId="11ACE580" w14:textId="77777777" w:rsidR="009726BB" w:rsidRPr="00AC49B0" w:rsidRDefault="009726BB" w:rsidP="00F458CC">
            <w:pPr>
              <w:jc w:val="both"/>
              <w:cnfStyle w:val="100000000000" w:firstRow="1" w:lastRow="0" w:firstColumn="0" w:lastColumn="0" w:oddVBand="0" w:evenVBand="0" w:oddHBand="0" w:evenHBand="0" w:firstRowFirstColumn="0" w:firstRowLastColumn="0" w:lastRowFirstColumn="0" w:lastRowLastColumn="0"/>
              <w:rPr>
                <w:sz w:val="22"/>
                <w:szCs w:val="22"/>
              </w:rPr>
            </w:pPr>
            <w:r w:rsidRPr="00AC49B0">
              <w:rPr>
                <w:sz w:val="22"/>
                <w:szCs w:val="22"/>
              </w:rPr>
              <w:t>Areas for discussion</w:t>
            </w:r>
          </w:p>
        </w:tc>
      </w:tr>
      <w:tr w:rsidR="009726BB" w:rsidRPr="00AC49B0" w14:paraId="16B95980" w14:textId="77777777" w:rsidTr="00F45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467D6B1" w14:textId="77777777" w:rsidR="009726BB" w:rsidRPr="00AC49B0" w:rsidRDefault="009726BB" w:rsidP="00F458CC">
            <w:pPr>
              <w:spacing w:line="480" w:lineRule="auto"/>
              <w:jc w:val="both"/>
              <w:rPr>
                <w:sz w:val="22"/>
                <w:szCs w:val="22"/>
              </w:rPr>
            </w:pPr>
            <w:r w:rsidRPr="00AC49B0">
              <w:rPr>
                <w:sz w:val="22"/>
                <w:szCs w:val="22"/>
              </w:rPr>
              <w:t>Reach</w:t>
            </w:r>
          </w:p>
        </w:tc>
        <w:tc>
          <w:tcPr>
            <w:tcW w:w="2976" w:type="dxa"/>
          </w:tcPr>
          <w:p w14:paraId="6EA3F3A7" w14:textId="77777777" w:rsidR="009726BB" w:rsidRPr="00AC49B0" w:rsidRDefault="009726BB" w:rsidP="00F458CC">
            <w:pPr>
              <w:jc w:val="both"/>
              <w:cnfStyle w:val="000000100000" w:firstRow="0" w:lastRow="0" w:firstColumn="0" w:lastColumn="0" w:oddVBand="0" w:evenVBand="0" w:oddHBand="1" w:evenHBand="0" w:firstRowFirstColumn="0" w:firstRowLastColumn="0" w:lastRowFirstColumn="0" w:lastRowLastColumn="0"/>
              <w:rPr>
                <w:sz w:val="22"/>
                <w:szCs w:val="22"/>
              </w:rPr>
            </w:pPr>
            <w:r w:rsidRPr="00AC49B0">
              <w:rPr>
                <w:sz w:val="22"/>
                <w:szCs w:val="22"/>
              </w:rPr>
              <w:t xml:space="preserve">Define participants across the organisations involved </w:t>
            </w:r>
          </w:p>
        </w:tc>
        <w:tc>
          <w:tcPr>
            <w:tcW w:w="3969" w:type="dxa"/>
          </w:tcPr>
          <w:p w14:paraId="22C74614" w14:textId="77777777" w:rsidR="009726BB" w:rsidRPr="00AC49B0" w:rsidRDefault="009726BB" w:rsidP="00F458CC">
            <w:pPr>
              <w:jc w:val="both"/>
              <w:cnfStyle w:val="000000100000" w:firstRow="0" w:lastRow="0" w:firstColumn="0" w:lastColumn="0" w:oddVBand="0" w:evenVBand="0" w:oddHBand="1" w:evenHBand="0" w:firstRowFirstColumn="0" w:firstRowLastColumn="0" w:lastRowFirstColumn="0" w:lastRowLastColumn="0"/>
              <w:rPr>
                <w:sz w:val="22"/>
                <w:szCs w:val="22"/>
              </w:rPr>
            </w:pPr>
            <w:r w:rsidRPr="00AC49B0">
              <w:rPr>
                <w:sz w:val="22"/>
                <w:szCs w:val="22"/>
              </w:rPr>
              <w:t>Who is leading the HTP processes in each organisation?</w:t>
            </w:r>
          </w:p>
          <w:p w14:paraId="51D84335" w14:textId="77777777" w:rsidR="009726BB" w:rsidRPr="00AC49B0" w:rsidRDefault="009726BB" w:rsidP="00F458CC">
            <w:pPr>
              <w:jc w:val="both"/>
              <w:cnfStyle w:val="000000100000" w:firstRow="0" w:lastRow="0" w:firstColumn="0" w:lastColumn="0" w:oddVBand="0" w:evenVBand="0" w:oddHBand="1" w:evenHBand="0" w:firstRowFirstColumn="0" w:firstRowLastColumn="0" w:lastRowFirstColumn="0" w:lastRowLastColumn="0"/>
              <w:rPr>
                <w:sz w:val="22"/>
                <w:szCs w:val="22"/>
              </w:rPr>
            </w:pPr>
          </w:p>
          <w:p w14:paraId="70972F34" w14:textId="77777777" w:rsidR="009726BB" w:rsidRPr="00AC49B0" w:rsidRDefault="009726BB" w:rsidP="00F458CC">
            <w:pPr>
              <w:jc w:val="both"/>
              <w:cnfStyle w:val="000000100000" w:firstRow="0" w:lastRow="0" w:firstColumn="0" w:lastColumn="0" w:oddVBand="0" w:evenVBand="0" w:oddHBand="1" w:evenHBand="0" w:firstRowFirstColumn="0" w:firstRowLastColumn="0" w:lastRowFirstColumn="0" w:lastRowLastColumn="0"/>
              <w:rPr>
                <w:sz w:val="22"/>
                <w:szCs w:val="22"/>
              </w:rPr>
            </w:pPr>
            <w:r w:rsidRPr="00AC49B0">
              <w:rPr>
                <w:sz w:val="22"/>
                <w:szCs w:val="22"/>
              </w:rPr>
              <w:t>Who else needs to be involved?</w:t>
            </w:r>
          </w:p>
          <w:p w14:paraId="72FACDC1" w14:textId="77777777" w:rsidR="009726BB" w:rsidRPr="00AC49B0" w:rsidRDefault="009726BB" w:rsidP="00F458CC">
            <w:pPr>
              <w:jc w:val="both"/>
              <w:cnfStyle w:val="000000100000" w:firstRow="0" w:lastRow="0" w:firstColumn="0" w:lastColumn="0" w:oddVBand="0" w:evenVBand="0" w:oddHBand="1" w:evenHBand="0" w:firstRowFirstColumn="0" w:firstRowLastColumn="0" w:lastRowFirstColumn="0" w:lastRowLastColumn="0"/>
              <w:rPr>
                <w:sz w:val="22"/>
                <w:szCs w:val="22"/>
              </w:rPr>
            </w:pPr>
          </w:p>
          <w:p w14:paraId="1AB46CA9" w14:textId="77777777" w:rsidR="009726BB" w:rsidRPr="00AC49B0" w:rsidRDefault="009726BB" w:rsidP="00F458CC">
            <w:pPr>
              <w:jc w:val="both"/>
              <w:cnfStyle w:val="000000100000" w:firstRow="0" w:lastRow="0" w:firstColumn="0" w:lastColumn="0" w:oddVBand="0" w:evenVBand="0" w:oddHBand="1" w:evenHBand="0" w:firstRowFirstColumn="0" w:firstRowLastColumn="0" w:lastRowFirstColumn="0" w:lastRowLastColumn="0"/>
              <w:rPr>
                <w:sz w:val="22"/>
                <w:szCs w:val="22"/>
              </w:rPr>
            </w:pPr>
            <w:r w:rsidRPr="00AC49B0">
              <w:rPr>
                <w:sz w:val="22"/>
                <w:szCs w:val="22"/>
              </w:rPr>
              <w:t xml:space="preserve">How effectively has awareness of the HTP and </w:t>
            </w:r>
            <w:r w:rsidR="00E428FD" w:rsidRPr="00AC49B0">
              <w:rPr>
                <w:sz w:val="22"/>
                <w:szCs w:val="22"/>
              </w:rPr>
              <w:t>Red Bag</w:t>
            </w:r>
            <w:r w:rsidRPr="00AC49B0">
              <w:rPr>
                <w:sz w:val="22"/>
                <w:szCs w:val="22"/>
              </w:rPr>
              <w:t>s been</w:t>
            </w:r>
            <w:r w:rsidR="00A32460" w:rsidRPr="00AC49B0">
              <w:rPr>
                <w:sz w:val="22"/>
                <w:szCs w:val="22"/>
              </w:rPr>
              <w:t xml:space="preserve"> communicated</w:t>
            </w:r>
            <w:r w:rsidRPr="00AC49B0">
              <w:rPr>
                <w:sz w:val="22"/>
                <w:szCs w:val="22"/>
              </w:rPr>
              <w:t>?</w:t>
            </w:r>
          </w:p>
        </w:tc>
      </w:tr>
      <w:tr w:rsidR="009726BB" w:rsidRPr="00AC49B0" w14:paraId="6F2F8F45" w14:textId="77777777" w:rsidTr="00F458CC">
        <w:tc>
          <w:tcPr>
            <w:cnfStyle w:val="001000000000" w:firstRow="0" w:lastRow="0" w:firstColumn="1" w:lastColumn="0" w:oddVBand="0" w:evenVBand="0" w:oddHBand="0" w:evenHBand="0" w:firstRowFirstColumn="0" w:firstRowLastColumn="0" w:lastRowFirstColumn="0" w:lastRowLastColumn="0"/>
            <w:tcW w:w="2122" w:type="dxa"/>
          </w:tcPr>
          <w:p w14:paraId="5FAB4FA0" w14:textId="77777777" w:rsidR="009726BB" w:rsidRPr="00AC49B0" w:rsidRDefault="009726BB" w:rsidP="00F458CC">
            <w:pPr>
              <w:spacing w:line="480" w:lineRule="auto"/>
              <w:jc w:val="both"/>
              <w:rPr>
                <w:sz w:val="22"/>
                <w:szCs w:val="22"/>
              </w:rPr>
            </w:pPr>
            <w:r w:rsidRPr="00AC49B0">
              <w:rPr>
                <w:sz w:val="22"/>
                <w:szCs w:val="22"/>
              </w:rPr>
              <w:t>Effectiveness</w:t>
            </w:r>
          </w:p>
        </w:tc>
        <w:tc>
          <w:tcPr>
            <w:tcW w:w="2976" w:type="dxa"/>
          </w:tcPr>
          <w:p w14:paraId="4A1A9BF2" w14:textId="77777777" w:rsidR="009726BB" w:rsidRPr="00AC49B0" w:rsidRDefault="009726BB" w:rsidP="00F458CC">
            <w:pPr>
              <w:jc w:val="both"/>
              <w:cnfStyle w:val="000000000000" w:firstRow="0" w:lastRow="0" w:firstColumn="0" w:lastColumn="0" w:oddVBand="0" w:evenVBand="0" w:oddHBand="0" w:evenHBand="0" w:firstRowFirstColumn="0" w:firstRowLastColumn="0" w:lastRowFirstColumn="0" w:lastRowLastColumn="0"/>
              <w:rPr>
                <w:sz w:val="22"/>
                <w:szCs w:val="22"/>
              </w:rPr>
            </w:pPr>
            <w:r w:rsidRPr="00AC49B0">
              <w:rPr>
                <w:sz w:val="22"/>
                <w:szCs w:val="22"/>
              </w:rPr>
              <w:t>Define benefits that are trying to be achieved and identify any negative consequences</w:t>
            </w:r>
          </w:p>
        </w:tc>
        <w:tc>
          <w:tcPr>
            <w:tcW w:w="3969" w:type="dxa"/>
          </w:tcPr>
          <w:p w14:paraId="79DD5F30" w14:textId="77777777" w:rsidR="009726BB" w:rsidRPr="00AC49B0" w:rsidRDefault="009726BB" w:rsidP="00F458CC">
            <w:pPr>
              <w:jc w:val="both"/>
              <w:cnfStyle w:val="000000000000" w:firstRow="0" w:lastRow="0" w:firstColumn="0" w:lastColumn="0" w:oddVBand="0" w:evenVBand="0" w:oddHBand="0" w:evenHBand="0" w:firstRowFirstColumn="0" w:firstRowLastColumn="0" w:lastRowFirstColumn="0" w:lastRowLastColumn="0"/>
              <w:rPr>
                <w:sz w:val="22"/>
                <w:szCs w:val="22"/>
              </w:rPr>
            </w:pPr>
            <w:r w:rsidRPr="00AC49B0">
              <w:rPr>
                <w:sz w:val="22"/>
                <w:szCs w:val="22"/>
              </w:rPr>
              <w:t>How effective</w:t>
            </w:r>
            <w:r w:rsidR="00A32460" w:rsidRPr="00AC49B0">
              <w:rPr>
                <w:sz w:val="22"/>
                <w:szCs w:val="22"/>
              </w:rPr>
              <w:t xml:space="preserve"> is the </w:t>
            </w:r>
            <w:r w:rsidR="00E428FD" w:rsidRPr="00AC49B0">
              <w:rPr>
                <w:sz w:val="22"/>
                <w:szCs w:val="22"/>
              </w:rPr>
              <w:t>Red Bag</w:t>
            </w:r>
            <w:r w:rsidR="00A32460" w:rsidRPr="00AC49B0">
              <w:rPr>
                <w:sz w:val="22"/>
                <w:szCs w:val="22"/>
              </w:rPr>
              <w:t xml:space="preserve"> in the hospital transfer pathway?</w:t>
            </w:r>
          </w:p>
          <w:p w14:paraId="3C99B132" w14:textId="77777777" w:rsidR="00A32460" w:rsidRPr="00AC49B0" w:rsidRDefault="00A32460" w:rsidP="00F458CC">
            <w:pPr>
              <w:jc w:val="both"/>
              <w:cnfStyle w:val="000000000000" w:firstRow="0" w:lastRow="0" w:firstColumn="0" w:lastColumn="0" w:oddVBand="0" w:evenVBand="0" w:oddHBand="0" w:evenHBand="0" w:firstRowFirstColumn="0" w:firstRowLastColumn="0" w:lastRowFirstColumn="0" w:lastRowLastColumn="0"/>
              <w:rPr>
                <w:sz w:val="22"/>
                <w:szCs w:val="22"/>
              </w:rPr>
            </w:pPr>
            <w:r w:rsidRPr="00AC49B0">
              <w:rPr>
                <w:sz w:val="22"/>
                <w:szCs w:val="22"/>
              </w:rPr>
              <w:t>What are the identified barriers to success?</w:t>
            </w:r>
          </w:p>
        </w:tc>
      </w:tr>
      <w:tr w:rsidR="009726BB" w:rsidRPr="00AC49B0" w14:paraId="48097281" w14:textId="77777777" w:rsidTr="00F45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E984E8B" w14:textId="77777777" w:rsidR="009726BB" w:rsidRPr="00AC49B0" w:rsidRDefault="009726BB" w:rsidP="00F458CC">
            <w:pPr>
              <w:spacing w:line="480" w:lineRule="auto"/>
              <w:jc w:val="both"/>
              <w:rPr>
                <w:sz w:val="22"/>
                <w:szCs w:val="22"/>
              </w:rPr>
            </w:pPr>
            <w:r w:rsidRPr="00AC49B0">
              <w:rPr>
                <w:sz w:val="22"/>
                <w:szCs w:val="22"/>
              </w:rPr>
              <w:t>Adoption</w:t>
            </w:r>
          </w:p>
        </w:tc>
        <w:tc>
          <w:tcPr>
            <w:tcW w:w="2976" w:type="dxa"/>
          </w:tcPr>
          <w:p w14:paraId="0409E35F" w14:textId="77777777" w:rsidR="009726BB" w:rsidRPr="00AC49B0" w:rsidRDefault="009726BB" w:rsidP="00F458CC">
            <w:pPr>
              <w:jc w:val="both"/>
              <w:cnfStyle w:val="000000100000" w:firstRow="0" w:lastRow="0" w:firstColumn="0" w:lastColumn="0" w:oddVBand="0" w:evenVBand="0" w:oddHBand="1" w:evenHBand="0" w:firstRowFirstColumn="0" w:firstRowLastColumn="0" w:lastRowFirstColumn="0" w:lastRowLastColumn="0"/>
              <w:rPr>
                <w:sz w:val="22"/>
                <w:szCs w:val="22"/>
              </w:rPr>
            </w:pPr>
            <w:r w:rsidRPr="00AC49B0">
              <w:rPr>
                <w:sz w:val="22"/>
                <w:szCs w:val="22"/>
              </w:rPr>
              <w:t xml:space="preserve">Where is the HTP being applied and who is applying it? </w:t>
            </w:r>
          </w:p>
        </w:tc>
        <w:tc>
          <w:tcPr>
            <w:tcW w:w="3969" w:type="dxa"/>
          </w:tcPr>
          <w:p w14:paraId="0A6461D2" w14:textId="77777777" w:rsidR="009726BB" w:rsidRPr="00AC49B0" w:rsidRDefault="00A32460" w:rsidP="00F458CC">
            <w:pPr>
              <w:jc w:val="both"/>
              <w:cnfStyle w:val="000000100000" w:firstRow="0" w:lastRow="0" w:firstColumn="0" w:lastColumn="0" w:oddVBand="0" w:evenVBand="0" w:oddHBand="1" w:evenHBand="0" w:firstRowFirstColumn="0" w:firstRowLastColumn="0" w:lastRowFirstColumn="0" w:lastRowLastColumn="0"/>
              <w:rPr>
                <w:sz w:val="22"/>
                <w:szCs w:val="22"/>
              </w:rPr>
            </w:pPr>
            <w:r w:rsidRPr="00AC49B0">
              <w:rPr>
                <w:sz w:val="22"/>
                <w:szCs w:val="22"/>
              </w:rPr>
              <w:t>Who</w:t>
            </w:r>
            <w:r w:rsidR="00C5250C" w:rsidRPr="00AC49B0">
              <w:rPr>
                <w:sz w:val="22"/>
                <w:szCs w:val="22"/>
              </w:rPr>
              <w:t>/where/how</w:t>
            </w:r>
            <w:r w:rsidRPr="00AC49B0">
              <w:rPr>
                <w:sz w:val="22"/>
                <w:szCs w:val="22"/>
              </w:rPr>
              <w:t xml:space="preserve"> has the </w:t>
            </w:r>
            <w:r w:rsidR="00E428FD" w:rsidRPr="00AC49B0">
              <w:rPr>
                <w:sz w:val="22"/>
                <w:szCs w:val="22"/>
              </w:rPr>
              <w:t>Red Bag</w:t>
            </w:r>
            <w:r w:rsidRPr="00AC49B0">
              <w:rPr>
                <w:sz w:val="22"/>
                <w:szCs w:val="22"/>
              </w:rPr>
              <w:t xml:space="preserve"> in the HTP</w:t>
            </w:r>
            <w:r w:rsidR="00C5250C" w:rsidRPr="00AC49B0">
              <w:rPr>
                <w:sz w:val="22"/>
                <w:szCs w:val="22"/>
              </w:rPr>
              <w:t xml:space="preserve"> been adopted</w:t>
            </w:r>
            <w:r w:rsidRPr="00AC49B0">
              <w:rPr>
                <w:sz w:val="22"/>
                <w:szCs w:val="22"/>
              </w:rPr>
              <w:t xml:space="preserve"> in practice?</w:t>
            </w:r>
          </w:p>
        </w:tc>
      </w:tr>
      <w:tr w:rsidR="009726BB" w:rsidRPr="00AC49B0" w14:paraId="0E00117E" w14:textId="77777777" w:rsidTr="00F458CC">
        <w:tc>
          <w:tcPr>
            <w:cnfStyle w:val="001000000000" w:firstRow="0" w:lastRow="0" w:firstColumn="1" w:lastColumn="0" w:oddVBand="0" w:evenVBand="0" w:oddHBand="0" w:evenHBand="0" w:firstRowFirstColumn="0" w:firstRowLastColumn="0" w:lastRowFirstColumn="0" w:lastRowLastColumn="0"/>
            <w:tcW w:w="2122" w:type="dxa"/>
          </w:tcPr>
          <w:p w14:paraId="2D7AA810" w14:textId="77777777" w:rsidR="009726BB" w:rsidRPr="00AC49B0" w:rsidRDefault="009726BB" w:rsidP="00F458CC">
            <w:pPr>
              <w:spacing w:line="480" w:lineRule="auto"/>
              <w:jc w:val="both"/>
              <w:rPr>
                <w:sz w:val="22"/>
                <w:szCs w:val="22"/>
              </w:rPr>
            </w:pPr>
            <w:r w:rsidRPr="00AC49B0">
              <w:rPr>
                <w:sz w:val="22"/>
                <w:szCs w:val="22"/>
              </w:rPr>
              <w:t>Implementation</w:t>
            </w:r>
          </w:p>
        </w:tc>
        <w:tc>
          <w:tcPr>
            <w:tcW w:w="2976" w:type="dxa"/>
          </w:tcPr>
          <w:p w14:paraId="558E488D" w14:textId="77777777" w:rsidR="009726BB" w:rsidRPr="00AC49B0" w:rsidRDefault="009726BB" w:rsidP="00F458CC">
            <w:pPr>
              <w:jc w:val="both"/>
              <w:cnfStyle w:val="000000000000" w:firstRow="0" w:lastRow="0" w:firstColumn="0" w:lastColumn="0" w:oddVBand="0" w:evenVBand="0" w:oddHBand="0" w:evenHBand="0" w:firstRowFirstColumn="0" w:firstRowLastColumn="0" w:lastRowFirstColumn="0" w:lastRowLastColumn="0"/>
              <w:rPr>
                <w:sz w:val="22"/>
                <w:szCs w:val="22"/>
              </w:rPr>
            </w:pPr>
            <w:r w:rsidRPr="00AC49B0">
              <w:rPr>
                <w:sz w:val="22"/>
                <w:szCs w:val="22"/>
              </w:rPr>
              <w:t xml:space="preserve">How consistently is the </w:t>
            </w:r>
            <w:r w:rsidR="00E428FD" w:rsidRPr="00AC49B0">
              <w:rPr>
                <w:sz w:val="22"/>
                <w:szCs w:val="22"/>
              </w:rPr>
              <w:t>Red Bag</w:t>
            </w:r>
            <w:r w:rsidRPr="00AC49B0">
              <w:rPr>
                <w:sz w:val="22"/>
                <w:szCs w:val="22"/>
              </w:rPr>
              <w:t xml:space="preserve"> scheme being applied, what are the barriers and </w:t>
            </w:r>
            <w:r w:rsidR="004A44ED" w:rsidRPr="00AC49B0">
              <w:rPr>
                <w:sz w:val="22"/>
                <w:szCs w:val="22"/>
              </w:rPr>
              <w:t>enablers?</w:t>
            </w:r>
          </w:p>
        </w:tc>
        <w:tc>
          <w:tcPr>
            <w:tcW w:w="3969" w:type="dxa"/>
          </w:tcPr>
          <w:p w14:paraId="4E8221CA" w14:textId="77777777" w:rsidR="00D805BF" w:rsidRPr="00AC49B0" w:rsidRDefault="00C5250C" w:rsidP="00F458CC">
            <w:pPr>
              <w:jc w:val="both"/>
              <w:cnfStyle w:val="000000000000" w:firstRow="0" w:lastRow="0" w:firstColumn="0" w:lastColumn="0" w:oddVBand="0" w:evenVBand="0" w:oddHBand="0" w:evenHBand="0" w:firstRowFirstColumn="0" w:firstRowLastColumn="0" w:lastRowFirstColumn="0" w:lastRowLastColumn="0"/>
              <w:rPr>
                <w:sz w:val="22"/>
                <w:szCs w:val="22"/>
              </w:rPr>
            </w:pPr>
            <w:r w:rsidRPr="00AC49B0">
              <w:rPr>
                <w:sz w:val="22"/>
                <w:szCs w:val="22"/>
              </w:rPr>
              <w:t>Within the implementation process</w:t>
            </w:r>
            <w:r w:rsidR="00D805BF" w:rsidRPr="00AC49B0">
              <w:rPr>
                <w:sz w:val="22"/>
                <w:szCs w:val="22"/>
              </w:rPr>
              <w:t>:</w:t>
            </w:r>
            <w:r w:rsidRPr="00AC49B0">
              <w:rPr>
                <w:sz w:val="22"/>
                <w:szCs w:val="22"/>
              </w:rPr>
              <w:t xml:space="preserve"> </w:t>
            </w:r>
            <w:r w:rsidR="00D805BF" w:rsidRPr="00AC49B0">
              <w:rPr>
                <w:sz w:val="22"/>
                <w:szCs w:val="22"/>
              </w:rPr>
              <w:t xml:space="preserve"> ---W</w:t>
            </w:r>
            <w:r w:rsidRPr="00AC49B0">
              <w:rPr>
                <w:sz w:val="22"/>
                <w:szCs w:val="22"/>
              </w:rPr>
              <w:t>hat has worked well</w:t>
            </w:r>
            <w:r w:rsidR="00D805BF" w:rsidRPr="00AC49B0">
              <w:rPr>
                <w:sz w:val="22"/>
                <w:szCs w:val="22"/>
              </w:rPr>
              <w:t>?</w:t>
            </w:r>
          </w:p>
          <w:p w14:paraId="715710AE" w14:textId="77777777" w:rsidR="00D805BF" w:rsidRPr="00AC49B0" w:rsidRDefault="00D805BF" w:rsidP="00F458CC">
            <w:pPr>
              <w:jc w:val="both"/>
              <w:cnfStyle w:val="000000000000" w:firstRow="0" w:lastRow="0" w:firstColumn="0" w:lastColumn="0" w:oddVBand="0" w:evenVBand="0" w:oddHBand="0" w:evenHBand="0" w:firstRowFirstColumn="0" w:firstRowLastColumn="0" w:lastRowFirstColumn="0" w:lastRowLastColumn="0"/>
              <w:rPr>
                <w:sz w:val="22"/>
                <w:szCs w:val="22"/>
              </w:rPr>
            </w:pPr>
            <w:r w:rsidRPr="00AC49B0">
              <w:rPr>
                <w:sz w:val="22"/>
                <w:szCs w:val="22"/>
              </w:rPr>
              <w:t>-What</w:t>
            </w:r>
            <w:r w:rsidR="00C5250C" w:rsidRPr="00AC49B0">
              <w:rPr>
                <w:sz w:val="22"/>
                <w:szCs w:val="22"/>
              </w:rPr>
              <w:t xml:space="preserve"> areas need to be further developed</w:t>
            </w:r>
            <w:r w:rsidRPr="00AC49B0">
              <w:rPr>
                <w:sz w:val="22"/>
                <w:szCs w:val="22"/>
              </w:rPr>
              <w:t>?</w:t>
            </w:r>
          </w:p>
          <w:p w14:paraId="3427DC4C" w14:textId="77777777" w:rsidR="00E544BE" w:rsidRPr="00AC49B0" w:rsidRDefault="00E544BE" w:rsidP="00F458CC">
            <w:pPr>
              <w:jc w:val="both"/>
              <w:cnfStyle w:val="000000000000" w:firstRow="0" w:lastRow="0" w:firstColumn="0" w:lastColumn="0" w:oddVBand="0" w:evenVBand="0" w:oddHBand="0" w:evenHBand="0" w:firstRowFirstColumn="0" w:firstRowLastColumn="0" w:lastRowFirstColumn="0" w:lastRowLastColumn="0"/>
              <w:rPr>
                <w:sz w:val="22"/>
                <w:szCs w:val="22"/>
              </w:rPr>
            </w:pPr>
            <w:r w:rsidRPr="00AC49B0">
              <w:rPr>
                <w:sz w:val="22"/>
                <w:szCs w:val="22"/>
              </w:rPr>
              <w:t>-What are the lessons learnt?</w:t>
            </w:r>
          </w:p>
          <w:p w14:paraId="783B1776" w14:textId="77777777" w:rsidR="002E0AD0" w:rsidRPr="00AC49B0" w:rsidRDefault="002E0AD0" w:rsidP="00F458CC">
            <w:pPr>
              <w:jc w:val="both"/>
              <w:cnfStyle w:val="000000000000" w:firstRow="0" w:lastRow="0" w:firstColumn="0" w:lastColumn="0" w:oddVBand="0" w:evenVBand="0" w:oddHBand="0" w:evenHBand="0" w:firstRowFirstColumn="0" w:firstRowLastColumn="0" w:lastRowFirstColumn="0" w:lastRowLastColumn="0"/>
              <w:rPr>
                <w:sz w:val="22"/>
                <w:szCs w:val="22"/>
              </w:rPr>
            </w:pPr>
          </w:p>
        </w:tc>
      </w:tr>
      <w:tr w:rsidR="009726BB" w:rsidRPr="00AC49B0" w14:paraId="6B45EE94" w14:textId="77777777" w:rsidTr="00F45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3ABB98F" w14:textId="77777777" w:rsidR="009726BB" w:rsidRPr="00AC49B0" w:rsidRDefault="009726BB" w:rsidP="00F458CC">
            <w:pPr>
              <w:spacing w:line="480" w:lineRule="auto"/>
              <w:jc w:val="both"/>
              <w:rPr>
                <w:sz w:val="22"/>
                <w:szCs w:val="22"/>
              </w:rPr>
            </w:pPr>
            <w:r w:rsidRPr="00AC49B0">
              <w:rPr>
                <w:sz w:val="22"/>
                <w:szCs w:val="22"/>
              </w:rPr>
              <w:t>Maintenance</w:t>
            </w:r>
          </w:p>
        </w:tc>
        <w:tc>
          <w:tcPr>
            <w:tcW w:w="2976" w:type="dxa"/>
          </w:tcPr>
          <w:p w14:paraId="5DFA71EC" w14:textId="77777777" w:rsidR="009726BB" w:rsidRPr="00AC49B0" w:rsidRDefault="002E0AD0" w:rsidP="00F458CC">
            <w:pPr>
              <w:jc w:val="both"/>
              <w:cnfStyle w:val="000000100000" w:firstRow="0" w:lastRow="0" w:firstColumn="0" w:lastColumn="0" w:oddVBand="0" w:evenVBand="0" w:oddHBand="1" w:evenHBand="0" w:firstRowFirstColumn="0" w:firstRowLastColumn="0" w:lastRowFirstColumn="0" w:lastRowLastColumn="0"/>
              <w:rPr>
                <w:sz w:val="22"/>
                <w:szCs w:val="22"/>
              </w:rPr>
            </w:pPr>
            <w:r w:rsidRPr="00AC49B0">
              <w:rPr>
                <w:sz w:val="22"/>
                <w:szCs w:val="22"/>
              </w:rPr>
              <w:t>W</w:t>
            </w:r>
            <w:r w:rsidR="009726BB" w:rsidRPr="00AC49B0">
              <w:rPr>
                <w:sz w:val="22"/>
                <w:szCs w:val="22"/>
              </w:rPr>
              <w:t>hat can be shared to inform development of sustainability?</w:t>
            </w:r>
          </w:p>
        </w:tc>
        <w:tc>
          <w:tcPr>
            <w:tcW w:w="3969" w:type="dxa"/>
          </w:tcPr>
          <w:p w14:paraId="6BF155CE" w14:textId="77777777" w:rsidR="00E544BE" w:rsidRPr="00AC49B0" w:rsidRDefault="00E544BE" w:rsidP="00F458CC">
            <w:pPr>
              <w:jc w:val="both"/>
              <w:cnfStyle w:val="000000100000" w:firstRow="0" w:lastRow="0" w:firstColumn="0" w:lastColumn="0" w:oddVBand="0" w:evenVBand="0" w:oddHBand="1" w:evenHBand="0" w:firstRowFirstColumn="0" w:firstRowLastColumn="0" w:lastRowFirstColumn="0" w:lastRowLastColumn="0"/>
              <w:rPr>
                <w:sz w:val="22"/>
                <w:szCs w:val="22"/>
              </w:rPr>
            </w:pPr>
            <w:r w:rsidRPr="00AC49B0">
              <w:rPr>
                <w:sz w:val="22"/>
                <w:szCs w:val="22"/>
              </w:rPr>
              <w:t>How can best practice be shared:</w:t>
            </w:r>
          </w:p>
          <w:p w14:paraId="2475AF55" w14:textId="77777777" w:rsidR="00E544BE" w:rsidRPr="00AC49B0" w:rsidRDefault="00E544BE" w:rsidP="00F458CC">
            <w:pPr>
              <w:jc w:val="both"/>
              <w:cnfStyle w:val="000000100000" w:firstRow="0" w:lastRow="0" w:firstColumn="0" w:lastColumn="0" w:oddVBand="0" w:evenVBand="0" w:oddHBand="1" w:evenHBand="0" w:firstRowFirstColumn="0" w:firstRowLastColumn="0" w:lastRowFirstColumn="0" w:lastRowLastColumn="0"/>
              <w:rPr>
                <w:sz w:val="22"/>
                <w:szCs w:val="22"/>
              </w:rPr>
            </w:pPr>
            <w:r w:rsidRPr="00AC49B0">
              <w:rPr>
                <w:sz w:val="22"/>
                <w:szCs w:val="22"/>
              </w:rPr>
              <w:t>-A</w:t>
            </w:r>
            <w:r w:rsidR="002E0AD0" w:rsidRPr="00AC49B0">
              <w:rPr>
                <w:sz w:val="22"/>
                <w:szCs w:val="22"/>
              </w:rPr>
              <w:t>cross locality</w:t>
            </w:r>
            <w:r w:rsidRPr="00AC49B0">
              <w:rPr>
                <w:sz w:val="22"/>
                <w:szCs w:val="22"/>
              </w:rPr>
              <w:t>?</w:t>
            </w:r>
          </w:p>
          <w:p w14:paraId="51D40E25" w14:textId="77777777" w:rsidR="009726BB" w:rsidRPr="00AC49B0" w:rsidRDefault="00E544BE" w:rsidP="00F458CC">
            <w:pPr>
              <w:jc w:val="both"/>
              <w:cnfStyle w:val="000000100000" w:firstRow="0" w:lastRow="0" w:firstColumn="0" w:lastColumn="0" w:oddVBand="0" w:evenVBand="0" w:oddHBand="1" w:evenHBand="0" w:firstRowFirstColumn="0" w:firstRowLastColumn="0" w:lastRowFirstColumn="0" w:lastRowLastColumn="0"/>
              <w:rPr>
                <w:sz w:val="22"/>
                <w:szCs w:val="22"/>
              </w:rPr>
            </w:pPr>
            <w:r w:rsidRPr="00AC49B0">
              <w:rPr>
                <w:sz w:val="22"/>
                <w:szCs w:val="22"/>
              </w:rPr>
              <w:t>-Across organisations</w:t>
            </w:r>
            <w:r w:rsidR="002E0AD0" w:rsidRPr="00AC49B0">
              <w:rPr>
                <w:sz w:val="22"/>
                <w:szCs w:val="22"/>
              </w:rPr>
              <w:t>?</w:t>
            </w:r>
          </w:p>
          <w:p w14:paraId="4F2F791B" w14:textId="77777777" w:rsidR="001D2D73" w:rsidRPr="00AC49B0" w:rsidRDefault="001D2D73" w:rsidP="00F458CC">
            <w:pPr>
              <w:jc w:val="both"/>
              <w:cnfStyle w:val="000000100000" w:firstRow="0" w:lastRow="0" w:firstColumn="0" w:lastColumn="0" w:oddVBand="0" w:evenVBand="0" w:oddHBand="1" w:evenHBand="0" w:firstRowFirstColumn="0" w:firstRowLastColumn="0" w:lastRowFirstColumn="0" w:lastRowLastColumn="0"/>
              <w:rPr>
                <w:sz w:val="22"/>
                <w:szCs w:val="22"/>
              </w:rPr>
            </w:pPr>
            <w:r w:rsidRPr="00AC49B0">
              <w:rPr>
                <w:sz w:val="22"/>
                <w:szCs w:val="22"/>
              </w:rPr>
              <w:t>-What do we need to do to sustain the processes?</w:t>
            </w:r>
          </w:p>
        </w:tc>
      </w:tr>
    </w:tbl>
    <w:p w14:paraId="74DE8193" w14:textId="77777777" w:rsidR="00E52B9F" w:rsidRPr="00AC49B0" w:rsidRDefault="00E52B9F" w:rsidP="00F458CC">
      <w:pPr>
        <w:pStyle w:val="Heading2"/>
        <w:jc w:val="both"/>
        <w:rPr>
          <w:rFonts w:ascii="Arial" w:hAnsi="Arial" w:cs="Arial"/>
          <w:b/>
          <w:color w:val="auto"/>
          <w:sz w:val="22"/>
          <w:szCs w:val="22"/>
        </w:rPr>
      </w:pPr>
    </w:p>
    <w:p w14:paraId="171DCE21" w14:textId="77777777" w:rsidR="009C0777" w:rsidRPr="00AC49B0" w:rsidRDefault="00E902BA" w:rsidP="00F458CC">
      <w:pPr>
        <w:pStyle w:val="Heading2"/>
        <w:jc w:val="both"/>
        <w:rPr>
          <w:rFonts w:ascii="Arial" w:hAnsi="Arial" w:cs="Arial"/>
          <w:b/>
          <w:color w:val="auto"/>
          <w:sz w:val="22"/>
          <w:szCs w:val="22"/>
        </w:rPr>
      </w:pPr>
      <w:r w:rsidRPr="00AC49B0">
        <w:rPr>
          <w:rFonts w:ascii="Arial" w:hAnsi="Arial" w:cs="Arial"/>
          <w:b/>
          <w:color w:val="auto"/>
          <w:sz w:val="22"/>
          <w:szCs w:val="22"/>
        </w:rPr>
        <w:t xml:space="preserve">Key </w:t>
      </w:r>
      <w:r w:rsidR="002B294E" w:rsidRPr="00AC49B0">
        <w:rPr>
          <w:rFonts w:ascii="Arial" w:hAnsi="Arial" w:cs="Arial"/>
          <w:b/>
          <w:color w:val="auto"/>
          <w:sz w:val="22"/>
          <w:szCs w:val="22"/>
        </w:rPr>
        <w:t>L</w:t>
      </w:r>
      <w:r w:rsidR="00F61868" w:rsidRPr="00AC49B0">
        <w:rPr>
          <w:rFonts w:ascii="Arial" w:hAnsi="Arial" w:cs="Arial"/>
          <w:b/>
          <w:color w:val="auto"/>
          <w:sz w:val="22"/>
          <w:szCs w:val="22"/>
        </w:rPr>
        <w:t>essons learnt</w:t>
      </w:r>
      <w:r w:rsidRPr="00AC49B0">
        <w:rPr>
          <w:rFonts w:ascii="Arial" w:hAnsi="Arial" w:cs="Arial"/>
          <w:b/>
          <w:color w:val="auto"/>
          <w:sz w:val="22"/>
          <w:szCs w:val="22"/>
        </w:rPr>
        <w:t xml:space="preserve"> from O</w:t>
      </w:r>
      <w:r w:rsidR="00442346" w:rsidRPr="00AC49B0">
        <w:rPr>
          <w:rFonts w:ascii="Arial" w:hAnsi="Arial" w:cs="Arial"/>
          <w:b/>
          <w:color w:val="auto"/>
          <w:sz w:val="22"/>
          <w:szCs w:val="22"/>
        </w:rPr>
        <w:t xml:space="preserve">rganisations </w:t>
      </w:r>
    </w:p>
    <w:p w14:paraId="6D7986DA" w14:textId="77777777" w:rsidR="00E902BA" w:rsidRPr="00AC49B0" w:rsidRDefault="00E902BA" w:rsidP="00F458CC">
      <w:pPr>
        <w:spacing w:line="240" w:lineRule="auto"/>
        <w:jc w:val="both"/>
        <w:rPr>
          <w:sz w:val="22"/>
          <w:szCs w:val="22"/>
        </w:rPr>
      </w:pPr>
    </w:p>
    <w:p w14:paraId="6A37423E" w14:textId="77777777" w:rsidR="00CA137C" w:rsidRPr="00AC49B0" w:rsidRDefault="00C64600" w:rsidP="00F458CC">
      <w:pPr>
        <w:spacing w:line="240" w:lineRule="auto"/>
        <w:jc w:val="both"/>
        <w:rPr>
          <w:sz w:val="22"/>
          <w:szCs w:val="22"/>
        </w:rPr>
      </w:pPr>
      <w:r w:rsidRPr="00AC49B0">
        <w:rPr>
          <w:sz w:val="22"/>
          <w:szCs w:val="22"/>
        </w:rPr>
        <w:t xml:space="preserve">Participants provided </w:t>
      </w:r>
      <w:r w:rsidR="00B138EE" w:rsidRPr="00AC49B0">
        <w:rPr>
          <w:sz w:val="22"/>
          <w:szCs w:val="22"/>
        </w:rPr>
        <w:t>lessons learnt from their own practice, which could inform recommendations for implementation and adaptation of the scheme in practice:</w:t>
      </w:r>
    </w:p>
    <w:p w14:paraId="64F537D6" w14:textId="77777777" w:rsidR="00A80BD5" w:rsidRPr="00AC49B0" w:rsidRDefault="00A80BD5" w:rsidP="00F458CC">
      <w:pPr>
        <w:pStyle w:val="ListParagraph"/>
        <w:numPr>
          <w:ilvl w:val="0"/>
          <w:numId w:val="11"/>
        </w:numPr>
        <w:jc w:val="both"/>
        <w:rPr>
          <w:sz w:val="22"/>
          <w:szCs w:val="22"/>
        </w:rPr>
      </w:pPr>
      <w:r w:rsidRPr="00AC49B0">
        <w:rPr>
          <w:sz w:val="22"/>
          <w:szCs w:val="22"/>
        </w:rPr>
        <w:t xml:space="preserve">Paperwork </w:t>
      </w:r>
      <w:r w:rsidR="00AF52E9" w:rsidRPr="00AC49B0">
        <w:rPr>
          <w:sz w:val="22"/>
          <w:szCs w:val="22"/>
        </w:rPr>
        <w:t xml:space="preserve">ought </w:t>
      </w:r>
      <w:r w:rsidR="004A44ED" w:rsidRPr="00AC49B0">
        <w:rPr>
          <w:sz w:val="22"/>
          <w:szCs w:val="22"/>
        </w:rPr>
        <w:t>to be</w:t>
      </w:r>
      <w:r w:rsidRPr="00AC49B0">
        <w:rPr>
          <w:sz w:val="22"/>
          <w:szCs w:val="22"/>
        </w:rPr>
        <w:t xml:space="preserve"> simplified to</w:t>
      </w:r>
      <w:r w:rsidR="009E3B22" w:rsidRPr="00AC49B0">
        <w:rPr>
          <w:sz w:val="22"/>
          <w:szCs w:val="22"/>
        </w:rPr>
        <w:t xml:space="preserve"> reduce</w:t>
      </w:r>
      <w:r w:rsidR="00AF52E9" w:rsidRPr="00AC49B0">
        <w:rPr>
          <w:sz w:val="22"/>
          <w:szCs w:val="22"/>
        </w:rPr>
        <w:t xml:space="preserve"> the overall</w:t>
      </w:r>
      <w:r w:rsidR="009E3B22" w:rsidRPr="00AC49B0">
        <w:rPr>
          <w:sz w:val="22"/>
          <w:szCs w:val="22"/>
        </w:rPr>
        <w:t xml:space="preserve"> time taken </w:t>
      </w:r>
      <w:r w:rsidR="008E6591" w:rsidRPr="00AC49B0">
        <w:rPr>
          <w:sz w:val="22"/>
          <w:szCs w:val="22"/>
        </w:rPr>
        <w:t>to complete</w:t>
      </w:r>
      <w:r w:rsidR="004D3E2C" w:rsidRPr="00AC49B0">
        <w:rPr>
          <w:sz w:val="22"/>
          <w:szCs w:val="22"/>
        </w:rPr>
        <w:t xml:space="preserve"> it</w:t>
      </w:r>
      <w:r w:rsidR="00B50D6C" w:rsidRPr="00AC49B0">
        <w:rPr>
          <w:sz w:val="22"/>
          <w:szCs w:val="22"/>
        </w:rPr>
        <w:t>.</w:t>
      </w:r>
    </w:p>
    <w:p w14:paraId="2E6BFB7D" w14:textId="77777777" w:rsidR="009E3B22" w:rsidRPr="00AC49B0" w:rsidRDefault="009E3B22" w:rsidP="00F458CC">
      <w:pPr>
        <w:pStyle w:val="ListParagraph"/>
        <w:numPr>
          <w:ilvl w:val="0"/>
          <w:numId w:val="11"/>
        </w:numPr>
        <w:jc w:val="both"/>
        <w:rPr>
          <w:sz w:val="22"/>
          <w:szCs w:val="22"/>
        </w:rPr>
      </w:pPr>
      <w:r w:rsidRPr="00AC49B0">
        <w:rPr>
          <w:sz w:val="22"/>
          <w:szCs w:val="22"/>
        </w:rPr>
        <w:t xml:space="preserve">Focus on the communication and process, </w:t>
      </w:r>
      <w:r w:rsidR="004D3E2C" w:rsidRPr="00AC49B0">
        <w:rPr>
          <w:sz w:val="22"/>
          <w:szCs w:val="22"/>
        </w:rPr>
        <w:t xml:space="preserve">this </w:t>
      </w:r>
      <w:r w:rsidR="00AF52E9" w:rsidRPr="00AC49B0">
        <w:rPr>
          <w:sz w:val="22"/>
          <w:szCs w:val="22"/>
        </w:rPr>
        <w:t xml:space="preserve">ought to be an area for focus rather </w:t>
      </w:r>
      <w:r w:rsidR="004A44ED" w:rsidRPr="00AC49B0">
        <w:rPr>
          <w:sz w:val="22"/>
          <w:szCs w:val="22"/>
        </w:rPr>
        <w:t>than on</w:t>
      </w:r>
      <w:r w:rsidRPr="00AC49B0">
        <w:rPr>
          <w:sz w:val="22"/>
          <w:szCs w:val="22"/>
        </w:rPr>
        <w:t xml:space="preserve"> the </w:t>
      </w:r>
      <w:r w:rsidR="00E428FD" w:rsidRPr="00AC49B0">
        <w:rPr>
          <w:sz w:val="22"/>
          <w:szCs w:val="22"/>
        </w:rPr>
        <w:t>Red Bag</w:t>
      </w:r>
      <w:r w:rsidRPr="00AC49B0">
        <w:rPr>
          <w:sz w:val="22"/>
          <w:szCs w:val="22"/>
        </w:rPr>
        <w:t xml:space="preserve"> itself. </w:t>
      </w:r>
    </w:p>
    <w:p w14:paraId="7F9BAFB7" w14:textId="77777777" w:rsidR="00F12051" w:rsidRPr="00AC49B0" w:rsidRDefault="00F12051" w:rsidP="00F458CC">
      <w:pPr>
        <w:pStyle w:val="ListParagraph"/>
        <w:numPr>
          <w:ilvl w:val="0"/>
          <w:numId w:val="11"/>
        </w:numPr>
        <w:jc w:val="both"/>
        <w:rPr>
          <w:sz w:val="22"/>
          <w:szCs w:val="22"/>
        </w:rPr>
      </w:pPr>
      <w:r w:rsidRPr="00AC49B0">
        <w:rPr>
          <w:sz w:val="22"/>
          <w:szCs w:val="22"/>
        </w:rPr>
        <w:t xml:space="preserve">Having </w:t>
      </w:r>
      <w:r w:rsidR="00E428FD" w:rsidRPr="00AC49B0">
        <w:rPr>
          <w:sz w:val="22"/>
          <w:szCs w:val="22"/>
        </w:rPr>
        <w:t>Red Bag</w:t>
      </w:r>
      <w:r w:rsidRPr="00AC49B0">
        <w:rPr>
          <w:sz w:val="22"/>
          <w:szCs w:val="22"/>
        </w:rPr>
        <w:t xml:space="preserve"> screen savers on hospital computers raises awareness of the bag and raises awareness of it in practice, which is needed given the size </w:t>
      </w:r>
      <w:r w:rsidR="00FF084A" w:rsidRPr="00AC49B0">
        <w:rPr>
          <w:sz w:val="22"/>
          <w:szCs w:val="22"/>
        </w:rPr>
        <w:t>of NHS</w:t>
      </w:r>
      <w:r w:rsidR="007565AE" w:rsidRPr="00AC49B0">
        <w:rPr>
          <w:sz w:val="22"/>
          <w:szCs w:val="22"/>
        </w:rPr>
        <w:t xml:space="preserve"> </w:t>
      </w:r>
      <w:r w:rsidRPr="00AC49B0">
        <w:rPr>
          <w:sz w:val="22"/>
          <w:szCs w:val="22"/>
        </w:rPr>
        <w:t xml:space="preserve">Trusts and the potential number of staff who may encounter </w:t>
      </w:r>
      <w:r w:rsidR="00AF52E9" w:rsidRPr="00AC49B0">
        <w:rPr>
          <w:sz w:val="22"/>
          <w:szCs w:val="22"/>
        </w:rPr>
        <w:t>their use in everyday practice</w:t>
      </w:r>
      <w:r w:rsidRPr="00AC49B0">
        <w:rPr>
          <w:sz w:val="22"/>
          <w:szCs w:val="22"/>
        </w:rPr>
        <w:t>.</w:t>
      </w:r>
    </w:p>
    <w:p w14:paraId="12B1005C" w14:textId="77777777" w:rsidR="00B50D6C" w:rsidRPr="00AC49B0" w:rsidRDefault="00B50D6C" w:rsidP="00F458CC">
      <w:pPr>
        <w:pStyle w:val="ListParagraph"/>
        <w:numPr>
          <w:ilvl w:val="0"/>
          <w:numId w:val="11"/>
        </w:numPr>
        <w:jc w:val="both"/>
        <w:rPr>
          <w:sz w:val="22"/>
          <w:szCs w:val="22"/>
        </w:rPr>
      </w:pPr>
      <w:r w:rsidRPr="00AC49B0">
        <w:rPr>
          <w:sz w:val="22"/>
          <w:szCs w:val="22"/>
        </w:rPr>
        <w:t xml:space="preserve">Communication with all </w:t>
      </w:r>
      <w:r w:rsidR="007565AE" w:rsidRPr="00AC49B0">
        <w:rPr>
          <w:sz w:val="22"/>
          <w:szCs w:val="22"/>
        </w:rPr>
        <w:t xml:space="preserve">NHS </w:t>
      </w:r>
      <w:r w:rsidRPr="00AC49B0">
        <w:rPr>
          <w:sz w:val="22"/>
          <w:szCs w:val="22"/>
        </w:rPr>
        <w:t xml:space="preserve">Trust sites who receive admissions and all wards should be informed of </w:t>
      </w:r>
      <w:r w:rsidR="00E428FD" w:rsidRPr="00AC49B0">
        <w:rPr>
          <w:sz w:val="22"/>
          <w:szCs w:val="22"/>
        </w:rPr>
        <w:t>Red Bag</w:t>
      </w:r>
      <w:r w:rsidRPr="00AC49B0">
        <w:rPr>
          <w:sz w:val="22"/>
          <w:szCs w:val="22"/>
        </w:rPr>
        <w:t>s and the importance of returning the documentation to the bag.</w:t>
      </w:r>
    </w:p>
    <w:p w14:paraId="2B678D15" w14:textId="77777777" w:rsidR="00B50D6C" w:rsidRPr="00AC49B0" w:rsidRDefault="00B50D6C" w:rsidP="00F458CC">
      <w:pPr>
        <w:pStyle w:val="ListParagraph"/>
        <w:numPr>
          <w:ilvl w:val="0"/>
          <w:numId w:val="11"/>
        </w:numPr>
        <w:jc w:val="both"/>
        <w:rPr>
          <w:sz w:val="22"/>
          <w:szCs w:val="22"/>
        </w:rPr>
      </w:pPr>
      <w:r w:rsidRPr="00AC49B0">
        <w:rPr>
          <w:sz w:val="22"/>
          <w:szCs w:val="22"/>
        </w:rPr>
        <w:t>Ensure there are asset logs of the bags</w:t>
      </w:r>
      <w:r w:rsidR="00E15235" w:rsidRPr="00AC49B0">
        <w:rPr>
          <w:sz w:val="22"/>
          <w:szCs w:val="22"/>
        </w:rPr>
        <w:t>.</w:t>
      </w:r>
    </w:p>
    <w:p w14:paraId="3E9C394B" w14:textId="77777777" w:rsidR="00B50D6C" w:rsidRPr="00AC49B0" w:rsidRDefault="00B50D6C" w:rsidP="00F458CC">
      <w:pPr>
        <w:pStyle w:val="ListParagraph"/>
        <w:numPr>
          <w:ilvl w:val="0"/>
          <w:numId w:val="11"/>
        </w:numPr>
        <w:jc w:val="both"/>
        <w:rPr>
          <w:sz w:val="22"/>
          <w:szCs w:val="22"/>
        </w:rPr>
      </w:pPr>
      <w:r w:rsidRPr="00AC49B0">
        <w:rPr>
          <w:sz w:val="22"/>
          <w:szCs w:val="22"/>
        </w:rPr>
        <w:t xml:space="preserve">Laminate documentation as a master copy to raise awareness with staff, possibly </w:t>
      </w:r>
      <w:r w:rsidR="008E6591" w:rsidRPr="00AC49B0">
        <w:rPr>
          <w:sz w:val="22"/>
          <w:szCs w:val="22"/>
        </w:rPr>
        <w:t>completed correctly</w:t>
      </w:r>
      <w:r w:rsidRPr="00AC49B0">
        <w:rPr>
          <w:sz w:val="22"/>
          <w:szCs w:val="22"/>
        </w:rPr>
        <w:t xml:space="preserve"> as an exemplar to highlight best practice and encourage complete paperwork.</w:t>
      </w:r>
    </w:p>
    <w:p w14:paraId="0A4EC3D9" w14:textId="77777777" w:rsidR="00F4359D" w:rsidRPr="00AC49B0" w:rsidRDefault="00F4359D" w:rsidP="00F458CC">
      <w:pPr>
        <w:pStyle w:val="ListParagraph"/>
        <w:numPr>
          <w:ilvl w:val="0"/>
          <w:numId w:val="11"/>
        </w:numPr>
        <w:jc w:val="both"/>
        <w:rPr>
          <w:sz w:val="22"/>
          <w:szCs w:val="22"/>
        </w:rPr>
      </w:pPr>
      <w:r w:rsidRPr="00AC49B0">
        <w:rPr>
          <w:sz w:val="22"/>
          <w:szCs w:val="22"/>
        </w:rPr>
        <w:lastRenderedPageBreak/>
        <w:t>Maximise the opportunities to use IT</w:t>
      </w:r>
      <w:r w:rsidR="002F36B1" w:rsidRPr="00AC49B0">
        <w:rPr>
          <w:sz w:val="22"/>
          <w:szCs w:val="22"/>
        </w:rPr>
        <w:t xml:space="preserve"> solutions</w:t>
      </w:r>
      <w:r w:rsidRPr="00AC49B0">
        <w:rPr>
          <w:sz w:val="22"/>
          <w:szCs w:val="22"/>
        </w:rPr>
        <w:t xml:space="preserve"> in the process going forward</w:t>
      </w:r>
      <w:r w:rsidR="00E15235" w:rsidRPr="00AC49B0">
        <w:rPr>
          <w:sz w:val="22"/>
          <w:szCs w:val="22"/>
        </w:rPr>
        <w:t>.</w:t>
      </w:r>
    </w:p>
    <w:p w14:paraId="0ABC07E5" w14:textId="77777777" w:rsidR="00F4359D" w:rsidRPr="00AC49B0" w:rsidRDefault="00F4359D" w:rsidP="00F458CC">
      <w:pPr>
        <w:pStyle w:val="ListParagraph"/>
        <w:numPr>
          <w:ilvl w:val="0"/>
          <w:numId w:val="11"/>
        </w:numPr>
        <w:jc w:val="both"/>
        <w:rPr>
          <w:sz w:val="22"/>
          <w:szCs w:val="22"/>
        </w:rPr>
      </w:pPr>
      <w:r w:rsidRPr="00AC49B0">
        <w:rPr>
          <w:sz w:val="22"/>
          <w:szCs w:val="22"/>
        </w:rPr>
        <w:t xml:space="preserve">Have the documentation in a red plastic folder inside the </w:t>
      </w:r>
      <w:r w:rsidR="00E428FD" w:rsidRPr="00AC49B0">
        <w:rPr>
          <w:sz w:val="22"/>
          <w:szCs w:val="22"/>
        </w:rPr>
        <w:t>Red Bag</w:t>
      </w:r>
      <w:r w:rsidRPr="00AC49B0">
        <w:rPr>
          <w:sz w:val="22"/>
          <w:szCs w:val="22"/>
        </w:rPr>
        <w:t xml:space="preserve">, so if it is taken out of the bag, the red folder is a prompt to return it to the </w:t>
      </w:r>
      <w:r w:rsidR="00E428FD" w:rsidRPr="00AC49B0">
        <w:rPr>
          <w:sz w:val="22"/>
          <w:szCs w:val="22"/>
        </w:rPr>
        <w:t>Red Bag</w:t>
      </w:r>
      <w:r w:rsidRPr="00AC49B0">
        <w:rPr>
          <w:sz w:val="22"/>
          <w:szCs w:val="22"/>
        </w:rPr>
        <w:t xml:space="preserve"> and reinforces the care home resident status (this has improved the rates of paperwork being returned to the bag</w:t>
      </w:r>
      <w:r w:rsidR="00674B8C" w:rsidRPr="00AC49B0">
        <w:rPr>
          <w:sz w:val="22"/>
          <w:szCs w:val="22"/>
        </w:rPr>
        <w:t xml:space="preserve"> on wards)</w:t>
      </w:r>
    </w:p>
    <w:p w14:paraId="6A87882C" w14:textId="77777777" w:rsidR="00674B8C" w:rsidRPr="00AC49B0" w:rsidRDefault="00674B8C" w:rsidP="00F458CC">
      <w:pPr>
        <w:pStyle w:val="ListParagraph"/>
        <w:numPr>
          <w:ilvl w:val="0"/>
          <w:numId w:val="11"/>
        </w:numPr>
        <w:jc w:val="both"/>
        <w:rPr>
          <w:sz w:val="22"/>
          <w:szCs w:val="22"/>
        </w:rPr>
      </w:pPr>
      <w:r w:rsidRPr="00AC49B0">
        <w:rPr>
          <w:sz w:val="22"/>
          <w:szCs w:val="22"/>
        </w:rPr>
        <w:t>Wrist bands on patient</w:t>
      </w:r>
      <w:r w:rsidR="005D0E03" w:rsidRPr="00AC49B0">
        <w:rPr>
          <w:sz w:val="22"/>
          <w:szCs w:val="22"/>
        </w:rPr>
        <w:t xml:space="preserve"> (hospital ID)</w:t>
      </w:r>
      <w:r w:rsidRPr="00AC49B0">
        <w:rPr>
          <w:sz w:val="22"/>
          <w:szCs w:val="22"/>
        </w:rPr>
        <w:t xml:space="preserve"> with matching ones on the </w:t>
      </w:r>
      <w:r w:rsidR="00E428FD" w:rsidRPr="00AC49B0">
        <w:rPr>
          <w:sz w:val="22"/>
          <w:szCs w:val="22"/>
        </w:rPr>
        <w:t>Red Bag</w:t>
      </w:r>
      <w:r w:rsidRPr="00AC49B0">
        <w:rPr>
          <w:sz w:val="22"/>
          <w:szCs w:val="22"/>
        </w:rPr>
        <w:t xml:space="preserve"> handle</w:t>
      </w:r>
      <w:r w:rsidR="005D0E03" w:rsidRPr="00AC49B0">
        <w:rPr>
          <w:sz w:val="22"/>
          <w:szCs w:val="22"/>
        </w:rPr>
        <w:t xml:space="preserve"> (print out 2 at time of admitting to hospital)</w:t>
      </w:r>
    </w:p>
    <w:p w14:paraId="6C7FF1B9" w14:textId="77777777" w:rsidR="00E15235" w:rsidRPr="00AC49B0" w:rsidRDefault="00674B8C" w:rsidP="00F458CC">
      <w:pPr>
        <w:pStyle w:val="ListParagraph"/>
        <w:numPr>
          <w:ilvl w:val="0"/>
          <w:numId w:val="11"/>
        </w:numPr>
        <w:jc w:val="both"/>
        <w:rPr>
          <w:sz w:val="22"/>
          <w:szCs w:val="22"/>
        </w:rPr>
      </w:pPr>
      <w:r w:rsidRPr="00AC49B0">
        <w:rPr>
          <w:sz w:val="22"/>
          <w:szCs w:val="22"/>
        </w:rPr>
        <w:t>Ward handover checklists</w:t>
      </w:r>
      <w:r w:rsidR="00E15235" w:rsidRPr="00AC49B0">
        <w:rPr>
          <w:sz w:val="22"/>
          <w:szCs w:val="22"/>
        </w:rPr>
        <w:t>.</w:t>
      </w:r>
    </w:p>
    <w:p w14:paraId="03693C13" w14:textId="77777777" w:rsidR="008D5343" w:rsidRPr="00AC49B0" w:rsidRDefault="008D5343" w:rsidP="00F458CC">
      <w:pPr>
        <w:pStyle w:val="ListParagraph"/>
        <w:numPr>
          <w:ilvl w:val="0"/>
          <w:numId w:val="11"/>
        </w:numPr>
        <w:jc w:val="both"/>
        <w:rPr>
          <w:sz w:val="22"/>
          <w:szCs w:val="22"/>
        </w:rPr>
      </w:pPr>
      <w:r w:rsidRPr="00AC49B0">
        <w:rPr>
          <w:sz w:val="22"/>
          <w:szCs w:val="22"/>
        </w:rPr>
        <w:t>Giving care home staff the opportunity to challenge demands from hospital staff, i.e. asking ward staff to look for missing paperwork as opposed to care home having to send it in again.  Keeping a list of recurring staff/wards where this is a continuous problem in order to escalate to manage the situation.</w:t>
      </w:r>
    </w:p>
    <w:p w14:paraId="77324DBC" w14:textId="77777777" w:rsidR="008D5343" w:rsidRPr="00AC49B0" w:rsidRDefault="008D5343" w:rsidP="00F458CC">
      <w:pPr>
        <w:pStyle w:val="ListParagraph"/>
        <w:numPr>
          <w:ilvl w:val="0"/>
          <w:numId w:val="11"/>
        </w:numPr>
        <w:jc w:val="both"/>
        <w:rPr>
          <w:sz w:val="22"/>
          <w:szCs w:val="22"/>
        </w:rPr>
      </w:pPr>
      <w:r w:rsidRPr="00AC49B0">
        <w:rPr>
          <w:sz w:val="22"/>
          <w:szCs w:val="22"/>
        </w:rPr>
        <w:t xml:space="preserve">Reinforcing that the hospital transfer pathway is not about the </w:t>
      </w:r>
      <w:r w:rsidR="00E428FD" w:rsidRPr="00AC49B0">
        <w:rPr>
          <w:sz w:val="22"/>
          <w:szCs w:val="22"/>
        </w:rPr>
        <w:t>Red Bag</w:t>
      </w:r>
      <w:r w:rsidRPr="00AC49B0">
        <w:rPr>
          <w:sz w:val="22"/>
          <w:szCs w:val="22"/>
        </w:rPr>
        <w:t xml:space="preserve">, but about effective communication. The </w:t>
      </w:r>
      <w:r w:rsidR="00E428FD" w:rsidRPr="00AC49B0">
        <w:rPr>
          <w:sz w:val="22"/>
          <w:szCs w:val="22"/>
        </w:rPr>
        <w:t>Red Bag</w:t>
      </w:r>
      <w:r w:rsidRPr="00AC49B0">
        <w:rPr>
          <w:sz w:val="22"/>
          <w:szCs w:val="22"/>
        </w:rPr>
        <w:t xml:space="preserve"> should facilitate, not replace communication.</w:t>
      </w:r>
    </w:p>
    <w:p w14:paraId="5FDD2546" w14:textId="77777777" w:rsidR="00E902BA" w:rsidRPr="00AC49B0" w:rsidRDefault="00E902BA" w:rsidP="00F458CC">
      <w:pPr>
        <w:pStyle w:val="Heading2"/>
        <w:spacing w:line="240" w:lineRule="auto"/>
        <w:jc w:val="both"/>
        <w:rPr>
          <w:rFonts w:ascii="Arial" w:eastAsiaTheme="minorHAnsi" w:hAnsi="Arial" w:cs="Arial"/>
          <w:color w:val="auto"/>
          <w:sz w:val="22"/>
          <w:szCs w:val="22"/>
        </w:rPr>
      </w:pPr>
    </w:p>
    <w:p w14:paraId="41EBD18F" w14:textId="77777777" w:rsidR="00B7551F" w:rsidRPr="00AC49B0" w:rsidRDefault="008E34C2" w:rsidP="00E902BA">
      <w:pPr>
        <w:pStyle w:val="Heading2"/>
        <w:spacing w:after="240" w:line="240" w:lineRule="auto"/>
        <w:jc w:val="both"/>
        <w:rPr>
          <w:rFonts w:ascii="Arial" w:hAnsi="Arial" w:cs="Arial"/>
          <w:b/>
          <w:color w:val="auto"/>
          <w:sz w:val="22"/>
          <w:szCs w:val="22"/>
        </w:rPr>
      </w:pPr>
      <w:r w:rsidRPr="00AC49B0">
        <w:rPr>
          <w:rFonts w:ascii="Arial" w:hAnsi="Arial" w:cs="Arial"/>
          <w:b/>
          <w:color w:val="auto"/>
          <w:sz w:val="22"/>
          <w:szCs w:val="22"/>
        </w:rPr>
        <w:t>‘Top Tips’ for all</w:t>
      </w:r>
      <w:r w:rsidR="00E902BA" w:rsidRPr="00AC49B0">
        <w:rPr>
          <w:rFonts w:ascii="Arial" w:hAnsi="Arial" w:cs="Arial"/>
          <w:b/>
          <w:color w:val="auto"/>
          <w:sz w:val="22"/>
          <w:szCs w:val="22"/>
        </w:rPr>
        <w:t xml:space="preserve"> Interprofessional Working in Partner O</w:t>
      </w:r>
      <w:r w:rsidRPr="00AC49B0">
        <w:rPr>
          <w:rFonts w:ascii="Arial" w:hAnsi="Arial" w:cs="Arial"/>
          <w:b/>
          <w:color w:val="auto"/>
          <w:sz w:val="22"/>
          <w:szCs w:val="22"/>
        </w:rPr>
        <w:t>rganisations</w:t>
      </w:r>
    </w:p>
    <w:p w14:paraId="0ED340B5" w14:textId="77777777" w:rsidR="007E1F62" w:rsidRPr="00AC49B0" w:rsidRDefault="007E1F62" w:rsidP="00E902BA">
      <w:pPr>
        <w:spacing w:after="240" w:line="276" w:lineRule="auto"/>
        <w:rPr>
          <w:sz w:val="22"/>
          <w:szCs w:val="22"/>
        </w:rPr>
      </w:pPr>
      <w:r w:rsidRPr="00AC49B0">
        <w:rPr>
          <w:sz w:val="22"/>
          <w:szCs w:val="22"/>
        </w:rPr>
        <w:t>The findings of the evaluation are summarised into eleven ‘top tips’, which have been framed under the acronym ‘COMMUNICATE’ which underpins the ethos of the Hospital Transfer Pathway:</w:t>
      </w:r>
    </w:p>
    <w:p w14:paraId="5966067E" w14:textId="77777777" w:rsidR="007E1F62" w:rsidRPr="00AC49B0" w:rsidRDefault="007E1F62" w:rsidP="007E1F62">
      <w:pPr>
        <w:spacing w:line="276" w:lineRule="auto"/>
        <w:rPr>
          <w:sz w:val="22"/>
          <w:szCs w:val="22"/>
        </w:rPr>
      </w:pPr>
      <w:r w:rsidRPr="00AC49B0">
        <w:rPr>
          <w:sz w:val="22"/>
          <w:szCs w:val="22"/>
        </w:rPr>
        <w:t>C</w:t>
      </w:r>
      <w:r w:rsidRPr="00AC49B0">
        <w:rPr>
          <w:sz w:val="22"/>
          <w:szCs w:val="22"/>
        </w:rPr>
        <w:tab/>
      </w:r>
      <w:r w:rsidR="00553F30" w:rsidRPr="00AC49B0">
        <w:rPr>
          <w:sz w:val="22"/>
          <w:szCs w:val="22"/>
        </w:rPr>
        <w:t>Consistent use of the transfer bag across the care pathway is crucial</w:t>
      </w:r>
    </w:p>
    <w:p w14:paraId="3A13E617" w14:textId="77777777" w:rsidR="00553F30" w:rsidRPr="00AC49B0" w:rsidRDefault="00553F30" w:rsidP="007E1F62">
      <w:pPr>
        <w:spacing w:line="276" w:lineRule="auto"/>
        <w:rPr>
          <w:sz w:val="22"/>
          <w:szCs w:val="22"/>
        </w:rPr>
      </w:pPr>
      <w:r w:rsidRPr="00AC49B0">
        <w:rPr>
          <w:sz w:val="22"/>
          <w:szCs w:val="22"/>
        </w:rPr>
        <w:t>O</w:t>
      </w:r>
      <w:r w:rsidRPr="00AC49B0">
        <w:rPr>
          <w:sz w:val="22"/>
          <w:szCs w:val="22"/>
        </w:rPr>
        <w:tab/>
        <w:t>Opportunities to participate must be open to everyone</w:t>
      </w:r>
    </w:p>
    <w:p w14:paraId="286EE3C9" w14:textId="77777777" w:rsidR="00553F30" w:rsidRPr="00AC49B0" w:rsidRDefault="00143416" w:rsidP="007E1F62">
      <w:pPr>
        <w:spacing w:line="276" w:lineRule="auto"/>
        <w:rPr>
          <w:sz w:val="22"/>
          <w:szCs w:val="22"/>
        </w:rPr>
      </w:pPr>
      <w:r w:rsidRPr="00AC49B0">
        <w:rPr>
          <w:sz w:val="22"/>
          <w:szCs w:val="22"/>
        </w:rPr>
        <w:t>M</w:t>
      </w:r>
      <w:r w:rsidRPr="00AC49B0">
        <w:rPr>
          <w:sz w:val="22"/>
          <w:szCs w:val="22"/>
        </w:rPr>
        <w:tab/>
        <w:t xml:space="preserve">Messages need to be </w:t>
      </w:r>
      <w:r w:rsidR="00920310" w:rsidRPr="00AC49B0">
        <w:rPr>
          <w:sz w:val="22"/>
          <w:szCs w:val="22"/>
        </w:rPr>
        <w:t>clear, concise</w:t>
      </w:r>
      <w:r w:rsidRPr="00AC49B0">
        <w:rPr>
          <w:sz w:val="22"/>
          <w:szCs w:val="22"/>
        </w:rPr>
        <w:t xml:space="preserve"> and consistent</w:t>
      </w:r>
    </w:p>
    <w:p w14:paraId="41257148" w14:textId="77777777" w:rsidR="00143416" w:rsidRPr="00AC49B0" w:rsidRDefault="00143416" w:rsidP="007E1F62">
      <w:pPr>
        <w:spacing w:line="276" w:lineRule="auto"/>
        <w:rPr>
          <w:sz w:val="22"/>
          <w:szCs w:val="22"/>
        </w:rPr>
      </w:pPr>
      <w:r w:rsidRPr="00AC49B0">
        <w:rPr>
          <w:sz w:val="22"/>
          <w:szCs w:val="22"/>
        </w:rPr>
        <w:t>M</w:t>
      </w:r>
      <w:r w:rsidRPr="00AC49B0">
        <w:rPr>
          <w:sz w:val="22"/>
          <w:szCs w:val="22"/>
        </w:rPr>
        <w:tab/>
        <w:t>Measuring success is imperative – reflect along the way</w:t>
      </w:r>
    </w:p>
    <w:p w14:paraId="5477BA23" w14:textId="77777777" w:rsidR="00143416" w:rsidRPr="00AC49B0" w:rsidRDefault="00143416" w:rsidP="007E1F62">
      <w:pPr>
        <w:spacing w:line="276" w:lineRule="auto"/>
        <w:rPr>
          <w:sz w:val="22"/>
          <w:szCs w:val="22"/>
        </w:rPr>
      </w:pPr>
      <w:r w:rsidRPr="00AC49B0">
        <w:rPr>
          <w:sz w:val="22"/>
          <w:szCs w:val="22"/>
        </w:rPr>
        <w:t>U</w:t>
      </w:r>
      <w:r w:rsidRPr="00AC49B0">
        <w:rPr>
          <w:sz w:val="22"/>
          <w:szCs w:val="22"/>
        </w:rPr>
        <w:tab/>
        <w:t>Understanding the</w:t>
      </w:r>
      <w:r w:rsidR="00614811" w:rsidRPr="00AC49B0">
        <w:rPr>
          <w:sz w:val="22"/>
          <w:szCs w:val="22"/>
        </w:rPr>
        <w:t xml:space="preserve"> importance of handover points is pivotal</w:t>
      </w:r>
    </w:p>
    <w:p w14:paraId="102CA889" w14:textId="77777777" w:rsidR="00614811" w:rsidRPr="00AC49B0" w:rsidRDefault="00614811" w:rsidP="007E1F62">
      <w:pPr>
        <w:spacing w:line="276" w:lineRule="auto"/>
        <w:rPr>
          <w:sz w:val="22"/>
          <w:szCs w:val="22"/>
        </w:rPr>
      </w:pPr>
      <w:r w:rsidRPr="00AC49B0">
        <w:rPr>
          <w:sz w:val="22"/>
          <w:szCs w:val="22"/>
        </w:rPr>
        <w:t>N</w:t>
      </w:r>
      <w:r w:rsidRPr="00AC49B0">
        <w:rPr>
          <w:sz w:val="22"/>
          <w:szCs w:val="22"/>
        </w:rPr>
        <w:tab/>
        <w:t>Nurture your champions</w:t>
      </w:r>
    </w:p>
    <w:p w14:paraId="1C4A3EC1" w14:textId="77777777" w:rsidR="00614811" w:rsidRPr="00AC49B0" w:rsidRDefault="00614811" w:rsidP="007E1F62">
      <w:pPr>
        <w:spacing w:line="276" w:lineRule="auto"/>
        <w:rPr>
          <w:sz w:val="22"/>
          <w:szCs w:val="22"/>
        </w:rPr>
      </w:pPr>
      <w:r w:rsidRPr="00AC49B0">
        <w:rPr>
          <w:sz w:val="22"/>
          <w:szCs w:val="22"/>
        </w:rPr>
        <w:t>I</w:t>
      </w:r>
      <w:r w:rsidRPr="00AC49B0">
        <w:rPr>
          <w:sz w:val="22"/>
          <w:szCs w:val="22"/>
        </w:rPr>
        <w:tab/>
        <w:t>Innovative ideas should be encouraged</w:t>
      </w:r>
    </w:p>
    <w:p w14:paraId="67562151" w14:textId="77777777" w:rsidR="00614811" w:rsidRPr="00AC49B0" w:rsidRDefault="00614811" w:rsidP="007E1F62">
      <w:pPr>
        <w:spacing w:line="276" w:lineRule="auto"/>
        <w:rPr>
          <w:sz w:val="22"/>
          <w:szCs w:val="22"/>
        </w:rPr>
      </w:pPr>
      <w:r w:rsidRPr="00AC49B0">
        <w:rPr>
          <w:sz w:val="22"/>
          <w:szCs w:val="22"/>
        </w:rPr>
        <w:t>C</w:t>
      </w:r>
      <w:r w:rsidRPr="00AC49B0">
        <w:rPr>
          <w:sz w:val="22"/>
          <w:szCs w:val="22"/>
        </w:rPr>
        <w:tab/>
        <w:t>Collaboration is paramount</w:t>
      </w:r>
    </w:p>
    <w:p w14:paraId="6E490AE5" w14:textId="77777777" w:rsidR="00614811" w:rsidRPr="00AC49B0" w:rsidRDefault="00614811" w:rsidP="007E1F62">
      <w:pPr>
        <w:spacing w:line="276" w:lineRule="auto"/>
        <w:rPr>
          <w:sz w:val="22"/>
          <w:szCs w:val="22"/>
        </w:rPr>
      </w:pPr>
      <w:r w:rsidRPr="00AC49B0">
        <w:rPr>
          <w:sz w:val="22"/>
          <w:szCs w:val="22"/>
        </w:rPr>
        <w:t>A</w:t>
      </w:r>
      <w:r w:rsidRPr="00AC49B0">
        <w:rPr>
          <w:sz w:val="22"/>
          <w:szCs w:val="22"/>
        </w:rPr>
        <w:tab/>
        <w:t>Assess the readiness of organisations before you start</w:t>
      </w:r>
    </w:p>
    <w:p w14:paraId="0333F7AB" w14:textId="77777777" w:rsidR="00614811" w:rsidRPr="00AC49B0" w:rsidRDefault="00614811" w:rsidP="007E1F62">
      <w:pPr>
        <w:spacing w:line="276" w:lineRule="auto"/>
        <w:rPr>
          <w:sz w:val="22"/>
          <w:szCs w:val="22"/>
        </w:rPr>
      </w:pPr>
      <w:r w:rsidRPr="00AC49B0">
        <w:rPr>
          <w:sz w:val="22"/>
          <w:szCs w:val="22"/>
        </w:rPr>
        <w:t>T</w:t>
      </w:r>
      <w:r w:rsidRPr="00AC49B0">
        <w:rPr>
          <w:sz w:val="22"/>
          <w:szCs w:val="22"/>
        </w:rPr>
        <w:tab/>
        <w:t>Train staff to understand the process and documentation at the outset</w:t>
      </w:r>
    </w:p>
    <w:p w14:paraId="7BB113FD" w14:textId="77777777" w:rsidR="00614811" w:rsidRPr="00AC49B0" w:rsidRDefault="00614811" w:rsidP="007E1F62">
      <w:pPr>
        <w:spacing w:line="276" w:lineRule="auto"/>
        <w:rPr>
          <w:sz w:val="22"/>
          <w:szCs w:val="22"/>
        </w:rPr>
      </w:pPr>
      <w:r w:rsidRPr="00AC49B0">
        <w:rPr>
          <w:sz w:val="22"/>
          <w:szCs w:val="22"/>
        </w:rPr>
        <w:t>E</w:t>
      </w:r>
      <w:r w:rsidRPr="00AC49B0">
        <w:rPr>
          <w:sz w:val="22"/>
          <w:szCs w:val="22"/>
        </w:rPr>
        <w:tab/>
        <w:t xml:space="preserve">Ensure the transfer </w:t>
      </w:r>
      <w:r w:rsidR="00746448" w:rsidRPr="00AC49B0">
        <w:rPr>
          <w:sz w:val="22"/>
          <w:szCs w:val="22"/>
        </w:rPr>
        <w:t>bag stays with the resident throughout their journey</w:t>
      </w:r>
    </w:p>
    <w:p w14:paraId="5358CBF2" w14:textId="77777777" w:rsidR="00F74C9E" w:rsidRDefault="00F74C9E" w:rsidP="007E1F62">
      <w:pPr>
        <w:spacing w:line="276" w:lineRule="auto"/>
      </w:pPr>
    </w:p>
    <w:p w14:paraId="1094D736" w14:textId="77777777" w:rsidR="00F74C9E" w:rsidRPr="00AC49B0" w:rsidRDefault="00F74C9E" w:rsidP="00F74C9E">
      <w:pPr>
        <w:spacing w:line="276" w:lineRule="auto"/>
        <w:rPr>
          <w:b/>
          <w:sz w:val="22"/>
          <w:szCs w:val="22"/>
        </w:rPr>
      </w:pPr>
      <w:r w:rsidRPr="00AC49B0">
        <w:rPr>
          <w:b/>
          <w:sz w:val="22"/>
          <w:szCs w:val="22"/>
        </w:rPr>
        <w:t>References</w:t>
      </w:r>
    </w:p>
    <w:p w14:paraId="3910F35B" w14:textId="77777777" w:rsidR="00F74C9E" w:rsidRPr="00AC49B0" w:rsidRDefault="00F74C9E" w:rsidP="00F74C9E">
      <w:pPr>
        <w:spacing w:line="276" w:lineRule="auto"/>
        <w:jc w:val="both"/>
        <w:rPr>
          <w:sz w:val="22"/>
          <w:szCs w:val="22"/>
          <w:lang w:val="en-US"/>
        </w:rPr>
      </w:pPr>
      <w:r w:rsidRPr="00AC49B0">
        <w:rPr>
          <w:sz w:val="22"/>
          <w:szCs w:val="22"/>
        </w:rPr>
        <w:t xml:space="preserve">Armstrong, N., Brewster, L., Tarrant, C., Dixon, R., </w:t>
      </w:r>
      <w:proofErr w:type="spellStart"/>
      <w:r w:rsidRPr="00AC49B0">
        <w:rPr>
          <w:sz w:val="22"/>
          <w:szCs w:val="22"/>
        </w:rPr>
        <w:t>Willars</w:t>
      </w:r>
      <w:proofErr w:type="spellEnd"/>
      <w:r w:rsidRPr="00AC49B0">
        <w:rPr>
          <w:sz w:val="22"/>
          <w:szCs w:val="22"/>
        </w:rPr>
        <w:t>, J., Power, M., &amp; Dixon-Woods, M. (2018). Taking the heat or taking the temperature? A qualitative study of a large-scale exercise in seeking to measure for improvement, not blame. </w:t>
      </w:r>
      <w:r w:rsidRPr="00AC49B0">
        <w:rPr>
          <w:i/>
          <w:iCs/>
          <w:sz w:val="22"/>
          <w:szCs w:val="22"/>
        </w:rPr>
        <w:t>Social science &amp; medicine</w:t>
      </w:r>
      <w:r w:rsidRPr="00AC49B0">
        <w:rPr>
          <w:sz w:val="22"/>
          <w:szCs w:val="22"/>
        </w:rPr>
        <w:t>, </w:t>
      </w:r>
      <w:r w:rsidRPr="00AC49B0">
        <w:rPr>
          <w:i/>
          <w:iCs/>
          <w:sz w:val="22"/>
          <w:szCs w:val="22"/>
        </w:rPr>
        <w:t>198</w:t>
      </w:r>
      <w:r w:rsidRPr="00AC49B0">
        <w:rPr>
          <w:sz w:val="22"/>
          <w:szCs w:val="22"/>
        </w:rPr>
        <w:t>, 157-164.</w:t>
      </w:r>
    </w:p>
    <w:p w14:paraId="5A54C180" w14:textId="77777777" w:rsidR="00F74C9E" w:rsidRPr="00AC49B0" w:rsidRDefault="00F74C9E" w:rsidP="00F74C9E">
      <w:pPr>
        <w:spacing w:line="276" w:lineRule="auto"/>
        <w:jc w:val="both"/>
        <w:rPr>
          <w:sz w:val="22"/>
          <w:szCs w:val="22"/>
          <w:lang w:val="en-US"/>
        </w:rPr>
      </w:pPr>
      <w:proofErr w:type="spellStart"/>
      <w:r w:rsidRPr="00AC49B0">
        <w:rPr>
          <w:sz w:val="22"/>
          <w:szCs w:val="22"/>
        </w:rPr>
        <w:t>Bokhour</w:t>
      </w:r>
      <w:proofErr w:type="spellEnd"/>
      <w:r w:rsidRPr="00AC49B0">
        <w:rPr>
          <w:sz w:val="22"/>
          <w:szCs w:val="22"/>
        </w:rPr>
        <w:t xml:space="preserve">, B. G., Fix, G. M., Mueller, N. M., Barker, A. M., </w:t>
      </w:r>
      <w:proofErr w:type="spellStart"/>
      <w:r w:rsidRPr="00AC49B0">
        <w:rPr>
          <w:sz w:val="22"/>
          <w:szCs w:val="22"/>
        </w:rPr>
        <w:t>Lavela</w:t>
      </w:r>
      <w:proofErr w:type="spellEnd"/>
      <w:r w:rsidRPr="00AC49B0">
        <w:rPr>
          <w:sz w:val="22"/>
          <w:szCs w:val="22"/>
        </w:rPr>
        <w:t>, S. L., Hill, J. N., ... &amp; Lukas, C. V. (2018). How can healthcare organizations implement patient-</w:t>
      </w:r>
      <w:proofErr w:type="spellStart"/>
      <w:r w:rsidRPr="00AC49B0">
        <w:rPr>
          <w:sz w:val="22"/>
          <w:szCs w:val="22"/>
        </w:rPr>
        <w:t>centered</w:t>
      </w:r>
      <w:proofErr w:type="spellEnd"/>
      <w:r w:rsidRPr="00AC49B0">
        <w:rPr>
          <w:sz w:val="22"/>
          <w:szCs w:val="22"/>
        </w:rPr>
        <w:t xml:space="preserve"> care? Examining a large-scale cultural transformation. </w:t>
      </w:r>
      <w:r w:rsidRPr="00AC49B0">
        <w:rPr>
          <w:i/>
          <w:iCs/>
          <w:sz w:val="22"/>
          <w:szCs w:val="22"/>
        </w:rPr>
        <w:t>BMC health services research</w:t>
      </w:r>
      <w:r w:rsidRPr="00AC49B0">
        <w:rPr>
          <w:sz w:val="22"/>
          <w:szCs w:val="22"/>
        </w:rPr>
        <w:t>, </w:t>
      </w:r>
      <w:r w:rsidRPr="00AC49B0">
        <w:rPr>
          <w:i/>
          <w:iCs/>
          <w:sz w:val="22"/>
          <w:szCs w:val="22"/>
        </w:rPr>
        <w:t>18</w:t>
      </w:r>
      <w:r w:rsidRPr="00AC49B0">
        <w:rPr>
          <w:sz w:val="22"/>
          <w:szCs w:val="22"/>
        </w:rPr>
        <w:t>(1), 168.</w:t>
      </w:r>
      <w:r w:rsidRPr="00AC49B0">
        <w:rPr>
          <w:sz w:val="22"/>
          <w:szCs w:val="22"/>
          <w:lang w:val="en-US"/>
        </w:rPr>
        <w:fldChar w:fldCharType="begin"/>
      </w:r>
      <w:r w:rsidRPr="00AC49B0">
        <w:rPr>
          <w:sz w:val="22"/>
          <w:szCs w:val="22"/>
          <w:lang w:val="en-US"/>
        </w:rPr>
        <w:instrText xml:space="preserve"> ADDIN EN.REFLIST </w:instrText>
      </w:r>
      <w:r w:rsidRPr="00AC49B0">
        <w:rPr>
          <w:sz w:val="22"/>
          <w:szCs w:val="22"/>
          <w:lang w:val="en-US"/>
        </w:rPr>
        <w:fldChar w:fldCharType="separate"/>
      </w:r>
    </w:p>
    <w:p w14:paraId="0090245F" w14:textId="77777777" w:rsidR="00F74C9E" w:rsidRPr="00AC49B0" w:rsidRDefault="00F74C9E" w:rsidP="00F74C9E">
      <w:pPr>
        <w:spacing w:line="276" w:lineRule="auto"/>
        <w:jc w:val="both"/>
        <w:rPr>
          <w:sz w:val="22"/>
          <w:szCs w:val="22"/>
          <w:lang w:val="en-US"/>
        </w:rPr>
      </w:pPr>
      <w:r w:rsidRPr="00AC49B0">
        <w:rPr>
          <w:sz w:val="22"/>
          <w:szCs w:val="22"/>
        </w:rPr>
        <w:lastRenderedPageBreak/>
        <w:t>Charmaz, K. (2014). </w:t>
      </w:r>
      <w:r w:rsidRPr="00AC49B0">
        <w:rPr>
          <w:i/>
          <w:iCs/>
          <w:sz w:val="22"/>
          <w:szCs w:val="22"/>
        </w:rPr>
        <w:t>Constructing grounded theory</w:t>
      </w:r>
      <w:r w:rsidRPr="00AC49B0">
        <w:rPr>
          <w:sz w:val="22"/>
          <w:szCs w:val="22"/>
        </w:rPr>
        <w:t>. Sage.</w:t>
      </w:r>
    </w:p>
    <w:p w14:paraId="34CFEDF6" w14:textId="77777777" w:rsidR="00F74C9E" w:rsidRPr="00AC49B0" w:rsidRDefault="00F74C9E" w:rsidP="00F74C9E">
      <w:pPr>
        <w:spacing w:line="276" w:lineRule="auto"/>
        <w:jc w:val="both"/>
        <w:rPr>
          <w:sz w:val="22"/>
          <w:szCs w:val="22"/>
          <w:lang w:val="en-US"/>
        </w:rPr>
      </w:pPr>
      <w:r w:rsidRPr="00AC49B0">
        <w:rPr>
          <w:sz w:val="22"/>
          <w:szCs w:val="22"/>
        </w:rPr>
        <w:t>Corson, D. (1991). Educational research and Bhaskar's conception of discovery. </w:t>
      </w:r>
      <w:r w:rsidRPr="00AC49B0">
        <w:rPr>
          <w:i/>
          <w:iCs/>
          <w:sz w:val="22"/>
          <w:szCs w:val="22"/>
        </w:rPr>
        <w:t>Educational Theory</w:t>
      </w:r>
      <w:r w:rsidRPr="00AC49B0">
        <w:rPr>
          <w:sz w:val="22"/>
          <w:szCs w:val="22"/>
        </w:rPr>
        <w:t>, </w:t>
      </w:r>
      <w:r w:rsidRPr="00AC49B0">
        <w:rPr>
          <w:i/>
          <w:iCs/>
          <w:sz w:val="22"/>
          <w:szCs w:val="22"/>
        </w:rPr>
        <w:t>41</w:t>
      </w:r>
      <w:r w:rsidRPr="00AC49B0">
        <w:rPr>
          <w:sz w:val="22"/>
          <w:szCs w:val="22"/>
        </w:rPr>
        <w:t>(2), 189-198.</w:t>
      </w:r>
    </w:p>
    <w:p w14:paraId="27E8B89B" w14:textId="77777777" w:rsidR="00F74C9E" w:rsidRPr="00AC49B0" w:rsidRDefault="00F74C9E" w:rsidP="00F74C9E">
      <w:pPr>
        <w:spacing w:line="276" w:lineRule="auto"/>
        <w:jc w:val="both"/>
        <w:rPr>
          <w:sz w:val="22"/>
          <w:szCs w:val="22"/>
        </w:rPr>
      </w:pPr>
      <w:r w:rsidRPr="00AC49B0">
        <w:rPr>
          <w:sz w:val="22"/>
          <w:szCs w:val="22"/>
        </w:rPr>
        <w:t>Denzin, N. K., &amp; Lincoln, Y. S. (Eds.). (2011). </w:t>
      </w:r>
      <w:r w:rsidRPr="00AC49B0">
        <w:rPr>
          <w:i/>
          <w:iCs/>
          <w:sz w:val="22"/>
          <w:szCs w:val="22"/>
        </w:rPr>
        <w:t>The Sage handbook of qualitative research</w:t>
      </w:r>
      <w:r w:rsidRPr="00AC49B0">
        <w:rPr>
          <w:sz w:val="22"/>
          <w:szCs w:val="22"/>
        </w:rPr>
        <w:t>. Sage.</w:t>
      </w:r>
    </w:p>
    <w:p w14:paraId="25FEE72B" w14:textId="77777777" w:rsidR="00F74C9E" w:rsidRPr="00AC49B0" w:rsidRDefault="00F74C9E" w:rsidP="00F74C9E">
      <w:pPr>
        <w:spacing w:line="276" w:lineRule="auto"/>
        <w:jc w:val="both"/>
        <w:rPr>
          <w:sz w:val="22"/>
          <w:szCs w:val="22"/>
        </w:rPr>
      </w:pPr>
      <w:r w:rsidRPr="00AC49B0">
        <w:rPr>
          <w:sz w:val="22"/>
          <w:szCs w:val="22"/>
        </w:rPr>
        <w:t>Erdem, S., &amp; Thompson, C. (2014). Prioritising health service innovation investments using public preferences: a discrete choice experiment. </w:t>
      </w:r>
      <w:r w:rsidRPr="00AC49B0">
        <w:rPr>
          <w:i/>
          <w:iCs/>
          <w:sz w:val="22"/>
          <w:szCs w:val="22"/>
        </w:rPr>
        <w:t>BMC health services research</w:t>
      </w:r>
      <w:r w:rsidRPr="00AC49B0">
        <w:rPr>
          <w:sz w:val="22"/>
          <w:szCs w:val="22"/>
        </w:rPr>
        <w:t>, </w:t>
      </w:r>
      <w:r w:rsidRPr="00AC49B0">
        <w:rPr>
          <w:i/>
          <w:iCs/>
          <w:sz w:val="22"/>
          <w:szCs w:val="22"/>
        </w:rPr>
        <w:t>14</w:t>
      </w:r>
      <w:r w:rsidRPr="00AC49B0">
        <w:rPr>
          <w:sz w:val="22"/>
          <w:szCs w:val="22"/>
        </w:rPr>
        <w:t>(1), 360.</w:t>
      </w:r>
    </w:p>
    <w:p w14:paraId="3EF71814" w14:textId="77777777" w:rsidR="00F74C9E" w:rsidRPr="00AC49B0" w:rsidRDefault="00F74C9E" w:rsidP="00F74C9E">
      <w:pPr>
        <w:spacing w:line="276" w:lineRule="auto"/>
        <w:jc w:val="both"/>
        <w:rPr>
          <w:sz w:val="22"/>
          <w:szCs w:val="22"/>
        </w:rPr>
      </w:pPr>
      <w:r w:rsidRPr="00AC49B0">
        <w:rPr>
          <w:sz w:val="22"/>
          <w:szCs w:val="22"/>
        </w:rPr>
        <w:t>Finch, C. F., &amp; Donaldson, A. (2010). A sports setting matrix for understanding the implementation context for community sport. </w:t>
      </w:r>
      <w:r w:rsidRPr="00AC49B0">
        <w:rPr>
          <w:i/>
          <w:iCs/>
          <w:sz w:val="22"/>
          <w:szCs w:val="22"/>
        </w:rPr>
        <w:t>British Journal of Sports Medicine</w:t>
      </w:r>
      <w:r w:rsidRPr="00AC49B0">
        <w:rPr>
          <w:sz w:val="22"/>
          <w:szCs w:val="22"/>
        </w:rPr>
        <w:t>, </w:t>
      </w:r>
      <w:r w:rsidRPr="00AC49B0">
        <w:rPr>
          <w:i/>
          <w:iCs/>
          <w:sz w:val="22"/>
          <w:szCs w:val="22"/>
        </w:rPr>
        <w:t>44</w:t>
      </w:r>
      <w:r w:rsidRPr="00AC49B0">
        <w:rPr>
          <w:sz w:val="22"/>
          <w:szCs w:val="22"/>
        </w:rPr>
        <w:t>(13), 973-978.</w:t>
      </w:r>
    </w:p>
    <w:p w14:paraId="286382FC" w14:textId="77777777" w:rsidR="00F74C9E" w:rsidRPr="00AC49B0" w:rsidRDefault="00F74C9E" w:rsidP="00F74C9E">
      <w:pPr>
        <w:spacing w:line="276" w:lineRule="auto"/>
        <w:jc w:val="both"/>
        <w:rPr>
          <w:sz w:val="22"/>
          <w:szCs w:val="22"/>
        </w:rPr>
      </w:pPr>
      <w:r w:rsidRPr="00AC49B0">
        <w:rPr>
          <w:sz w:val="22"/>
          <w:szCs w:val="22"/>
        </w:rPr>
        <w:t>Glasgow, R. E., Vogt, T. M., &amp; Boles, S. M. (1999). Evaluating the public health impact of health promotion interventions: the RE-AIM framework. </w:t>
      </w:r>
      <w:r w:rsidRPr="00AC49B0">
        <w:rPr>
          <w:i/>
          <w:iCs/>
          <w:sz w:val="22"/>
          <w:szCs w:val="22"/>
        </w:rPr>
        <w:t>American journal of public health</w:t>
      </w:r>
      <w:r w:rsidRPr="00AC49B0">
        <w:rPr>
          <w:sz w:val="22"/>
          <w:szCs w:val="22"/>
        </w:rPr>
        <w:t>, </w:t>
      </w:r>
      <w:r w:rsidRPr="00AC49B0">
        <w:rPr>
          <w:i/>
          <w:iCs/>
          <w:sz w:val="22"/>
          <w:szCs w:val="22"/>
        </w:rPr>
        <w:t>89</w:t>
      </w:r>
      <w:r w:rsidRPr="00AC49B0">
        <w:rPr>
          <w:sz w:val="22"/>
          <w:szCs w:val="22"/>
        </w:rPr>
        <w:t>(9), 1322-1327.</w:t>
      </w:r>
    </w:p>
    <w:p w14:paraId="0CA4B2E6" w14:textId="77777777" w:rsidR="00F74C9E" w:rsidRPr="00AC49B0" w:rsidRDefault="00F74C9E" w:rsidP="00F74C9E">
      <w:pPr>
        <w:spacing w:line="276" w:lineRule="auto"/>
        <w:jc w:val="both"/>
        <w:rPr>
          <w:sz w:val="22"/>
          <w:szCs w:val="22"/>
          <w:lang w:val="en-US"/>
        </w:rPr>
      </w:pPr>
      <w:r w:rsidRPr="00AC49B0">
        <w:rPr>
          <w:sz w:val="22"/>
          <w:szCs w:val="22"/>
        </w:rPr>
        <w:t>Godin, G., Bélanger-Gravel, A., Eccles, M., &amp; Grimshaw, J. (2008). Healthcare professionals' intentions and behaviours: A systematic review of studies based on social cognitive theories. </w:t>
      </w:r>
      <w:r w:rsidRPr="00AC49B0">
        <w:rPr>
          <w:i/>
          <w:iCs/>
          <w:sz w:val="22"/>
          <w:szCs w:val="22"/>
        </w:rPr>
        <w:t>Implementation Science</w:t>
      </w:r>
      <w:r w:rsidRPr="00AC49B0">
        <w:rPr>
          <w:sz w:val="22"/>
          <w:szCs w:val="22"/>
        </w:rPr>
        <w:t>, </w:t>
      </w:r>
      <w:r w:rsidRPr="00AC49B0">
        <w:rPr>
          <w:i/>
          <w:iCs/>
          <w:sz w:val="22"/>
          <w:szCs w:val="22"/>
        </w:rPr>
        <w:t>3</w:t>
      </w:r>
      <w:r w:rsidRPr="00AC49B0">
        <w:rPr>
          <w:sz w:val="22"/>
          <w:szCs w:val="22"/>
        </w:rPr>
        <w:t>(1), 36.</w:t>
      </w:r>
    </w:p>
    <w:p w14:paraId="256FE19F" w14:textId="77777777" w:rsidR="00F74C9E" w:rsidRPr="00AC49B0" w:rsidRDefault="00F74C9E" w:rsidP="00F74C9E">
      <w:pPr>
        <w:spacing w:line="276" w:lineRule="auto"/>
        <w:jc w:val="both"/>
        <w:rPr>
          <w:sz w:val="22"/>
          <w:szCs w:val="22"/>
        </w:rPr>
      </w:pPr>
      <w:r w:rsidRPr="00AC49B0">
        <w:rPr>
          <w:sz w:val="22"/>
          <w:szCs w:val="22"/>
        </w:rPr>
        <w:t>Gormley, G. J., Dempster, M., Corry, R., &amp; Brennan, C. (2018). ‘When Right could be so Wrong’. Laterality Errors in Healthcare. </w:t>
      </w:r>
      <w:r w:rsidRPr="00AC49B0">
        <w:rPr>
          <w:i/>
          <w:iCs/>
          <w:sz w:val="22"/>
          <w:szCs w:val="22"/>
        </w:rPr>
        <w:t>The Ulster medical journal</w:t>
      </w:r>
      <w:r w:rsidRPr="00AC49B0">
        <w:rPr>
          <w:sz w:val="22"/>
          <w:szCs w:val="22"/>
        </w:rPr>
        <w:t>, </w:t>
      </w:r>
      <w:r w:rsidRPr="00AC49B0">
        <w:rPr>
          <w:i/>
          <w:iCs/>
          <w:sz w:val="22"/>
          <w:szCs w:val="22"/>
        </w:rPr>
        <w:t>87</w:t>
      </w:r>
      <w:r w:rsidRPr="00AC49B0">
        <w:rPr>
          <w:sz w:val="22"/>
          <w:szCs w:val="22"/>
        </w:rPr>
        <w:t>(1), 3.</w:t>
      </w:r>
    </w:p>
    <w:p w14:paraId="502F4FDA" w14:textId="77777777" w:rsidR="00F74C9E" w:rsidRPr="00AC49B0" w:rsidRDefault="00F74C9E" w:rsidP="00F74C9E">
      <w:pPr>
        <w:spacing w:line="276" w:lineRule="auto"/>
        <w:jc w:val="both"/>
        <w:rPr>
          <w:sz w:val="22"/>
          <w:szCs w:val="22"/>
        </w:rPr>
      </w:pPr>
      <w:r w:rsidRPr="00AC49B0">
        <w:rPr>
          <w:sz w:val="22"/>
          <w:szCs w:val="22"/>
        </w:rPr>
        <w:t>Holtrop, J. S., Rabin, B. A., &amp; Glasgow, R. E. (2018). Qualitative approaches to use of the RE-AIM framework: rationale and methods. </w:t>
      </w:r>
      <w:r w:rsidRPr="00AC49B0">
        <w:rPr>
          <w:i/>
          <w:iCs/>
          <w:sz w:val="22"/>
          <w:szCs w:val="22"/>
        </w:rPr>
        <w:t>BMC health services research</w:t>
      </w:r>
      <w:r w:rsidRPr="00AC49B0">
        <w:rPr>
          <w:sz w:val="22"/>
          <w:szCs w:val="22"/>
        </w:rPr>
        <w:t>, </w:t>
      </w:r>
      <w:r w:rsidRPr="00AC49B0">
        <w:rPr>
          <w:i/>
          <w:iCs/>
          <w:sz w:val="22"/>
          <w:szCs w:val="22"/>
        </w:rPr>
        <w:t>18</w:t>
      </w:r>
      <w:r w:rsidRPr="00AC49B0">
        <w:rPr>
          <w:sz w:val="22"/>
          <w:szCs w:val="22"/>
        </w:rPr>
        <w:t>(1), 177.</w:t>
      </w:r>
    </w:p>
    <w:p w14:paraId="421735C9" w14:textId="77777777" w:rsidR="00F74C9E" w:rsidRPr="00AC49B0" w:rsidRDefault="00F74C9E" w:rsidP="00F74C9E">
      <w:pPr>
        <w:spacing w:line="276" w:lineRule="auto"/>
        <w:jc w:val="both"/>
        <w:rPr>
          <w:sz w:val="22"/>
          <w:szCs w:val="22"/>
          <w:lang w:val="en-US"/>
        </w:rPr>
      </w:pPr>
      <w:r w:rsidRPr="00AC49B0">
        <w:rPr>
          <w:sz w:val="22"/>
          <w:szCs w:val="22"/>
        </w:rPr>
        <w:t>Mitchell, R., Boyle, B., &amp; Von Stieglitz, S. (2019). Professional commitment and team effectiveness: a moderated mediation investigation of cognitive diversity and task conflict. </w:t>
      </w:r>
      <w:r w:rsidRPr="00AC49B0">
        <w:rPr>
          <w:i/>
          <w:iCs/>
          <w:sz w:val="22"/>
          <w:szCs w:val="22"/>
        </w:rPr>
        <w:t>Journal of Business and Psychology</w:t>
      </w:r>
      <w:r w:rsidRPr="00AC49B0">
        <w:rPr>
          <w:sz w:val="22"/>
          <w:szCs w:val="22"/>
        </w:rPr>
        <w:t>, </w:t>
      </w:r>
      <w:r w:rsidRPr="00AC49B0">
        <w:rPr>
          <w:i/>
          <w:iCs/>
          <w:sz w:val="22"/>
          <w:szCs w:val="22"/>
        </w:rPr>
        <w:t>34</w:t>
      </w:r>
      <w:r w:rsidRPr="00AC49B0">
        <w:rPr>
          <w:sz w:val="22"/>
          <w:szCs w:val="22"/>
        </w:rPr>
        <w:t>(4), 471-483.</w:t>
      </w:r>
    </w:p>
    <w:p w14:paraId="0F7746D3" w14:textId="77777777" w:rsidR="00F74C9E" w:rsidRPr="00AC49B0" w:rsidRDefault="00F74C9E" w:rsidP="00F74C9E">
      <w:pPr>
        <w:spacing w:line="276" w:lineRule="auto"/>
        <w:jc w:val="both"/>
        <w:rPr>
          <w:sz w:val="22"/>
          <w:szCs w:val="22"/>
        </w:rPr>
      </w:pPr>
      <w:r w:rsidRPr="00AC49B0">
        <w:rPr>
          <w:sz w:val="22"/>
          <w:szCs w:val="22"/>
        </w:rPr>
        <w:t>Moretta Tartaglione, A., Cavacece, Y., Cassia, F., &amp; Russo, G. (2018). The excellence of patient-centered healthcare: investigating the links between empowerment, co-creation and satisfaction. </w:t>
      </w:r>
      <w:r w:rsidRPr="00AC49B0">
        <w:rPr>
          <w:i/>
          <w:iCs/>
          <w:sz w:val="22"/>
          <w:szCs w:val="22"/>
        </w:rPr>
        <w:t>The TQM Journal</w:t>
      </w:r>
      <w:r w:rsidRPr="00AC49B0">
        <w:rPr>
          <w:sz w:val="22"/>
          <w:szCs w:val="22"/>
        </w:rPr>
        <w:t>, </w:t>
      </w:r>
      <w:r w:rsidRPr="00AC49B0">
        <w:rPr>
          <w:i/>
          <w:iCs/>
          <w:sz w:val="22"/>
          <w:szCs w:val="22"/>
        </w:rPr>
        <w:t>30</w:t>
      </w:r>
      <w:r w:rsidRPr="00AC49B0">
        <w:rPr>
          <w:sz w:val="22"/>
          <w:szCs w:val="22"/>
        </w:rPr>
        <w:t>(2), 153-167.</w:t>
      </w:r>
    </w:p>
    <w:p w14:paraId="6DE4C838" w14:textId="77777777" w:rsidR="00F74C9E" w:rsidRPr="00AC49B0" w:rsidRDefault="00F74C9E" w:rsidP="00F74C9E">
      <w:pPr>
        <w:spacing w:line="276" w:lineRule="auto"/>
        <w:jc w:val="both"/>
        <w:rPr>
          <w:sz w:val="22"/>
          <w:szCs w:val="22"/>
        </w:rPr>
      </w:pPr>
      <w:r w:rsidRPr="00AC49B0">
        <w:rPr>
          <w:sz w:val="22"/>
          <w:szCs w:val="22"/>
        </w:rPr>
        <w:t>Rosen, M. A., DiazGranados, D., Dietz, A. S., Benishek, L. E., Thompson, D., Pronovost, P. J., &amp; Weaver, S. J. (2018). Teamwork in healthcare: Key discoveries enabling safer, high-quality care. </w:t>
      </w:r>
      <w:r w:rsidRPr="00AC49B0">
        <w:rPr>
          <w:i/>
          <w:iCs/>
          <w:sz w:val="22"/>
          <w:szCs w:val="22"/>
        </w:rPr>
        <w:t>American Psychologist</w:t>
      </w:r>
      <w:r w:rsidRPr="00AC49B0">
        <w:rPr>
          <w:sz w:val="22"/>
          <w:szCs w:val="22"/>
        </w:rPr>
        <w:t>, </w:t>
      </w:r>
      <w:r w:rsidRPr="00AC49B0">
        <w:rPr>
          <w:i/>
          <w:iCs/>
          <w:sz w:val="22"/>
          <w:szCs w:val="22"/>
        </w:rPr>
        <w:t>73</w:t>
      </w:r>
      <w:r w:rsidRPr="00AC49B0">
        <w:rPr>
          <w:sz w:val="22"/>
          <w:szCs w:val="22"/>
        </w:rPr>
        <w:t>(4), 433.</w:t>
      </w:r>
    </w:p>
    <w:p w14:paraId="7CE1F5B1" w14:textId="77777777" w:rsidR="00F74C9E" w:rsidRPr="00AC49B0" w:rsidRDefault="00F74C9E" w:rsidP="00F74C9E">
      <w:pPr>
        <w:spacing w:line="276" w:lineRule="auto"/>
        <w:jc w:val="both"/>
        <w:rPr>
          <w:sz w:val="22"/>
          <w:szCs w:val="22"/>
        </w:rPr>
      </w:pPr>
      <w:r w:rsidRPr="00AC49B0">
        <w:rPr>
          <w:sz w:val="22"/>
          <w:szCs w:val="22"/>
        </w:rPr>
        <w:t>Saks, M. (2015). Inequalities, marginality and the professions. </w:t>
      </w:r>
      <w:r w:rsidRPr="00AC49B0">
        <w:rPr>
          <w:i/>
          <w:iCs/>
          <w:sz w:val="22"/>
          <w:szCs w:val="22"/>
        </w:rPr>
        <w:t>Current Sociology</w:t>
      </w:r>
      <w:r w:rsidRPr="00AC49B0">
        <w:rPr>
          <w:sz w:val="22"/>
          <w:szCs w:val="22"/>
        </w:rPr>
        <w:t>, </w:t>
      </w:r>
      <w:r w:rsidRPr="00AC49B0">
        <w:rPr>
          <w:i/>
          <w:iCs/>
          <w:sz w:val="22"/>
          <w:szCs w:val="22"/>
        </w:rPr>
        <w:t>63</w:t>
      </w:r>
      <w:r w:rsidRPr="00AC49B0">
        <w:rPr>
          <w:sz w:val="22"/>
          <w:szCs w:val="22"/>
        </w:rPr>
        <w:t>(6), 850-868.</w:t>
      </w:r>
      <w:r w:rsidRPr="00AC49B0">
        <w:rPr>
          <w:sz w:val="22"/>
          <w:szCs w:val="22"/>
        </w:rPr>
        <w:fldChar w:fldCharType="end"/>
      </w:r>
    </w:p>
    <w:p w14:paraId="039B7021" w14:textId="77777777" w:rsidR="00F74C9E" w:rsidRPr="00AC49B0" w:rsidRDefault="00F74C9E" w:rsidP="00F74C9E">
      <w:pPr>
        <w:spacing w:line="276" w:lineRule="auto"/>
        <w:jc w:val="both"/>
        <w:rPr>
          <w:sz w:val="22"/>
          <w:szCs w:val="22"/>
        </w:rPr>
      </w:pPr>
      <w:r w:rsidRPr="00AC49B0">
        <w:rPr>
          <w:sz w:val="22"/>
          <w:szCs w:val="22"/>
        </w:rPr>
        <w:t xml:space="preserve">Sweet, S. N., </w:t>
      </w:r>
      <w:proofErr w:type="spellStart"/>
      <w:r w:rsidRPr="00AC49B0">
        <w:rPr>
          <w:sz w:val="22"/>
          <w:szCs w:val="22"/>
        </w:rPr>
        <w:t>Ginis</w:t>
      </w:r>
      <w:proofErr w:type="spellEnd"/>
      <w:r w:rsidRPr="00AC49B0">
        <w:rPr>
          <w:sz w:val="22"/>
          <w:szCs w:val="22"/>
        </w:rPr>
        <w:t xml:space="preserve">, K. A. M., </w:t>
      </w:r>
      <w:proofErr w:type="spellStart"/>
      <w:r w:rsidRPr="00AC49B0">
        <w:rPr>
          <w:sz w:val="22"/>
          <w:szCs w:val="22"/>
        </w:rPr>
        <w:t>Estabrooks</w:t>
      </w:r>
      <w:proofErr w:type="spellEnd"/>
      <w:r w:rsidRPr="00AC49B0">
        <w:rPr>
          <w:sz w:val="22"/>
          <w:szCs w:val="22"/>
        </w:rPr>
        <w:t>, P. A., &amp; Latimer-Cheung, A. E. (2014). Operationalizing the RE-AIM framework to evaluate the impact of multi-sector partnerships. </w:t>
      </w:r>
      <w:r w:rsidRPr="00AC49B0">
        <w:rPr>
          <w:i/>
          <w:iCs/>
          <w:sz w:val="22"/>
          <w:szCs w:val="22"/>
        </w:rPr>
        <w:t>Implementation Science</w:t>
      </w:r>
      <w:r w:rsidRPr="00AC49B0">
        <w:rPr>
          <w:sz w:val="22"/>
          <w:szCs w:val="22"/>
        </w:rPr>
        <w:t>, </w:t>
      </w:r>
      <w:r w:rsidRPr="00AC49B0">
        <w:rPr>
          <w:i/>
          <w:iCs/>
          <w:sz w:val="22"/>
          <w:szCs w:val="22"/>
        </w:rPr>
        <w:t>9</w:t>
      </w:r>
      <w:r w:rsidRPr="00AC49B0">
        <w:rPr>
          <w:sz w:val="22"/>
          <w:szCs w:val="22"/>
        </w:rPr>
        <w:t>(1), 74.</w:t>
      </w:r>
    </w:p>
    <w:p w14:paraId="7D2959F5" w14:textId="77777777" w:rsidR="00F74C9E" w:rsidRPr="00AC49B0" w:rsidRDefault="00F74C9E" w:rsidP="00F74C9E">
      <w:pPr>
        <w:spacing w:line="276" w:lineRule="auto"/>
        <w:jc w:val="both"/>
        <w:rPr>
          <w:sz w:val="22"/>
          <w:szCs w:val="22"/>
        </w:rPr>
      </w:pPr>
      <w:r w:rsidRPr="00AC49B0">
        <w:rPr>
          <w:sz w:val="22"/>
          <w:szCs w:val="22"/>
        </w:rPr>
        <w:t xml:space="preserve">Vereen, L. G., Yates, C., </w:t>
      </w:r>
      <w:proofErr w:type="spellStart"/>
      <w:r w:rsidRPr="00AC49B0">
        <w:rPr>
          <w:sz w:val="22"/>
          <w:szCs w:val="22"/>
        </w:rPr>
        <w:t>Hudock</w:t>
      </w:r>
      <w:proofErr w:type="spellEnd"/>
      <w:r w:rsidRPr="00AC49B0">
        <w:rPr>
          <w:sz w:val="22"/>
          <w:szCs w:val="22"/>
        </w:rPr>
        <w:t xml:space="preserve">, D., Hill, N. R., </w:t>
      </w:r>
      <w:proofErr w:type="spellStart"/>
      <w:r w:rsidRPr="00AC49B0">
        <w:rPr>
          <w:sz w:val="22"/>
          <w:szCs w:val="22"/>
        </w:rPr>
        <w:t>Jemmett</w:t>
      </w:r>
      <w:proofErr w:type="spellEnd"/>
      <w:r w:rsidRPr="00AC49B0">
        <w:rPr>
          <w:sz w:val="22"/>
          <w:szCs w:val="22"/>
        </w:rPr>
        <w:t>, M., O’Donnell, J., &amp; Knudson, S. (2018). The phenomena of collaborative practice: The impact of interprofessional education. </w:t>
      </w:r>
      <w:r w:rsidRPr="00AC49B0">
        <w:rPr>
          <w:i/>
          <w:iCs/>
          <w:sz w:val="22"/>
          <w:szCs w:val="22"/>
        </w:rPr>
        <w:t>International Journal for the Advancement of Counselling</w:t>
      </w:r>
      <w:r w:rsidRPr="00AC49B0">
        <w:rPr>
          <w:sz w:val="22"/>
          <w:szCs w:val="22"/>
        </w:rPr>
        <w:t>, </w:t>
      </w:r>
      <w:r w:rsidRPr="00AC49B0">
        <w:rPr>
          <w:i/>
          <w:iCs/>
          <w:sz w:val="22"/>
          <w:szCs w:val="22"/>
        </w:rPr>
        <w:t>40</w:t>
      </w:r>
      <w:r w:rsidRPr="00AC49B0">
        <w:rPr>
          <w:sz w:val="22"/>
          <w:szCs w:val="22"/>
        </w:rPr>
        <w:t>(4), 427-442.</w:t>
      </w:r>
    </w:p>
    <w:p w14:paraId="366D0025" w14:textId="77777777" w:rsidR="00F74C9E" w:rsidRPr="00AC49B0" w:rsidRDefault="00F74C9E" w:rsidP="00F74C9E">
      <w:pPr>
        <w:spacing w:line="276" w:lineRule="auto"/>
        <w:jc w:val="both"/>
        <w:rPr>
          <w:sz w:val="22"/>
          <w:szCs w:val="22"/>
        </w:rPr>
      </w:pPr>
      <w:proofErr w:type="spellStart"/>
      <w:r w:rsidRPr="00AC49B0">
        <w:rPr>
          <w:sz w:val="22"/>
          <w:szCs w:val="22"/>
        </w:rPr>
        <w:lastRenderedPageBreak/>
        <w:t>Zamjahn</w:t>
      </w:r>
      <w:proofErr w:type="spellEnd"/>
      <w:r w:rsidRPr="00AC49B0">
        <w:rPr>
          <w:sz w:val="22"/>
          <w:szCs w:val="22"/>
        </w:rPr>
        <w:t xml:space="preserve">, J. B., Beyer, E. O., </w:t>
      </w:r>
      <w:proofErr w:type="spellStart"/>
      <w:r w:rsidRPr="00AC49B0">
        <w:rPr>
          <w:sz w:val="22"/>
          <w:szCs w:val="22"/>
        </w:rPr>
        <w:t>Alig</w:t>
      </w:r>
      <w:proofErr w:type="spellEnd"/>
      <w:r w:rsidRPr="00AC49B0">
        <w:rPr>
          <w:sz w:val="22"/>
          <w:szCs w:val="22"/>
        </w:rPr>
        <w:t xml:space="preserve">, K. L., </w:t>
      </w:r>
      <w:proofErr w:type="spellStart"/>
      <w:r w:rsidRPr="00AC49B0">
        <w:rPr>
          <w:sz w:val="22"/>
          <w:szCs w:val="22"/>
        </w:rPr>
        <w:t>Mercante</w:t>
      </w:r>
      <w:proofErr w:type="spellEnd"/>
      <w:r w:rsidRPr="00AC49B0">
        <w:rPr>
          <w:sz w:val="22"/>
          <w:szCs w:val="22"/>
        </w:rPr>
        <w:t xml:space="preserve">, D. E., Carter, K. L., &amp; </w:t>
      </w:r>
      <w:proofErr w:type="spellStart"/>
      <w:r w:rsidRPr="00AC49B0">
        <w:rPr>
          <w:sz w:val="22"/>
          <w:szCs w:val="22"/>
        </w:rPr>
        <w:t>Gunaldo</w:t>
      </w:r>
      <w:proofErr w:type="spellEnd"/>
      <w:r w:rsidRPr="00AC49B0">
        <w:rPr>
          <w:sz w:val="22"/>
          <w:szCs w:val="22"/>
        </w:rPr>
        <w:t>, T. P. (2018). Increasing awareness of the roles, knowledge, and skills of respiratory therapists through an interprofessional education experience. </w:t>
      </w:r>
      <w:r w:rsidRPr="00AC49B0">
        <w:rPr>
          <w:i/>
          <w:iCs/>
          <w:sz w:val="22"/>
          <w:szCs w:val="22"/>
        </w:rPr>
        <w:t>Respiratory care</w:t>
      </w:r>
      <w:r w:rsidRPr="00AC49B0">
        <w:rPr>
          <w:sz w:val="22"/>
          <w:szCs w:val="22"/>
        </w:rPr>
        <w:t>, </w:t>
      </w:r>
      <w:r w:rsidRPr="00AC49B0">
        <w:rPr>
          <w:i/>
          <w:iCs/>
          <w:sz w:val="22"/>
          <w:szCs w:val="22"/>
        </w:rPr>
        <w:t>63</w:t>
      </w:r>
      <w:r w:rsidRPr="00AC49B0">
        <w:rPr>
          <w:sz w:val="22"/>
          <w:szCs w:val="22"/>
        </w:rPr>
        <w:t>(5), 510-518.</w:t>
      </w:r>
    </w:p>
    <w:p w14:paraId="0EAB53E7" w14:textId="77777777" w:rsidR="00F74C9E" w:rsidRPr="00AC49B0" w:rsidRDefault="00F74C9E" w:rsidP="00F74C9E">
      <w:pPr>
        <w:spacing w:line="276" w:lineRule="auto"/>
        <w:jc w:val="both"/>
        <w:rPr>
          <w:sz w:val="22"/>
          <w:szCs w:val="22"/>
          <w:lang w:val="en-US"/>
        </w:rPr>
      </w:pPr>
    </w:p>
    <w:sectPr w:rsidR="00F74C9E" w:rsidRPr="00AC49B0" w:rsidSect="004C4189">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15B8D" w14:textId="77777777" w:rsidR="00230AD9" w:rsidRDefault="00230AD9" w:rsidP="004C4189">
      <w:pPr>
        <w:spacing w:after="0" w:line="240" w:lineRule="auto"/>
      </w:pPr>
      <w:r>
        <w:separator/>
      </w:r>
    </w:p>
  </w:endnote>
  <w:endnote w:type="continuationSeparator" w:id="0">
    <w:p w14:paraId="39D6E1D2" w14:textId="77777777" w:rsidR="00230AD9" w:rsidRDefault="00230AD9" w:rsidP="004C4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C1568" w14:textId="77777777" w:rsidR="00A84B9C" w:rsidRDefault="00A84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3619625"/>
      <w:docPartObj>
        <w:docPartGallery w:val="Page Numbers (Bottom of Page)"/>
        <w:docPartUnique/>
      </w:docPartObj>
    </w:sdtPr>
    <w:sdtEndPr>
      <w:rPr>
        <w:noProof/>
      </w:rPr>
    </w:sdtEndPr>
    <w:sdtContent>
      <w:p w14:paraId="16CA13BE" w14:textId="77777777" w:rsidR="00220363" w:rsidRDefault="00220363">
        <w:pPr>
          <w:pStyle w:val="Footer"/>
          <w:jc w:val="right"/>
        </w:pPr>
        <w:r>
          <w:fldChar w:fldCharType="begin"/>
        </w:r>
        <w:r>
          <w:instrText xml:space="preserve"> PAGE   \* MERGEFORMAT </w:instrText>
        </w:r>
        <w:r>
          <w:fldChar w:fldCharType="separate"/>
        </w:r>
        <w:r w:rsidR="00AC49B0">
          <w:rPr>
            <w:noProof/>
          </w:rPr>
          <w:t>15</w:t>
        </w:r>
        <w:r>
          <w:rPr>
            <w:noProof/>
          </w:rPr>
          <w:fldChar w:fldCharType="end"/>
        </w:r>
      </w:p>
    </w:sdtContent>
  </w:sdt>
  <w:p w14:paraId="61642BB3" w14:textId="77777777" w:rsidR="00220363" w:rsidRDefault="002203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C22FB" w14:textId="77777777" w:rsidR="00A84B9C" w:rsidRDefault="00A84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8D215" w14:textId="77777777" w:rsidR="00230AD9" w:rsidRDefault="00230AD9" w:rsidP="004C4189">
      <w:pPr>
        <w:spacing w:after="0" w:line="240" w:lineRule="auto"/>
      </w:pPr>
      <w:r>
        <w:separator/>
      </w:r>
    </w:p>
  </w:footnote>
  <w:footnote w:type="continuationSeparator" w:id="0">
    <w:p w14:paraId="1397F1E1" w14:textId="77777777" w:rsidR="00230AD9" w:rsidRDefault="00230AD9" w:rsidP="004C4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FD684" w14:textId="4C3A0DF1" w:rsidR="00A84B9C" w:rsidRDefault="00A84B9C">
    <w:pPr>
      <w:pStyle w:val="Header"/>
    </w:pPr>
    <w:r>
      <w:rPr>
        <w:noProof/>
      </w:rPr>
      <w:pict w14:anchorId="222A4F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911704" o:spid="_x0000_s2050" type="#_x0000_t136" style="position:absolute;margin-left:0;margin-top:0;width:592.3pt;height:43.85pt;rotation:315;z-index:-251655168;mso-position-horizontal:center;mso-position-horizontal-relative:margin;mso-position-vertical:center;mso-position-vertical-relative:margin" o:allowincell="f" fillcolor="silver" stroked="f">
          <v:fill opacity=".5"/>
          <v:textpath style="font-family:&quot;Arial&quot;;font-size:1pt" string="REPOSITORY ACCEPTED COP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0FE9C" w14:textId="642BE06A" w:rsidR="00A84B9C" w:rsidRDefault="00A84B9C">
    <w:pPr>
      <w:pStyle w:val="Header"/>
    </w:pPr>
    <w:r>
      <w:rPr>
        <w:noProof/>
      </w:rPr>
      <w:pict w14:anchorId="389FC3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911705" o:spid="_x0000_s2051" type="#_x0000_t136" style="position:absolute;margin-left:0;margin-top:0;width:592.3pt;height:43.85pt;rotation:315;z-index:-251653120;mso-position-horizontal:center;mso-position-horizontal-relative:margin;mso-position-vertical:center;mso-position-vertical-relative:margin" o:allowincell="f" fillcolor="silver" stroked="f">
          <v:fill opacity=".5"/>
          <v:textpath style="font-family:&quot;Arial&quot;;font-size:1pt" string="REPOSITORY ACCEPTED COPY"/>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060A1" w14:textId="59D02DCE" w:rsidR="00A84B9C" w:rsidRDefault="00A84B9C">
    <w:pPr>
      <w:pStyle w:val="Header"/>
    </w:pPr>
    <w:r>
      <w:rPr>
        <w:noProof/>
      </w:rPr>
      <w:pict w14:anchorId="1268CE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911703" o:spid="_x0000_s2049" type="#_x0000_t136" style="position:absolute;margin-left:0;margin-top:0;width:592.3pt;height:43.85pt;rotation:315;z-index:-251657216;mso-position-horizontal:center;mso-position-horizontal-relative:margin;mso-position-vertical:center;mso-position-vertical-relative:margin" o:allowincell="f" fillcolor="silver" stroked="f">
          <v:fill opacity=".5"/>
          <v:textpath style="font-family:&quot;Arial&quot;;font-size:1pt" string="REPOSITORY ACCEPTED COPY"/>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3784F"/>
    <w:multiLevelType w:val="multilevel"/>
    <w:tmpl w:val="68AE41A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B987A81"/>
    <w:multiLevelType w:val="multilevel"/>
    <w:tmpl w:val="0A88586A"/>
    <w:lvl w:ilvl="0">
      <w:start w:val="2"/>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3A616B"/>
    <w:multiLevelType w:val="multilevel"/>
    <w:tmpl w:val="E710CCF4"/>
    <w:lvl w:ilvl="0">
      <w:start w:val="1"/>
      <w:numFmt w:val="decimal"/>
      <w:lvlText w:val="%1."/>
      <w:lvlJc w:val="left"/>
      <w:pPr>
        <w:ind w:left="720" w:hanging="360"/>
      </w:pPr>
      <w:rPr>
        <w:rFonts w:hint="default"/>
      </w:rPr>
    </w:lvl>
    <w:lvl w:ilvl="1">
      <w:start w:val="1"/>
      <w:numFmt w:val="decimal"/>
      <w:isLgl/>
      <w:lvlText w:val="%1.%2"/>
      <w:lvlJc w:val="left"/>
      <w:pPr>
        <w:ind w:left="746" w:hanging="38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24C7229"/>
    <w:multiLevelType w:val="multilevel"/>
    <w:tmpl w:val="E18E87AC"/>
    <w:lvl w:ilvl="0">
      <w:start w:val="1"/>
      <w:numFmt w:val="decimal"/>
      <w:lvlText w:val="%1.0"/>
      <w:lvlJc w:val="left"/>
      <w:pPr>
        <w:ind w:left="369" w:hanging="369"/>
      </w:pPr>
      <w:rPr>
        <w:rFonts w:hint="default"/>
      </w:rPr>
    </w:lvl>
    <w:lvl w:ilvl="1">
      <w:start w:val="1"/>
      <w:numFmt w:val="decimal"/>
      <w:lvlText w:val="%1.%2"/>
      <w:lvlJc w:val="left"/>
      <w:pPr>
        <w:ind w:left="1089" w:hanging="369"/>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126387F"/>
    <w:multiLevelType w:val="hybridMultilevel"/>
    <w:tmpl w:val="7D0826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5C417C"/>
    <w:multiLevelType w:val="hybridMultilevel"/>
    <w:tmpl w:val="F3C8FB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F11142"/>
    <w:multiLevelType w:val="hybridMultilevel"/>
    <w:tmpl w:val="74FECB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3D6529"/>
    <w:multiLevelType w:val="hybridMultilevel"/>
    <w:tmpl w:val="DAD25A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0767A7"/>
    <w:multiLevelType w:val="hybridMultilevel"/>
    <w:tmpl w:val="DCCCF8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0E12E22"/>
    <w:multiLevelType w:val="hybridMultilevel"/>
    <w:tmpl w:val="B23677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6D7B27"/>
    <w:multiLevelType w:val="hybridMultilevel"/>
    <w:tmpl w:val="CF3CB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B974FB"/>
    <w:multiLevelType w:val="hybridMultilevel"/>
    <w:tmpl w:val="199E1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9012A2"/>
    <w:multiLevelType w:val="hybridMultilevel"/>
    <w:tmpl w:val="55A4DD26"/>
    <w:lvl w:ilvl="0" w:tplc="6A0A6118">
      <w:start w:val="1"/>
      <w:numFmt w:val="decimal"/>
      <w:lvlText w:val="%1."/>
      <w:lvlJc w:val="left"/>
      <w:pPr>
        <w:ind w:left="720" w:hanging="360"/>
      </w:pPr>
      <w:rPr>
        <w:rFonts w:asciiTheme="majorHAnsi" w:hAnsiTheme="majorHAnsi" w:cstheme="majorBidi"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F76E1D"/>
    <w:multiLevelType w:val="hybridMultilevel"/>
    <w:tmpl w:val="97EA96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1B34FF"/>
    <w:multiLevelType w:val="multilevel"/>
    <w:tmpl w:val="B2ACFFA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31976B2"/>
    <w:multiLevelType w:val="hybridMultilevel"/>
    <w:tmpl w:val="7A2C6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9A15A7"/>
    <w:multiLevelType w:val="multilevel"/>
    <w:tmpl w:val="A2FE5442"/>
    <w:lvl w:ilvl="0">
      <w:start w:val="1"/>
      <w:numFmt w:val="decimal"/>
      <w:lvlText w:val="%1"/>
      <w:lvlJc w:val="left"/>
      <w:pPr>
        <w:ind w:left="403" w:hanging="403"/>
      </w:pPr>
      <w:rPr>
        <w:rFonts w:hint="default"/>
      </w:rPr>
    </w:lvl>
    <w:lvl w:ilvl="1">
      <w:start w:val="1"/>
      <w:numFmt w:val="decimal"/>
      <w:lvlText w:val="%1.%2"/>
      <w:lvlJc w:val="left"/>
      <w:pPr>
        <w:ind w:left="403" w:hanging="40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98C5EF5"/>
    <w:multiLevelType w:val="hybridMultilevel"/>
    <w:tmpl w:val="A77821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4152C3"/>
    <w:multiLevelType w:val="multilevel"/>
    <w:tmpl w:val="68AE41A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77204FDD"/>
    <w:multiLevelType w:val="multilevel"/>
    <w:tmpl w:val="7610DEE0"/>
    <w:lvl w:ilvl="0">
      <w:start w:val="1"/>
      <w:numFmt w:val="decimal"/>
      <w:lvlText w:val="%1."/>
      <w:lvlJc w:val="left"/>
      <w:pPr>
        <w:ind w:left="360" w:hanging="360"/>
      </w:pPr>
      <w:rPr>
        <w:rFonts w:hint="default"/>
      </w:rPr>
    </w:lvl>
    <w:lvl w:ilvl="1">
      <w:start w:val="3"/>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7CDE1424"/>
    <w:multiLevelType w:val="multilevel"/>
    <w:tmpl w:val="6226AD06"/>
    <w:lvl w:ilvl="0">
      <w:start w:val="2"/>
      <w:numFmt w:val="decimal"/>
      <w:lvlText w:val="%1"/>
      <w:lvlJc w:val="left"/>
      <w:pPr>
        <w:ind w:left="360" w:hanging="360"/>
      </w:pPr>
      <w:rPr>
        <w:rFonts w:hint="default"/>
      </w:rPr>
    </w:lvl>
    <w:lvl w:ilvl="1">
      <w:start w:val="2"/>
      <w:numFmt w:val="decimal"/>
      <w:lvlText w:val="%1.%2"/>
      <w:lvlJc w:val="left"/>
      <w:pPr>
        <w:ind w:left="360" w:hanging="360"/>
      </w:pPr>
      <w:rPr>
        <w:rFonts w:ascii="Arial" w:hAnsi="Arial" w:cs="Arial"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9"/>
  </w:num>
  <w:num w:numId="3">
    <w:abstractNumId w:val="1"/>
  </w:num>
  <w:num w:numId="4">
    <w:abstractNumId w:val="20"/>
  </w:num>
  <w:num w:numId="5">
    <w:abstractNumId w:val="2"/>
  </w:num>
  <w:num w:numId="6">
    <w:abstractNumId w:val="14"/>
  </w:num>
  <w:num w:numId="7">
    <w:abstractNumId w:val="12"/>
  </w:num>
  <w:num w:numId="8">
    <w:abstractNumId w:val="4"/>
  </w:num>
  <w:num w:numId="9">
    <w:abstractNumId w:val="13"/>
  </w:num>
  <w:num w:numId="10">
    <w:abstractNumId w:val="9"/>
  </w:num>
  <w:num w:numId="11">
    <w:abstractNumId w:val="6"/>
  </w:num>
  <w:num w:numId="12">
    <w:abstractNumId w:val="16"/>
  </w:num>
  <w:num w:numId="13">
    <w:abstractNumId w:val="17"/>
  </w:num>
  <w:num w:numId="14">
    <w:abstractNumId w:val="15"/>
  </w:num>
  <w:num w:numId="15">
    <w:abstractNumId w:val="5"/>
  </w:num>
  <w:num w:numId="16">
    <w:abstractNumId w:val="3"/>
  </w:num>
  <w:num w:numId="17">
    <w:abstractNumId w:val="0"/>
  </w:num>
  <w:num w:numId="18">
    <w:abstractNumId w:val="18"/>
  </w:num>
  <w:num w:numId="19">
    <w:abstractNumId w:val="10"/>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az9raftmsa2dbex2x05fvaas25vwxpdpe5s&quot;&gt;My EndNote Library april 2019-Saved July 2019-Saved&lt;record-ids&gt;&lt;item&gt;159&lt;/item&gt;&lt;item&gt;233&lt;/item&gt;&lt;item&gt;726&lt;/item&gt;&lt;item&gt;2627&lt;/item&gt;&lt;item&gt;2632&lt;/item&gt;&lt;item&gt;2637&lt;/item&gt;&lt;item&gt;2638&lt;/item&gt;&lt;item&gt;2643&lt;/item&gt;&lt;item&gt;2647&lt;/item&gt;&lt;item&gt;2668&lt;/item&gt;&lt;item&gt;2669&lt;/item&gt;&lt;item&gt;2670&lt;/item&gt;&lt;item&gt;2671&lt;/item&gt;&lt;item&gt;2672&lt;/item&gt;&lt;item&gt;2673&lt;/item&gt;&lt;item&gt;2674&lt;/item&gt;&lt;item&gt;2675&lt;/item&gt;&lt;item&gt;2676&lt;/item&gt;&lt;item&gt;2677&lt;/item&gt;&lt;item&gt;2678&lt;/item&gt;&lt;/record-ids&gt;&lt;/item&gt;&lt;/Libraries&gt;"/>
  </w:docVars>
  <w:rsids>
    <w:rsidRoot w:val="00A22F3F"/>
    <w:rsid w:val="00000006"/>
    <w:rsid w:val="00003857"/>
    <w:rsid w:val="00004FA8"/>
    <w:rsid w:val="000051CE"/>
    <w:rsid w:val="00005A12"/>
    <w:rsid w:val="00010FF3"/>
    <w:rsid w:val="00012E22"/>
    <w:rsid w:val="00012F70"/>
    <w:rsid w:val="0001795C"/>
    <w:rsid w:val="00020A2D"/>
    <w:rsid w:val="00022687"/>
    <w:rsid w:val="00024479"/>
    <w:rsid w:val="00024DA1"/>
    <w:rsid w:val="00026DB6"/>
    <w:rsid w:val="00027137"/>
    <w:rsid w:val="00027AFD"/>
    <w:rsid w:val="000369DD"/>
    <w:rsid w:val="00045852"/>
    <w:rsid w:val="00046976"/>
    <w:rsid w:val="00051D24"/>
    <w:rsid w:val="00053884"/>
    <w:rsid w:val="00053FE0"/>
    <w:rsid w:val="00056FC9"/>
    <w:rsid w:val="00060CD1"/>
    <w:rsid w:val="00063480"/>
    <w:rsid w:val="00064610"/>
    <w:rsid w:val="00066E5A"/>
    <w:rsid w:val="00067983"/>
    <w:rsid w:val="000706EF"/>
    <w:rsid w:val="0007220C"/>
    <w:rsid w:val="0007458E"/>
    <w:rsid w:val="00074880"/>
    <w:rsid w:val="00077D91"/>
    <w:rsid w:val="00081027"/>
    <w:rsid w:val="0008326C"/>
    <w:rsid w:val="000844D9"/>
    <w:rsid w:val="00093665"/>
    <w:rsid w:val="00095B6D"/>
    <w:rsid w:val="000A0CA5"/>
    <w:rsid w:val="000A4502"/>
    <w:rsid w:val="000B2FC7"/>
    <w:rsid w:val="000B6637"/>
    <w:rsid w:val="000B6C4B"/>
    <w:rsid w:val="000C047A"/>
    <w:rsid w:val="000C2615"/>
    <w:rsid w:val="000C2778"/>
    <w:rsid w:val="000C3B06"/>
    <w:rsid w:val="000D01F4"/>
    <w:rsid w:val="000D124F"/>
    <w:rsid w:val="000D4FEA"/>
    <w:rsid w:val="000D5849"/>
    <w:rsid w:val="000D7A5E"/>
    <w:rsid w:val="000E0891"/>
    <w:rsid w:val="000E1D31"/>
    <w:rsid w:val="000E4E7D"/>
    <w:rsid w:val="000E6231"/>
    <w:rsid w:val="000F292A"/>
    <w:rsid w:val="000F73C1"/>
    <w:rsid w:val="000F7C7E"/>
    <w:rsid w:val="0010085D"/>
    <w:rsid w:val="00101221"/>
    <w:rsid w:val="00101CDD"/>
    <w:rsid w:val="00103BAA"/>
    <w:rsid w:val="00111963"/>
    <w:rsid w:val="00112BFF"/>
    <w:rsid w:val="00114DFA"/>
    <w:rsid w:val="00115665"/>
    <w:rsid w:val="0011702A"/>
    <w:rsid w:val="0011794C"/>
    <w:rsid w:val="00117E85"/>
    <w:rsid w:val="00120A90"/>
    <w:rsid w:val="00125346"/>
    <w:rsid w:val="00127392"/>
    <w:rsid w:val="00143416"/>
    <w:rsid w:val="0014651F"/>
    <w:rsid w:val="001467E1"/>
    <w:rsid w:val="00147EFF"/>
    <w:rsid w:val="00151702"/>
    <w:rsid w:val="001518F4"/>
    <w:rsid w:val="001523C3"/>
    <w:rsid w:val="00153EC8"/>
    <w:rsid w:val="00154D55"/>
    <w:rsid w:val="001569F1"/>
    <w:rsid w:val="00156B32"/>
    <w:rsid w:val="00157121"/>
    <w:rsid w:val="001618CD"/>
    <w:rsid w:val="001620B4"/>
    <w:rsid w:val="00167383"/>
    <w:rsid w:val="00167549"/>
    <w:rsid w:val="00170477"/>
    <w:rsid w:val="001720E4"/>
    <w:rsid w:val="00175C35"/>
    <w:rsid w:val="001768BB"/>
    <w:rsid w:val="00176C18"/>
    <w:rsid w:val="00177694"/>
    <w:rsid w:val="00177864"/>
    <w:rsid w:val="0018076A"/>
    <w:rsid w:val="001810EE"/>
    <w:rsid w:val="00183815"/>
    <w:rsid w:val="00183BA6"/>
    <w:rsid w:val="00186F3C"/>
    <w:rsid w:val="00193749"/>
    <w:rsid w:val="00194232"/>
    <w:rsid w:val="00195EEA"/>
    <w:rsid w:val="001963C4"/>
    <w:rsid w:val="001A0576"/>
    <w:rsid w:val="001A093A"/>
    <w:rsid w:val="001A2EEA"/>
    <w:rsid w:val="001A3A20"/>
    <w:rsid w:val="001A52E2"/>
    <w:rsid w:val="001B1E2B"/>
    <w:rsid w:val="001B21E3"/>
    <w:rsid w:val="001B41E9"/>
    <w:rsid w:val="001B4437"/>
    <w:rsid w:val="001B5817"/>
    <w:rsid w:val="001C1B27"/>
    <w:rsid w:val="001C1FD1"/>
    <w:rsid w:val="001C3FCE"/>
    <w:rsid w:val="001C662F"/>
    <w:rsid w:val="001D1B17"/>
    <w:rsid w:val="001D29B7"/>
    <w:rsid w:val="001D2D73"/>
    <w:rsid w:val="001D7770"/>
    <w:rsid w:val="001E1E5C"/>
    <w:rsid w:val="001E3B19"/>
    <w:rsid w:val="001E489B"/>
    <w:rsid w:val="001E6C47"/>
    <w:rsid w:val="00200DE9"/>
    <w:rsid w:val="00201A95"/>
    <w:rsid w:val="00205A57"/>
    <w:rsid w:val="0021074D"/>
    <w:rsid w:val="002110A2"/>
    <w:rsid w:val="0022005D"/>
    <w:rsid w:val="0022014A"/>
    <w:rsid w:val="00220363"/>
    <w:rsid w:val="00220F55"/>
    <w:rsid w:val="00221664"/>
    <w:rsid w:val="00221A53"/>
    <w:rsid w:val="0022274A"/>
    <w:rsid w:val="0022302E"/>
    <w:rsid w:val="00225F2E"/>
    <w:rsid w:val="002303D9"/>
    <w:rsid w:val="00230AD9"/>
    <w:rsid w:val="002364F2"/>
    <w:rsid w:val="0024143A"/>
    <w:rsid w:val="00242CB4"/>
    <w:rsid w:val="00246E71"/>
    <w:rsid w:val="00254A62"/>
    <w:rsid w:val="00255C60"/>
    <w:rsid w:val="00256B05"/>
    <w:rsid w:val="002713AB"/>
    <w:rsid w:val="00272232"/>
    <w:rsid w:val="002742EF"/>
    <w:rsid w:val="002749AD"/>
    <w:rsid w:val="002754BE"/>
    <w:rsid w:val="0027701E"/>
    <w:rsid w:val="00277753"/>
    <w:rsid w:val="0028096A"/>
    <w:rsid w:val="002820F1"/>
    <w:rsid w:val="002824DD"/>
    <w:rsid w:val="00286F1B"/>
    <w:rsid w:val="00290A5D"/>
    <w:rsid w:val="002911FA"/>
    <w:rsid w:val="00292C90"/>
    <w:rsid w:val="00294B81"/>
    <w:rsid w:val="002A1A0E"/>
    <w:rsid w:val="002A22B7"/>
    <w:rsid w:val="002A3468"/>
    <w:rsid w:val="002A7E53"/>
    <w:rsid w:val="002B060B"/>
    <w:rsid w:val="002B294E"/>
    <w:rsid w:val="002B46A5"/>
    <w:rsid w:val="002B67DB"/>
    <w:rsid w:val="002B73D0"/>
    <w:rsid w:val="002C2B2E"/>
    <w:rsid w:val="002C4F5C"/>
    <w:rsid w:val="002C5616"/>
    <w:rsid w:val="002D3AB1"/>
    <w:rsid w:val="002D51E2"/>
    <w:rsid w:val="002D5F35"/>
    <w:rsid w:val="002D64F2"/>
    <w:rsid w:val="002E0AD0"/>
    <w:rsid w:val="002E107A"/>
    <w:rsid w:val="002E13B0"/>
    <w:rsid w:val="002E16CA"/>
    <w:rsid w:val="002E38F4"/>
    <w:rsid w:val="002E4312"/>
    <w:rsid w:val="002E5907"/>
    <w:rsid w:val="002E7449"/>
    <w:rsid w:val="002F36B1"/>
    <w:rsid w:val="002F40A0"/>
    <w:rsid w:val="002F5F8C"/>
    <w:rsid w:val="002F6D5A"/>
    <w:rsid w:val="002F7254"/>
    <w:rsid w:val="002F78FE"/>
    <w:rsid w:val="002F7A38"/>
    <w:rsid w:val="003050D2"/>
    <w:rsid w:val="003053D0"/>
    <w:rsid w:val="0030727C"/>
    <w:rsid w:val="003119E6"/>
    <w:rsid w:val="00313A0B"/>
    <w:rsid w:val="003148FF"/>
    <w:rsid w:val="00317EE3"/>
    <w:rsid w:val="003229D5"/>
    <w:rsid w:val="003240FF"/>
    <w:rsid w:val="003248CA"/>
    <w:rsid w:val="00324946"/>
    <w:rsid w:val="00327B58"/>
    <w:rsid w:val="0033115E"/>
    <w:rsid w:val="003313AF"/>
    <w:rsid w:val="00333B41"/>
    <w:rsid w:val="00340A91"/>
    <w:rsid w:val="003430DB"/>
    <w:rsid w:val="0034525A"/>
    <w:rsid w:val="0034688A"/>
    <w:rsid w:val="00347B59"/>
    <w:rsid w:val="00347F1D"/>
    <w:rsid w:val="0035605B"/>
    <w:rsid w:val="0035672E"/>
    <w:rsid w:val="00360552"/>
    <w:rsid w:val="00361619"/>
    <w:rsid w:val="00361C92"/>
    <w:rsid w:val="00362541"/>
    <w:rsid w:val="00362749"/>
    <w:rsid w:val="003646A9"/>
    <w:rsid w:val="00364E5B"/>
    <w:rsid w:val="003653FB"/>
    <w:rsid w:val="00371DFD"/>
    <w:rsid w:val="003775CD"/>
    <w:rsid w:val="00377D0B"/>
    <w:rsid w:val="003808CB"/>
    <w:rsid w:val="00381D1F"/>
    <w:rsid w:val="00383C7D"/>
    <w:rsid w:val="00386C71"/>
    <w:rsid w:val="00390004"/>
    <w:rsid w:val="00396E20"/>
    <w:rsid w:val="003971D8"/>
    <w:rsid w:val="003A160D"/>
    <w:rsid w:val="003A2870"/>
    <w:rsid w:val="003A643A"/>
    <w:rsid w:val="003A71CC"/>
    <w:rsid w:val="003B0F07"/>
    <w:rsid w:val="003B205D"/>
    <w:rsid w:val="003B20B6"/>
    <w:rsid w:val="003B36C1"/>
    <w:rsid w:val="003C58FE"/>
    <w:rsid w:val="003C5A14"/>
    <w:rsid w:val="003C5FBE"/>
    <w:rsid w:val="003C68D3"/>
    <w:rsid w:val="003D3E02"/>
    <w:rsid w:val="003D5CC7"/>
    <w:rsid w:val="003D75C5"/>
    <w:rsid w:val="003E07E8"/>
    <w:rsid w:val="003E1571"/>
    <w:rsid w:val="003E1F96"/>
    <w:rsid w:val="003E3C67"/>
    <w:rsid w:val="003E5549"/>
    <w:rsid w:val="003F0047"/>
    <w:rsid w:val="003F1901"/>
    <w:rsid w:val="003F1DD9"/>
    <w:rsid w:val="003F1F19"/>
    <w:rsid w:val="003F2837"/>
    <w:rsid w:val="003F4892"/>
    <w:rsid w:val="003F78E2"/>
    <w:rsid w:val="004035B9"/>
    <w:rsid w:val="00403EC1"/>
    <w:rsid w:val="004042B7"/>
    <w:rsid w:val="0040489B"/>
    <w:rsid w:val="00404A54"/>
    <w:rsid w:val="00404E26"/>
    <w:rsid w:val="004057C0"/>
    <w:rsid w:val="00405E2B"/>
    <w:rsid w:val="004135FE"/>
    <w:rsid w:val="00414A18"/>
    <w:rsid w:val="00423044"/>
    <w:rsid w:val="004251EE"/>
    <w:rsid w:val="00425A66"/>
    <w:rsid w:val="00427DFC"/>
    <w:rsid w:val="004354A6"/>
    <w:rsid w:val="00442346"/>
    <w:rsid w:val="00450257"/>
    <w:rsid w:val="00451526"/>
    <w:rsid w:val="004526A6"/>
    <w:rsid w:val="00454910"/>
    <w:rsid w:val="00465FC9"/>
    <w:rsid w:val="004716B9"/>
    <w:rsid w:val="00473161"/>
    <w:rsid w:val="004762D7"/>
    <w:rsid w:val="00476423"/>
    <w:rsid w:val="00487283"/>
    <w:rsid w:val="00490481"/>
    <w:rsid w:val="004952E3"/>
    <w:rsid w:val="004A034C"/>
    <w:rsid w:val="004A1859"/>
    <w:rsid w:val="004A1A10"/>
    <w:rsid w:val="004A25F2"/>
    <w:rsid w:val="004A2C1E"/>
    <w:rsid w:val="004A44ED"/>
    <w:rsid w:val="004A45D2"/>
    <w:rsid w:val="004A6D2D"/>
    <w:rsid w:val="004B1D65"/>
    <w:rsid w:val="004B44F0"/>
    <w:rsid w:val="004B4E9B"/>
    <w:rsid w:val="004B4EF3"/>
    <w:rsid w:val="004B556F"/>
    <w:rsid w:val="004B56F6"/>
    <w:rsid w:val="004B6BC4"/>
    <w:rsid w:val="004B7D1F"/>
    <w:rsid w:val="004C0727"/>
    <w:rsid w:val="004C23B3"/>
    <w:rsid w:val="004C3DAD"/>
    <w:rsid w:val="004C4189"/>
    <w:rsid w:val="004C6E0D"/>
    <w:rsid w:val="004C6E7F"/>
    <w:rsid w:val="004D19F4"/>
    <w:rsid w:val="004D3E2C"/>
    <w:rsid w:val="004E0D14"/>
    <w:rsid w:val="004E7112"/>
    <w:rsid w:val="004F3041"/>
    <w:rsid w:val="004F3CF9"/>
    <w:rsid w:val="004F4902"/>
    <w:rsid w:val="004F5467"/>
    <w:rsid w:val="00501648"/>
    <w:rsid w:val="0050708E"/>
    <w:rsid w:val="005135B4"/>
    <w:rsid w:val="00514779"/>
    <w:rsid w:val="00514970"/>
    <w:rsid w:val="005221FC"/>
    <w:rsid w:val="00524DA4"/>
    <w:rsid w:val="0052734F"/>
    <w:rsid w:val="0053174C"/>
    <w:rsid w:val="005326B9"/>
    <w:rsid w:val="0053665C"/>
    <w:rsid w:val="00543186"/>
    <w:rsid w:val="00547432"/>
    <w:rsid w:val="005502B5"/>
    <w:rsid w:val="005521C7"/>
    <w:rsid w:val="00552747"/>
    <w:rsid w:val="00553660"/>
    <w:rsid w:val="00553F30"/>
    <w:rsid w:val="005547B3"/>
    <w:rsid w:val="00560ED2"/>
    <w:rsid w:val="00561CE5"/>
    <w:rsid w:val="0056228F"/>
    <w:rsid w:val="0056343B"/>
    <w:rsid w:val="00563AD7"/>
    <w:rsid w:val="0057168C"/>
    <w:rsid w:val="00573BDF"/>
    <w:rsid w:val="00577256"/>
    <w:rsid w:val="00577517"/>
    <w:rsid w:val="00581990"/>
    <w:rsid w:val="00582456"/>
    <w:rsid w:val="00585015"/>
    <w:rsid w:val="005852EE"/>
    <w:rsid w:val="00585A9E"/>
    <w:rsid w:val="00587CB0"/>
    <w:rsid w:val="00590A17"/>
    <w:rsid w:val="00591057"/>
    <w:rsid w:val="00592594"/>
    <w:rsid w:val="00595144"/>
    <w:rsid w:val="00595B82"/>
    <w:rsid w:val="005965DB"/>
    <w:rsid w:val="005A04D1"/>
    <w:rsid w:val="005A3C92"/>
    <w:rsid w:val="005A7B0A"/>
    <w:rsid w:val="005B0DE4"/>
    <w:rsid w:val="005B22CF"/>
    <w:rsid w:val="005B599E"/>
    <w:rsid w:val="005B7FE3"/>
    <w:rsid w:val="005C123D"/>
    <w:rsid w:val="005C165A"/>
    <w:rsid w:val="005C32F3"/>
    <w:rsid w:val="005D0E03"/>
    <w:rsid w:val="005D41D5"/>
    <w:rsid w:val="005D7F01"/>
    <w:rsid w:val="005E05C7"/>
    <w:rsid w:val="005E164D"/>
    <w:rsid w:val="005E33D9"/>
    <w:rsid w:val="005E3667"/>
    <w:rsid w:val="005E378B"/>
    <w:rsid w:val="005E691A"/>
    <w:rsid w:val="005E6DE6"/>
    <w:rsid w:val="005E760A"/>
    <w:rsid w:val="005F34E9"/>
    <w:rsid w:val="006021A4"/>
    <w:rsid w:val="00602C99"/>
    <w:rsid w:val="006032E4"/>
    <w:rsid w:val="0060523D"/>
    <w:rsid w:val="0061418A"/>
    <w:rsid w:val="00614811"/>
    <w:rsid w:val="00615379"/>
    <w:rsid w:val="006158A5"/>
    <w:rsid w:val="00615E76"/>
    <w:rsid w:val="00615F95"/>
    <w:rsid w:val="00617B35"/>
    <w:rsid w:val="00621AF0"/>
    <w:rsid w:val="006224AB"/>
    <w:rsid w:val="00625EB6"/>
    <w:rsid w:val="006276AF"/>
    <w:rsid w:val="00630DF7"/>
    <w:rsid w:val="00631CE6"/>
    <w:rsid w:val="00632C2C"/>
    <w:rsid w:val="006401EB"/>
    <w:rsid w:val="00642170"/>
    <w:rsid w:val="00642832"/>
    <w:rsid w:val="0064302B"/>
    <w:rsid w:val="00651A24"/>
    <w:rsid w:val="00651BD2"/>
    <w:rsid w:val="00661E7A"/>
    <w:rsid w:val="0066486B"/>
    <w:rsid w:val="00670BBA"/>
    <w:rsid w:val="00673AEE"/>
    <w:rsid w:val="00674B8C"/>
    <w:rsid w:val="00675559"/>
    <w:rsid w:val="0067716E"/>
    <w:rsid w:val="00677422"/>
    <w:rsid w:val="00681A8F"/>
    <w:rsid w:val="00683AF6"/>
    <w:rsid w:val="00683CC4"/>
    <w:rsid w:val="00684565"/>
    <w:rsid w:val="00685D1E"/>
    <w:rsid w:val="006A0D43"/>
    <w:rsid w:val="006A7E8C"/>
    <w:rsid w:val="006B1996"/>
    <w:rsid w:val="006B48EB"/>
    <w:rsid w:val="006B5765"/>
    <w:rsid w:val="006B5D6E"/>
    <w:rsid w:val="006C5932"/>
    <w:rsid w:val="006C75F9"/>
    <w:rsid w:val="006D030F"/>
    <w:rsid w:val="006D1240"/>
    <w:rsid w:val="006D5048"/>
    <w:rsid w:val="006D5342"/>
    <w:rsid w:val="006D5715"/>
    <w:rsid w:val="006D7CD8"/>
    <w:rsid w:val="006E5F30"/>
    <w:rsid w:val="006E7C29"/>
    <w:rsid w:val="006F0B11"/>
    <w:rsid w:val="006F171F"/>
    <w:rsid w:val="006F534C"/>
    <w:rsid w:val="006F6DC3"/>
    <w:rsid w:val="00704C0B"/>
    <w:rsid w:val="007061CC"/>
    <w:rsid w:val="007112A3"/>
    <w:rsid w:val="00712CAE"/>
    <w:rsid w:val="00714AA8"/>
    <w:rsid w:val="00716AF2"/>
    <w:rsid w:val="007216D5"/>
    <w:rsid w:val="0072359C"/>
    <w:rsid w:val="007335E7"/>
    <w:rsid w:val="00734B7F"/>
    <w:rsid w:val="00736AA3"/>
    <w:rsid w:val="007433EF"/>
    <w:rsid w:val="00744E46"/>
    <w:rsid w:val="00746448"/>
    <w:rsid w:val="007469CF"/>
    <w:rsid w:val="00747094"/>
    <w:rsid w:val="00751EE1"/>
    <w:rsid w:val="00754370"/>
    <w:rsid w:val="0075538A"/>
    <w:rsid w:val="007565AE"/>
    <w:rsid w:val="00757B2F"/>
    <w:rsid w:val="00757D7F"/>
    <w:rsid w:val="00766BE9"/>
    <w:rsid w:val="00770217"/>
    <w:rsid w:val="00771827"/>
    <w:rsid w:val="00774B2F"/>
    <w:rsid w:val="00774DC1"/>
    <w:rsid w:val="00776FD8"/>
    <w:rsid w:val="00780FE3"/>
    <w:rsid w:val="00786E12"/>
    <w:rsid w:val="00790950"/>
    <w:rsid w:val="00792DC2"/>
    <w:rsid w:val="0079614D"/>
    <w:rsid w:val="007969A7"/>
    <w:rsid w:val="007A1B94"/>
    <w:rsid w:val="007A1DD7"/>
    <w:rsid w:val="007A22F4"/>
    <w:rsid w:val="007A3538"/>
    <w:rsid w:val="007A4B5D"/>
    <w:rsid w:val="007A4BA6"/>
    <w:rsid w:val="007B4C1B"/>
    <w:rsid w:val="007B55F4"/>
    <w:rsid w:val="007B6640"/>
    <w:rsid w:val="007B6A78"/>
    <w:rsid w:val="007C2724"/>
    <w:rsid w:val="007C74AA"/>
    <w:rsid w:val="007D141D"/>
    <w:rsid w:val="007D1E9D"/>
    <w:rsid w:val="007D3338"/>
    <w:rsid w:val="007E1F62"/>
    <w:rsid w:val="007E35FA"/>
    <w:rsid w:val="007E452F"/>
    <w:rsid w:val="007E6F78"/>
    <w:rsid w:val="007E7B4E"/>
    <w:rsid w:val="007F24F2"/>
    <w:rsid w:val="007F2F08"/>
    <w:rsid w:val="007F4157"/>
    <w:rsid w:val="007F6DD7"/>
    <w:rsid w:val="00800223"/>
    <w:rsid w:val="00802220"/>
    <w:rsid w:val="00802E26"/>
    <w:rsid w:val="00814632"/>
    <w:rsid w:val="008160C7"/>
    <w:rsid w:val="00816563"/>
    <w:rsid w:val="00820B63"/>
    <w:rsid w:val="008232C5"/>
    <w:rsid w:val="0083273F"/>
    <w:rsid w:val="00833B92"/>
    <w:rsid w:val="00834DF4"/>
    <w:rsid w:val="00836291"/>
    <w:rsid w:val="00836BE0"/>
    <w:rsid w:val="008403A4"/>
    <w:rsid w:val="00841F20"/>
    <w:rsid w:val="00843A99"/>
    <w:rsid w:val="0084410F"/>
    <w:rsid w:val="00845731"/>
    <w:rsid w:val="00853F35"/>
    <w:rsid w:val="0085574C"/>
    <w:rsid w:val="0085632E"/>
    <w:rsid w:val="0085760A"/>
    <w:rsid w:val="008579E4"/>
    <w:rsid w:val="00863910"/>
    <w:rsid w:val="0087215A"/>
    <w:rsid w:val="00880DE7"/>
    <w:rsid w:val="008836B5"/>
    <w:rsid w:val="00885097"/>
    <w:rsid w:val="00895AB3"/>
    <w:rsid w:val="0089618F"/>
    <w:rsid w:val="008967CE"/>
    <w:rsid w:val="008A1609"/>
    <w:rsid w:val="008A1DE5"/>
    <w:rsid w:val="008A2D02"/>
    <w:rsid w:val="008B0FF8"/>
    <w:rsid w:val="008B21C4"/>
    <w:rsid w:val="008B2B09"/>
    <w:rsid w:val="008B6D6C"/>
    <w:rsid w:val="008C18A7"/>
    <w:rsid w:val="008C3F23"/>
    <w:rsid w:val="008C45C8"/>
    <w:rsid w:val="008C698B"/>
    <w:rsid w:val="008C7E27"/>
    <w:rsid w:val="008D244A"/>
    <w:rsid w:val="008D4015"/>
    <w:rsid w:val="008D4119"/>
    <w:rsid w:val="008D5343"/>
    <w:rsid w:val="008E3027"/>
    <w:rsid w:val="008E34C2"/>
    <w:rsid w:val="008E6591"/>
    <w:rsid w:val="008F069F"/>
    <w:rsid w:val="008F0B99"/>
    <w:rsid w:val="008F203C"/>
    <w:rsid w:val="008F22AB"/>
    <w:rsid w:val="008F4D88"/>
    <w:rsid w:val="008F64FE"/>
    <w:rsid w:val="00900448"/>
    <w:rsid w:val="0090125F"/>
    <w:rsid w:val="00901F6B"/>
    <w:rsid w:val="009046B9"/>
    <w:rsid w:val="0090478B"/>
    <w:rsid w:val="00904A27"/>
    <w:rsid w:val="0090757D"/>
    <w:rsid w:val="0090785F"/>
    <w:rsid w:val="00911CAE"/>
    <w:rsid w:val="009142AC"/>
    <w:rsid w:val="0091530C"/>
    <w:rsid w:val="00915330"/>
    <w:rsid w:val="00916838"/>
    <w:rsid w:val="00920310"/>
    <w:rsid w:val="0092081F"/>
    <w:rsid w:val="00920A05"/>
    <w:rsid w:val="00923234"/>
    <w:rsid w:val="00924309"/>
    <w:rsid w:val="00924610"/>
    <w:rsid w:val="00924619"/>
    <w:rsid w:val="00927738"/>
    <w:rsid w:val="009337B3"/>
    <w:rsid w:val="00933FA4"/>
    <w:rsid w:val="00936A79"/>
    <w:rsid w:val="00936FF3"/>
    <w:rsid w:val="009468CA"/>
    <w:rsid w:val="00947DCC"/>
    <w:rsid w:val="00947FD1"/>
    <w:rsid w:val="0095144C"/>
    <w:rsid w:val="00957780"/>
    <w:rsid w:val="00962771"/>
    <w:rsid w:val="00962E85"/>
    <w:rsid w:val="009645E4"/>
    <w:rsid w:val="00964F79"/>
    <w:rsid w:val="00966CCD"/>
    <w:rsid w:val="009726BB"/>
    <w:rsid w:val="00973CB2"/>
    <w:rsid w:val="009758F0"/>
    <w:rsid w:val="00976918"/>
    <w:rsid w:val="00977959"/>
    <w:rsid w:val="009805AB"/>
    <w:rsid w:val="00981C56"/>
    <w:rsid w:val="009826A7"/>
    <w:rsid w:val="009826D5"/>
    <w:rsid w:val="00983C4D"/>
    <w:rsid w:val="009871B6"/>
    <w:rsid w:val="00991871"/>
    <w:rsid w:val="0099284A"/>
    <w:rsid w:val="00992CF9"/>
    <w:rsid w:val="009947B5"/>
    <w:rsid w:val="00994FB8"/>
    <w:rsid w:val="009A071F"/>
    <w:rsid w:val="009A2FDF"/>
    <w:rsid w:val="009A42D0"/>
    <w:rsid w:val="009B078B"/>
    <w:rsid w:val="009B0875"/>
    <w:rsid w:val="009B35B1"/>
    <w:rsid w:val="009B4299"/>
    <w:rsid w:val="009B78DC"/>
    <w:rsid w:val="009C0777"/>
    <w:rsid w:val="009C3848"/>
    <w:rsid w:val="009C7013"/>
    <w:rsid w:val="009D01B3"/>
    <w:rsid w:val="009D603F"/>
    <w:rsid w:val="009E3831"/>
    <w:rsid w:val="009E3B22"/>
    <w:rsid w:val="009E43B5"/>
    <w:rsid w:val="009F0768"/>
    <w:rsid w:val="009F0F19"/>
    <w:rsid w:val="009F31C1"/>
    <w:rsid w:val="009F3A44"/>
    <w:rsid w:val="009F516D"/>
    <w:rsid w:val="009F5D7A"/>
    <w:rsid w:val="009F7E04"/>
    <w:rsid w:val="00A07AEE"/>
    <w:rsid w:val="00A10CDE"/>
    <w:rsid w:val="00A10E02"/>
    <w:rsid w:val="00A13CF8"/>
    <w:rsid w:val="00A144C9"/>
    <w:rsid w:val="00A14D0B"/>
    <w:rsid w:val="00A21AD8"/>
    <w:rsid w:val="00A227C3"/>
    <w:rsid w:val="00A22C1C"/>
    <w:rsid w:val="00A22F3F"/>
    <w:rsid w:val="00A24293"/>
    <w:rsid w:val="00A255B8"/>
    <w:rsid w:val="00A26BEF"/>
    <w:rsid w:val="00A3084F"/>
    <w:rsid w:val="00A31C57"/>
    <w:rsid w:val="00A32460"/>
    <w:rsid w:val="00A33725"/>
    <w:rsid w:val="00A3483F"/>
    <w:rsid w:val="00A34A76"/>
    <w:rsid w:val="00A44D04"/>
    <w:rsid w:val="00A5246B"/>
    <w:rsid w:val="00A52689"/>
    <w:rsid w:val="00A56386"/>
    <w:rsid w:val="00A614A6"/>
    <w:rsid w:val="00A6155A"/>
    <w:rsid w:val="00A62471"/>
    <w:rsid w:val="00A63436"/>
    <w:rsid w:val="00A6387D"/>
    <w:rsid w:val="00A63C4A"/>
    <w:rsid w:val="00A736E0"/>
    <w:rsid w:val="00A7652E"/>
    <w:rsid w:val="00A80BD5"/>
    <w:rsid w:val="00A81D58"/>
    <w:rsid w:val="00A83495"/>
    <w:rsid w:val="00A841C1"/>
    <w:rsid w:val="00A84B9C"/>
    <w:rsid w:val="00A908D9"/>
    <w:rsid w:val="00A95F52"/>
    <w:rsid w:val="00A95F63"/>
    <w:rsid w:val="00AA0293"/>
    <w:rsid w:val="00AA040F"/>
    <w:rsid w:val="00AA0A04"/>
    <w:rsid w:val="00AA2360"/>
    <w:rsid w:val="00AA5971"/>
    <w:rsid w:val="00AA6DF7"/>
    <w:rsid w:val="00AA706D"/>
    <w:rsid w:val="00AB1B32"/>
    <w:rsid w:val="00AB2981"/>
    <w:rsid w:val="00AB4745"/>
    <w:rsid w:val="00AB4A4C"/>
    <w:rsid w:val="00AB54A3"/>
    <w:rsid w:val="00AB7346"/>
    <w:rsid w:val="00AC11E8"/>
    <w:rsid w:val="00AC2F4C"/>
    <w:rsid w:val="00AC3815"/>
    <w:rsid w:val="00AC49B0"/>
    <w:rsid w:val="00AC74D3"/>
    <w:rsid w:val="00AC7959"/>
    <w:rsid w:val="00AD2C9C"/>
    <w:rsid w:val="00AD563E"/>
    <w:rsid w:val="00AD5F2A"/>
    <w:rsid w:val="00AD6872"/>
    <w:rsid w:val="00AD7405"/>
    <w:rsid w:val="00AE3C3B"/>
    <w:rsid w:val="00AE5B91"/>
    <w:rsid w:val="00AF2720"/>
    <w:rsid w:val="00AF52E9"/>
    <w:rsid w:val="00AF7F3D"/>
    <w:rsid w:val="00B029D7"/>
    <w:rsid w:val="00B04FC1"/>
    <w:rsid w:val="00B06B1E"/>
    <w:rsid w:val="00B07E19"/>
    <w:rsid w:val="00B11568"/>
    <w:rsid w:val="00B138EE"/>
    <w:rsid w:val="00B14A15"/>
    <w:rsid w:val="00B14DC9"/>
    <w:rsid w:val="00B155CB"/>
    <w:rsid w:val="00B170EA"/>
    <w:rsid w:val="00B173EF"/>
    <w:rsid w:val="00B20170"/>
    <w:rsid w:val="00B20CAE"/>
    <w:rsid w:val="00B218D7"/>
    <w:rsid w:val="00B2352A"/>
    <w:rsid w:val="00B24B75"/>
    <w:rsid w:val="00B24D05"/>
    <w:rsid w:val="00B25499"/>
    <w:rsid w:val="00B25A4C"/>
    <w:rsid w:val="00B278CD"/>
    <w:rsid w:val="00B3457E"/>
    <w:rsid w:val="00B35535"/>
    <w:rsid w:val="00B42D34"/>
    <w:rsid w:val="00B437D6"/>
    <w:rsid w:val="00B45415"/>
    <w:rsid w:val="00B50D6C"/>
    <w:rsid w:val="00B516DA"/>
    <w:rsid w:val="00B57BB0"/>
    <w:rsid w:val="00B57FE6"/>
    <w:rsid w:val="00B67FD7"/>
    <w:rsid w:val="00B722A6"/>
    <w:rsid w:val="00B7551F"/>
    <w:rsid w:val="00B75DD9"/>
    <w:rsid w:val="00B75F6D"/>
    <w:rsid w:val="00B81987"/>
    <w:rsid w:val="00B835AD"/>
    <w:rsid w:val="00B87DD1"/>
    <w:rsid w:val="00B9723B"/>
    <w:rsid w:val="00BA005C"/>
    <w:rsid w:val="00BA2CF6"/>
    <w:rsid w:val="00BA348A"/>
    <w:rsid w:val="00BA4350"/>
    <w:rsid w:val="00BA591F"/>
    <w:rsid w:val="00BB1084"/>
    <w:rsid w:val="00BB1D9C"/>
    <w:rsid w:val="00BB4FFA"/>
    <w:rsid w:val="00BB5DC1"/>
    <w:rsid w:val="00BB6A7E"/>
    <w:rsid w:val="00BC0B6C"/>
    <w:rsid w:val="00BC0D6E"/>
    <w:rsid w:val="00BC3574"/>
    <w:rsid w:val="00BC61A6"/>
    <w:rsid w:val="00BD0B67"/>
    <w:rsid w:val="00BD1561"/>
    <w:rsid w:val="00BD501C"/>
    <w:rsid w:val="00BD5A18"/>
    <w:rsid w:val="00BD5A9C"/>
    <w:rsid w:val="00BD6218"/>
    <w:rsid w:val="00BD7FA8"/>
    <w:rsid w:val="00BE6E68"/>
    <w:rsid w:val="00BE7E3B"/>
    <w:rsid w:val="00BF75D2"/>
    <w:rsid w:val="00C02317"/>
    <w:rsid w:val="00C044FB"/>
    <w:rsid w:val="00C12AA6"/>
    <w:rsid w:val="00C14B82"/>
    <w:rsid w:val="00C15E6D"/>
    <w:rsid w:val="00C173EF"/>
    <w:rsid w:val="00C20C66"/>
    <w:rsid w:val="00C20FF4"/>
    <w:rsid w:val="00C2176F"/>
    <w:rsid w:val="00C21EBC"/>
    <w:rsid w:val="00C22165"/>
    <w:rsid w:val="00C2340B"/>
    <w:rsid w:val="00C2730A"/>
    <w:rsid w:val="00C27A2E"/>
    <w:rsid w:val="00C35297"/>
    <w:rsid w:val="00C36A80"/>
    <w:rsid w:val="00C405D9"/>
    <w:rsid w:val="00C46E31"/>
    <w:rsid w:val="00C5064B"/>
    <w:rsid w:val="00C5168D"/>
    <w:rsid w:val="00C5250C"/>
    <w:rsid w:val="00C53E86"/>
    <w:rsid w:val="00C5420E"/>
    <w:rsid w:val="00C55C8C"/>
    <w:rsid w:val="00C55EC8"/>
    <w:rsid w:val="00C5623F"/>
    <w:rsid w:val="00C6329C"/>
    <w:rsid w:val="00C633C7"/>
    <w:rsid w:val="00C64600"/>
    <w:rsid w:val="00C671E5"/>
    <w:rsid w:val="00C67B96"/>
    <w:rsid w:val="00C71A84"/>
    <w:rsid w:val="00C725CA"/>
    <w:rsid w:val="00C72D44"/>
    <w:rsid w:val="00C7475D"/>
    <w:rsid w:val="00C74A5C"/>
    <w:rsid w:val="00C750D8"/>
    <w:rsid w:val="00C76145"/>
    <w:rsid w:val="00C76F32"/>
    <w:rsid w:val="00C80CC0"/>
    <w:rsid w:val="00C8173C"/>
    <w:rsid w:val="00C82ECB"/>
    <w:rsid w:val="00C86BCE"/>
    <w:rsid w:val="00C904F4"/>
    <w:rsid w:val="00C9059B"/>
    <w:rsid w:val="00C9080E"/>
    <w:rsid w:val="00C944F3"/>
    <w:rsid w:val="00CA137C"/>
    <w:rsid w:val="00CA1C5A"/>
    <w:rsid w:val="00CA496A"/>
    <w:rsid w:val="00CA607A"/>
    <w:rsid w:val="00CA677C"/>
    <w:rsid w:val="00CB2E56"/>
    <w:rsid w:val="00CB3548"/>
    <w:rsid w:val="00CB5223"/>
    <w:rsid w:val="00CB6582"/>
    <w:rsid w:val="00CB7E08"/>
    <w:rsid w:val="00CC34A8"/>
    <w:rsid w:val="00CC5AE7"/>
    <w:rsid w:val="00CC758F"/>
    <w:rsid w:val="00CD114A"/>
    <w:rsid w:val="00CD4C11"/>
    <w:rsid w:val="00CD6391"/>
    <w:rsid w:val="00CE0BD1"/>
    <w:rsid w:val="00CE2AE0"/>
    <w:rsid w:val="00CE3802"/>
    <w:rsid w:val="00CE5053"/>
    <w:rsid w:val="00CE574A"/>
    <w:rsid w:val="00CF00D0"/>
    <w:rsid w:val="00CF3688"/>
    <w:rsid w:val="00CF48F0"/>
    <w:rsid w:val="00CF52D5"/>
    <w:rsid w:val="00CF5D24"/>
    <w:rsid w:val="00D005FB"/>
    <w:rsid w:val="00D05046"/>
    <w:rsid w:val="00D11681"/>
    <w:rsid w:val="00D14554"/>
    <w:rsid w:val="00D22B80"/>
    <w:rsid w:val="00D23BC5"/>
    <w:rsid w:val="00D2752E"/>
    <w:rsid w:val="00D278C8"/>
    <w:rsid w:val="00D4158D"/>
    <w:rsid w:val="00D42F5A"/>
    <w:rsid w:val="00D430AD"/>
    <w:rsid w:val="00D43B3D"/>
    <w:rsid w:val="00D44E89"/>
    <w:rsid w:val="00D456CD"/>
    <w:rsid w:val="00D45E92"/>
    <w:rsid w:val="00D47B9C"/>
    <w:rsid w:val="00D5200D"/>
    <w:rsid w:val="00D5332D"/>
    <w:rsid w:val="00D5359F"/>
    <w:rsid w:val="00D5519C"/>
    <w:rsid w:val="00D55DE3"/>
    <w:rsid w:val="00D60FCB"/>
    <w:rsid w:val="00D620B7"/>
    <w:rsid w:val="00D63D23"/>
    <w:rsid w:val="00D652C8"/>
    <w:rsid w:val="00D65757"/>
    <w:rsid w:val="00D65EF7"/>
    <w:rsid w:val="00D6616F"/>
    <w:rsid w:val="00D663B4"/>
    <w:rsid w:val="00D74B4A"/>
    <w:rsid w:val="00D74FF1"/>
    <w:rsid w:val="00D754C7"/>
    <w:rsid w:val="00D776A0"/>
    <w:rsid w:val="00D805BF"/>
    <w:rsid w:val="00D80845"/>
    <w:rsid w:val="00D80995"/>
    <w:rsid w:val="00D813C8"/>
    <w:rsid w:val="00D8170B"/>
    <w:rsid w:val="00D81B44"/>
    <w:rsid w:val="00D83222"/>
    <w:rsid w:val="00D83AB5"/>
    <w:rsid w:val="00D84FE5"/>
    <w:rsid w:val="00D8559B"/>
    <w:rsid w:val="00D85D6D"/>
    <w:rsid w:val="00D86E78"/>
    <w:rsid w:val="00D905D3"/>
    <w:rsid w:val="00D916D1"/>
    <w:rsid w:val="00D92A73"/>
    <w:rsid w:val="00D951D4"/>
    <w:rsid w:val="00D95EB6"/>
    <w:rsid w:val="00D97244"/>
    <w:rsid w:val="00D97F6C"/>
    <w:rsid w:val="00DA2271"/>
    <w:rsid w:val="00DA2AE3"/>
    <w:rsid w:val="00DB3E24"/>
    <w:rsid w:val="00DB4017"/>
    <w:rsid w:val="00DB51F9"/>
    <w:rsid w:val="00DB7744"/>
    <w:rsid w:val="00DB7C74"/>
    <w:rsid w:val="00DC0766"/>
    <w:rsid w:val="00DC3219"/>
    <w:rsid w:val="00DD0E54"/>
    <w:rsid w:val="00DD2EA9"/>
    <w:rsid w:val="00DD380D"/>
    <w:rsid w:val="00DD71C6"/>
    <w:rsid w:val="00DE3F67"/>
    <w:rsid w:val="00DE5108"/>
    <w:rsid w:val="00DF2783"/>
    <w:rsid w:val="00DF3685"/>
    <w:rsid w:val="00DF5902"/>
    <w:rsid w:val="00E06711"/>
    <w:rsid w:val="00E10C6B"/>
    <w:rsid w:val="00E147A9"/>
    <w:rsid w:val="00E15235"/>
    <w:rsid w:val="00E1528E"/>
    <w:rsid w:val="00E15838"/>
    <w:rsid w:val="00E2115F"/>
    <w:rsid w:val="00E23CF3"/>
    <w:rsid w:val="00E31B40"/>
    <w:rsid w:val="00E366CF"/>
    <w:rsid w:val="00E4139C"/>
    <w:rsid w:val="00E428FD"/>
    <w:rsid w:val="00E43154"/>
    <w:rsid w:val="00E47C91"/>
    <w:rsid w:val="00E47CE0"/>
    <w:rsid w:val="00E52B9F"/>
    <w:rsid w:val="00E53242"/>
    <w:rsid w:val="00E544BE"/>
    <w:rsid w:val="00E55A71"/>
    <w:rsid w:val="00E61BAE"/>
    <w:rsid w:val="00E62889"/>
    <w:rsid w:val="00E63647"/>
    <w:rsid w:val="00E66600"/>
    <w:rsid w:val="00E67B89"/>
    <w:rsid w:val="00E67C60"/>
    <w:rsid w:val="00E70078"/>
    <w:rsid w:val="00E71797"/>
    <w:rsid w:val="00E7713C"/>
    <w:rsid w:val="00E811F3"/>
    <w:rsid w:val="00E8347B"/>
    <w:rsid w:val="00E84A50"/>
    <w:rsid w:val="00E902BA"/>
    <w:rsid w:val="00E948A4"/>
    <w:rsid w:val="00E97194"/>
    <w:rsid w:val="00E97C9D"/>
    <w:rsid w:val="00EA0902"/>
    <w:rsid w:val="00EA745C"/>
    <w:rsid w:val="00EA74BD"/>
    <w:rsid w:val="00EC3134"/>
    <w:rsid w:val="00EC5DC0"/>
    <w:rsid w:val="00EC606B"/>
    <w:rsid w:val="00EC7DD9"/>
    <w:rsid w:val="00ED1D88"/>
    <w:rsid w:val="00ED2A90"/>
    <w:rsid w:val="00ED50FB"/>
    <w:rsid w:val="00ED584A"/>
    <w:rsid w:val="00ED6EF9"/>
    <w:rsid w:val="00EE4E60"/>
    <w:rsid w:val="00EE6BD0"/>
    <w:rsid w:val="00EF13D1"/>
    <w:rsid w:val="00EF52EA"/>
    <w:rsid w:val="00EF60DA"/>
    <w:rsid w:val="00EF71C2"/>
    <w:rsid w:val="00EF7FDD"/>
    <w:rsid w:val="00F0069F"/>
    <w:rsid w:val="00F00CC8"/>
    <w:rsid w:val="00F0156C"/>
    <w:rsid w:val="00F02166"/>
    <w:rsid w:val="00F0316F"/>
    <w:rsid w:val="00F0530C"/>
    <w:rsid w:val="00F05487"/>
    <w:rsid w:val="00F12051"/>
    <w:rsid w:val="00F12DC5"/>
    <w:rsid w:val="00F14CC6"/>
    <w:rsid w:val="00F214EF"/>
    <w:rsid w:val="00F24791"/>
    <w:rsid w:val="00F24E42"/>
    <w:rsid w:val="00F25DFC"/>
    <w:rsid w:val="00F32719"/>
    <w:rsid w:val="00F36090"/>
    <w:rsid w:val="00F4247A"/>
    <w:rsid w:val="00F43084"/>
    <w:rsid w:val="00F4359D"/>
    <w:rsid w:val="00F4490D"/>
    <w:rsid w:val="00F458CC"/>
    <w:rsid w:val="00F4591C"/>
    <w:rsid w:val="00F500F3"/>
    <w:rsid w:val="00F568CD"/>
    <w:rsid w:val="00F61868"/>
    <w:rsid w:val="00F624C9"/>
    <w:rsid w:val="00F66E82"/>
    <w:rsid w:val="00F74C9E"/>
    <w:rsid w:val="00F75502"/>
    <w:rsid w:val="00F7576A"/>
    <w:rsid w:val="00F75B47"/>
    <w:rsid w:val="00F77590"/>
    <w:rsid w:val="00F77BC6"/>
    <w:rsid w:val="00F80048"/>
    <w:rsid w:val="00F81C16"/>
    <w:rsid w:val="00F81C3A"/>
    <w:rsid w:val="00F81E2B"/>
    <w:rsid w:val="00F8373A"/>
    <w:rsid w:val="00F83BC4"/>
    <w:rsid w:val="00F8446D"/>
    <w:rsid w:val="00F86D4D"/>
    <w:rsid w:val="00F871F5"/>
    <w:rsid w:val="00F904E5"/>
    <w:rsid w:val="00F96D70"/>
    <w:rsid w:val="00F972C8"/>
    <w:rsid w:val="00FA02AC"/>
    <w:rsid w:val="00FA3D07"/>
    <w:rsid w:val="00FA6A96"/>
    <w:rsid w:val="00FA77EA"/>
    <w:rsid w:val="00FB0D7C"/>
    <w:rsid w:val="00FB1882"/>
    <w:rsid w:val="00FB3920"/>
    <w:rsid w:val="00FB6E4D"/>
    <w:rsid w:val="00FB6E9B"/>
    <w:rsid w:val="00FC00FE"/>
    <w:rsid w:val="00FC1075"/>
    <w:rsid w:val="00FC1341"/>
    <w:rsid w:val="00FC2388"/>
    <w:rsid w:val="00FC3469"/>
    <w:rsid w:val="00FD5282"/>
    <w:rsid w:val="00FE08AD"/>
    <w:rsid w:val="00FE095C"/>
    <w:rsid w:val="00FF084A"/>
    <w:rsid w:val="00FF08EC"/>
    <w:rsid w:val="00FF1F61"/>
    <w:rsid w:val="00FF4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57AA43"/>
  <w15:docId w15:val="{72C8B653-B5B0-4D1D-8550-2C0961F53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A1DD7"/>
  </w:style>
  <w:style w:type="paragraph" w:styleId="Heading1">
    <w:name w:val="heading 1"/>
    <w:basedOn w:val="Normal"/>
    <w:next w:val="Normal"/>
    <w:link w:val="Heading1Char"/>
    <w:uiPriority w:val="9"/>
    <w:qFormat/>
    <w:rsid w:val="00766B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0F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7551F"/>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8B6D6C"/>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41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4189"/>
  </w:style>
  <w:style w:type="paragraph" w:styleId="Footer">
    <w:name w:val="footer"/>
    <w:basedOn w:val="Normal"/>
    <w:link w:val="FooterChar"/>
    <w:uiPriority w:val="99"/>
    <w:unhideWhenUsed/>
    <w:rsid w:val="004C41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189"/>
  </w:style>
  <w:style w:type="character" w:customStyle="1" w:styleId="Heading1Char">
    <w:name w:val="Heading 1 Char"/>
    <w:basedOn w:val="DefaultParagraphFont"/>
    <w:link w:val="Heading1"/>
    <w:uiPriority w:val="9"/>
    <w:rsid w:val="00766BE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66BE9"/>
    <w:pPr>
      <w:outlineLvl w:val="9"/>
    </w:pPr>
    <w:rPr>
      <w:bCs/>
      <w:lang w:val="en-US"/>
    </w:rPr>
  </w:style>
  <w:style w:type="paragraph" w:styleId="ListParagraph">
    <w:name w:val="List Paragraph"/>
    <w:basedOn w:val="Normal"/>
    <w:uiPriority w:val="34"/>
    <w:qFormat/>
    <w:rsid w:val="0060523D"/>
    <w:pPr>
      <w:ind w:left="720"/>
      <w:contextualSpacing/>
    </w:pPr>
  </w:style>
  <w:style w:type="character" w:customStyle="1" w:styleId="Heading2Char">
    <w:name w:val="Heading 2 Char"/>
    <w:basedOn w:val="DefaultParagraphFont"/>
    <w:link w:val="Heading2"/>
    <w:uiPriority w:val="9"/>
    <w:rsid w:val="009F0F1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7551F"/>
    <w:rPr>
      <w:rFonts w:asciiTheme="majorHAnsi" w:eastAsiaTheme="majorEastAsia" w:hAnsiTheme="majorHAnsi" w:cstheme="majorBidi"/>
      <w:color w:val="1F4D78" w:themeColor="accent1" w:themeShade="7F"/>
    </w:rPr>
  </w:style>
  <w:style w:type="paragraph" w:styleId="TOC1">
    <w:name w:val="toc 1"/>
    <w:basedOn w:val="Normal"/>
    <w:next w:val="Normal"/>
    <w:autoRedefine/>
    <w:uiPriority w:val="39"/>
    <w:unhideWhenUsed/>
    <w:rsid w:val="001C662F"/>
    <w:pPr>
      <w:spacing w:after="100"/>
    </w:pPr>
  </w:style>
  <w:style w:type="paragraph" w:styleId="TOC2">
    <w:name w:val="toc 2"/>
    <w:basedOn w:val="Normal"/>
    <w:next w:val="Normal"/>
    <w:autoRedefine/>
    <w:uiPriority w:val="39"/>
    <w:unhideWhenUsed/>
    <w:rsid w:val="001C662F"/>
    <w:pPr>
      <w:spacing w:after="100"/>
      <w:ind w:left="240"/>
    </w:pPr>
  </w:style>
  <w:style w:type="character" w:styleId="Hyperlink">
    <w:name w:val="Hyperlink"/>
    <w:basedOn w:val="DefaultParagraphFont"/>
    <w:uiPriority w:val="99"/>
    <w:unhideWhenUsed/>
    <w:rsid w:val="001C662F"/>
    <w:rPr>
      <w:color w:val="0563C1" w:themeColor="hyperlink"/>
      <w:u w:val="single"/>
    </w:rPr>
  </w:style>
  <w:style w:type="table" w:styleId="TableGrid">
    <w:name w:val="Table Grid"/>
    <w:basedOn w:val="TableNormal"/>
    <w:uiPriority w:val="59"/>
    <w:rsid w:val="00736AA3"/>
    <w:pPr>
      <w:spacing w:after="0"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0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A91"/>
    <w:rPr>
      <w:rFonts w:ascii="Tahoma" w:hAnsi="Tahoma" w:cs="Tahoma"/>
      <w:sz w:val="16"/>
      <w:szCs w:val="16"/>
    </w:rPr>
  </w:style>
  <w:style w:type="paragraph" w:customStyle="1" w:styleId="EndNoteBibliographyTitle">
    <w:name w:val="EndNote Bibliography Title"/>
    <w:basedOn w:val="Normal"/>
    <w:link w:val="EndNoteBibliographyTitleChar"/>
    <w:rsid w:val="00D43B3D"/>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D43B3D"/>
    <w:rPr>
      <w:noProof/>
      <w:lang w:val="en-US"/>
    </w:rPr>
  </w:style>
  <w:style w:type="paragraph" w:customStyle="1" w:styleId="EndNoteBibliography">
    <w:name w:val="EndNote Bibliography"/>
    <w:basedOn w:val="Normal"/>
    <w:link w:val="EndNoteBibliographyChar"/>
    <w:rsid w:val="00D43B3D"/>
    <w:pPr>
      <w:spacing w:line="240" w:lineRule="auto"/>
    </w:pPr>
    <w:rPr>
      <w:noProof/>
      <w:lang w:val="en-US"/>
    </w:rPr>
  </w:style>
  <w:style w:type="character" w:customStyle="1" w:styleId="EndNoteBibliographyChar">
    <w:name w:val="EndNote Bibliography Char"/>
    <w:basedOn w:val="DefaultParagraphFont"/>
    <w:link w:val="EndNoteBibliography"/>
    <w:rsid w:val="00D43B3D"/>
    <w:rPr>
      <w:noProof/>
      <w:lang w:val="en-US"/>
    </w:rPr>
  </w:style>
  <w:style w:type="character" w:customStyle="1" w:styleId="Heading4Char">
    <w:name w:val="Heading 4 Char"/>
    <w:basedOn w:val="DefaultParagraphFont"/>
    <w:link w:val="Heading4"/>
    <w:uiPriority w:val="9"/>
    <w:semiHidden/>
    <w:rsid w:val="008B6D6C"/>
    <w:rPr>
      <w:rFonts w:asciiTheme="majorHAnsi" w:eastAsiaTheme="majorEastAsia" w:hAnsiTheme="majorHAnsi" w:cstheme="majorBidi"/>
      <w:b/>
      <w:bCs/>
      <w:i/>
      <w:iCs/>
      <w:color w:val="5B9BD5" w:themeColor="accent1"/>
    </w:rPr>
  </w:style>
  <w:style w:type="table" w:customStyle="1" w:styleId="PlainTable11">
    <w:name w:val="Plain Table 11"/>
    <w:basedOn w:val="TableNormal"/>
    <w:uiPriority w:val="41"/>
    <w:rsid w:val="008B6D6C"/>
    <w:pPr>
      <w:spacing w:after="0" w:line="240" w:lineRule="auto"/>
    </w:pPr>
    <w:rPr>
      <w:bC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8B6D6C"/>
    <w:pPr>
      <w:spacing w:after="0" w:line="240" w:lineRule="auto"/>
      <w:contextualSpacing/>
    </w:pPr>
    <w:rPr>
      <w:rFonts w:asciiTheme="majorHAnsi" w:eastAsiaTheme="majorEastAsia" w:hAnsiTheme="majorHAnsi" w:cstheme="majorBidi"/>
      <w:bCs/>
      <w:spacing w:val="-10"/>
      <w:kern w:val="28"/>
      <w:sz w:val="56"/>
      <w:szCs w:val="56"/>
    </w:rPr>
  </w:style>
  <w:style w:type="character" w:customStyle="1" w:styleId="TitleChar">
    <w:name w:val="Title Char"/>
    <w:basedOn w:val="DefaultParagraphFont"/>
    <w:link w:val="Title"/>
    <w:uiPriority w:val="10"/>
    <w:rsid w:val="008B6D6C"/>
    <w:rPr>
      <w:rFonts w:asciiTheme="majorHAnsi" w:eastAsiaTheme="majorEastAsia" w:hAnsiTheme="majorHAnsi" w:cstheme="majorBidi"/>
      <w:bCs/>
      <w:spacing w:val="-10"/>
      <w:kern w:val="28"/>
      <w:sz w:val="56"/>
      <w:szCs w:val="56"/>
    </w:rPr>
  </w:style>
  <w:style w:type="character" w:styleId="Emphasis">
    <w:name w:val="Emphasis"/>
    <w:basedOn w:val="DefaultParagraphFont"/>
    <w:uiPriority w:val="20"/>
    <w:qFormat/>
    <w:rsid w:val="00CF48F0"/>
    <w:rPr>
      <w:i/>
      <w:iCs/>
    </w:rPr>
  </w:style>
  <w:style w:type="paragraph" w:styleId="TOC3">
    <w:name w:val="toc 3"/>
    <w:basedOn w:val="Normal"/>
    <w:next w:val="Normal"/>
    <w:autoRedefine/>
    <w:uiPriority w:val="39"/>
    <w:unhideWhenUsed/>
    <w:rsid w:val="00E52B9F"/>
    <w:pPr>
      <w:tabs>
        <w:tab w:val="right" w:leader="dot" w:pos="9016"/>
      </w:tabs>
      <w:spacing w:after="100"/>
      <w:ind w:left="284"/>
    </w:pPr>
  </w:style>
  <w:style w:type="paragraph" w:styleId="Caption">
    <w:name w:val="caption"/>
    <w:basedOn w:val="Normal"/>
    <w:next w:val="Normal"/>
    <w:uiPriority w:val="35"/>
    <w:unhideWhenUsed/>
    <w:qFormat/>
    <w:rsid w:val="0052734F"/>
    <w:pPr>
      <w:spacing w:after="200" w:line="240" w:lineRule="auto"/>
    </w:pPr>
    <w:rPr>
      <w:b/>
      <w:bCs/>
      <w:color w:val="5B9BD5" w:themeColor="accent1"/>
      <w:sz w:val="18"/>
      <w:szCs w:val="18"/>
    </w:rPr>
  </w:style>
  <w:style w:type="paragraph" w:styleId="TableofFigures">
    <w:name w:val="table of figures"/>
    <w:basedOn w:val="Normal"/>
    <w:next w:val="Normal"/>
    <w:uiPriority w:val="99"/>
    <w:unhideWhenUsed/>
    <w:rsid w:val="00BD7FA8"/>
    <w:pPr>
      <w:spacing w:after="0"/>
    </w:pPr>
  </w:style>
  <w:style w:type="paragraph" w:styleId="NormalWeb">
    <w:name w:val="Normal (Web)"/>
    <w:basedOn w:val="Normal"/>
    <w:uiPriority w:val="99"/>
    <w:semiHidden/>
    <w:unhideWhenUsed/>
    <w:rsid w:val="00661E7A"/>
    <w:pPr>
      <w:spacing w:before="100" w:beforeAutospacing="1" w:after="100" w:afterAutospacing="1" w:line="240" w:lineRule="auto"/>
    </w:pPr>
    <w:rPr>
      <w:rFonts w:ascii="Times New Roman" w:eastAsiaTheme="minorEastAsia" w:hAnsi="Times New Roman" w:cs="Times New Roman"/>
    </w:rPr>
  </w:style>
  <w:style w:type="character" w:styleId="CommentReference">
    <w:name w:val="annotation reference"/>
    <w:basedOn w:val="DefaultParagraphFont"/>
    <w:uiPriority w:val="99"/>
    <w:semiHidden/>
    <w:unhideWhenUsed/>
    <w:rsid w:val="00E2115F"/>
    <w:rPr>
      <w:sz w:val="16"/>
      <w:szCs w:val="16"/>
    </w:rPr>
  </w:style>
  <w:style w:type="paragraph" w:styleId="CommentText">
    <w:name w:val="annotation text"/>
    <w:basedOn w:val="Normal"/>
    <w:link w:val="CommentTextChar"/>
    <w:uiPriority w:val="99"/>
    <w:semiHidden/>
    <w:unhideWhenUsed/>
    <w:rsid w:val="00E2115F"/>
    <w:pPr>
      <w:spacing w:line="240" w:lineRule="auto"/>
    </w:pPr>
    <w:rPr>
      <w:sz w:val="20"/>
      <w:szCs w:val="20"/>
    </w:rPr>
  </w:style>
  <w:style w:type="character" w:customStyle="1" w:styleId="CommentTextChar">
    <w:name w:val="Comment Text Char"/>
    <w:basedOn w:val="DefaultParagraphFont"/>
    <w:link w:val="CommentText"/>
    <w:uiPriority w:val="99"/>
    <w:semiHidden/>
    <w:rsid w:val="00E2115F"/>
    <w:rPr>
      <w:sz w:val="20"/>
      <w:szCs w:val="20"/>
    </w:rPr>
  </w:style>
  <w:style w:type="paragraph" w:styleId="CommentSubject">
    <w:name w:val="annotation subject"/>
    <w:basedOn w:val="CommentText"/>
    <w:next w:val="CommentText"/>
    <w:link w:val="CommentSubjectChar"/>
    <w:uiPriority w:val="99"/>
    <w:semiHidden/>
    <w:unhideWhenUsed/>
    <w:rsid w:val="00E2115F"/>
    <w:rPr>
      <w:b/>
      <w:bCs/>
    </w:rPr>
  </w:style>
  <w:style w:type="character" w:customStyle="1" w:styleId="CommentSubjectChar">
    <w:name w:val="Comment Subject Char"/>
    <w:basedOn w:val="CommentTextChar"/>
    <w:link w:val="CommentSubject"/>
    <w:uiPriority w:val="99"/>
    <w:semiHidden/>
    <w:rsid w:val="00E2115F"/>
    <w:rPr>
      <w:b/>
      <w:bCs/>
      <w:sz w:val="20"/>
      <w:szCs w:val="20"/>
    </w:rPr>
  </w:style>
  <w:style w:type="paragraph" w:styleId="Revision">
    <w:name w:val="Revision"/>
    <w:hidden/>
    <w:uiPriority w:val="99"/>
    <w:semiHidden/>
    <w:rsid w:val="00E2115F"/>
    <w:pPr>
      <w:spacing w:after="0" w:line="240" w:lineRule="auto"/>
    </w:pPr>
  </w:style>
  <w:style w:type="paragraph" w:styleId="PlainText">
    <w:name w:val="Plain Text"/>
    <w:basedOn w:val="Normal"/>
    <w:link w:val="PlainTextChar"/>
    <w:uiPriority w:val="99"/>
    <w:semiHidden/>
    <w:unhideWhenUsed/>
    <w:rsid w:val="003A643A"/>
    <w:pPr>
      <w:spacing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3A643A"/>
    <w:rPr>
      <w:rFonts w:ascii="Calibri" w:hAnsi="Calibri" w:cstheme="minorBidi"/>
      <w:sz w:val="22"/>
      <w:szCs w:val="21"/>
    </w:rPr>
  </w:style>
  <w:style w:type="paragraph" w:styleId="NoSpacing">
    <w:name w:val="No Spacing"/>
    <w:link w:val="NoSpacingChar"/>
    <w:uiPriority w:val="1"/>
    <w:qFormat/>
    <w:rsid w:val="00964F79"/>
    <w:pPr>
      <w:spacing w:after="0" w:line="240" w:lineRule="auto"/>
    </w:pPr>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964F79"/>
    <w:rPr>
      <w:rFonts w:asciiTheme="minorHAnsi" w:eastAsiaTheme="minorEastAsia"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820866">
      <w:bodyDiv w:val="1"/>
      <w:marLeft w:val="0"/>
      <w:marRight w:val="0"/>
      <w:marTop w:val="0"/>
      <w:marBottom w:val="0"/>
      <w:divBdr>
        <w:top w:val="none" w:sz="0" w:space="0" w:color="auto"/>
        <w:left w:val="none" w:sz="0" w:space="0" w:color="auto"/>
        <w:bottom w:val="none" w:sz="0" w:space="0" w:color="auto"/>
        <w:right w:val="none" w:sz="0" w:space="0" w:color="auto"/>
      </w:divBdr>
    </w:div>
    <w:div w:id="268854018">
      <w:bodyDiv w:val="1"/>
      <w:marLeft w:val="0"/>
      <w:marRight w:val="0"/>
      <w:marTop w:val="0"/>
      <w:marBottom w:val="0"/>
      <w:divBdr>
        <w:top w:val="none" w:sz="0" w:space="0" w:color="auto"/>
        <w:left w:val="none" w:sz="0" w:space="0" w:color="auto"/>
        <w:bottom w:val="none" w:sz="0" w:space="0" w:color="auto"/>
        <w:right w:val="none" w:sz="0" w:space="0" w:color="auto"/>
      </w:divBdr>
    </w:div>
    <w:div w:id="448859188">
      <w:bodyDiv w:val="1"/>
      <w:marLeft w:val="0"/>
      <w:marRight w:val="0"/>
      <w:marTop w:val="0"/>
      <w:marBottom w:val="0"/>
      <w:divBdr>
        <w:top w:val="none" w:sz="0" w:space="0" w:color="auto"/>
        <w:left w:val="none" w:sz="0" w:space="0" w:color="auto"/>
        <w:bottom w:val="none" w:sz="0" w:space="0" w:color="auto"/>
        <w:right w:val="none" w:sz="0" w:space="0" w:color="auto"/>
      </w:divBdr>
      <w:divsChild>
        <w:div w:id="1464074674">
          <w:marLeft w:val="0"/>
          <w:marRight w:val="0"/>
          <w:marTop w:val="225"/>
          <w:marBottom w:val="0"/>
          <w:divBdr>
            <w:top w:val="none" w:sz="0" w:space="0" w:color="auto"/>
            <w:left w:val="none" w:sz="0" w:space="0" w:color="auto"/>
            <w:bottom w:val="none" w:sz="0" w:space="0" w:color="auto"/>
            <w:right w:val="none" w:sz="0" w:space="0" w:color="auto"/>
          </w:divBdr>
        </w:div>
        <w:div w:id="1971209513">
          <w:marLeft w:val="0"/>
          <w:marRight w:val="0"/>
          <w:marTop w:val="0"/>
          <w:marBottom w:val="0"/>
          <w:divBdr>
            <w:top w:val="none" w:sz="0" w:space="0" w:color="auto"/>
            <w:left w:val="none" w:sz="0" w:space="0" w:color="auto"/>
            <w:bottom w:val="none" w:sz="0" w:space="0" w:color="auto"/>
            <w:right w:val="none" w:sz="0" w:space="0" w:color="auto"/>
          </w:divBdr>
          <w:divsChild>
            <w:div w:id="73716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99495">
      <w:bodyDiv w:val="1"/>
      <w:marLeft w:val="0"/>
      <w:marRight w:val="0"/>
      <w:marTop w:val="0"/>
      <w:marBottom w:val="0"/>
      <w:divBdr>
        <w:top w:val="none" w:sz="0" w:space="0" w:color="auto"/>
        <w:left w:val="none" w:sz="0" w:space="0" w:color="auto"/>
        <w:bottom w:val="none" w:sz="0" w:space="0" w:color="auto"/>
        <w:right w:val="none" w:sz="0" w:space="0" w:color="auto"/>
      </w:divBdr>
      <w:divsChild>
        <w:div w:id="157231005">
          <w:marLeft w:val="0"/>
          <w:marRight w:val="0"/>
          <w:marTop w:val="0"/>
          <w:marBottom w:val="0"/>
          <w:divBdr>
            <w:top w:val="none" w:sz="0" w:space="0" w:color="auto"/>
            <w:left w:val="none" w:sz="0" w:space="0" w:color="auto"/>
            <w:bottom w:val="none" w:sz="0" w:space="0" w:color="auto"/>
            <w:right w:val="none" w:sz="0" w:space="0" w:color="auto"/>
          </w:divBdr>
          <w:divsChild>
            <w:div w:id="894895832">
              <w:marLeft w:val="0"/>
              <w:marRight w:val="0"/>
              <w:marTop w:val="0"/>
              <w:marBottom w:val="0"/>
              <w:divBdr>
                <w:top w:val="none" w:sz="0" w:space="0" w:color="auto"/>
                <w:left w:val="none" w:sz="0" w:space="0" w:color="auto"/>
                <w:bottom w:val="none" w:sz="0" w:space="0" w:color="auto"/>
                <w:right w:val="none" w:sz="0" w:space="0" w:color="auto"/>
              </w:divBdr>
            </w:div>
          </w:divsChild>
        </w:div>
        <w:div w:id="1195118684">
          <w:marLeft w:val="0"/>
          <w:marRight w:val="0"/>
          <w:marTop w:val="225"/>
          <w:marBottom w:val="0"/>
          <w:divBdr>
            <w:top w:val="none" w:sz="0" w:space="0" w:color="auto"/>
            <w:left w:val="none" w:sz="0" w:space="0" w:color="auto"/>
            <w:bottom w:val="none" w:sz="0" w:space="0" w:color="auto"/>
            <w:right w:val="none" w:sz="0" w:space="0" w:color="auto"/>
          </w:divBdr>
        </w:div>
      </w:divsChild>
    </w:div>
    <w:div w:id="710615770">
      <w:bodyDiv w:val="1"/>
      <w:marLeft w:val="0"/>
      <w:marRight w:val="0"/>
      <w:marTop w:val="0"/>
      <w:marBottom w:val="0"/>
      <w:divBdr>
        <w:top w:val="none" w:sz="0" w:space="0" w:color="auto"/>
        <w:left w:val="none" w:sz="0" w:space="0" w:color="auto"/>
        <w:bottom w:val="none" w:sz="0" w:space="0" w:color="auto"/>
        <w:right w:val="none" w:sz="0" w:space="0" w:color="auto"/>
      </w:divBdr>
    </w:div>
    <w:div w:id="932202745">
      <w:bodyDiv w:val="1"/>
      <w:marLeft w:val="0"/>
      <w:marRight w:val="0"/>
      <w:marTop w:val="0"/>
      <w:marBottom w:val="0"/>
      <w:divBdr>
        <w:top w:val="none" w:sz="0" w:space="0" w:color="auto"/>
        <w:left w:val="none" w:sz="0" w:space="0" w:color="auto"/>
        <w:bottom w:val="none" w:sz="0" w:space="0" w:color="auto"/>
        <w:right w:val="none" w:sz="0" w:space="0" w:color="auto"/>
      </w:divBdr>
    </w:div>
    <w:div w:id="1068728034">
      <w:bodyDiv w:val="1"/>
      <w:marLeft w:val="0"/>
      <w:marRight w:val="0"/>
      <w:marTop w:val="0"/>
      <w:marBottom w:val="0"/>
      <w:divBdr>
        <w:top w:val="none" w:sz="0" w:space="0" w:color="auto"/>
        <w:left w:val="none" w:sz="0" w:space="0" w:color="auto"/>
        <w:bottom w:val="none" w:sz="0" w:space="0" w:color="auto"/>
        <w:right w:val="none" w:sz="0" w:space="0" w:color="auto"/>
      </w:divBdr>
    </w:div>
    <w:div w:id="1438139181">
      <w:bodyDiv w:val="1"/>
      <w:marLeft w:val="0"/>
      <w:marRight w:val="0"/>
      <w:marTop w:val="0"/>
      <w:marBottom w:val="0"/>
      <w:divBdr>
        <w:top w:val="none" w:sz="0" w:space="0" w:color="auto"/>
        <w:left w:val="none" w:sz="0" w:space="0" w:color="auto"/>
        <w:bottom w:val="none" w:sz="0" w:space="0" w:color="auto"/>
        <w:right w:val="none" w:sz="0" w:space="0" w:color="auto"/>
      </w:divBdr>
    </w:div>
    <w:div w:id="177840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A9E905-665B-402E-9F12-C47C53286D30}" type="doc">
      <dgm:prSet loTypeId="urn:microsoft.com/office/officeart/2005/8/layout/cycle4" loCatId="cycle" qsTypeId="urn:microsoft.com/office/officeart/2005/8/quickstyle/simple1" qsCatId="simple" csTypeId="urn:microsoft.com/office/officeart/2005/8/colors/accent1_2" csCatId="accent1" phldr="1"/>
      <dgm:spPr/>
      <dgm:t>
        <a:bodyPr/>
        <a:lstStyle/>
        <a:p>
          <a:endParaRPr lang="en-GB"/>
        </a:p>
      </dgm:t>
    </dgm:pt>
    <dgm:pt modelId="{DEEF979E-D537-4969-99E1-4925344F3ACA}">
      <dgm:prSet phldrT="[Text]"/>
      <dgm:spPr>
        <a:solidFill>
          <a:srgbClr val="FF6600"/>
        </a:solidFill>
        <a:ln>
          <a:solidFill>
            <a:srgbClr val="FF6600"/>
          </a:solidFill>
        </a:ln>
      </dgm:spPr>
      <dgm:t>
        <a:bodyPr/>
        <a:lstStyle/>
        <a:p>
          <a:r>
            <a:rPr lang="en-GB" b="1">
              <a:latin typeface="Arial" panose="020B0604020202020204" pitchFamily="34" charset="0"/>
              <a:cs typeface="Arial" panose="020B0604020202020204" pitchFamily="34" charset="0"/>
            </a:rPr>
            <a:t>Care Home</a:t>
          </a:r>
          <a:r>
            <a:rPr lang="en-GB"/>
            <a:t>	</a:t>
          </a:r>
        </a:p>
      </dgm:t>
    </dgm:pt>
    <dgm:pt modelId="{363DB5CD-55B5-425F-8BDC-76FCF7D64FE3}" type="parTrans" cxnId="{5C7B09AB-1F76-4060-890D-35F4BF150A2E}">
      <dgm:prSet/>
      <dgm:spPr/>
      <dgm:t>
        <a:bodyPr/>
        <a:lstStyle/>
        <a:p>
          <a:endParaRPr lang="en-GB"/>
        </a:p>
      </dgm:t>
    </dgm:pt>
    <dgm:pt modelId="{6D530FF1-27FC-4697-8ABC-3D964859EEB9}" type="sibTrans" cxnId="{5C7B09AB-1F76-4060-890D-35F4BF150A2E}">
      <dgm:prSet/>
      <dgm:spPr/>
      <dgm:t>
        <a:bodyPr/>
        <a:lstStyle/>
        <a:p>
          <a:endParaRPr lang="en-GB"/>
        </a:p>
      </dgm:t>
    </dgm:pt>
    <dgm:pt modelId="{97C84B12-45F6-44C9-8844-AD0CCAE578D1}">
      <dgm:prSet phldrT="[Text]" custT="1"/>
      <dgm:spPr>
        <a:ln w="19050">
          <a:solidFill>
            <a:srgbClr val="FF6600"/>
          </a:solidFill>
        </a:ln>
      </dgm:spPr>
      <dgm:t>
        <a:bodyPr/>
        <a:lstStyle/>
        <a:p>
          <a:r>
            <a:rPr lang="en-GB" sz="900">
              <a:latin typeface="Arial" panose="020B0604020202020204" pitchFamily="34" charset="0"/>
              <a:cs typeface="Arial" panose="020B0604020202020204" pitchFamily="34" charset="0"/>
            </a:rPr>
            <a:t>Outgoing: handover to Ambulance Service</a:t>
          </a:r>
        </a:p>
      </dgm:t>
    </dgm:pt>
    <dgm:pt modelId="{B5CC2269-4732-4931-A7FF-A9B78A4B7975}" type="parTrans" cxnId="{DFF1CF09-FBDA-4090-84A2-DF97DC99391B}">
      <dgm:prSet/>
      <dgm:spPr/>
      <dgm:t>
        <a:bodyPr/>
        <a:lstStyle/>
        <a:p>
          <a:endParaRPr lang="en-GB"/>
        </a:p>
      </dgm:t>
    </dgm:pt>
    <dgm:pt modelId="{24B038E7-5377-4B9E-8E6E-F4813360789B}" type="sibTrans" cxnId="{DFF1CF09-FBDA-4090-84A2-DF97DC99391B}">
      <dgm:prSet/>
      <dgm:spPr/>
      <dgm:t>
        <a:bodyPr/>
        <a:lstStyle/>
        <a:p>
          <a:endParaRPr lang="en-GB"/>
        </a:p>
      </dgm:t>
    </dgm:pt>
    <dgm:pt modelId="{2B7A8D85-B887-4F81-B858-5499C5353240}">
      <dgm:prSet phldrT="[Text]"/>
      <dgm:spPr>
        <a:solidFill>
          <a:srgbClr val="7030A0"/>
        </a:solidFill>
        <a:ln>
          <a:solidFill>
            <a:srgbClr val="7030A0"/>
          </a:solidFill>
        </a:ln>
      </dgm:spPr>
      <dgm:t>
        <a:bodyPr/>
        <a:lstStyle/>
        <a:p>
          <a:r>
            <a:rPr lang="en-GB" b="1">
              <a:latin typeface="Arial" panose="020B0604020202020204" pitchFamily="34" charset="0"/>
              <a:cs typeface="Arial" panose="020B0604020202020204" pitchFamily="34" charset="0"/>
            </a:rPr>
            <a:t>Ambulance</a:t>
          </a:r>
        </a:p>
      </dgm:t>
    </dgm:pt>
    <dgm:pt modelId="{579FA6C7-D98D-43A1-8D49-9F6B5F6DDBF8}" type="parTrans" cxnId="{C49D782A-8871-4FEB-AF2D-62BB6FE62BA5}">
      <dgm:prSet/>
      <dgm:spPr/>
      <dgm:t>
        <a:bodyPr/>
        <a:lstStyle/>
        <a:p>
          <a:endParaRPr lang="en-GB"/>
        </a:p>
      </dgm:t>
    </dgm:pt>
    <dgm:pt modelId="{2182BA2D-2B06-4DFD-AAB4-885D327F3147}" type="sibTrans" cxnId="{C49D782A-8871-4FEB-AF2D-62BB6FE62BA5}">
      <dgm:prSet/>
      <dgm:spPr/>
      <dgm:t>
        <a:bodyPr/>
        <a:lstStyle/>
        <a:p>
          <a:endParaRPr lang="en-GB"/>
        </a:p>
      </dgm:t>
    </dgm:pt>
    <dgm:pt modelId="{F96DEB96-311C-49AD-BA8A-BA41FC7C8B85}">
      <dgm:prSet phldrT="[Text]"/>
      <dgm:spPr>
        <a:ln w="19050">
          <a:solidFill>
            <a:srgbClr val="7030A0"/>
          </a:solidFill>
        </a:ln>
      </dgm:spPr>
      <dgm:t>
        <a:bodyPr/>
        <a:lstStyle/>
        <a:p>
          <a:r>
            <a:rPr lang="en-GB">
              <a:latin typeface="Arial" panose="020B0604020202020204" pitchFamily="34" charset="0"/>
              <a:cs typeface="Arial" panose="020B0604020202020204" pitchFamily="34" charset="0"/>
            </a:rPr>
            <a:t>Transfer from care home to hospital</a:t>
          </a:r>
        </a:p>
      </dgm:t>
    </dgm:pt>
    <dgm:pt modelId="{D50252B4-EAA5-43E9-A547-DB34AC35CBBD}" type="parTrans" cxnId="{859BA496-2314-4FD0-B086-87C3A43C5EAD}">
      <dgm:prSet/>
      <dgm:spPr/>
      <dgm:t>
        <a:bodyPr/>
        <a:lstStyle/>
        <a:p>
          <a:endParaRPr lang="en-GB"/>
        </a:p>
      </dgm:t>
    </dgm:pt>
    <dgm:pt modelId="{D42181DE-C592-40CA-85C6-BA1F3FAF7E38}" type="sibTrans" cxnId="{859BA496-2314-4FD0-B086-87C3A43C5EAD}">
      <dgm:prSet/>
      <dgm:spPr/>
      <dgm:t>
        <a:bodyPr/>
        <a:lstStyle/>
        <a:p>
          <a:endParaRPr lang="en-GB"/>
        </a:p>
      </dgm:t>
    </dgm:pt>
    <dgm:pt modelId="{5336C2DB-9A1D-4EE7-9097-475EEC9392F4}">
      <dgm:prSet phldrT="[Text]"/>
      <dgm:spPr>
        <a:solidFill>
          <a:srgbClr val="002060"/>
        </a:solidFill>
        <a:ln>
          <a:solidFill>
            <a:srgbClr val="002060"/>
          </a:solidFill>
        </a:ln>
      </dgm:spPr>
      <dgm:t>
        <a:bodyPr/>
        <a:lstStyle/>
        <a:p>
          <a:r>
            <a:rPr lang="en-GB" b="1">
              <a:latin typeface="Arial" panose="020B0604020202020204" pitchFamily="34" charset="0"/>
              <a:cs typeface="Arial" panose="020B0604020202020204" pitchFamily="34" charset="0"/>
            </a:rPr>
            <a:t>Hospital</a:t>
          </a:r>
        </a:p>
      </dgm:t>
    </dgm:pt>
    <dgm:pt modelId="{23FC1776-49BA-420F-9848-274B77D8B07B}" type="parTrans" cxnId="{D7BCF79F-A92F-4570-8493-90C937C12990}">
      <dgm:prSet/>
      <dgm:spPr/>
      <dgm:t>
        <a:bodyPr/>
        <a:lstStyle/>
        <a:p>
          <a:endParaRPr lang="en-GB"/>
        </a:p>
      </dgm:t>
    </dgm:pt>
    <dgm:pt modelId="{F2D9882E-4ED8-4F57-8EF1-8B4E98F8A15C}" type="sibTrans" cxnId="{D7BCF79F-A92F-4570-8493-90C937C12990}">
      <dgm:prSet/>
      <dgm:spPr/>
      <dgm:t>
        <a:bodyPr/>
        <a:lstStyle/>
        <a:p>
          <a:endParaRPr lang="en-GB"/>
        </a:p>
      </dgm:t>
    </dgm:pt>
    <dgm:pt modelId="{DC857417-74B2-47A5-B92A-E9AAC4D5BA4D}">
      <dgm:prSet phldrT="[Text]"/>
      <dgm:spPr>
        <a:pattFill prst="pct5">
          <a:fgClr>
            <a:schemeClr val="lt1">
              <a:hueOff val="0"/>
              <a:satOff val="0"/>
              <a:lumOff val="0"/>
            </a:schemeClr>
          </a:fgClr>
          <a:bgClr>
            <a:schemeClr val="bg1"/>
          </a:bgClr>
        </a:pattFill>
        <a:ln w="19050">
          <a:solidFill>
            <a:srgbClr val="002060"/>
          </a:solidFill>
        </a:ln>
      </dgm:spPr>
      <dgm:t>
        <a:bodyPr/>
        <a:lstStyle/>
        <a:p>
          <a:r>
            <a:rPr lang="en-GB">
              <a:ln>
                <a:noFill/>
              </a:ln>
              <a:latin typeface="Arial" panose="020B0604020202020204" pitchFamily="34" charset="0"/>
              <a:cs typeface="Arial" panose="020B0604020202020204" pitchFamily="34" charset="0"/>
            </a:rPr>
            <a:t>Admission</a:t>
          </a:r>
        </a:p>
      </dgm:t>
    </dgm:pt>
    <dgm:pt modelId="{0605D76A-41E6-40C0-BF3B-65FCC13459BA}" type="parTrans" cxnId="{247623FD-2A1F-4ADB-85F1-0C88292C84D6}">
      <dgm:prSet/>
      <dgm:spPr/>
      <dgm:t>
        <a:bodyPr/>
        <a:lstStyle/>
        <a:p>
          <a:endParaRPr lang="en-GB"/>
        </a:p>
      </dgm:t>
    </dgm:pt>
    <dgm:pt modelId="{B62841EF-6325-41C6-8787-8587EB01FFDB}" type="sibTrans" cxnId="{247623FD-2A1F-4ADB-85F1-0C88292C84D6}">
      <dgm:prSet/>
      <dgm:spPr/>
      <dgm:t>
        <a:bodyPr/>
        <a:lstStyle/>
        <a:p>
          <a:endParaRPr lang="en-GB"/>
        </a:p>
      </dgm:t>
    </dgm:pt>
    <dgm:pt modelId="{2F2D471C-CEC4-4F55-BB37-4178B8B37AF6}">
      <dgm:prSet phldrT="[Text]"/>
      <dgm:spPr>
        <a:solidFill>
          <a:srgbClr val="7030A0"/>
        </a:solidFill>
        <a:ln>
          <a:solidFill>
            <a:srgbClr val="7030A0"/>
          </a:solidFill>
        </a:ln>
      </dgm:spPr>
      <dgm:t>
        <a:bodyPr/>
        <a:lstStyle/>
        <a:p>
          <a:r>
            <a:rPr lang="en-GB" b="1">
              <a:latin typeface="Arial" panose="020B0604020202020204" pitchFamily="34" charset="0"/>
              <a:cs typeface="Arial" panose="020B0604020202020204" pitchFamily="34" charset="0"/>
            </a:rPr>
            <a:t>Ambulance</a:t>
          </a:r>
        </a:p>
      </dgm:t>
    </dgm:pt>
    <dgm:pt modelId="{F5B8CE1A-D236-493D-BB6A-EEB0C2E65236}" type="parTrans" cxnId="{21316E3A-099A-4806-9B46-41B39365283D}">
      <dgm:prSet/>
      <dgm:spPr/>
      <dgm:t>
        <a:bodyPr/>
        <a:lstStyle/>
        <a:p>
          <a:endParaRPr lang="en-GB"/>
        </a:p>
      </dgm:t>
    </dgm:pt>
    <dgm:pt modelId="{3ACCE810-68F1-4C59-8FEA-2B86D93657E3}" type="sibTrans" cxnId="{21316E3A-099A-4806-9B46-41B39365283D}">
      <dgm:prSet/>
      <dgm:spPr/>
      <dgm:t>
        <a:bodyPr/>
        <a:lstStyle/>
        <a:p>
          <a:endParaRPr lang="en-GB"/>
        </a:p>
      </dgm:t>
    </dgm:pt>
    <dgm:pt modelId="{D226264F-745F-4AF5-9303-46378635FADF}">
      <dgm:prSet phldrT="[Text]"/>
      <dgm:spPr>
        <a:ln w="19050">
          <a:solidFill>
            <a:srgbClr val="7030A0"/>
          </a:solidFill>
        </a:ln>
      </dgm:spPr>
      <dgm:t>
        <a:bodyPr/>
        <a:lstStyle/>
        <a:p>
          <a:r>
            <a:rPr lang="en-GB">
              <a:latin typeface="Arial" panose="020B0604020202020204" pitchFamily="34" charset="0"/>
              <a:cs typeface="Arial" panose="020B0604020202020204" pitchFamily="34" charset="0"/>
            </a:rPr>
            <a:t>Handover from NHS Trust</a:t>
          </a:r>
        </a:p>
      </dgm:t>
    </dgm:pt>
    <dgm:pt modelId="{E6B6D08A-0D49-4111-A6FF-D4A1C9DDBE3F}" type="parTrans" cxnId="{B702CBD6-BC7B-408E-9843-79EA8D66D753}">
      <dgm:prSet/>
      <dgm:spPr/>
      <dgm:t>
        <a:bodyPr/>
        <a:lstStyle/>
        <a:p>
          <a:endParaRPr lang="en-GB"/>
        </a:p>
      </dgm:t>
    </dgm:pt>
    <dgm:pt modelId="{A3567914-B8A0-4B04-87FD-01C4BE625271}" type="sibTrans" cxnId="{B702CBD6-BC7B-408E-9843-79EA8D66D753}">
      <dgm:prSet/>
      <dgm:spPr/>
      <dgm:t>
        <a:bodyPr/>
        <a:lstStyle/>
        <a:p>
          <a:endParaRPr lang="en-GB"/>
        </a:p>
      </dgm:t>
    </dgm:pt>
    <dgm:pt modelId="{E5C7C848-E451-463A-B903-E140FADBBF2E}">
      <dgm:prSet phldrT="[Text]"/>
      <dgm:spPr>
        <a:pattFill prst="pct5">
          <a:fgClr>
            <a:schemeClr val="lt1">
              <a:hueOff val="0"/>
              <a:satOff val="0"/>
              <a:lumOff val="0"/>
            </a:schemeClr>
          </a:fgClr>
          <a:bgClr>
            <a:schemeClr val="bg1"/>
          </a:bgClr>
        </a:pattFill>
        <a:ln w="19050">
          <a:solidFill>
            <a:srgbClr val="002060"/>
          </a:solidFill>
        </a:ln>
      </dgm:spPr>
      <dgm:t>
        <a:bodyPr/>
        <a:lstStyle/>
        <a:p>
          <a:r>
            <a:rPr lang="en-GB">
              <a:ln>
                <a:noFill/>
              </a:ln>
              <a:latin typeface="Arial" panose="020B0604020202020204" pitchFamily="34" charset="0"/>
              <a:cs typeface="Arial" panose="020B0604020202020204" pitchFamily="34" charset="0"/>
            </a:rPr>
            <a:t>Ward</a:t>
          </a:r>
        </a:p>
      </dgm:t>
    </dgm:pt>
    <dgm:pt modelId="{9F599FC0-69D6-4294-9763-9F887AAC3156}" type="parTrans" cxnId="{3E46D2BF-1875-4E39-92D3-C750B46AF97C}">
      <dgm:prSet/>
      <dgm:spPr/>
      <dgm:t>
        <a:bodyPr/>
        <a:lstStyle/>
        <a:p>
          <a:endParaRPr lang="en-GB"/>
        </a:p>
      </dgm:t>
    </dgm:pt>
    <dgm:pt modelId="{F6DF6B57-4C0D-4CC7-B241-65C007824487}" type="sibTrans" cxnId="{3E46D2BF-1875-4E39-92D3-C750B46AF97C}">
      <dgm:prSet/>
      <dgm:spPr/>
      <dgm:t>
        <a:bodyPr/>
        <a:lstStyle/>
        <a:p>
          <a:endParaRPr lang="en-GB"/>
        </a:p>
      </dgm:t>
    </dgm:pt>
    <dgm:pt modelId="{3A8D3B96-0070-4FF0-AE4D-1040CBC2BBFD}">
      <dgm:prSet phldrT="[Text]"/>
      <dgm:spPr>
        <a:pattFill prst="pct5">
          <a:fgClr>
            <a:schemeClr val="lt1">
              <a:hueOff val="0"/>
              <a:satOff val="0"/>
              <a:lumOff val="0"/>
            </a:schemeClr>
          </a:fgClr>
          <a:bgClr>
            <a:schemeClr val="bg1"/>
          </a:bgClr>
        </a:pattFill>
        <a:ln w="19050">
          <a:solidFill>
            <a:srgbClr val="002060"/>
          </a:solidFill>
        </a:ln>
      </dgm:spPr>
      <dgm:t>
        <a:bodyPr/>
        <a:lstStyle/>
        <a:p>
          <a:r>
            <a:rPr lang="en-GB">
              <a:ln>
                <a:noFill/>
              </a:ln>
              <a:latin typeface="Arial" panose="020B0604020202020204" pitchFamily="34" charset="0"/>
              <a:cs typeface="Arial" panose="020B0604020202020204" pitchFamily="34" charset="0"/>
            </a:rPr>
            <a:t>Discharge</a:t>
          </a:r>
        </a:p>
      </dgm:t>
    </dgm:pt>
    <dgm:pt modelId="{0B4AC57C-B48F-4FBE-B67D-ED8FDB82F168}" type="parTrans" cxnId="{BD6793A0-A260-4451-93CF-F55697991D3C}">
      <dgm:prSet/>
      <dgm:spPr/>
      <dgm:t>
        <a:bodyPr/>
        <a:lstStyle/>
        <a:p>
          <a:endParaRPr lang="en-GB"/>
        </a:p>
      </dgm:t>
    </dgm:pt>
    <dgm:pt modelId="{F4479059-7FAC-4073-9B60-BB07B7CA9123}" type="sibTrans" cxnId="{BD6793A0-A260-4451-93CF-F55697991D3C}">
      <dgm:prSet/>
      <dgm:spPr/>
      <dgm:t>
        <a:bodyPr/>
        <a:lstStyle/>
        <a:p>
          <a:endParaRPr lang="en-GB"/>
        </a:p>
      </dgm:t>
    </dgm:pt>
    <dgm:pt modelId="{6E3EEE8F-D318-41B2-BD09-3B09DC05BDD7}">
      <dgm:prSet phldrT="[Text]"/>
      <dgm:spPr>
        <a:ln w="19050">
          <a:solidFill>
            <a:srgbClr val="7030A0"/>
          </a:solidFill>
        </a:ln>
      </dgm:spPr>
      <dgm:t>
        <a:bodyPr/>
        <a:lstStyle/>
        <a:p>
          <a:r>
            <a:rPr lang="en-GB">
              <a:latin typeface="Arial" panose="020B0604020202020204" pitchFamily="34" charset="0"/>
              <a:cs typeface="Arial" panose="020B0604020202020204" pitchFamily="34" charset="0"/>
            </a:rPr>
            <a:t>transport to care home</a:t>
          </a:r>
        </a:p>
      </dgm:t>
    </dgm:pt>
    <dgm:pt modelId="{534C2CAE-DEF7-46C9-ABCD-D3EB10C753EC}" type="parTrans" cxnId="{8FC04852-6193-43A8-8CF1-BC2491E0F58E}">
      <dgm:prSet/>
      <dgm:spPr/>
      <dgm:t>
        <a:bodyPr/>
        <a:lstStyle/>
        <a:p>
          <a:endParaRPr lang="en-GB"/>
        </a:p>
      </dgm:t>
    </dgm:pt>
    <dgm:pt modelId="{08FD4F59-965B-4C40-A857-E2B0B14EA2A9}" type="sibTrans" cxnId="{8FC04852-6193-43A8-8CF1-BC2491E0F58E}">
      <dgm:prSet/>
      <dgm:spPr/>
      <dgm:t>
        <a:bodyPr/>
        <a:lstStyle/>
        <a:p>
          <a:endParaRPr lang="en-GB"/>
        </a:p>
      </dgm:t>
    </dgm:pt>
    <dgm:pt modelId="{F58C29DC-F205-4DFB-BA20-788C69BBCDE5}">
      <dgm:prSet phldrT="[Text]"/>
      <dgm:spPr>
        <a:ln w="19050">
          <a:solidFill>
            <a:srgbClr val="7030A0"/>
          </a:solidFill>
        </a:ln>
      </dgm:spPr>
      <dgm:t>
        <a:bodyPr/>
        <a:lstStyle/>
        <a:p>
          <a:r>
            <a:rPr lang="en-GB">
              <a:latin typeface="Arial" panose="020B0604020202020204" pitchFamily="34" charset="0"/>
              <a:cs typeface="Arial" panose="020B0604020202020204" pitchFamily="34" charset="0"/>
            </a:rPr>
            <a:t>Handover from care home</a:t>
          </a:r>
        </a:p>
      </dgm:t>
    </dgm:pt>
    <dgm:pt modelId="{7B32BEA4-BA62-4F79-AA30-10C4F36A7C56}" type="parTrans" cxnId="{4C9F298C-EFCD-49D3-9CAA-BFEB5676DF09}">
      <dgm:prSet/>
      <dgm:spPr/>
      <dgm:t>
        <a:bodyPr/>
        <a:lstStyle/>
        <a:p>
          <a:endParaRPr lang="en-GB"/>
        </a:p>
      </dgm:t>
    </dgm:pt>
    <dgm:pt modelId="{67450CC2-701B-4BC2-A2B5-F4307E9660EC}" type="sibTrans" cxnId="{4C9F298C-EFCD-49D3-9CAA-BFEB5676DF09}">
      <dgm:prSet/>
      <dgm:spPr/>
      <dgm:t>
        <a:bodyPr/>
        <a:lstStyle/>
        <a:p>
          <a:endParaRPr lang="en-GB"/>
        </a:p>
      </dgm:t>
    </dgm:pt>
    <dgm:pt modelId="{197324EC-68DC-4B1C-9ED1-A6F74CF0DD9A}">
      <dgm:prSet phldrT="[Text]" custT="1"/>
      <dgm:spPr>
        <a:ln w="19050">
          <a:solidFill>
            <a:srgbClr val="FF6600"/>
          </a:solidFill>
        </a:ln>
      </dgm:spPr>
      <dgm:t>
        <a:bodyPr/>
        <a:lstStyle/>
        <a:p>
          <a:r>
            <a:rPr lang="en-GB" sz="900">
              <a:latin typeface="Arial" panose="020B0604020202020204" pitchFamily="34" charset="0"/>
              <a:cs typeface="Arial" panose="020B0604020202020204" pitchFamily="34" charset="0"/>
            </a:rPr>
            <a:t>Return: handover from Ambulance</a:t>
          </a:r>
        </a:p>
      </dgm:t>
    </dgm:pt>
    <dgm:pt modelId="{AA17A10C-43CE-43E6-AF08-543D982024DC}" type="parTrans" cxnId="{B9DD8F49-D9E9-4CC5-9F13-D88DE7F40F89}">
      <dgm:prSet/>
      <dgm:spPr/>
      <dgm:t>
        <a:bodyPr/>
        <a:lstStyle/>
        <a:p>
          <a:endParaRPr lang="en-GB"/>
        </a:p>
      </dgm:t>
    </dgm:pt>
    <dgm:pt modelId="{5A9CF936-332C-4B34-810A-FD9A8138B877}" type="sibTrans" cxnId="{B9DD8F49-D9E9-4CC5-9F13-D88DE7F40F89}">
      <dgm:prSet/>
      <dgm:spPr/>
      <dgm:t>
        <a:bodyPr/>
        <a:lstStyle/>
        <a:p>
          <a:endParaRPr lang="en-GB"/>
        </a:p>
      </dgm:t>
    </dgm:pt>
    <dgm:pt modelId="{A17EDE16-0A65-41D2-882D-AF6D927292CB}" type="pres">
      <dgm:prSet presAssocID="{50A9E905-665B-402E-9F12-C47C53286D30}" presName="cycleMatrixDiagram" presStyleCnt="0">
        <dgm:presLayoutVars>
          <dgm:chMax val="1"/>
          <dgm:dir/>
          <dgm:animLvl val="lvl"/>
          <dgm:resizeHandles val="exact"/>
        </dgm:presLayoutVars>
      </dgm:prSet>
      <dgm:spPr/>
    </dgm:pt>
    <dgm:pt modelId="{3F692958-666C-48F4-8FB1-CCEBDA178A78}" type="pres">
      <dgm:prSet presAssocID="{50A9E905-665B-402E-9F12-C47C53286D30}" presName="children" presStyleCnt="0"/>
      <dgm:spPr/>
    </dgm:pt>
    <dgm:pt modelId="{A5CFB89B-E4EA-438B-A2EB-C91463499ABD}" type="pres">
      <dgm:prSet presAssocID="{50A9E905-665B-402E-9F12-C47C53286D30}" presName="child1group" presStyleCnt="0"/>
      <dgm:spPr/>
    </dgm:pt>
    <dgm:pt modelId="{4E20C207-65AB-4F61-97BB-E8DACE3B145C}" type="pres">
      <dgm:prSet presAssocID="{50A9E905-665B-402E-9F12-C47C53286D30}" presName="child1" presStyleLbl="bgAcc1" presStyleIdx="0" presStyleCnt="4"/>
      <dgm:spPr/>
    </dgm:pt>
    <dgm:pt modelId="{704FEF0F-4127-4DCB-9EF0-BE3C5E0D5D83}" type="pres">
      <dgm:prSet presAssocID="{50A9E905-665B-402E-9F12-C47C53286D30}" presName="child1Text" presStyleLbl="bgAcc1" presStyleIdx="0" presStyleCnt="4">
        <dgm:presLayoutVars>
          <dgm:bulletEnabled val="1"/>
        </dgm:presLayoutVars>
      </dgm:prSet>
      <dgm:spPr/>
    </dgm:pt>
    <dgm:pt modelId="{FC9E7E3C-0AAA-4CF5-9D91-90D43EB2590A}" type="pres">
      <dgm:prSet presAssocID="{50A9E905-665B-402E-9F12-C47C53286D30}" presName="child2group" presStyleCnt="0"/>
      <dgm:spPr/>
    </dgm:pt>
    <dgm:pt modelId="{B8245FE9-8583-4C30-A875-FA540508F0D2}" type="pres">
      <dgm:prSet presAssocID="{50A9E905-665B-402E-9F12-C47C53286D30}" presName="child2" presStyleLbl="bgAcc1" presStyleIdx="1" presStyleCnt="4"/>
      <dgm:spPr/>
    </dgm:pt>
    <dgm:pt modelId="{972D4952-4BF4-4E92-9C1E-303B79E1352C}" type="pres">
      <dgm:prSet presAssocID="{50A9E905-665B-402E-9F12-C47C53286D30}" presName="child2Text" presStyleLbl="bgAcc1" presStyleIdx="1" presStyleCnt="4">
        <dgm:presLayoutVars>
          <dgm:bulletEnabled val="1"/>
        </dgm:presLayoutVars>
      </dgm:prSet>
      <dgm:spPr/>
    </dgm:pt>
    <dgm:pt modelId="{4775075B-0545-4502-AB41-2B3D5451D80F}" type="pres">
      <dgm:prSet presAssocID="{50A9E905-665B-402E-9F12-C47C53286D30}" presName="child3group" presStyleCnt="0"/>
      <dgm:spPr/>
    </dgm:pt>
    <dgm:pt modelId="{CF3E837B-0628-4BF2-AF85-002D7C7EC747}" type="pres">
      <dgm:prSet presAssocID="{50A9E905-665B-402E-9F12-C47C53286D30}" presName="child3" presStyleLbl="bgAcc1" presStyleIdx="2" presStyleCnt="4" custLinFactNeighborX="2402" custLinFactNeighborY="12755"/>
      <dgm:spPr/>
    </dgm:pt>
    <dgm:pt modelId="{CEB42BA8-C985-4F06-9FFD-BCEEF09915F6}" type="pres">
      <dgm:prSet presAssocID="{50A9E905-665B-402E-9F12-C47C53286D30}" presName="child3Text" presStyleLbl="bgAcc1" presStyleIdx="2" presStyleCnt="4">
        <dgm:presLayoutVars>
          <dgm:bulletEnabled val="1"/>
        </dgm:presLayoutVars>
      </dgm:prSet>
      <dgm:spPr/>
    </dgm:pt>
    <dgm:pt modelId="{6E073542-4CA3-48A4-83CB-6C0FE7874033}" type="pres">
      <dgm:prSet presAssocID="{50A9E905-665B-402E-9F12-C47C53286D30}" presName="child4group" presStyleCnt="0"/>
      <dgm:spPr/>
    </dgm:pt>
    <dgm:pt modelId="{8921F27B-4016-4E1D-9C98-7D652EE80E4E}" type="pres">
      <dgm:prSet presAssocID="{50A9E905-665B-402E-9F12-C47C53286D30}" presName="child4" presStyleLbl="bgAcc1" presStyleIdx="3" presStyleCnt="4"/>
      <dgm:spPr/>
    </dgm:pt>
    <dgm:pt modelId="{85D06CE5-ABE0-4FBD-B482-2DD72CB58B0E}" type="pres">
      <dgm:prSet presAssocID="{50A9E905-665B-402E-9F12-C47C53286D30}" presName="child4Text" presStyleLbl="bgAcc1" presStyleIdx="3" presStyleCnt="4">
        <dgm:presLayoutVars>
          <dgm:bulletEnabled val="1"/>
        </dgm:presLayoutVars>
      </dgm:prSet>
      <dgm:spPr/>
    </dgm:pt>
    <dgm:pt modelId="{3C88C408-1510-4ED1-BF5B-AD1EAF81ECD5}" type="pres">
      <dgm:prSet presAssocID="{50A9E905-665B-402E-9F12-C47C53286D30}" presName="childPlaceholder" presStyleCnt="0"/>
      <dgm:spPr/>
    </dgm:pt>
    <dgm:pt modelId="{7037393B-0503-4A5F-9FC9-8A6C724D7F29}" type="pres">
      <dgm:prSet presAssocID="{50A9E905-665B-402E-9F12-C47C53286D30}" presName="circle" presStyleCnt="0"/>
      <dgm:spPr/>
    </dgm:pt>
    <dgm:pt modelId="{23110BB7-01C4-498F-939D-434C867516F8}" type="pres">
      <dgm:prSet presAssocID="{50A9E905-665B-402E-9F12-C47C53286D30}" presName="quadrant1" presStyleLbl="node1" presStyleIdx="0" presStyleCnt="4">
        <dgm:presLayoutVars>
          <dgm:chMax val="1"/>
          <dgm:bulletEnabled val="1"/>
        </dgm:presLayoutVars>
      </dgm:prSet>
      <dgm:spPr/>
    </dgm:pt>
    <dgm:pt modelId="{6A47E6F0-532B-4F53-8506-A0305443FF41}" type="pres">
      <dgm:prSet presAssocID="{50A9E905-665B-402E-9F12-C47C53286D30}" presName="quadrant2" presStyleLbl="node1" presStyleIdx="1" presStyleCnt="4">
        <dgm:presLayoutVars>
          <dgm:chMax val="1"/>
          <dgm:bulletEnabled val="1"/>
        </dgm:presLayoutVars>
      </dgm:prSet>
      <dgm:spPr/>
    </dgm:pt>
    <dgm:pt modelId="{5A1BD2AC-832A-49CA-BDCE-3E99E36DFC8F}" type="pres">
      <dgm:prSet presAssocID="{50A9E905-665B-402E-9F12-C47C53286D30}" presName="quadrant3" presStyleLbl="node1" presStyleIdx="2" presStyleCnt="4">
        <dgm:presLayoutVars>
          <dgm:chMax val="1"/>
          <dgm:bulletEnabled val="1"/>
        </dgm:presLayoutVars>
      </dgm:prSet>
      <dgm:spPr/>
    </dgm:pt>
    <dgm:pt modelId="{6ED6ACFB-4B91-41F4-808D-74703678D21E}" type="pres">
      <dgm:prSet presAssocID="{50A9E905-665B-402E-9F12-C47C53286D30}" presName="quadrant4" presStyleLbl="node1" presStyleIdx="3" presStyleCnt="4">
        <dgm:presLayoutVars>
          <dgm:chMax val="1"/>
          <dgm:bulletEnabled val="1"/>
        </dgm:presLayoutVars>
      </dgm:prSet>
      <dgm:spPr/>
    </dgm:pt>
    <dgm:pt modelId="{E22B7422-644B-4C06-A83A-D69A53F7EA79}" type="pres">
      <dgm:prSet presAssocID="{50A9E905-665B-402E-9F12-C47C53286D30}" presName="quadrantPlaceholder" presStyleCnt="0"/>
      <dgm:spPr/>
    </dgm:pt>
    <dgm:pt modelId="{2D9B4B09-C715-46CF-AEDC-D4192CCED245}" type="pres">
      <dgm:prSet presAssocID="{50A9E905-665B-402E-9F12-C47C53286D30}" presName="center1" presStyleLbl="fgShp" presStyleIdx="0" presStyleCnt="2"/>
      <dgm:spPr>
        <a:solidFill>
          <a:schemeClr val="bg1"/>
        </a:solidFill>
      </dgm:spPr>
    </dgm:pt>
    <dgm:pt modelId="{0867D606-9259-46CD-8919-6643229E30D0}" type="pres">
      <dgm:prSet presAssocID="{50A9E905-665B-402E-9F12-C47C53286D30}" presName="center2" presStyleLbl="fgShp" presStyleIdx="1" presStyleCnt="2"/>
      <dgm:spPr>
        <a:solidFill>
          <a:schemeClr val="bg1"/>
        </a:solidFill>
      </dgm:spPr>
    </dgm:pt>
  </dgm:ptLst>
  <dgm:cxnLst>
    <dgm:cxn modelId="{DFF1CF09-FBDA-4090-84A2-DF97DC99391B}" srcId="{DEEF979E-D537-4969-99E1-4925344F3ACA}" destId="{97C84B12-45F6-44C9-8844-AD0CCAE578D1}" srcOrd="0" destOrd="0" parTransId="{B5CC2269-4732-4931-A7FF-A9B78A4B7975}" sibTransId="{24B038E7-5377-4B9E-8E6E-F4813360789B}"/>
    <dgm:cxn modelId="{5BA8DE0A-4775-4187-A507-4B1DE44C4391}" type="presOf" srcId="{F58C29DC-F205-4DFB-BA20-788C69BBCDE5}" destId="{972D4952-4BF4-4E92-9C1E-303B79E1352C}" srcOrd="1" destOrd="0" presId="urn:microsoft.com/office/officeart/2005/8/layout/cycle4"/>
    <dgm:cxn modelId="{8F0FFE16-DD3B-4A73-AF3A-5E7A0BA231CE}" type="presOf" srcId="{97C84B12-45F6-44C9-8844-AD0CCAE578D1}" destId="{704FEF0F-4127-4DCB-9EF0-BE3C5E0D5D83}" srcOrd="1" destOrd="0" presId="urn:microsoft.com/office/officeart/2005/8/layout/cycle4"/>
    <dgm:cxn modelId="{C49D782A-8871-4FEB-AF2D-62BB6FE62BA5}" srcId="{50A9E905-665B-402E-9F12-C47C53286D30}" destId="{2B7A8D85-B887-4F81-B858-5499C5353240}" srcOrd="1" destOrd="0" parTransId="{579FA6C7-D98D-43A1-8D49-9F6B5F6DDBF8}" sibTransId="{2182BA2D-2B06-4DFD-AAB4-885D327F3147}"/>
    <dgm:cxn modelId="{21316E3A-099A-4806-9B46-41B39365283D}" srcId="{50A9E905-665B-402E-9F12-C47C53286D30}" destId="{2F2D471C-CEC4-4F55-BB37-4178B8B37AF6}" srcOrd="3" destOrd="0" parTransId="{F5B8CE1A-D236-493D-BB6A-EEB0C2E65236}" sibTransId="{3ACCE810-68F1-4C59-8FEA-2B86D93657E3}"/>
    <dgm:cxn modelId="{456E8C3B-5DEF-4292-9A1E-9EC0F9A7D84F}" type="presOf" srcId="{D226264F-745F-4AF5-9303-46378635FADF}" destId="{85D06CE5-ABE0-4FBD-B482-2DD72CB58B0E}" srcOrd="1" destOrd="0" presId="urn:microsoft.com/office/officeart/2005/8/layout/cycle4"/>
    <dgm:cxn modelId="{52C16360-63CB-4C9F-B657-1E0A3DDA5D68}" type="presOf" srcId="{DC857417-74B2-47A5-B92A-E9AAC4D5BA4D}" destId="{CEB42BA8-C985-4F06-9FFD-BCEEF09915F6}" srcOrd="1" destOrd="0" presId="urn:microsoft.com/office/officeart/2005/8/layout/cycle4"/>
    <dgm:cxn modelId="{D11A1543-0E34-4C3D-BE1F-5F5E5455BB9D}" type="presOf" srcId="{6E3EEE8F-D318-41B2-BD09-3B09DC05BDD7}" destId="{8921F27B-4016-4E1D-9C98-7D652EE80E4E}" srcOrd="0" destOrd="1" presId="urn:microsoft.com/office/officeart/2005/8/layout/cycle4"/>
    <dgm:cxn modelId="{95E6FC44-8672-4FC0-B1D1-44D91FBA715B}" type="presOf" srcId="{F58C29DC-F205-4DFB-BA20-788C69BBCDE5}" destId="{B8245FE9-8583-4C30-A875-FA540508F0D2}" srcOrd="0" destOrd="0" presId="urn:microsoft.com/office/officeart/2005/8/layout/cycle4"/>
    <dgm:cxn modelId="{9F850846-418A-4BC9-8EE5-DFFCBBBAA03D}" type="presOf" srcId="{97C84B12-45F6-44C9-8844-AD0CCAE578D1}" destId="{4E20C207-65AB-4F61-97BB-E8DACE3B145C}" srcOrd="0" destOrd="0" presId="urn:microsoft.com/office/officeart/2005/8/layout/cycle4"/>
    <dgm:cxn modelId="{D2287048-657E-489A-8832-E27E86B37219}" type="presOf" srcId="{E5C7C848-E451-463A-B903-E140FADBBF2E}" destId="{CEB42BA8-C985-4F06-9FFD-BCEEF09915F6}" srcOrd="1" destOrd="1" presId="urn:microsoft.com/office/officeart/2005/8/layout/cycle4"/>
    <dgm:cxn modelId="{60288268-D22F-485C-865D-B6FDBE1E554F}" type="presOf" srcId="{E5C7C848-E451-463A-B903-E140FADBBF2E}" destId="{CF3E837B-0628-4BF2-AF85-002D7C7EC747}" srcOrd="0" destOrd="1" presId="urn:microsoft.com/office/officeart/2005/8/layout/cycle4"/>
    <dgm:cxn modelId="{B9DD8F49-D9E9-4CC5-9F13-D88DE7F40F89}" srcId="{DEEF979E-D537-4969-99E1-4925344F3ACA}" destId="{197324EC-68DC-4B1C-9ED1-A6F74CF0DD9A}" srcOrd="1" destOrd="0" parTransId="{AA17A10C-43CE-43E6-AF08-543D982024DC}" sibTransId="{5A9CF936-332C-4B34-810A-FD9A8138B877}"/>
    <dgm:cxn modelId="{8603044D-3AC3-4D5A-A60E-DD5C2D117007}" type="presOf" srcId="{DEEF979E-D537-4969-99E1-4925344F3ACA}" destId="{23110BB7-01C4-498F-939D-434C867516F8}" srcOrd="0" destOrd="0" presId="urn:microsoft.com/office/officeart/2005/8/layout/cycle4"/>
    <dgm:cxn modelId="{8CE87370-AB1C-4261-B460-31072EB23B7E}" type="presOf" srcId="{2B7A8D85-B887-4F81-B858-5499C5353240}" destId="{6A47E6F0-532B-4F53-8506-A0305443FF41}" srcOrd="0" destOrd="0" presId="urn:microsoft.com/office/officeart/2005/8/layout/cycle4"/>
    <dgm:cxn modelId="{92F02D71-2C25-483E-8E21-4FB0D6D85ACD}" type="presOf" srcId="{D226264F-745F-4AF5-9303-46378635FADF}" destId="{8921F27B-4016-4E1D-9C98-7D652EE80E4E}" srcOrd="0" destOrd="0" presId="urn:microsoft.com/office/officeart/2005/8/layout/cycle4"/>
    <dgm:cxn modelId="{E89BD851-4F8B-4213-AA74-8FEEF10E212A}" type="presOf" srcId="{50A9E905-665B-402E-9F12-C47C53286D30}" destId="{A17EDE16-0A65-41D2-882D-AF6D927292CB}" srcOrd="0" destOrd="0" presId="urn:microsoft.com/office/officeart/2005/8/layout/cycle4"/>
    <dgm:cxn modelId="{8FC04852-6193-43A8-8CF1-BC2491E0F58E}" srcId="{2F2D471C-CEC4-4F55-BB37-4178B8B37AF6}" destId="{6E3EEE8F-D318-41B2-BD09-3B09DC05BDD7}" srcOrd="1" destOrd="0" parTransId="{534C2CAE-DEF7-46C9-ABCD-D3EB10C753EC}" sibTransId="{08FD4F59-965B-4C40-A857-E2B0B14EA2A9}"/>
    <dgm:cxn modelId="{9F284253-1BE3-4E5F-8AD9-412E08DAB0F0}" type="presOf" srcId="{DC857417-74B2-47A5-B92A-E9AAC4D5BA4D}" destId="{CF3E837B-0628-4BF2-AF85-002D7C7EC747}" srcOrd="0" destOrd="0" presId="urn:microsoft.com/office/officeart/2005/8/layout/cycle4"/>
    <dgm:cxn modelId="{E5A6D159-4D81-4E3B-A6CA-F31CA42044ED}" type="presOf" srcId="{3A8D3B96-0070-4FF0-AE4D-1040CBC2BBFD}" destId="{CF3E837B-0628-4BF2-AF85-002D7C7EC747}" srcOrd="0" destOrd="2" presId="urn:microsoft.com/office/officeart/2005/8/layout/cycle4"/>
    <dgm:cxn modelId="{48578F8A-1F14-47D4-A9B8-554389CFC2A0}" type="presOf" srcId="{F96DEB96-311C-49AD-BA8A-BA41FC7C8B85}" destId="{972D4952-4BF4-4E92-9C1E-303B79E1352C}" srcOrd="1" destOrd="1" presId="urn:microsoft.com/office/officeart/2005/8/layout/cycle4"/>
    <dgm:cxn modelId="{4C9F298C-EFCD-49D3-9CAA-BFEB5676DF09}" srcId="{2B7A8D85-B887-4F81-B858-5499C5353240}" destId="{F58C29DC-F205-4DFB-BA20-788C69BBCDE5}" srcOrd="0" destOrd="0" parTransId="{7B32BEA4-BA62-4F79-AA30-10C4F36A7C56}" sibTransId="{67450CC2-701B-4BC2-A2B5-F4307E9660EC}"/>
    <dgm:cxn modelId="{859BA496-2314-4FD0-B086-87C3A43C5EAD}" srcId="{2B7A8D85-B887-4F81-B858-5499C5353240}" destId="{F96DEB96-311C-49AD-BA8A-BA41FC7C8B85}" srcOrd="1" destOrd="0" parTransId="{D50252B4-EAA5-43E9-A547-DB34AC35CBBD}" sibTransId="{D42181DE-C592-40CA-85C6-BA1F3FAF7E38}"/>
    <dgm:cxn modelId="{D7BCF79F-A92F-4570-8493-90C937C12990}" srcId="{50A9E905-665B-402E-9F12-C47C53286D30}" destId="{5336C2DB-9A1D-4EE7-9097-475EEC9392F4}" srcOrd="2" destOrd="0" parTransId="{23FC1776-49BA-420F-9848-274B77D8B07B}" sibTransId="{F2D9882E-4ED8-4F57-8EF1-8B4E98F8A15C}"/>
    <dgm:cxn modelId="{BD6793A0-A260-4451-93CF-F55697991D3C}" srcId="{5336C2DB-9A1D-4EE7-9097-475EEC9392F4}" destId="{3A8D3B96-0070-4FF0-AE4D-1040CBC2BBFD}" srcOrd="2" destOrd="0" parTransId="{0B4AC57C-B48F-4FBE-B67D-ED8FDB82F168}" sibTransId="{F4479059-7FAC-4073-9B60-BB07B7CA9123}"/>
    <dgm:cxn modelId="{26906FA9-8955-4878-A0F5-9E89690E6C02}" type="presOf" srcId="{197324EC-68DC-4B1C-9ED1-A6F74CF0DD9A}" destId="{704FEF0F-4127-4DCB-9EF0-BE3C5E0D5D83}" srcOrd="1" destOrd="1" presId="urn:microsoft.com/office/officeart/2005/8/layout/cycle4"/>
    <dgm:cxn modelId="{FF0704AA-CBFB-4E33-A79D-81F0072AD4A2}" type="presOf" srcId="{3A8D3B96-0070-4FF0-AE4D-1040CBC2BBFD}" destId="{CEB42BA8-C985-4F06-9FFD-BCEEF09915F6}" srcOrd="1" destOrd="2" presId="urn:microsoft.com/office/officeart/2005/8/layout/cycle4"/>
    <dgm:cxn modelId="{5C7B09AB-1F76-4060-890D-35F4BF150A2E}" srcId="{50A9E905-665B-402E-9F12-C47C53286D30}" destId="{DEEF979E-D537-4969-99E1-4925344F3ACA}" srcOrd="0" destOrd="0" parTransId="{363DB5CD-55B5-425F-8BDC-76FCF7D64FE3}" sibTransId="{6D530FF1-27FC-4697-8ABC-3D964859EEB9}"/>
    <dgm:cxn modelId="{F6CBD9BB-2EBB-4A5C-A953-46103CF00368}" type="presOf" srcId="{F96DEB96-311C-49AD-BA8A-BA41FC7C8B85}" destId="{B8245FE9-8583-4C30-A875-FA540508F0D2}" srcOrd="0" destOrd="1" presId="urn:microsoft.com/office/officeart/2005/8/layout/cycle4"/>
    <dgm:cxn modelId="{D73EC9BE-C0BE-4B38-98E7-E42A001A4F0A}" type="presOf" srcId="{2F2D471C-CEC4-4F55-BB37-4178B8B37AF6}" destId="{6ED6ACFB-4B91-41F4-808D-74703678D21E}" srcOrd="0" destOrd="0" presId="urn:microsoft.com/office/officeart/2005/8/layout/cycle4"/>
    <dgm:cxn modelId="{3E46D2BF-1875-4E39-92D3-C750B46AF97C}" srcId="{5336C2DB-9A1D-4EE7-9097-475EEC9392F4}" destId="{E5C7C848-E451-463A-B903-E140FADBBF2E}" srcOrd="1" destOrd="0" parTransId="{9F599FC0-69D6-4294-9763-9F887AAC3156}" sibTransId="{F6DF6B57-4C0D-4CC7-B241-65C007824487}"/>
    <dgm:cxn modelId="{B702CBD6-BC7B-408E-9843-79EA8D66D753}" srcId="{2F2D471C-CEC4-4F55-BB37-4178B8B37AF6}" destId="{D226264F-745F-4AF5-9303-46378635FADF}" srcOrd="0" destOrd="0" parTransId="{E6B6D08A-0D49-4111-A6FF-D4A1C9DDBE3F}" sibTransId="{A3567914-B8A0-4B04-87FD-01C4BE625271}"/>
    <dgm:cxn modelId="{4C9859ED-E34A-44A6-AE54-C910BC70FE7E}" type="presOf" srcId="{6E3EEE8F-D318-41B2-BD09-3B09DC05BDD7}" destId="{85D06CE5-ABE0-4FBD-B482-2DD72CB58B0E}" srcOrd="1" destOrd="1" presId="urn:microsoft.com/office/officeart/2005/8/layout/cycle4"/>
    <dgm:cxn modelId="{F9D5E2F0-0EA6-4672-87A5-9C75E67EEDDD}" type="presOf" srcId="{5336C2DB-9A1D-4EE7-9097-475EEC9392F4}" destId="{5A1BD2AC-832A-49CA-BDCE-3E99E36DFC8F}" srcOrd="0" destOrd="0" presId="urn:microsoft.com/office/officeart/2005/8/layout/cycle4"/>
    <dgm:cxn modelId="{FC235BF4-03F0-404E-9882-6C920FF133D8}" type="presOf" srcId="{197324EC-68DC-4B1C-9ED1-A6F74CF0DD9A}" destId="{4E20C207-65AB-4F61-97BB-E8DACE3B145C}" srcOrd="0" destOrd="1" presId="urn:microsoft.com/office/officeart/2005/8/layout/cycle4"/>
    <dgm:cxn modelId="{247623FD-2A1F-4ADB-85F1-0C88292C84D6}" srcId="{5336C2DB-9A1D-4EE7-9097-475EEC9392F4}" destId="{DC857417-74B2-47A5-B92A-E9AAC4D5BA4D}" srcOrd="0" destOrd="0" parTransId="{0605D76A-41E6-40C0-BF3B-65FCC13459BA}" sibTransId="{B62841EF-6325-41C6-8787-8587EB01FFDB}"/>
    <dgm:cxn modelId="{A138BD90-D1C7-42E2-B025-ED4AE7B1E4B7}" type="presParOf" srcId="{A17EDE16-0A65-41D2-882D-AF6D927292CB}" destId="{3F692958-666C-48F4-8FB1-CCEBDA178A78}" srcOrd="0" destOrd="0" presId="urn:microsoft.com/office/officeart/2005/8/layout/cycle4"/>
    <dgm:cxn modelId="{E78DF081-9AA4-4C73-ACED-FDAF4CCC4477}" type="presParOf" srcId="{3F692958-666C-48F4-8FB1-CCEBDA178A78}" destId="{A5CFB89B-E4EA-438B-A2EB-C91463499ABD}" srcOrd="0" destOrd="0" presId="urn:microsoft.com/office/officeart/2005/8/layout/cycle4"/>
    <dgm:cxn modelId="{6CB925FD-4577-4F43-B030-F059A030D276}" type="presParOf" srcId="{A5CFB89B-E4EA-438B-A2EB-C91463499ABD}" destId="{4E20C207-65AB-4F61-97BB-E8DACE3B145C}" srcOrd="0" destOrd="0" presId="urn:microsoft.com/office/officeart/2005/8/layout/cycle4"/>
    <dgm:cxn modelId="{6B9995D7-1267-4046-B9C6-B45CCF429260}" type="presParOf" srcId="{A5CFB89B-E4EA-438B-A2EB-C91463499ABD}" destId="{704FEF0F-4127-4DCB-9EF0-BE3C5E0D5D83}" srcOrd="1" destOrd="0" presId="urn:microsoft.com/office/officeart/2005/8/layout/cycle4"/>
    <dgm:cxn modelId="{2CD97E53-53D0-4CCE-91B1-21B487440611}" type="presParOf" srcId="{3F692958-666C-48F4-8FB1-CCEBDA178A78}" destId="{FC9E7E3C-0AAA-4CF5-9D91-90D43EB2590A}" srcOrd="1" destOrd="0" presId="urn:microsoft.com/office/officeart/2005/8/layout/cycle4"/>
    <dgm:cxn modelId="{3E63B60B-8EA8-4625-88C5-02B93A44CEC0}" type="presParOf" srcId="{FC9E7E3C-0AAA-4CF5-9D91-90D43EB2590A}" destId="{B8245FE9-8583-4C30-A875-FA540508F0D2}" srcOrd="0" destOrd="0" presId="urn:microsoft.com/office/officeart/2005/8/layout/cycle4"/>
    <dgm:cxn modelId="{FF332FAF-CE9E-4F1F-97A5-00200DEEEE7D}" type="presParOf" srcId="{FC9E7E3C-0AAA-4CF5-9D91-90D43EB2590A}" destId="{972D4952-4BF4-4E92-9C1E-303B79E1352C}" srcOrd="1" destOrd="0" presId="urn:microsoft.com/office/officeart/2005/8/layout/cycle4"/>
    <dgm:cxn modelId="{3CA7C12F-0FC1-4384-AB05-A81B1E008912}" type="presParOf" srcId="{3F692958-666C-48F4-8FB1-CCEBDA178A78}" destId="{4775075B-0545-4502-AB41-2B3D5451D80F}" srcOrd="2" destOrd="0" presId="urn:microsoft.com/office/officeart/2005/8/layout/cycle4"/>
    <dgm:cxn modelId="{713EF155-29B5-4B0E-97E7-BBA476DD12A9}" type="presParOf" srcId="{4775075B-0545-4502-AB41-2B3D5451D80F}" destId="{CF3E837B-0628-4BF2-AF85-002D7C7EC747}" srcOrd="0" destOrd="0" presId="urn:microsoft.com/office/officeart/2005/8/layout/cycle4"/>
    <dgm:cxn modelId="{65E8479C-9E9A-4699-A809-EE16EF302D3E}" type="presParOf" srcId="{4775075B-0545-4502-AB41-2B3D5451D80F}" destId="{CEB42BA8-C985-4F06-9FFD-BCEEF09915F6}" srcOrd="1" destOrd="0" presId="urn:microsoft.com/office/officeart/2005/8/layout/cycle4"/>
    <dgm:cxn modelId="{3A8E9DC3-6011-4F98-AB37-C664F95552A5}" type="presParOf" srcId="{3F692958-666C-48F4-8FB1-CCEBDA178A78}" destId="{6E073542-4CA3-48A4-83CB-6C0FE7874033}" srcOrd="3" destOrd="0" presId="urn:microsoft.com/office/officeart/2005/8/layout/cycle4"/>
    <dgm:cxn modelId="{7C2CD415-FA51-4483-9EC6-8C94FF2C6C6A}" type="presParOf" srcId="{6E073542-4CA3-48A4-83CB-6C0FE7874033}" destId="{8921F27B-4016-4E1D-9C98-7D652EE80E4E}" srcOrd="0" destOrd="0" presId="urn:microsoft.com/office/officeart/2005/8/layout/cycle4"/>
    <dgm:cxn modelId="{8498CADF-BD45-4D75-802D-021206707899}" type="presParOf" srcId="{6E073542-4CA3-48A4-83CB-6C0FE7874033}" destId="{85D06CE5-ABE0-4FBD-B482-2DD72CB58B0E}" srcOrd="1" destOrd="0" presId="urn:microsoft.com/office/officeart/2005/8/layout/cycle4"/>
    <dgm:cxn modelId="{832FD4D1-A974-4639-A545-74E6D33F4EA8}" type="presParOf" srcId="{3F692958-666C-48F4-8FB1-CCEBDA178A78}" destId="{3C88C408-1510-4ED1-BF5B-AD1EAF81ECD5}" srcOrd="4" destOrd="0" presId="urn:microsoft.com/office/officeart/2005/8/layout/cycle4"/>
    <dgm:cxn modelId="{50B5662B-F595-4124-82F4-34056BA5F41B}" type="presParOf" srcId="{A17EDE16-0A65-41D2-882D-AF6D927292CB}" destId="{7037393B-0503-4A5F-9FC9-8A6C724D7F29}" srcOrd="1" destOrd="0" presId="urn:microsoft.com/office/officeart/2005/8/layout/cycle4"/>
    <dgm:cxn modelId="{EF506EB2-046E-4D3F-9E05-59900D9CE47A}" type="presParOf" srcId="{7037393B-0503-4A5F-9FC9-8A6C724D7F29}" destId="{23110BB7-01C4-498F-939D-434C867516F8}" srcOrd="0" destOrd="0" presId="urn:microsoft.com/office/officeart/2005/8/layout/cycle4"/>
    <dgm:cxn modelId="{1DCD11AD-5256-4F2F-9352-206594F882AE}" type="presParOf" srcId="{7037393B-0503-4A5F-9FC9-8A6C724D7F29}" destId="{6A47E6F0-532B-4F53-8506-A0305443FF41}" srcOrd="1" destOrd="0" presId="urn:microsoft.com/office/officeart/2005/8/layout/cycle4"/>
    <dgm:cxn modelId="{51B9DD4C-1B8D-4C19-ABB1-04C54AFA6CC9}" type="presParOf" srcId="{7037393B-0503-4A5F-9FC9-8A6C724D7F29}" destId="{5A1BD2AC-832A-49CA-BDCE-3E99E36DFC8F}" srcOrd="2" destOrd="0" presId="urn:microsoft.com/office/officeart/2005/8/layout/cycle4"/>
    <dgm:cxn modelId="{5FC537A8-AAD8-48FD-81EF-F2A5880EACD8}" type="presParOf" srcId="{7037393B-0503-4A5F-9FC9-8A6C724D7F29}" destId="{6ED6ACFB-4B91-41F4-808D-74703678D21E}" srcOrd="3" destOrd="0" presId="urn:microsoft.com/office/officeart/2005/8/layout/cycle4"/>
    <dgm:cxn modelId="{13DB29F5-5F61-4201-88EF-A72B2F52C80B}" type="presParOf" srcId="{7037393B-0503-4A5F-9FC9-8A6C724D7F29}" destId="{E22B7422-644B-4C06-A83A-D69A53F7EA79}" srcOrd="4" destOrd="0" presId="urn:microsoft.com/office/officeart/2005/8/layout/cycle4"/>
    <dgm:cxn modelId="{567C4FA8-DF0D-41C0-90FE-230DB802A59E}" type="presParOf" srcId="{A17EDE16-0A65-41D2-882D-AF6D927292CB}" destId="{2D9B4B09-C715-46CF-AEDC-D4192CCED245}" srcOrd="2" destOrd="0" presId="urn:microsoft.com/office/officeart/2005/8/layout/cycle4"/>
    <dgm:cxn modelId="{BB6AFAC3-CDA8-4EC1-A570-C1730D6CDE1E}" type="presParOf" srcId="{A17EDE16-0A65-41D2-882D-AF6D927292CB}" destId="{0867D606-9259-46CD-8919-6643229E30D0}" srcOrd="3" destOrd="0" presId="urn:microsoft.com/office/officeart/2005/8/layout/cycle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3E837B-0628-4BF2-AF85-002D7C7EC747}">
      <dsp:nvSpPr>
        <dsp:cNvPr id="0" name=""/>
        <dsp:cNvSpPr/>
      </dsp:nvSpPr>
      <dsp:spPr>
        <a:xfrm>
          <a:off x="3280437" y="2176272"/>
          <a:ext cx="1580997" cy="1024128"/>
        </a:xfrm>
        <a:prstGeom prst="roundRect">
          <a:avLst>
            <a:gd name="adj" fmla="val 10000"/>
          </a:avLst>
        </a:prstGeom>
        <a:pattFill prst="pct5">
          <a:fgClr>
            <a:schemeClr val="lt1">
              <a:hueOff val="0"/>
              <a:satOff val="0"/>
              <a:lumOff val="0"/>
            </a:schemeClr>
          </a:fgClr>
          <a:bgClr>
            <a:schemeClr val="bg1"/>
          </a:bgClr>
        </a:pattFill>
        <a:ln w="19050" cap="flat" cmpd="sng" algn="ctr">
          <a:solidFill>
            <a:srgbClr val="00206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57150" lvl="1" indent="-57150" algn="l" defTabSz="400050">
            <a:lnSpc>
              <a:spcPct val="90000"/>
            </a:lnSpc>
            <a:spcBef>
              <a:spcPct val="0"/>
            </a:spcBef>
            <a:spcAft>
              <a:spcPct val="15000"/>
            </a:spcAft>
            <a:buChar char="•"/>
          </a:pPr>
          <a:r>
            <a:rPr lang="en-GB" sz="900" kern="1200">
              <a:ln>
                <a:noFill/>
              </a:ln>
              <a:latin typeface="Arial" panose="020B0604020202020204" pitchFamily="34" charset="0"/>
              <a:cs typeface="Arial" panose="020B0604020202020204" pitchFamily="34" charset="0"/>
            </a:rPr>
            <a:t>Admission</a:t>
          </a:r>
        </a:p>
        <a:p>
          <a:pPr marL="57150" lvl="1" indent="-57150" algn="l" defTabSz="400050">
            <a:lnSpc>
              <a:spcPct val="90000"/>
            </a:lnSpc>
            <a:spcBef>
              <a:spcPct val="0"/>
            </a:spcBef>
            <a:spcAft>
              <a:spcPct val="15000"/>
            </a:spcAft>
            <a:buChar char="•"/>
          </a:pPr>
          <a:r>
            <a:rPr lang="en-GB" sz="900" kern="1200">
              <a:ln>
                <a:noFill/>
              </a:ln>
              <a:latin typeface="Arial" panose="020B0604020202020204" pitchFamily="34" charset="0"/>
              <a:cs typeface="Arial" panose="020B0604020202020204" pitchFamily="34" charset="0"/>
            </a:rPr>
            <a:t>Ward</a:t>
          </a:r>
        </a:p>
        <a:p>
          <a:pPr marL="57150" lvl="1" indent="-57150" algn="l" defTabSz="400050">
            <a:lnSpc>
              <a:spcPct val="90000"/>
            </a:lnSpc>
            <a:spcBef>
              <a:spcPct val="0"/>
            </a:spcBef>
            <a:spcAft>
              <a:spcPct val="15000"/>
            </a:spcAft>
            <a:buChar char="•"/>
          </a:pPr>
          <a:r>
            <a:rPr lang="en-GB" sz="900" kern="1200">
              <a:ln>
                <a:noFill/>
              </a:ln>
              <a:latin typeface="Arial" panose="020B0604020202020204" pitchFamily="34" charset="0"/>
              <a:cs typeface="Arial" panose="020B0604020202020204" pitchFamily="34" charset="0"/>
            </a:rPr>
            <a:t>Discharge</a:t>
          </a:r>
        </a:p>
      </dsp:txBody>
      <dsp:txXfrm>
        <a:off x="3777234" y="2454800"/>
        <a:ext cx="1061704" cy="723102"/>
      </dsp:txXfrm>
    </dsp:sp>
    <dsp:sp modelId="{8921F27B-4016-4E1D-9C98-7D652EE80E4E}">
      <dsp:nvSpPr>
        <dsp:cNvPr id="0" name=""/>
        <dsp:cNvSpPr/>
      </dsp:nvSpPr>
      <dsp:spPr>
        <a:xfrm>
          <a:off x="662939" y="2176272"/>
          <a:ext cx="1580997" cy="1024128"/>
        </a:xfrm>
        <a:prstGeom prst="roundRect">
          <a:avLst>
            <a:gd name="adj" fmla="val 10000"/>
          </a:avLst>
        </a:prstGeom>
        <a:solidFill>
          <a:schemeClr val="lt1">
            <a:alpha val="90000"/>
            <a:hueOff val="0"/>
            <a:satOff val="0"/>
            <a:lumOff val="0"/>
            <a:alphaOff val="0"/>
          </a:schemeClr>
        </a:solidFill>
        <a:ln w="19050" cap="flat" cmpd="sng" algn="ctr">
          <a:solidFill>
            <a:srgbClr val="7030A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57150" lvl="1" indent="-57150" algn="l" defTabSz="400050">
            <a:lnSpc>
              <a:spcPct val="90000"/>
            </a:lnSpc>
            <a:spcBef>
              <a:spcPct val="0"/>
            </a:spcBef>
            <a:spcAft>
              <a:spcPct val="15000"/>
            </a:spcAft>
            <a:buChar char="•"/>
          </a:pPr>
          <a:r>
            <a:rPr lang="en-GB" sz="900" kern="1200">
              <a:latin typeface="Arial" panose="020B0604020202020204" pitchFamily="34" charset="0"/>
              <a:cs typeface="Arial" panose="020B0604020202020204" pitchFamily="34" charset="0"/>
            </a:rPr>
            <a:t>Handover from NHS Trust</a:t>
          </a:r>
        </a:p>
        <a:p>
          <a:pPr marL="57150" lvl="1" indent="-57150" algn="l" defTabSz="400050">
            <a:lnSpc>
              <a:spcPct val="90000"/>
            </a:lnSpc>
            <a:spcBef>
              <a:spcPct val="0"/>
            </a:spcBef>
            <a:spcAft>
              <a:spcPct val="15000"/>
            </a:spcAft>
            <a:buChar char="•"/>
          </a:pPr>
          <a:r>
            <a:rPr lang="en-GB" sz="900" kern="1200">
              <a:latin typeface="Arial" panose="020B0604020202020204" pitchFamily="34" charset="0"/>
              <a:cs typeface="Arial" panose="020B0604020202020204" pitchFamily="34" charset="0"/>
            </a:rPr>
            <a:t>transport to care home</a:t>
          </a:r>
        </a:p>
      </dsp:txBody>
      <dsp:txXfrm>
        <a:off x="685436" y="2454800"/>
        <a:ext cx="1061704" cy="723102"/>
      </dsp:txXfrm>
    </dsp:sp>
    <dsp:sp modelId="{B8245FE9-8583-4C30-A875-FA540508F0D2}">
      <dsp:nvSpPr>
        <dsp:cNvPr id="0" name=""/>
        <dsp:cNvSpPr/>
      </dsp:nvSpPr>
      <dsp:spPr>
        <a:xfrm>
          <a:off x="3242462" y="0"/>
          <a:ext cx="1580997" cy="1024128"/>
        </a:xfrm>
        <a:prstGeom prst="roundRect">
          <a:avLst>
            <a:gd name="adj" fmla="val 10000"/>
          </a:avLst>
        </a:prstGeom>
        <a:solidFill>
          <a:schemeClr val="lt1">
            <a:alpha val="90000"/>
            <a:hueOff val="0"/>
            <a:satOff val="0"/>
            <a:lumOff val="0"/>
            <a:alphaOff val="0"/>
          </a:schemeClr>
        </a:solidFill>
        <a:ln w="19050" cap="flat" cmpd="sng" algn="ctr">
          <a:solidFill>
            <a:srgbClr val="7030A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57150" lvl="1" indent="-57150" algn="l" defTabSz="400050">
            <a:lnSpc>
              <a:spcPct val="90000"/>
            </a:lnSpc>
            <a:spcBef>
              <a:spcPct val="0"/>
            </a:spcBef>
            <a:spcAft>
              <a:spcPct val="15000"/>
            </a:spcAft>
            <a:buChar char="•"/>
          </a:pPr>
          <a:r>
            <a:rPr lang="en-GB" sz="900" kern="1200">
              <a:latin typeface="Arial" panose="020B0604020202020204" pitchFamily="34" charset="0"/>
              <a:cs typeface="Arial" panose="020B0604020202020204" pitchFamily="34" charset="0"/>
            </a:rPr>
            <a:t>Handover from care home</a:t>
          </a:r>
        </a:p>
        <a:p>
          <a:pPr marL="57150" lvl="1" indent="-57150" algn="l" defTabSz="400050">
            <a:lnSpc>
              <a:spcPct val="90000"/>
            </a:lnSpc>
            <a:spcBef>
              <a:spcPct val="0"/>
            </a:spcBef>
            <a:spcAft>
              <a:spcPct val="15000"/>
            </a:spcAft>
            <a:buChar char="•"/>
          </a:pPr>
          <a:r>
            <a:rPr lang="en-GB" sz="900" kern="1200">
              <a:latin typeface="Arial" panose="020B0604020202020204" pitchFamily="34" charset="0"/>
              <a:cs typeface="Arial" panose="020B0604020202020204" pitchFamily="34" charset="0"/>
            </a:rPr>
            <a:t>Transfer from care home to hospital</a:t>
          </a:r>
        </a:p>
      </dsp:txBody>
      <dsp:txXfrm>
        <a:off x="3739258" y="22497"/>
        <a:ext cx="1061704" cy="723102"/>
      </dsp:txXfrm>
    </dsp:sp>
    <dsp:sp modelId="{4E20C207-65AB-4F61-97BB-E8DACE3B145C}">
      <dsp:nvSpPr>
        <dsp:cNvPr id="0" name=""/>
        <dsp:cNvSpPr/>
      </dsp:nvSpPr>
      <dsp:spPr>
        <a:xfrm>
          <a:off x="662939" y="0"/>
          <a:ext cx="1580997" cy="1024128"/>
        </a:xfrm>
        <a:prstGeom prst="roundRect">
          <a:avLst>
            <a:gd name="adj" fmla="val 10000"/>
          </a:avLst>
        </a:prstGeom>
        <a:solidFill>
          <a:schemeClr val="lt1">
            <a:alpha val="90000"/>
            <a:hueOff val="0"/>
            <a:satOff val="0"/>
            <a:lumOff val="0"/>
            <a:alphaOff val="0"/>
          </a:schemeClr>
        </a:solidFill>
        <a:ln w="19050" cap="flat" cmpd="sng" algn="ctr">
          <a:solidFill>
            <a:srgbClr val="FF66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400050">
            <a:lnSpc>
              <a:spcPct val="90000"/>
            </a:lnSpc>
            <a:spcBef>
              <a:spcPct val="0"/>
            </a:spcBef>
            <a:spcAft>
              <a:spcPct val="15000"/>
            </a:spcAft>
            <a:buChar char="•"/>
          </a:pPr>
          <a:r>
            <a:rPr lang="en-GB" sz="900" kern="1200">
              <a:latin typeface="Arial" panose="020B0604020202020204" pitchFamily="34" charset="0"/>
              <a:cs typeface="Arial" panose="020B0604020202020204" pitchFamily="34" charset="0"/>
            </a:rPr>
            <a:t>Outgoing: handover to Ambulance Service</a:t>
          </a:r>
        </a:p>
        <a:p>
          <a:pPr marL="57150" lvl="1" indent="-57150" algn="l" defTabSz="400050">
            <a:lnSpc>
              <a:spcPct val="90000"/>
            </a:lnSpc>
            <a:spcBef>
              <a:spcPct val="0"/>
            </a:spcBef>
            <a:spcAft>
              <a:spcPct val="15000"/>
            </a:spcAft>
            <a:buChar char="•"/>
          </a:pPr>
          <a:r>
            <a:rPr lang="en-GB" sz="900" kern="1200">
              <a:latin typeface="Arial" panose="020B0604020202020204" pitchFamily="34" charset="0"/>
              <a:cs typeface="Arial" panose="020B0604020202020204" pitchFamily="34" charset="0"/>
            </a:rPr>
            <a:t>Return: handover from Ambulance</a:t>
          </a:r>
        </a:p>
      </dsp:txBody>
      <dsp:txXfrm>
        <a:off x="685436" y="22497"/>
        <a:ext cx="1061704" cy="723102"/>
      </dsp:txXfrm>
    </dsp:sp>
    <dsp:sp modelId="{23110BB7-01C4-498F-939D-434C867516F8}">
      <dsp:nvSpPr>
        <dsp:cNvPr id="0" name=""/>
        <dsp:cNvSpPr/>
      </dsp:nvSpPr>
      <dsp:spPr>
        <a:xfrm>
          <a:off x="1325422" y="182422"/>
          <a:ext cx="1385773" cy="1385773"/>
        </a:xfrm>
        <a:prstGeom prst="pieWedge">
          <a:avLst/>
        </a:prstGeom>
        <a:solidFill>
          <a:srgbClr val="FF6600"/>
        </a:solidFill>
        <a:ln w="12700" cap="flat" cmpd="sng" algn="ctr">
          <a:solidFill>
            <a:srgbClr val="FF66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b="1" kern="1200">
              <a:latin typeface="Arial" panose="020B0604020202020204" pitchFamily="34" charset="0"/>
              <a:cs typeface="Arial" panose="020B0604020202020204" pitchFamily="34" charset="0"/>
            </a:rPr>
            <a:t>Care Home</a:t>
          </a:r>
          <a:r>
            <a:rPr lang="en-GB" sz="1100" kern="1200"/>
            <a:t>	</a:t>
          </a:r>
        </a:p>
      </dsp:txBody>
      <dsp:txXfrm>
        <a:off x="1731306" y="588306"/>
        <a:ext cx="979889" cy="979889"/>
      </dsp:txXfrm>
    </dsp:sp>
    <dsp:sp modelId="{6A47E6F0-532B-4F53-8506-A0305443FF41}">
      <dsp:nvSpPr>
        <dsp:cNvPr id="0" name=""/>
        <dsp:cNvSpPr/>
      </dsp:nvSpPr>
      <dsp:spPr>
        <a:xfrm rot="5400000">
          <a:off x="2775204" y="182422"/>
          <a:ext cx="1385773" cy="1385773"/>
        </a:xfrm>
        <a:prstGeom prst="pieWedge">
          <a:avLst/>
        </a:prstGeom>
        <a:solidFill>
          <a:srgbClr val="7030A0"/>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b="1" kern="1200">
              <a:latin typeface="Arial" panose="020B0604020202020204" pitchFamily="34" charset="0"/>
              <a:cs typeface="Arial" panose="020B0604020202020204" pitchFamily="34" charset="0"/>
            </a:rPr>
            <a:t>Ambulance</a:t>
          </a:r>
        </a:p>
      </dsp:txBody>
      <dsp:txXfrm rot="-5400000">
        <a:off x="2775204" y="588306"/>
        <a:ext cx="979889" cy="979889"/>
      </dsp:txXfrm>
    </dsp:sp>
    <dsp:sp modelId="{5A1BD2AC-832A-49CA-BDCE-3E99E36DFC8F}">
      <dsp:nvSpPr>
        <dsp:cNvPr id="0" name=""/>
        <dsp:cNvSpPr/>
      </dsp:nvSpPr>
      <dsp:spPr>
        <a:xfrm rot="10800000">
          <a:off x="2775204" y="1632204"/>
          <a:ext cx="1385773" cy="1385773"/>
        </a:xfrm>
        <a:prstGeom prst="pieWedge">
          <a:avLst/>
        </a:prstGeom>
        <a:solidFill>
          <a:srgbClr val="002060"/>
        </a:solidFill>
        <a:ln w="12700" cap="flat" cmpd="sng" algn="ctr">
          <a:solidFill>
            <a:srgbClr val="00206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b="1" kern="1200">
              <a:latin typeface="Arial" panose="020B0604020202020204" pitchFamily="34" charset="0"/>
              <a:cs typeface="Arial" panose="020B0604020202020204" pitchFamily="34" charset="0"/>
            </a:rPr>
            <a:t>Hospital</a:t>
          </a:r>
        </a:p>
      </dsp:txBody>
      <dsp:txXfrm rot="10800000">
        <a:off x="2775204" y="1632204"/>
        <a:ext cx="979889" cy="979889"/>
      </dsp:txXfrm>
    </dsp:sp>
    <dsp:sp modelId="{6ED6ACFB-4B91-41F4-808D-74703678D21E}">
      <dsp:nvSpPr>
        <dsp:cNvPr id="0" name=""/>
        <dsp:cNvSpPr/>
      </dsp:nvSpPr>
      <dsp:spPr>
        <a:xfrm rot="16200000">
          <a:off x="1325422" y="1632204"/>
          <a:ext cx="1385773" cy="1385773"/>
        </a:xfrm>
        <a:prstGeom prst="pieWedge">
          <a:avLst/>
        </a:prstGeom>
        <a:solidFill>
          <a:srgbClr val="7030A0"/>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b="1" kern="1200">
              <a:latin typeface="Arial" panose="020B0604020202020204" pitchFamily="34" charset="0"/>
              <a:cs typeface="Arial" panose="020B0604020202020204" pitchFamily="34" charset="0"/>
            </a:rPr>
            <a:t>Ambulance</a:t>
          </a:r>
        </a:p>
      </dsp:txBody>
      <dsp:txXfrm rot="5400000">
        <a:off x="1731306" y="1632204"/>
        <a:ext cx="979889" cy="979889"/>
      </dsp:txXfrm>
    </dsp:sp>
    <dsp:sp modelId="{2D9B4B09-C715-46CF-AEDC-D4192CCED245}">
      <dsp:nvSpPr>
        <dsp:cNvPr id="0" name=""/>
        <dsp:cNvSpPr/>
      </dsp:nvSpPr>
      <dsp:spPr>
        <a:xfrm>
          <a:off x="2503970" y="1312164"/>
          <a:ext cx="478459" cy="416052"/>
        </a:xfrm>
        <a:prstGeom prst="circularArrow">
          <a:avLst/>
        </a:prstGeom>
        <a:solidFill>
          <a:schemeClr val="bg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867D606-9259-46CD-8919-6643229E30D0}">
      <dsp:nvSpPr>
        <dsp:cNvPr id="0" name=""/>
        <dsp:cNvSpPr/>
      </dsp:nvSpPr>
      <dsp:spPr>
        <a:xfrm rot="10800000">
          <a:off x="2503970" y="1472184"/>
          <a:ext cx="478459" cy="416052"/>
        </a:xfrm>
        <a:prstGeom prst="circularArrow">
          <a:avLst/>
        </a:prstGeom>
        <a:solidFill>
          <a:schemeClr val="bg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4E6B5-7EE3-4127-BA9D-B9CCE4B6F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8688</Words>
  <Characters>49527</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Yitka Graham</dc:creator>
  <cp:keywords/>
  <dc:description/>
  <cp:lastModifiedBy>Catherine Hayes</cp:lastModifiedBy>
  <cp:revision>2</cp:revision>
  <cp:lastPrinted>2019-08-29T12:14:00Z</cp:lastPrinted>
  <dcterms:created xsi:type="dcterms:W3CDTF">2019-10-15T13:21:00Z</dcterms:created>
  <dcterms:modified xsi:type="dcterms:W3CDTF">2019-10-15T13:21:00Z</dcterms:modified>
</cp:coreProperties>
</file>