
<file path=[Content_Types].xml><?xml version="1.0" encoding="utf-8"?>
<Types xmlns="http://schemas.openxmlformats.org/package/2006/content-types">
  <Default Extension="png" ContentType="image/png"/>
  <Default Extension="jfif" ContentType="image/jpe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drawings/drawing1.xml" ContentType="application/vnd.openxmlformats-officedocument.drawingml.chartshapes+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drawings/drawing2.xml" ContentType="application/vnd.openxmlformats-officedocument.drawingml.chartshapes+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theme/themeOverride3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9D6" w:rsidRPr="0071546E" w:rsidRDefault="005E5A8B" w:rsidP="00CF13FE">
      <w:pPr>
        <w:spacing w:line="480" w:lineRule="auto"/>
        <w:ind w:left="1021" w:right="454"/>
        <w:rPr>
          <w:rFonts w:ascii="Arial" w:hAnsi="Arial" w:cs="Arial"/>
          <w:b/>
          <w:sz w:val="28"/>
          <w:szCs w:val="24"/>
        </w:rPr>
      </w:pPr>
      <w:r w:rsidRPr="0071546E">
        <w:rPr>
          <w:rFonts w:ascii="Arial" w:hAnsi="Arial" w:cs="Arial"/>
          <w:b/>
          <w:noProof/>
          <w:sz w:val="24"/>
          <w:szCs w:val="24"/>
          <w:lang w:eastAsia="en-GB"/>
        </w:rPr>
        <mc:AlternateContent>
          <mc:Choice Requires="wps">
            <w:drawing>
              <wp:anchor distT="0" distB="0" distL="114300" distR="114300" simplePos="0" relativeHeight="251752448" behindDoc="0" locked="0" layoutInCell="1" allowOverlap="1" wp14:anchorId="047918FE" wp14:editId="34C07814">
                <wp:simplePos x="0" y="0"/>
                <wp:positionH relativeFrom="page">
                  <wp:align>center</wp:align>
                </wp:positionH>
                <wp:positionV relativeFrom="paragraph">
                  <wp:posOffset>283736</wp:posOffset>
                </wp:positionV>
                <wp:extent cx="7129849" cy="3062514"/>
                <wp:effectExtent l="0" t="0" r="0" b="5080"/>
                <wp:wrapNone/>
                <wp:docPr id="23" name="Text Box 23"/>
                <wp:cNvGraphicFramePr/>
                <a:graphic xmlns:a="http://schemas.openxmlformats.org/drawingml/2006/main">
                  <a:graphicData uri="http://schemas.microsoft.com/office/word/2010/wordprocessingShape">
                    <wps:wsp>
                      <wps:cNvSpPr txBox="1"/>
                      <wps:spPr>
                        <a:xfrm>
                          <a:off x="0" y="0"/>
                          <a:ext cx="7129849" cy="3062514"/>
                        </a:xfrm>
                        <a:prstGeom prst="rect">
                          <a:avLst/>
                        </a:prstGeom>
                        <a:solidFill>
                          <a:sysClr val="window" lastClr="FFFFFF"/>
                        </a:solidFill>
                        <a:ln w="6350">
                          <a:noFill/>
                        </a:ln>
                        <a:effectLst/>
                      </wps:spPr>
                      <wps:txbx>
                        <w:txbxContent>
                          <w:p w:rsidR="00A87A14" w:rsidRPr="00EB7F63" w:rsidRDefault="00A87A14" w:rsidP="00433054">
                            <w:pPr>
                              <w:spacing w:line="480" w:lineRule="auto"/>
                              <w:rPr>
                                <w:b/>
                                <w:sz w:val="36"/>
                              </w:rPr>
                            </w:pPr>
                          </w:p>
                          <w:p w:rsidR="00A87A14" w:rsidRPr="00EB7F63" w:rsidRDefault="00A87A14" w:rsidP="00433054">
                            <w:pPr>
                              <w:spacing w:line="480" w:lineRule="auto"/>
                              <w:jc w:val="center"/>
                              <w:rPr>
                                <w:rFonts w:ascii="Arial" w:hAnsi="Arial" w:cs="Arial"/>
                                <w:b/>
                                <w:sz w:val="40"/>
                              </w:rPr>
                            </w:pPr>
                            <w:bookmarkStart w:id="0" w:name="_GoBack"/>
                            <w:r w:rsidRPr="00EB7F63">
                              <w:rPr>
                                <w:rFonts w:ascii="Arial" w:hAnsi="Arial" w:cs="Arial"/>
                                <w:b/>
                                <w:sz w:val="40"/>
                              </w:rPr>
                              <w:t xml:space="preserve">USE OF PHOTODYNAMIC THERAPY </w:t>
                            </w:r>
                            <w:bookmarkEnd w:id="0"/>
                            <w:r w:rsidRPr="00EB7F63">
                              <w:rPr>
                                <w:rFonts w:ascii="Arial" w:hAnsi="Arial" w:cs="Arial"/>
                                <w:b/>
                                <w:sz w:val="40"/>
                              </w:rPr>
                              <w:t>FOR THE TREATMENT OF LOCALISED INFECTIONS OF ACANTHAMOEBA KERATITIS</w:t>
                            </w:r>
                          </w:p>
                          <w:p w:rsidR="00A87A14" w:rsidRDefault="00A87A14" w:rsidP="00433054">
                            <w:pPr>
                              <w:spacing w:line="48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7918FE" id="_x0000_t202" coordsize="21600,21600" o:spt="202" path="m,l,21600r21600,l21600,xe">
                <v:stroke joinstyle="miter"/>
                <v:path gradientshapeok="t" o:connecttype="rect"/>
              </v:shapetype>
              <v:shape id="Text Box 23" o:spid="_x0000_s1026" type="#_x0000_t202" style="position:absolute;left:0;text-align:left;margin-left:0;margin-top:22.35pt;width:561.4pt;height:241.15pt;z-index:2517524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" fillcolor="window" stroked="f" strokeweight=".5pt">
                <v:textbox>
                  <w:txbxContent>
                    <w:p w:rsidR="00A87A14" w:rsidRPr="00EB7F63" w:rsidRDefault="00A87A14" w:rsidP="00433054">
                      <w:pPr>
                        <w:spacing w:line="480" w:lineRule="auto"/>
                        <w:rPr>
                          <w:b/>
                          <w:sz w:val="36"/>
                        </w:rPr>
                      </w:pPr>
                    </w:p>
                    <w:p w:rsidR="00A87A14" w:rsidRPr="00EB7F63" w:rsidRDefault="00A87A14" w:rsidP="00433054">
                      <w:pPr>
                        <w:spacing w:line="480" w:lineRule="auto"/>
                        <w:jc w:val="center"/>
                        <w:rPr>
                          <w:rFonts w:ascii="Arial" w:hAnsi="Arial" w:cs="Arial"/>
                          <w:b/>
                          <w:sz w:val="40"/>
                        </w:rPr>
                      </w:pPr>
                      <w:r w:rsidRPr="00EB7F63">
                        <w:rPr>
                          <w:rFonts w:ascii="Arial" w:hAnsi="Arial" w:cs="Arial"/>
                          <w:b/>
                          <w:sz w:val="40"/>
                        </w:rPr>
                        <w:t>USE OF PHOTODYNAMIC THERAPY FOR THE TREATMENT OF LOCALISED INFECTIONS OF ACANTHAMOEBA KERATITIS</w:t>
                      </w:r>
                    </w:p>
                    <w:p w:rsidR="00A87A14" w:rsidRDefault="00A87A14" w:rsidP="00433054">
                      <w:pPr>
                        <w:spacing w:line="480" w:lineRule="auto"/>
                        <w:jc w:val="center"/>
                      </w:pPr>
                    </w:p>
                  </w:txbxContent>
                </v:textbox>
                <w10:wrap anchorx="page"/>
              </v:shape>
            </w:pict>
          </mc:Fallback>
        </mc:AlternateContent>
      </w:r>
    </w:p>
    <w:p w:rsidR="00D169D6" w:rsidRPr="0071546E" w:rsidRDefault="00D169D6" w:rsidP="00CF13FE">
      <w:pPr>
        <w:spacing w:line="480" w:lineRule="auto"/>
        <w:ind w:left="1021" w:right="454"/>
        <w:rPr>
          <w:rFonts w:ascii="Arial" w:hAnsi="Arial" w:cs="Arial"/>
          <w:b/>
          <w:sz w:val="28"/>
          <w:szCs w:val="24"/>
        </w:rPr>
      </w:pPr>
    </w:p>
    <w:p w:rsidR="00D169D6" w:rsidRPr="0071546E" w:rsidRDefault="00D169D6" w:rsidP="00CF13FE">
      <w:pPr>
        <w:spacing w:line="480" w:lineRule="auto"/>
        <w:ind w:left="1021" w:right="454"/>
        <w:rPr>
          <w:rFonts w:ascii="Arial" w:hAnsi="Arial" w:cs="Arial"/>
          <w:b/>
          <w:sz w:val="28"/>
          <w:szCs w:val="24"/>
        </w:rPr>
      </w:pPr>
    </w:p>
    <w:p w:rsidR="00D169D6" w:rsidRPr="0071546E" w:rsidRDefault="00D169D6" w:rsidP="00CF13FE">
      <w:pPr>
        <w:spacing w:line="480" w:lineRule="auto"/>
        <w:ind w:left="1021" w:right="454"/>
        <w:rPr>
          <w:rFonts w:ascii="Arial" w:hAnsi="Arial" w:cs="Arial"/>
          <w:b/>
          <w:sz w:val="28"/>
          <w:szCs w:val="24"/>
        </w:rPr>
      </w:pPr>
    </w:p>
    <w:p w:rsidR="00D169D6" w:rsidRPr="0071546E" w:rsidRDefault="00D169D6" w:rsidP="00CF13FE">
      <w:pPr>
        <w:spacing w:line="480" w:lineRule="auto"/>
        <w:ind w:left="1021" w:right="454"/>
        <w:rPr>
          <w:rFonts w:ascii="Arial" w:hAnsi="Arial" w:cs="Arial"/>
          <w:b/>
          <w:sz w:val="28"/>
          <w:szCs w:val="24"/>
        </w:rPr>
      </w:pPr>
    </w:p>
    <w:p w:rsidR="00D169D6" w:rsidRPr="0071546E" w:rsidRDefault="00D169D6" w:rsidP="00CF13FE">
      <w:pPr>
        <w:spacing w:line="480" w:lineRule="auto"/>
        <w:ind w:left="1021" w:right="454"/>
        <w:rPr>
          <w:rFonts w:ascii="Arial" w:hAnsi="Arial" w:cs="Arial"/>
          <w:b/>
          <w:sz w:val="28"/>
          <w:szCs w:val="24"/>
        </w:rPr>
      </w:pPr>
    </w:p>
    <w:p w:rsidR="00D169D6" w:rsidRPr="0071546E" w:rsidRDefault="00D169D6" w:rsidP="00CF13FE">
      <w:pPr>
        <w:spacing w:line="480" w:lineRule="auto"/>
        <w:ind w:left="1021" w:right="454"/>
        <w:rPr>
          <w:rFonts w:ascii="Arial" w:hAnsi="Arial" w:cs="Arial"/>
          <w:b/>
          <w:sz w:val="28"/>
          <w:szCs w:val="24"/>
        </w:rPr>
      </w:pPr>
    </w:p>
    <w:p w:rsidR="00D169D6" w:rsidRPr="0071546E" w:rsidRDefault="00D169D6" w:rsidP="00CF13FE">
      <w:pPr>
        <w:spacing w:line="480" w:lineRule="auto"/>
        <w:ind w:left="1021" w:right="454"/>
        <w:rPr>
          <w:rFonts w:ascii="Arial" w:hAnsi="Arial" w:cs="Arial"/>
          <w:b/>
          <w:sz w:val="28"/>
          <w:szCs w:val="24"/>
        </w:rPr>
      </w:pPr>
    </w:p>
    <w:p w:rsidR="00D169D6" w:rsidRPr="0071546E" w:rsidRDefault="00D169D6" w:rsidP="00CF13FE">
      <w:pPr>
        <w:spacing w:line="480" w:lineRule="auto"/>
        <w:ind w:left="1021" w:right="454"/>
        <w:rPr>
          <w:rFonts w:ascii="Arial" w:hAnsi="Arial" w:cs="Arial"/>
          <w:b/>
          <w:sz w:val="28"/>
          <w:szCs w:val="24"/>
        </w:rPr>
      </w:pPr>
    </w:p>
    <w:p w:rsidR="00E10455" w:rsidRPr="0071546E" w:rsidRDefault="00D169D6" w:rsidP="00CF13FE">
      <w:pPr>
        <w:spacing w:line="480" w:lineRule="auto"/>
        <w:ind w:left="1021" w:right="454"/>
        <w:rPr>
          <w:rFonts w:ascii="Arial" w:hAnsi="Arial" w:cs="Arial"/>
          <w:b/>
          <w:noProof/>
          <w:sz w:val="24"/>
          <w:szCs w:val="24"/>
          <w:lang w:eastAsia="en-GB"/>
        </w:rPr>
      </w:pPr>
      <w:r w:rsidRPr="0071546E">
        <w:rPr>
          <w:rFonts w:ascii="Arial" w:hAnsi="Arial" w:cs="Arial"/>
          <w:b/>
          <w:sz w:val="28"/>
          <w:szCs w:val="24"/>
        </w:rPr>
        <w:t xml:space="preserve">                AHAMUEFULA EREBOSI CHIDI</w:t>
      </w:r>
      <w:r w:rsidRPr="0071546E">
        <w:rPr>
          <w:rFonts w:ascii="Arial" w:hAnsi="Arial" w:cs="Arial"/>
          <w:b/>
          <w:noProof/>
          <w:sz w:val="24"/>
          <w:szCs w:val="24"/>
          <w:lang w:eastAsia="en-GB"/>
        </w:rPr>
        <w:t xml:space="preserve"> </w:t>
      </w:r>
    </w:p>
    <w:p w:rsidR="00D169D6" w:rsidRPr="0071546E" w:rsidRDefault="00D169D6" w:rsidP="00CF13FE">
      <w:pPr>
        <w:spacing w:line="480" w:lineRule="auto"/>
        <w:ind w:left="1021" w:right="454"/>
        <w:rPr>
          <w:rFonts w:ascii="Arial" w:hAnsi="Arial" w:cs="Arial"/>
          <w:b/>
          <w:noProof/>
          <w:sz w:val="24"/>
          <w:szCs w:val="24"/>
          <w:lang w:eastAsia="en-GB"/>
        </w:rPr>
      </w:pPr>
    </w:p>
    <w:p w:rsidR="00D169D6" w:rsidRPr="0071546E" w:rsidRDefault="00D169D6" w:rsidP="00CF13FE">
      <w:pPr>
        <w:spacing w:line="480" w:lineRule="auto"/>
        <w:ind w:left="1021" w:right="454"/>
        <w:rPr>
          <w:rFonts w:ascii="Arial" w:hAnsi="Arial" w:cs="Arial"/>
          <w:b/>
          <w:noProof/>
          <w:sz w:val="24"/>
          <w:szCs w:val="24"/>
          <w:lang w:eastAsia="en-GB"/>
        </w:rPr>
      </w:pPr>
    </w:p>
    <w:p w:rsidR="00D169D6" w:rsidRPr="0071546E" w:rsidRDefault="00D169D6" w:rsidP="00CF13FE">
      <w:pPr>
        <w:spacing w:line="480" w:lineRule="auto"/>
        <w:ind w:left="1021" w:right="454"/>
        <w:rPr>
          <w:rFonts w:ascii="Arial" w:hAnsi="Arial" w:cs="Arial"/>
          <w:b/>
          <w:noProof/>
          <w:sz w:val="24"/>
          <w:szCs w:val="24"/>
          <w:lang w:eastAsia="en-GB"/>
        </w:rPr>
      </w:pPr>
    </w:p>
    <w:p w:rsidR="00D169D6" w:rsidRPr="0071546E" w:rsidRDefault="00D169D6" w:rsidP="00CF13FE">
      <w:pPr>
        <w:spacing w:line="480" w:lineRule="auto"/>
        <w:ind w:left="1021" w:right="454"/>
        <w:rPr>
          <w:rFonts w:ascii="Arial" w:hAnsi="Arial" w:cs="Arial"/>
          <w:b/>
          <w:noProof/>
          <w:sz w:val="24"/>
          <w:szCs w:val="24"/>
          <w:lang w:eastAsia="en-GB"/>
        </w:rPr>
      </w:pPr>
    </w:p>
    <w:p w:rsidR="00D169D6" w:rsidRPr="0071546E" w:rsidRDefault="00D169D6" w:rsidP="00CF13FE">
      <w:pPr>
        <w:spacing w:line="480" w:lineRule="auto"/>
        <w:ind w:left="1021" w:right="454"/>
        <w:rPr>
          <w:rFonts w:ascii="Arial" w:hAnsi="Arial" w:cs="Arial"/>
          <w:b/>
          <w:noProof/>
          <w:sz w:val="24"/>
          <w:szCs w:val="24"/>
          <w:lang w:eastAsia="en-GB"/>
        </w:rPr>
      </w:pPr>
    </w:p>
    <w:p w:rsidR="00401EC5" w:rsidRPr="0071546E" w:rsidRDefault="00D169D6" w:rsidP="00D169D6">
      <w:pPr>
        <w:spacing w:line="480" w:lineRule="auto"/>
        <w:ind w:right="454"/>
        <w:rPr>
          <w:rFonts w:ascii="Arial" w:hAnsi="Arial" w:cs="Arial"/>
          <w:b/>
          <w:sz w:val="36"/>
          <w:szCs w:val="24"/>
        </w:rPr>
      </w:pPr>
      <w:r w:rsidRPr="0071546E">
        <w:rPr>
          <w:rFonts w:ascii="Arial" w:hAnsi="Arial" w:cs="Arial"/>
          <w:b/>
          <w:sz w:val="36"/>
          <w:szCs w:val="24"/>
        </w:rPr>
        <w:t>PhD                                                                    20</w:t>
      </w:r>
      <w:r w:rsidR="0071546E">
        <w:rPr>
          <w:rFonts w:ascii="Arial" w:hAnsi="Arial" w:cs="Arial"/>
          <w:b/>
          <w:sz w:val="36"/>
          <w:szCs w:val="24"/>
        </w:rPr>
        <w:t>20</w:t>
      </w:r>
      <w:r w:rsidRPr="0071546E">
        <w:rPr>
          <w:rFonts w:ascii="Arial" w:hAnsi="Arial" w:cs="Arial"/>
          <w:b/>
          <w:sz w:val="36"/>
          <w:szCs w:val="24"/>
        </w:rPr>
        <w:t xml:space="preserve"> </w:t>
      </w:r>
    </w:p>
    <w:p w:rsidR="00D169D6" w:rsidRPr="0071546E" w:rsidRDefault="00401EC5" w:rsidP="00D169D6">
      <w:pPr>
        <w:spacing w:line="480" w:lineRule="auto"/>
        <w:ind w:right="454"/>
        <w:rPr>
          <w:rFonts w:ascii="Arial" w:hAnsi="Arial" w:cs="Arial"/>
          <w:b/>
          <w:sz w:val="36"/>
          <w:szCs w:val="24"/>
        </w:rPr>
        <w:sectPr w:rsidR="00D169D6" w:rsidRPr="0071546E" w:rsidSect="004875E4">
          <w:footerReference w:type="default" r:id="rId8"/>
          <w:footerReference w:type="first" r:id="rId9"/>
          <w:pgSz w:w="11906" w:h="16838"/>
          <w:pgMar w:top="1134" w:right="1134" w:bottom="1134" w:left="1701" w:header="720" w:footer="720" w:gutter="0"/>
          <w:pgNumType w:fmt="upperRoman" w:start="1"/>
          <w:cols w:space="720"/>
          <w:docGrid w:linePitch="326"/>
        </w:sectPr>
      </w:pPr>
      <w:r w:rsidRPr="0071546E">
        <w:rPr>
          <w:rFonts w:ascii="Arial" w:hAnsi="Arial" w:cs="Arial"/>
          <w:b/>
          <w:sz w:val="36"/>
          <w:szCs w:val="24"/>
        </w:rPr>
        <w:t xml:space="preserve">                       </w:t>
      </w:r>
    </w:p>
    <w:p w:rsidR="00725033" w:rsidRPr="0071546E" w:rsidRDefault="005E5A8B" w:rsidP="00CF13FE">
      <w:pPr>
        <w:spacing w:line="480" w:lineRule="auto"/>
        <w:ind w:left="1021" w:right="454"/>
        <w:jc w:val="center"/>
        <w:rPr>
          <w:rFonts w:ascii="Arial" w:hAnsi="Arial" w:cs="Arial"/>
          <w:b/>
          <w:sz w:val="24"/>
          <w:szCs w:val="24"/>
        </w:rPr>
      </w:pPr>
      <w:r w:rsidRPr="0071546E">
        <w:rPr>
          <w:rFonts w:ascii="Arial" w:hAnsi="Arial" w:cs="Arial"/>
          <w:b/>
          <w:noProof/>
          <w:sz w:val="24"/>
          <w:szCs w:val="24"/>
          <w:lang w:eastAsia="en-GB"/>
        </w:rPr>
        <w:lastRenderedPageBreak/>
        <mc:AlternateContent>
          <mc:Choice Requires="wps">
            <w:drawing>
              <wp:anchor distT="0" distB="0" distL="114300" distR="114300" simplePos="0" relativeHeight="251748352" behindDoc="0" locked="0" layoutInCell="1" allowOverlap="1">
                <wp:simplePos x="0" y="0"/>
                <wp:positionH relativeFrom="margin">
                  <wp:align>right</wp:align>
                </wp:positionH>
                <wp:positionV relativeFrom="paragraph">
                  <wp:posOffset>519014</wp:posOffset>
                </wp:positionV>
                <wp:extent cx="6466114" cy="265611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466114" cy="2656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7A14" w:rsidRPr="00433054" w:rsidRDefault="00A87A14" w:rsidP="00433054">
                            <w:pPr>
                              <w:spacing w:line="480" w:lineRule="auto"/>
                              <w:rPr>
                                <w:b/>
                              </w:rPr>
                            </w:pPr>
                          </w:p>
                          <w:p w:rsidR="00A87A14" w:rsidRPr="00AA7F9F" w:rsidRDefault="00A87A14" w:rsidP="00433054">
                            <w:pPr>
                              <w:spacing w:line="480" w:lineRule="auto"/>
                              <w:jc w:val="center"/>
                              <w:rPr>
                                <w:rFonts w:ascii="Arial" w:hAnsi="Arial" w:cs="Arial"/>
                                <w:b/>
                                <w:sz w:val="36"/>
                              </w:rPr>
                            </w:pPr>
                            <w:r w:rsidRPr="00AA7F9F">
                              <w:rPr>
                                <w:rFonts w:ascii="Arial" w:hAnsi="Arial" w:cs="Arial"/>
                                <w:b/>
                                <w:sz w:val="36"/>
                              </w:rPr>
                              <w:t>USE OF PHOTODYNAMIC THERAPY FOR THE TREATMENT OF LOCALISED INFECTIONS OF ACANTHAMOEBA KERATITIS</w:t>
                            </w:r>
                          </w:p>
                          <w:p w:rsidR="00A87A14" w:rsidRDefault="00A87A14" w:rsidP="00433054">
                            <w:pPr>
                              <w:spacing w:line="48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0" o:spid="_x0000_s1027" type="#_x0000_t202" style="position:absolute;left:0;text-align:left;margin-left:457.95pt;margin-top:40.85pt;width:509.15pt;height:209.1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" fillcolor="white [3201]" stroked="f" strokeweight=".5pt">
                <v:textbox>
                  <w:txbxContent>
                    <w:p w:rsidR="00A87A14" w:rsidRPr="00433054" w:rsidRDefault="00A87A14" w:rsidP="00433054">
                      <w:pPr>
                        <w:spacing w:line="480" w:lineRule="auto"/>
                        <w:rPr>
                          <w:b/>
                        </w:rPr>
                      </w:pPr>
                    </w:p>
                    <w:p w:rsidR="00A87A14" w:rsidRPr="00AA7F9F" w:rsidRDefault="00A87A14" w:rsidP="00433054">
                      <w:pPr>
                        <w:spacing w:line="480" w:lineRule="auto"/>
                        <w:jc w:val="center"/>
                        <w:rPr>
                          <w:rFonts w:ascii="Arial" w:hAnsi="Arial" w:cs="Arial"/>
                          <w:b/>
                          <w:sz w:val="36"/>
                        </w:rPr>
                      </w:pPr>
                      <w:r w:rsidRPr="00AA7F9F">
                        <w:rPr>
                          <w:rFonts w:ascii="Arial" w:hAnsi="Arial" w:cs="Arial"/>
                          <w:b/>
                          <w:sz w:val="36"/>
                        </w:rPr>
                        <w:t>USE OF PHOTODYNAMIC THERAPY FOR THE TREATMENT OF LOCALISED INFECTIONS OF ACANTHAMOEBA KERATITIS</w:t>
                      </w:r>
                    </w:p>
                    <w:p w:rsidR="00A87A14" w:rsidRDefault="00A87A14" w:rsidP="00433054">
                      <w:pPr>
                        <w:spacing w:line="480" w:lineRule="auto"/>
                        <w:jc w:val="center"/>
                      </w:pPr>
                    </w:p>
                  </w:txbxContent>
                </v:textbox>
                <w10:wrap anchorx="margin"/>
              </v:shape>
            </w:pict>
          </mc:Fallback>
        </mc:AlternateContent>
      </w:r>
    </w:p>
    <w:p w:rsidR="00341313" w:rsidRPr="0071546E" w:rsidRDefault="00341313" w:rsidP="00CF13FE">
      <w:pPr>
        <w:spacing w:line="480" w:lineRule="auto"/>
        <w:ind w:left="1021" w:right="454"/>
        <w:jc w:val="center"/>
        <w:rPr>
          <w:rFonts w:ascii="Arial" w:hAnsi="Arial" w:cs="Arial"/>
          <w:b/>
          <w:sz w:val="24"/>
          <w:szCs w:val="24"/>
        </w:rPr>
      </w:pPr>
    </w:p>
    <w:p w:rsidR="00341313" w:rsidRPr="0071546E" w:rsidRDefault="00341313" w:rsidP="00CF13FE">
      <w:pPr>
        <w:spacing w:line="480" w:lineRule="auto"/>
        <w:ind w:left="1021" w:right="454"/>
        <w:jc w:val="right"/>
        <w:rPr>
          <w:rFonts w:ascii="Arial" w:hAnsi="Arial" w:cs="Arial"/>
          <w:b/>
          <w:sz w:val="24"/>
          <w:szCs w:val="24"/>
        </w:rPr>
      </w:pPr>
    </w:p>
    <w:p w:rsidR="00341313" w:rsidRPr="0071546E" w:rsidRDefault="00341313" w:rsidP="00CF13FE">
      <w:pPr>
        <w:spacing w:line="480" w:lineRule="auto"/>
        <w:ind w:left="1021" w:right="454"/>
        <w:jc w:val="center"/>
        <w:rPr>
          <w:rFonts w:ascii="Arial" w:hAnsi="Arial" w:cs="Arial"/>
          <w:b/>
          <w:sz w:val="24"/>
          <w:szCs w:val="24"/>
        </w:rPr>
      </w:pPr>
    </w:p>
    <w:p w:rsidR="00EB7F63" w:rsidRPr="0071546E" w:rsidRDefault="00EB7F63" w:rsidP="00CF13FE">
      <w:pPr>
        <w:spacing w:line="480" w:lineRule="auto"/>
        <w:ind w:left="1021" w:right="454"/>
        <w:jc w:val="center"/>
        <w:rPr>
          <w:rFonts w:ascii="Arial" w:hAnsi="Arial" w:cs="Arial"/>
          <w:b/>
          <w:sz w:val="24"/>
          <w:szCs w:val="24"/>
        </w:rPr>
      </w:pPr>
    </w:p>
    <w:p w:rsidR="00EB7F63" w:rsidRPr="0071546E" w:rsidRDefault="00EB7F63" w:rsidP="00CF13FE">
      <w:pPr>
        <w:spacing w:line="480" w:lineRule="auto"/>
        <w:ind w:left="1021" w:right="454"/>
        <w:jc w:val="center"/>
        <w:rPr>
          <w:rFonts w:ascii="Arial" w:hAnsi="Arial" w:cs="Arial"/>
          <w:b/>
          <w:sz w:val="24"/>
          <w:szCs w:val="24"/>
        </w:rPr>
      </w:pPr>
    </w:p>
    <w:p w:rsidR="00EB7F63" w:rsidRPr="0071546E" w:rsidRDefault="00EB7F63" w:rsidP="00CF13FE">
      <w:pPr>
        <w:spacing w:line="480" w:lineRule="auto"/>
        <w:ind w:left="1021" w:right="454"/>
        <w:jc w:val="center"/>
        <w:rPr>
          <w:rFonts w:ascii="Arial" w:hAnsi="Arial" w:cs="Arial"/>
          <w:b/>
          <w:sz w:val="24"/>
          <w:szCs w:val="24"/>
        </w:rPr>
      </w:pPr>
    </w:p>
    <w:p w:rsidR="00725033" w:rsidRPr="0071546E" w:rsidRDefault="00433054" w:rsidP="00433054">
      <w:pPr>
        <w:spacing w:line="480" w:lineRule="auto"/>
        <w:ind w:left="1021" w:right="454"/>
        <w:rPr>
          <w:rFonts w:ascii="Arial" w:hAnsi="Arial" w:cs="Arial"/>
          <w:b/>
          <w:sz w:val="24"/>
          <w:szCs w:val="24"/>
        </w:rPr>
      </w:pPr>
      <w:r w:rsidRPr="0071546E">
        <w:rPr>
          <w:rFonts w:ascii="Arial" w:hAnsi="Arial" w:cs="Arial"/>
          <w:b/>
          <w:sz w:val="24"/>
          <w:szCs w:val="24"/>
        </w:rPr>
        <w:t xml:space="preserve">                  </w:t>
      </w:r>
    </w:p>
    <w:p w:rsidR="00341313" w:rsidRPr="0071546E" w:rsidRDefault="00341313" w:rsidP="00CF13FE">
      <w:pPr>
        <w:spacing w:line="480" w:lineRule="auto"/>
        <w:ind w:left="1021" w:right="454"/>
        <w:jc w:val="center"/>
        <w:rPr>
          <w:rFonts w:ascii="Arial" w:hAnsi="Arial" w:cs="Arial"/>
          <w:b/>
          <w:sz w:val="24"/>
          <w:szCs w:val="24"/>
        </w:rPr>
      </w:pPr>
    </w:p>
    <w:p w:rsidR="000C7C78" w:rsidRPr="0071546E" w:rsidRDefault="000C7C78" w:rsidP="000C7C78">
      <w:pPr>
        <w:spacing w:line="480" w:lineRule="auto"/>
        <w:ind w:left="1021" w:right="454"/>
        <w:rPr>
          <w:rFonts w:ascii="Arial" w:hAnsi="Arial" w:cs="Arial"/>
          <w:b/>
          <w:sz w:val="24"/>
          <w:szCs w:val="24"/>
        </w:rPr>
      </w:pPr>
      <w:r w:rsidRPr="0071546E">
        <w:rPr>
          <w:rFonts w:ascii="Arial" w:hAnsi="Arial" w:cs="Arial"/>
          <w:b/>
          <w:sz w:val="24"/>
          <w:szCs w:val="24"/>
        </w:rPr>
        <w:t xml:space="preserve">                    </w:t>
      </w:r>
    </w:p>
    <w:p w:rsidR="000C7C78" w:rsidRPr="0071546E" w:rsidRDefault="000C7C78" w:rsidP="000C7C78">
      <w:pPr>
        <w:spacing w:line="480" w:lineRule="auto"/>
        <w:ind w:left="1021" w:right="454"/>
        <w:rPr>
          <w:rFonts w:ascii="Arial" w:hAnsi="Arial" w:cs="Arial"/>
          <w:b/>
          <w:sz w:val="24"/>
          <w:szCs w:val="24"/>
        </w:rPr>
      </w:pPr>
      <w:r w:rsidRPr="0071546E">
        <w:rPr>
          <w:rFonts w:ascii="Arial" w:hAnsi="Arial" w:cs="Arial"/>
          <w:b/>
          <w:sz w:val="24"/>
          <w:szCs w:val="24"/>
        </w:rPr>
        <w:t xml:space="preserve">                 </w:t>
      </w:r>
      <w:r w:rsidRPr="0071546E">
        <w:rPr>
          <w:rFonts w:ascii="Arial" w:hAnsi="Arial" w:cs="Arial"/>
          <w:b/>
          <w:sz w:val="28"/>
          <w:szCs w:val="24"/>
        </w:rPr>
        <w:t>AHAMUEFULA EREBOSI CHIDI</w:t>
      </w:r>
    </w:p>
    <w:p w:rsidR="000C7C78" w:rsidRPr="0071546E" w:rsidRDefault="000C7C78" w:rsidP="000C7C78">
      <w:pPr>
        <w:ind w:right="454"/>
        <w:rPr>
          <w:rFonts w:ascii="Arial" w:hAnsi="Arial" w:cs="Arial"/>
          <w:b/>
          <w:sz w:val="28"/>
          <w:szCs w:val="24"/>
        </w:rPr>
      </w:pPr>
      <w:r w:rsidRPr="0071546E">
        <w:rPr>
          <w:rFonts w:ascii="Arial" w:hAnsi="Arial" w:cs="Arial"/>
          <w:b/>
          <w:sz w:val="24"/>
          <w:szCs w:val="24"/>
        </w:rPr>
        <w:t xml:space="preserve">       </w:t>
      </w:r>
      <w:r w:rsidRPr="0071546E">
        <w:rPr>
          <w:rFonts w:ascii="Arial" w:hAnsi="Arial" w:cs="Arial"/>
          <w:b/>
          <w:sz w:val="28"/>
          <w:szCs w:val="24"/>
        </w:rPr>
        <w:t>Department of Pharmacy and pharmaceutical sciences</w:t>
      </w:r>
    </w:p>
    <w:p w:rsidR="00341313" w:rsidRPr="0071546E" w:rsidRDefault="000C7C78" w:rsidP="00CF13FE">
      <w:pPr>
        <w:spacing w:line="480" w:lineRule="auto"/>
        <w:ind w:left="1021" w:right="454"/>
        <w:jc w:val="center"/>
        <w:rPr>
          <w:rFonts w:ascii="Arial" w:hAnsi="Arial" w:cs="Arial"/>
          <w:b/>
          <w:sz w:val="24"/>
          <w:szCs w:val="24"/>
        </w:rPr>
      </w:pPr>
      <w:r w:rsidRPr="0071546E">
        <w:rPr>
          <w:rFonts w:ascii="Arial" w:hAnsi="Arial" w:cs="Arial"/>
          <w:b/>
          <w:noProof/>
          <w:sz w:val="24"/>
          <w:szCs w:val="24"/>
          <w:lang w:eastAsia="en-GB"/>
        </w:rPr>
        <mc:AlternateContent>
          <mc:Choice Requires="wps">
            <w:drawing>
              <wp:anchor distT="0" distB="0" distL="114300" distR="114300" simplePos="0" relativeHeight="251750400" behindDoc="0" locked="0" layoutInCell="1" allowOverlap="1" wp14:anchorId="4BC52C0B" wp14:editId="66378E91">
                <wp:simplePos x="0" y="0"/>
                <wp:positionH relativeFrom="page">
                  <wp:align>left</wp:align>
                </wp:positionH>
                <wp:positionV relativeFrom="paragraph">
                  <wp:posOffset>574040</wp:posOffset>
                </wp:positionV>
                <wp:extent cx="7132783" cy="2089785"/>
                <wp:effectExtent l="0" t="0" r="0" b="5715"/>
                <wp:wrapNone/>
                <wp:docPr id="22" name="Text Box 22"/>
                <wp:cNvGraphicFramePr/>
                <a:graphic xmlns:a="http://schemas.openxmlformats.org/drawingml/2006/main">
                  <a:graphicData uri="http://schemas.microsoft.com/office/word/2010/wordprocessingShape">
                    <wps:wsp>
                      <wps:cNvSpPr txBox="1"/>
                      <wps:spPr>
                        <a:xfrm>
                          <a:off x="0" y="0"/>
                          <a:ext cx="7132783" cy="2089785"/>
                        </a:xfrm>
                        <a:prstGeom prst="rect">
                          <a:avLst/>
                        </a:prstGeom>
                        <a:solidFill>
                          <a:sysClr val="window" lastClr="FFFFFF"/>
                        </a:solidFill>
                        <a:ln w="6350">
                          <a:noFill/>
                        </a:ln>
                        <a:effectLst/>
                      </wps:spPr>
                      <wps:txbx>
                        <w:txbxContent>
                          <w:p w:rsidR="00A87A14" w:rsidRPr="00D879E3" w:rsidRDefault="00A87A14" w:rsidP="00433054">
                            <w:pPr>
                              <w:ind w:left="1021" w:right="454"/>
                              <w:jc w:val="center"/>
                              <w:rPr>
                                <w:rFonts w:ascii="Arial" w:hAnsi="Arial" w:cs="Arial"/>
                                <w:sz w:val="24"/>
                                <w:szCs w:val="24"/>
                              </w:rPr>
                            </w:pPr>
                          </w:p>
                          <w:p w:rsidR="00A87A14" w:rsidRPr="005739F8" w:rsidRDefault="00A87A14" w:rsidP="00433054">
                            <w:pPr>
                              <w:pStyle w:val="Subtitle"/>
                              <w:spacing w:line="480" w:lineRule="auto"/>
                              <w:ind w:left="1021" w:right="454"/>
                              <w:jc w:val="center"/>
                              <w:rPr>
                                <w:rFonts w:ascii="Arial" w:hAnsi="Arial" w:cs="Arial"/>
                                <w:b/>
                                <w:caps w:val="0"/>
                                <w:color w:val="auto"/>
                                <w:sz w:val="36"/>
                                <w:szCs w:val="24"/>
                              </w:rPr>
                            </w:pPr>
                            <w:r w:rsidRPr="005739F8">
                              <w:rPr>
                                <w:rFonts w:ascii="Arial" w:hAnsi="Arial" w:cs="Arial"/>
                                <w:b/>
                                <w:caps w:val="0"/>
                                <w:color w:val="auto"/>
                                <w:sz w:val="36"/>
                                <w:szCs w:val="24"/>
                              </w:rPr>
                              <w:t>A thesis submitted in partial fulfilment of the requirements of the University of Sunderland for the degree of Doctor of Philosophy</w:t>
                            </w:r>
                          </w:p>
                          <w:p w:rsidR="00A87A14" w:rsidRDefault="00A87A14" w:rsidP="00433054">
                            <w:pPr>
                              <w:spacing w:line="48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C52C0B" id="Text Box 22" o:spid="_x0000_s1028" type="#_x0000_t202" style="position:absolute;left:0;text-align:left;margin-left:0;margin-top:45.2pt;width:561.65pt;height:164.55pt;z-index:251750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" fillcolor="window" stroked="f" strokeweight=".5pt">
                <v:textbox>
                  <w:txbxContent>
                    <w:p w:rsidR="00A87A14" w:rsidRPr="00D879E3" w:rsidRDefault="00A87A14" w:rsidP="00433054">
                      <w:pPr>
                        <w:ind w:left="1021" w:right="454"/>
                        <w:jc w:val="center"/>
                        <w:rPr>
                          <w:rFonts w:ascii="Arial" w:hAnsi="Arial" w:cs="Arial"/>
                          <w:sz w:val="24"/>
                          <w:szCs w:val="24"/>
                        </w:rPr>
                      </w:pPr>
                    </w:p>
                    <w:p w:rsidR="00A87A14" w:rsidRPr="005739F8" w:rsidRDefault="00A87A14" w:rsidP="00433054">
                      <w:pPr>
                        <w:pStyle w:val="Subtitle"/>
                        <w:spacing w:line="480" w:lineRule="auto"/>
                        <w:ind w:left="1021" w:right="454"/>
                        <w:jc w:val="center"/>
                        <w:rPr>
                          <w:rFonts w:ascii="Arial" w:hAnsi="Arial" w:cs="Arial"/>
                          <w:b/>
                          <w:caps w:val="0"/>
                          <w:color w:val="auto"/>
                          <w:sz w:val="36"/>
                          <w:szCs w:val="24"/>
                        </w:rPr>
                      </w:pPr>
                      <w:r w:rsidRPr="005739F8">
                        <w:rPr>
                          <w:rFonts w:ascii="Arial" w:hAnsi="Arial" w:cs="Arial"/>
                          <w:b/>
                          <w:caps w:val="0"/>
                          <w:color w:val="auto"/>
                          <w:sz w:val="36"/>
                          <w:szCs w:val="24"/>
                        </w:rPr>
                        <w:t>A thesis submitted in partial fulfilment of the requirements of the University of Sunderland for the degree of Doctor of Philosophy</w:t>
                      </w:r>
                    </w:p>
                    <w:p w:rsidR="00A87A14" w:rsidRDefault="00A87A14" w:rsidP="00433054">
                      <w:pPr>
                        <w:spacing w:line="480" w:lineRule="auto"/>
                        <w:jc w:val="center"/>
                      </w:pPr>
                    </w:p>
                  </w:txbxContent>
                </v:textbox>
                <w10:wrap anchorx="page"/>
              </v:shape>
            </w:pict>
          </mc:Fallback>
        </mc:AlternateContent>
      </w:r>
    </w:p>
    <w:p w:rsidR="00341313" w:rsidRPr="0071546E" w:rsidRDefault="00341313" w:rsidP="00CF13FE">
      <w:pPr>
        <w:spacing w:line="480" w:lineRule="auto"/>
        <w:ind w:left="1021" w:right="454"/>
        <w:jc w:val="center"/>
        <w:rPr>
          <w:rFonts w:ascii="Arial" w:hAnsi="Arial" w:cs="Arial"/>
          <w:b/>
          <w:sz w:val="24"/>
          <w:szCs w:val="24"/>
        </w:rPr>
      </w:pPr>
    </w:p>
    <w:p w:rsidR="00341313" w:rsidRPr="0071546E" w:rsidRDefault="00341313" w:rsidP="00CF13FE">
      <w:pPr>
        <w:spacing w:line="480" w:lineRule="auto"/>
        <w:ind w:left="1021" w:right="454"/>
        <w:jc w:val="center"/>
        <w:rPr>
          <w:rFonts w:ascii="Arial" w:hAnsi="Arial" w:cs="Arial"/>
          <w:b/>
          <w:sz w:val="24"/>
          <w:szCs w:val="24"/>
        </w:rPr>
      </w:pPr>
    </w:p>
    <w:p w:rsidR="00341313" w:rsidRPr="0071546E" w:rsidRDefault="00341313" w:rsidP="00CF13FE">
      <w:pPr>
        <w:spacing w:line="480" w:lineRule="auto"/>
        <w:ind w:left="1021" w:right="454"/>
        <w:jc w:val="center"/>
        <w:rPr>
          <w:rFonts w:ascii="Arial" w:hAnsi="Arial" w:cs="Arial"/>
          <w:b/>
          <w:sz w:val="24"/>
          <w:szCs w:val="24"/>
        </w:rPr>
      </w:pPr>
    </w:p>
    <w:p w:rsidR="00341313" w:rsidRPr="0071546E" w:rsidRDefault="00341313" w:rsidP="00CF13FE">
      <w:pPr>
        <w:spacing w:line="480" w:lineRule="auto"/>
        <w:ind w:left="1021" w:right="454"/>
        <w:jc w:val="center"/>
        <w:rPr>
          <w:rFonts w:ascii="Arial" w:hAnsi="Arial" w:cs="Arial"/>
          <w:b/>
          <w:sz w:val="24"/>
          <w:szCs w:val="24"/>
        </w:rPr>
      </w:pPr>
    </w:p>
    <w:p w:rsidR="00EB7F63" w:rsidRPr="0071546E" w:rsidRDefault="001B3C7A" w:rsidP="00433054">
      <w:pPr>
        <w:spacing w:line="480" w:lineRule="auto"/>
        <w:ind w:left="1021" w:right="454"/>
        <w:rPr>
          <w:rFonts w:ascii="Arial" w:hAnsi="Arial" w:cs="Arial"/>
          <w:b/>
          <w:sz w:val="24"/>
          <w:szCs w:val="24"/>
        </w:rPr>
      </w:pPr>
      <w:r w:rsidRPr="0071546E">
        <w:rPr>
          <w:rFonts w:ascii="Arial" w:hAnsi="Arial" w:cs="Arial"/>
          <w:b/>
          <w:noProof/>
          <w:sz w:val="24"/>
          <w:szCs w:val="24"/>
          <w:lang w:eastAsia="en-GB"/>
        </w:rPr>
        <mc:AlternateContent>
          <mc:Choice Requires="wps">
            <w:drawing>
              <wp:anchor distT="0" distB="0" distL="114300" distR="114300" simplePos="0" relativeHeight="251725824" behindDoc="0" locked="0" layoutInCell="1" allowOverlap="1">
                <wp:simplePos x="0" y="0"/>
                <wp:positionH relativeFrom="column">
                  <wp:posOffset>5606415</wp:posOffset>
                </wp:positionH>
                <wp:positionV relativeFrom="paragraph">
                  <wp:posOffset>1102360</wp:posOffset>
                </wp:positionV>
                <wp:extent cx="304800" cy="25717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3048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7A14" w:rsidRDefault="00A87A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1" o:spid="_x0000_s1029" type="#_x0000_t202" style="position:absolute;left:0;text-align:left;margin-left:441.45pt;margin-top:86.8pt;width:24pt;height:20.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" fillcolor="white [3201]" stroked="f" strokeweight=".5pt">
                <v:textbox>
                  <w:txbxContent>
                    <w:p w:rsidR="00A87A14" w:rsidRDefault="00A87A14"/>
                  </w:txbxContent>
                </v:textbox>
              </v:shape>
            </w:pict>
          </mc:Fallback>
        </mc:AlternateContent>
      </w:r>
      <w:r w:rsidR="00EB7F63" w:rsidRPr="0071546E">
        <w:rPr>
          <w:rFonts w:ascii="Arial" w:hAnsi="Arial" w:cs="Arial"/>
          <w:b/>
          <w:sz w:val="24"/>
          <w:szCs w:val="24"/>
        </w:rPr>
        <w:t xml:space="preserve">  </w:t>
      </w:r>
    </w:p>
    <w:p w:rsidR="00EB7F63" w:rsidRPr="0071546E" w:rsidRDefault="00EB7F63" w:rsidP="00433054">
      <w:pPr>
        <w:spacing w:line="480" w:lineRule="auto"/>
        <w:ind w:left="1021" w:right="454"/>
        <w:rPr>
          <w:rFonts w:ascii="Arial" w:hAnsi="Arial" w:cs="Arial"/>
          <w:b/>
          <w:sz w:val="24"/>
          <w:szCs w:val="24"/>
        </w:rPr>
      </w:pPr>
    </w:p>
    <w:p w:rsidR="00725033" w:rsidRPr="0071546E" w:rsidRDefault="000C7C78" w:rsidP="00433054">
      <w:pPr>
        <w:spacing w:line="480" w:lineRule="auto"/>
        <w:ind w:left="1021" w:right="454"/>
        <w:rPr>
          <w:rFonts w:ascii="Arial" w:hAnsi="Arial" w:cs="Arial"/>
          <w:b/>
          <w:bCs/>
          <w:sz w:val="24"/>
          <w:szCs w:val="24"/>
        </w:rPr>
      </w:pPr>
      <w:r w:rsidRPr="0071546E">
        <w:rPr>
          <w:rFonts w:ascii="Arial" w:hAnsi="Arial" w:cs="Arial"/>
          <w:b/>
          <w:bCs/>
          <w:sz w:val="36"/>
          <w:szCs w:val="24"/>
        </w:rPr>
        <w:t xml:space="preserve">                  </w:t>
      </w:r>
      <w:r w:rsidR="0071546E">
        <w:rPr>
          <w:rFonts w:ascii="Arial" w:hAnsi="Arial" w:cs="Arial"/>
          <w:b/>
          <w:bCs/>
          <w:sz w:val="36"/>
          <w:szCs w:val="24"/>
        </w:rPr>
        <w:t xml:space="preserve"> </w:t>
      </w:r>
      <w:r w:rsidR="0071546E" w:rsidRPr="0071546E">
        <w:rPr>
          <w:rFonts w:ascii="Arial" w:hAnsi="Arial" w:cs="Arial"/>
          <w:b/>
          <w:bCs/>
          <w:sz w:val="36"/>
          <w:szCs w:val="24"/>
        </w:rPr>
        <w:t>April</w:t>
      </w:r>
      <w:r w:rsidRPr="0071546E">
        <w:rPr>
          <w:rFonts w:ascii="Arial" w:hAnsi="Arial" w:cs="Arial"/>
          <w:b/>
          <w:bCs/>
          <w:sz w:val="36"/>
          <w:szCs w:val="24"/>
        </w:rPr>
        <w:t xml:space="preserve"> </w:t>
      </w:r>
      <w:r w:rsidRPr="0071546E">
        <w:rPr>
          <w:rFonts w:ascii="Arial" w:hAnsi="Arial" w:cs="Arial"/>
          <w:b/>
          <w:bCs/>
          <w:noProof/>
          <w:sz w:val="36"/>
          <w:szCs w:val="24"/>
          <w:lang w:eastAsia="en-GB"/>
        </w:rPr>
        <mc:AlternateContent>
          <mc:Choice Requires="wps">
            <w:drawing>
              <wp:anchor distT="0" distB="0" distL="114300" distR="114300" simplePos="0" relativeHeight="251766784" behindDoc="0" locked="0" layoutInCell="1" allowOverlap="1" wp14:anchorId="289DC885" wp14:editId="48226EF5">
                <wp:simplePos x="0" y="0"/>
                <wp:positionH relativeFrom="column">
                  <wp:posOffset>5568315</wp:posOffset>
                </wp:positionH>
                <wp:positionV relativeFrom="paragraph">
                  <wp:posOffset>225425</wp:posOffset>
                </wp:positionV>
                <wp:extent cx="333375" cy="24765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333375" cy="247650"/>
                        </a:xfrm>
                        <a:prstGeom prst="rect">
                          <a:avLst/>
                        </a:prstGeom>
                        <a:solidFill>
                          <a:sysClr val="window" lastClr="FFFFFF"/>
                        </a:solidFill>
                        <a:ln w="6350">
                          <a:noFill/>
                        </a:ln>
                        <a:effectLst/>
                      </wps:spPr>
                      <wps:txbx>
                        <w:txbxContent>
                          <w:p w:rsidR="00A87A14" w:rsidRDefault="00A87A14" w:rsidP="000C7C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9DC885" id="Text Box 50" o:spid="_x0000_s1030" type="#_x0000_t202" style="position:absolute;left:0;text-align:left;margin-left:438.45pt;margin-top:17.75pt;width:26.25pt;height:19.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" fillcolor="window" stroked="f" strokeweight=".5pt">
                <v:textbox>
                  <w:txbxContent>
                    <w:p w:rsidR="00A87A14" w:rsidRDefault="00A87A14" w:rsidP="000C7C78"/>
                  </w:txbxContent>
                </v:textbox>
              </v:shape>
            </w:pict>
          </mc:Fallback>
        </mc:AlternateContent>
      </w:r>
      <w:r w:rsidRPr="0071546E">
        <w:rPr>
          <w:rFonts w:ascii="Arial" w:hAnsi="Arial" w:cs="Arial"/>
          <w:b/>
          <w:bCs/>
          <w:noProof/>
          <w:sz w:val="36"/>
          <w:szCs w:val="24"/>
          <w:lang w:eastAsia="en-GB"/>
        </w:rPr>
        <mc:AlternateContent>
          <mc:Choice Requires="wps">
            <w:drawing>
              <wp:anchor distT="0" distB="0" distL="114300" distR="114300" simplePos="0" relativeHeight="251765760" behindDoc="0" locked="0" layoutInCell="1" allowOverlap="1" wp14:anchorId="6C078245" wp14:editId="771D8607">
                <wp:simplePos x="0" y="0"/>
                <wp:positionH relativeFrom="column">
                  <wp:posOffset>5596890</wp:posOffset>
                </wp:positionH>
                <wp:positionV relativeFrom="paragraph">
                  <wp:posOffset>9138285</wp:posOffset>
                </wp:positionV>
                <wp:extent cx="257175" cy="200025"/>
                <wp:effectExtent l="0" t="0" r="9525" b="9525"/>
                <wp:wrapNone/>
                <wp:docPr id="44" name="Text Box 44"/>
                <wp:cNvGraphicFramePr/>
                <a:graphic xmlns:a="http://schemas.openxmlformats.org/drawingml/2006/main">
                  <a:graphicData uri="http://schemas.microsoft.com/office/word/2010/wordprocessingShape">
                    <wps:wsp>
                      <wps:cNvSpPr txBox="1"/>
                      <wps:spPr>
                        <a:xfrm>
                          <a:off x="0" y="0"/>
                          <a:ext cx="257175" cy="200025"/>
                        </a:xfrm>
                        <a:prstGeom prst="rect">
                          <a:avLst/>
                        </a:prstGeom>
                        <a:solidFill>
                          <a:sysClr val="window" lastClr="FFFFFF"/>
                        </a:solidFill>
                        <a:ln w="6350">
                          <a:noFill/>
                        </a:ln>
                        <a:effectLst/>
                      </wps:spPr>
                      <wps:txbx>
                        <w:txbxContent>
                          <w:p w:rsidR="00A87A14" w:rsidRDefault="00A87A14" w:rsidP="000C7C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078245" id="Text Box 44" o:spid="_x0000_s1031" type="#_x0000_t202" style="position:absolute;left:0;text-align:left;margin-left:440.7pt;margin-top:719.55pt;width:20.25pt;height:15.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" fillcolor="window" stroked="f" strokeweight=".5pt">
                <v:textbox>
                  <w:txbxContent>
                    <w:p w:rsidR="00A87A14" w:rsidRDefault="00A87A14" w:rsidP="000C7C78"/>
                  </w:txbxContent>
                </v:textbox>
              </v:shape>
            </w:pict>
          </mc:Fallback>
        </mc:AlternateContent>
      </w:r>
      <w:r w:rsidRPr="0071546E">
        <w:rPr>
          <w:rFonts w:ascii="Arial" w:hAnsi="Arial" w:cs="Arial"/>
          <w:b/>
          <w:bCs/>
          <w:sz w:val="36"/>
          <w:szCs w:val="24"/>
        </w:rPr>
        <w:t>20</w:t>
      </w:r>
      <w:r w:rsidR="0071546E" w:rsidRPr="0071546E">
        <w:rPr>
          <w:rFonts w:ascii="Arial" w:hAnsi="Arial" w:cs="Arial"/>
          <w:b/>
          <w:bCs/>
          <w:sz w:val="36"/>
          <w:szCs w:val="24"/>
        </w:rPr>
        <w:t>20</w:t>
      </w:r>
      <w:r w:rsidR="00725033" w:rsidRPr="0071546E">
        <w:rPr>
          <w:rFonts w:ascii="Arial" w:hAnsi="Arial" w:cs="Arial"/>
          <w:b/>
          <w:bCs/>
          <w:sz w:val="24"/>
          <w:szCs w:val="24"/>
        </w:rPr>
        <w:br w:type="page"/>
      </w:r>
    </w:p>
    <w:p w:rsidR="000C7C78" w:rsidRPr="0071546E" w:rsidRDefault="000C7C78" w:rsidP="000C7C78">
      <w:pPr>
        <w:spacing w:line="480" w:lineRule="auto"/>
        <w:ind w:right="454"/>
        <w:rPr>
          <w:rFonts w:ascii="Arial" w:eastAsia="Calibri" w:hAnsi="Arial" w:cs="Arial"/>
          <w:b/>
          <w:sz w:val="24"/>
          <w:szCs w:val="24"/>
        </w:rPr>
      </w:pPr>
      <w:bookmarkStart w:id="1" w:name="_Toc557746"/>
      <w:bookmarkStart w:id="2" w:name="_Toc905108"/>
      <w:bookmarkStart w:id="3" w:name="_Hlk536474624"/>
      <w:r w:rsidRPr="0071546E">
        <w:rPr>
          <w:rFonts w:ascii="Arial" w:eastAsia="Calibri" w:hAnsi="Arial" w:cs="Arial"/>
          <w:b/>
          <w:sz w:val="24"/>
          <w:szCs w:val="24"/>
        </w:rPr>
        <w:lastRenderedPageBreak/>
        <w:t xml:space="preserve">          </w:t>
      </w:r>
    </w:p>
    <w:p w:rsidR="00236924" w:rsidRPr="0071546E" w:rsidRDefault="000C7C78" w:rsidP="000C7C78">
      <w:pPr>
        <w:spacing w:line="480" w:lineRule="auto"/>
        <w:ind w:right="454"/>
        <w:rPr>
          <w:rFonts w:ascii="Arial" w:eastAsia="Calibri" w:hAnsi="Arial" w:cs="Arial"/>
          <w:b/>
          <w:sz w:val="24"/>
          <w:szCs w:val="24"/>
        </w:rPr>
      </w:pPr>
      <w:r w:rsidRPr="0071546E">
        <w:rPr>
          <w:rFonts w:ascii="Arial" w:eastAsia="Calibri" w:hAnsi="Arial" w:cs="Arial"/>
          <w:b/>
          <w:sz w:val="24"/>
          <w:szCs w:val="24"/>
        </w:rPr>
        <w:t xml:space="preserve">               </w:t>
      </w:r>
      <w:bookmarkStart w:id="4" w:name="_Hlk38011889"/>
      <w:r w:rsidR="00236924" w:rsidRPr="0071546E">
        <w:rPr>
          <w:rFonts w:ascii="Arial" w:eastAsia="Calibri" w:hAnsi="Arial" w:cs="Arial"/>
          <w:b/>
          <w:sz w:val="24"/>
          <w:szCs w:val="24"/>
        </w:rPr>
        <w:t>ABSTRACT</w:t>
      </w:r>
    </w:p>
    <w:p w:rsidR="00236924" w:rsidRPr="0071546E" w:rsidRDefault="00236924" w:rsidP="00236924">
      <w:pPr>
        <w:spacing w:line="480" w:lineRule="auto"/>
        <w:ind w:left="1021" w:right="454"/>
        <w:jc w:val="both"/>
        <w:rPr>
          <w:rFonts w:ascii="Arial" w:eastAsia="Calibri" w:hAnsi="Arial" w:cs="Arial"/>
          <w:sz w:val="24"/>
          <w:szCs w:val="24"/>
        </w:rPr>
      </w:pPr>
      <w:r w:rsidRPr="0071546E">
        <w:rPr>
          <w:rFonts w:ascii="Arial" w:eastAsia="Calibri" w:hAnsi="Arial" w:cs="Arial"/>
          <w:iCs/>
          <w:sz w:val="24"/>
          <w:szCs w:val="24"/>
        </w:rPr>
        <w:t>Acanthamoeba</w:t>
      </w:r>
      <w:r w:rsidRPr="0071546E">
        <w:rPr>
          <w:rFonts w:ascii="Arial" w:eastAsia="Calibri" w:hAnsi="Arial" w:cs="Arial"/>
          <w:sz w:val="24"/>
          <w:szCs w:val="24"/>
        </w:rPr>
        <w:t xml:space="preserve"> keratitis is a devastating eye disease that requires prompt diagnosis and treatment. Currently, there are no targeted antimicrobial drugs that can be used in the United Kingdom to treat </w:t>
      </w:r>
      <w:r w:rsidRPr="0071546E">
        <w:rPr>
          <w:rFonts w:ascii="Arial" w:eastAsia="Calibri" w:hAnsi="Arial" w:cs="Arial"/>
          <w:i/>
          <w:sz w:val="24"/>
          <w:szCs w:val="24"/>
        </w:rPr>
        <w:t>Acanthamoeba</w:t>
      </w:r>
      <w:r w:rsidRPr="0071546E">
        <w:rPr>
          <w:rFonts w:ascii="Arial" w:eastAsia="Calibri" w:hAnsi="Arial" w:cs="Arial"/>
          <w:sz w:val="24"/>
          <w:szCs w:val="24"/>
        </w:rPr>
        <w:t xml:space="preserve"> infections. There are treatment options available but require </w:t>
      </w:r>
      <w:r w:rsidR="005629BA" w:rsidRPr="0071546E">
        <w:rPr>
          <w:rFonts w:ascii="Arial" w:eastAsia="Calibri" w:hAnsi="Arial" w:cs="Arial"/>
          <w:sz w:val="24"/>
          <w:szCs w:val="24"/>
        </w:rPr>
        <w:t xml:space="preserve">the </w:t>
      </w:r>
      <w:r w:rsidRPr="0071546E">
        <w:rPr>
          <w:rFonts w:ascii="Arial" w:eastAsia="Calibri" w:hAnsi="Arial" w:cs="Arial"/>
          <w:sz w:val="24"/>
          <w:szCs w:val="24"/>
        </w:rPr>
        <w:t xml:space="preserve">prolonged application of low concentrations of biocides. These biocides cause significant damage to host tissue (cornea) and are frequently the major contributor to the loss of visual acuity seen with this type of infection. In addition to this, </w:t>
      </w:r>
      <w:r w:rsidRPr="0071546E">
        <w:rPr>
          <w:rFonts w:ascii="Arial" w:eastAsia="Calibri" w:hAnsi="Arial" w:cs="Arial"/>
          <w:i/>
          <w:iCs/>
          <w:sz w:val="24"/>
          <w:szCs w:val="24"/>
        </w:rPr>
        <w:t>Acanthamoeba</w:t>
      </w:r>
      <w:r w:rsidRPr="0071546E">
        <w:rPr>
          <w:rFonts w:ascii="Arial" w:eastAsia="Calibri" w:hAnsi="Arial" w:cs="Arial"/>
          <w:sz w:val="24"/>
          <w:szCs w:val="24"/>
        </w:rPr>
        <w:t xml:space="preserve"> trophozoites can undergo cell transformation into a cyst form as a response to stress (including biocide treatment); cysts are less sensitive to biocides. The development of new anti-amoebal drugs has been hampered by the limited interest in this rare infection by big pharma and the lack of a robust </w:t>
      </w:r>
      <w:r w:rsidRPr="0071546E">
        <w:rPr>
          <w:rFonts w:ascii="Arial" w:eastAsia="Calibri" w:hAnsi="Arial" w:cs="Arial"/>
          <w:i/>
          <w:sz w:val="24"/>
          <w:szCs w:val="24"/>
        </w:rPr>
        <w:t>in-vitro</w:t>
      </w:r>
      <w:r w:rsidRPr="0071546E">
        <w:rPr>
          <w:rFonts w:ascii="Arial" w:eastAsia="Calibri" w:hAnsi="Arial" w:cs="Arial"/>
          <w:sz w:val="24"/>
          <w:szCs w:val="24"/>
        </w:rPr>
        <w:t xml:space="preserve"> susceptibility assay that can be used to assay trophozoites as well as cysts.</w:t>
      </w:r>
    </w:p>
    <w:p w:rsidR="009E3064" w:rsidRPr="0071546E" w:rsidRDefault="00236924" w:rsidP="00236924">
      <w:pPr>
        <w:spacing w:line="480" w:lineRule="auto"/>
        <w:ind w:left="1021" w:right="454"/>
        <w:jc w:val="both"/>
        <w:rPr>
          <w:rFonts w:ascii="Arial" w:eastAsia="Calibri" w:hAnsi="Arial" w:cs="Arial"/>
          <w:sz w:val="24"/>
          <w:szCs w:val="24"/>
        </w:rPr>
      </w:pPr>
      <w:r w:rsidRPr="0071546E">
        <w:rPr>
          <w:rFonts w:ascii="Arial" w:eastAsia="Calibri" w:hAnsi="Arial" w:cs="Arial"/>
          <w:sz w:val="24"/>
          <w:szCs w:val="24"/>
        </w:rPr>
        <w:t xml:space="preserve">         A novel approach that may be useful as a treatment modality for </w:t>
      </w:r>
      <w:r w:rsidRPr="0071546E">
        <w:rPr>
          <w:rFonts w:ascii="Arial" w:eastAsia="Calibri" w:hAnsi="Arial" w:cs="Arial"/>
          <w:i/>
          <w:iCs/>
          <w:sz w:val="24"/>
          <w:szCs w:val="24"/>
        </w:rPr>
        <w:t>Acanthamoeba</w:t>
      </w:r>
      <w:r w:rsidRPr="0071546E">
        <w:rPr>
          <w:rFonts w:ascii="Arial" w:eastAsia="Calibri" w:hAnsi="Arial" w:cs="Arial"/>
          <w:sz w:val="24"/>
          <w:szCs w:val="24"/>
        </w:rPr>
        <w:t xml:space="preserve"> trophozoites and cysts is the use of antimicrobial photodynamic therapy (APDT). This approach combines light and a photo-activated drug to generate </w:t>
      </w:r>
      <w:r w:rsidR="00942774" w:rsidRPr="0071546E">
        <w:rPr>
          <w:rFonts w:ascii="Arial" w:eastAsia="Calibri" w:hAnsi="Arial" w:cs="Arial"/>
          <w:sz w:val="24"/>
          <w:szCs w:val="24"/>
        </w:rPr>
        <w:t>re</w:t>
      </w:r>
      <w:r w:rsidRPr="0071546E">
        <w:rPr>
          <w:rFonts w:ascii="Arial" w:eastAsia="Calibri" w:hAnsi="Arial" w:cs="Arial"/>
          <w:sz w:val="24"/>
          <w:szCs w:val="24"/>
        </w:rPr>
        <w:t xml:space="preserve">active oxygen species that cause cell death. Although this approach often causes host cell toxicity, these drugs can be targeted through chemical modification, the use of antibodies </w:t>
      </w:r>
      <w:r w:rsidR="00840356" w:rsidRPr="0071546E">
        <w:rPr>
          <w:rFonts w:ascii="Arial" w:eastAsia="Calibri" w:hAnsi="Arial" w:cs="Arial"/>
          <w:sz w:val="24"/>
          <w:szCs w:val="24"/>
        </w:rPr>
        <w:t>and</w:t>
      </w:r>
      <w:r w:rsidRPr="0071546E">
        <w:rPr>
          <w:rFonts w:ascii="Arial" w:eastAsia="Calibri" w:hAnsi="Arial" w:cs="Arial"/>
          <w:sz w:val="24"/>
          <w:szCs w:val="24"/>
        </w:rPr>
        <w:t xml:space="preserve"> via the use of precise light targeting. </w:t>
      </w:r>
    </w:p>
    <w:p w:rsidR="009E3064" w:rsidRPr="0071546E" w:rsidRDefault="009E3064" w:rsidP="00236924">
      <w:pPr>
        <w:spacing w:line="480" w:lineRule="auto"/>
        <w:ind w:left="1021" w:right="454"/>
        <w:jc w:val="both"/>
        <w:rPr>
          <w:rFonts w:ascii="Arial" w:eastAsia="Calibri" w:hAnsi="Arial" w:cs="Arial"/>
          <w:sz w:val="24"/>
          <w:szCs w:val="24"/>
        </w:rPr>
      </w:pPr>
    </w:p>
    <w:p w:rsidR="00236924" w:rsidRPr="0071546E" w:rsidRDefault="009E3064" w:rsidP="00236924">
      <w:pPr>
        <w:spacing w:line="480" w:lineRule="auto"/>
        <w:ind w:left="1021" w:right="454"/>
        <w:jc w:val="both"/>
        <w:rPr>
          <w:rFonts w:ascii="Arial" w:eastAsia="Calibri" w:hAnsi="Arial" w:cs="Arial"/>
          <w:sz w:val="24"/>
          <w:szCs w:val="24"/>
        </w:rPr>
      </w:pPr>
      <w:r w:rsidRPr="0071546E">
        <w:rPr>
          <w:rFonts w:ascii="Arial" w:eastAsia="Calibri" w:hAnsi="Arial" w:cs="Arial"/>
          <w:sz w:val="24"/>
          <w:szCs w:val="24"/>
        </w:rPr>
        <w:t xml:space="preserve">The aim of the present study was to evaluate the use of photodynamic therapy for the treatment of all morphological forms of </w:t>
      </w:r>
      <w:r w:rsidRPr="0071546E">
        <w:rPr>
          <w:rFonts w:ascii="Arial" w:eastAsia="Calibri" w:hAnsi="Arial" w:cs="Arial"/>
          <w:i/>
          <w:iCs/>
          <w:sz w:val="24"/>
          <w:szCs w:val="24"/>
        </w:rPr>
        <w:t>Acanthamoeba.</w:t>
      </w:r>
      <w:r w:rsidRPr="0071546E">
        <w:rPr>
          <w:rFonts w:ascii="Arial" w:eastAsia="Calibri" w:hAnsi="Arial" w:cs="Arial"/>
          <w:sz w:val="24"/>
          <w:szCs w:val="24"/>
        </w:rPr>
        <w:t xml:space="preserve"> The objectives are </w:t>
      </w:r>
    </w:p>
    <w:p w:rsidR="009E3064" w:rsidRPr="0071546E" w:rsidRDefault="009E3064" w:rsidP="009E3064">
      <w:pPr>
        <w:pStyle w:val="ListParagraph"/>
        <w:numPr>
          <w:ilvl w:val="0"/>
          <w:numId w:val="8"/>
        </w:numPr>
        <w:spacing w:line="480" w:lineRule="auto"/>
        <w:ind w:right="454"/>
        <w:jc w:val="both"/>
        <w:rPr>
          <w:rFonts w:ascii="Arial" w:eastAsia="Calibri" w:hAnsi="Arial" w:cs="Arial"/>
          <w:sz w:val="24"/>
          <w:szCs w:val="24"/>
        </w:rPr>
      </w:pPr>
      <w:r w:rsidRPr="0071546E">
        <w:rPr>
          <w:rFonts w:ascii="Arial" w:eastAsia="Calibri" w:hAnsi="Arial" w:cs="Arial"/>
          <w:sz w:val="24"/>
          <w:szCs w:val="24"/>
        </w:rPr>
        <w:t xml:space="preserve">To asses existing assay methodologies for susceptibility testing and validate their adaptability to assay for drug activity against all morphological forms of </w:t>
      </w:r>
      <w:r w:rsidRPr="0071546E">
        <w:rPr>
          <w:rFonts w:ascii="Arial" w:eastAsia="Calibri" w:hAnsi="Arial" w:cs="Arial"/>
          <w:i/>
          <w:iCs/>
          <w:sz w:val="24"/>
          <w:szCs w:val="24"/>
        </w:rPr>
        <w:t>Acanthamoeba</w:t>
      </w:r>
      <w:r w:rsidRPr="0071546E">
        <w:rPr>
          <w:rFonts w:ascii="Arial" w:eastAsia="Calibri" w:hAnsi="Arial" w:cs="Arial"/>
          <w:sz w:val="24"/>
          <w:szCs w:val="24"/>
        </w:rPr>
        <w:t>.</w:t>
      </w:r>
    </w:p>
    <w:p w:rsidR="009E3064" w:rsidRPr="0071546E" w:rsidRDefault="009E3064" w:rsidP="009E3064">
      <w:pPr>
        <w:pStyle w:val="ListParagraph"/>
        <w:numPr>
          <w:ilvl w:val="0"/>
          <w:numId w:val="8"/>
        </w:numPr>
        <w:spacing w:line="480" w:lineRule="auto"/>
        <w:ind w:right="454"/>
        <w:jc w:val="both"/>
        <w:rPr>
          <w:rFonts w:ascii="Arial" w:eastAsia="Calibri" w:hAnsi="Arial" w:cs="Arial"/>
          <w:sz w:val="24"/>
          <w:szCs w:val="24"/>
        </w:rPr>
      </w:pPr>
      <w:r w:rsidRPr="0071546E">
        <w:rPr>
          <w:rFonts w:ascii="Arial" w:eastAsia="Calibri" w:hAnsi="Arial" w:cs="Arial"/>
          <w:sz w:val="24"/>
          <w:szCs w:val="24"/>
        </w:rPr>
        <w:t xml:space="preserve">To identify useful photosensitisers for </w:t>
      </w:r>
      <w:r w:rsidRPr="0071546E">
        <w:rPr>
          <w:rFonts w:ascii="Arial" w:eastAsia="Calibri" w:hAnsi="Arial" w:cs="Arial"/>
          <w:i/>
          <w:iCs/>
          <w:sz w:val="24"/>
          <w:szCs w:val="24"/>
        </w:rPr>
        <w:t>Acanthamoeba</w:t>
      </w:r>
      <w:r w:rsidRPr="0071546E">
        <w:rPr>
          <w:rFonts w:ascii="Arial" w:eastAsia="Calibri" w:hAnsi="Arial" w:cs="Arial"/>
          <w:sz w:val="24"/>
          <w:szCs w:val="24"/>
        </w:rPr>
        <w:t xml:space="preserve"> photodynamic therapy.</w:t>
      </w:r>
    </w:p>
    <w:p w:rsidR="00236924" w:rsidRPr="0071546E" w:rsidRDefault="00236924" w:rsidP="009E3064">
      <w:pPr>
        <w:spacing w:line="480" w:lineRule="auto"/>
        <w:ind w:left="1021" w:right="454"/>
        <w:jc w:val="both"/>
        <w:rPr>
          <w:rFonts w:ascii="Arial" w:eastAsia="Calibri" w:hAnsi="Arial" w:cs="Arial"/>
          <w:sz w:val="24"/>
          <w:szCs w:val="24"/>
        </w:rPr>
      </w:pPr>
      <w:r w:rsidRPr="0071546E">
        <w:rPr>
          <w:rFonts w:ascii="Arial" w:eastAsia="Calibri" w:hAnsi="Arial" w:cs="Arial"/>
          <w:sz w:val="24"/>
          <w:szCs w:val="24"/>
        </w:rPr>
        <w:t xml:space="preserve">          We were able to develop a novel optimised ATP assay that used traditional detergent</w:t>
      </w:r>
      <w:r w:rsidR="005629BA" w:rsidRPr="0071546E">
        <w:rPr>
          <w:rFonts w:ascii="Arial" w:eastAsia="Calibri" w:hAnsi="Arial" w:cs="Arial"/>
          <w:sz w:val="24"/>
          <w:szCs w:val="24"/>
        </w:rPr>
        <w:t>-</w:t>
      </w:r>
      <w:r w:rsidRPr="0071546E">
        <w:rPr>
          <w:rFonts w:ascii="Arial" w:eastAsia="Calibri" w:hAnsi="Arial" w:cs="Arial"/>
          <w:sz w:val="24"/>
          <w:szCs w:val="24"/>
        </w:rPr>
        <w:t xml:space="preserve">based cell lysis for trophozoites. Cysts could not be lysed using this or similar approaches thus we introduced enzymatic (lysozyme) lysis of </w:t>
      </w:r>
      <w:r w:rsidRPr="0071546E">
        <w:rPr>
          <w:rFonts w:ascii="Arial" w:eastAsia="Calibri" w:hAnsi="Arial" w:cs="Arial"/>
          <w:iCs/>
          <w:sz w:val="24"/>
          <w:szCs w:val="24"/>
        </w:rPr>
        <w:t>cysts</w:t>
      </w:r>
      <w:r w:rsidRPr="0071546E">
        <w:rPr>
          <w:rFonts w:ascii="Arial" w:eastAsia="Calibri" w:hAnsi="Arial" w:cs="Arial"/>
          <w:sz w:val="24"/>
          <w:szCs w:val="24"/>
        </w:rPr>
        <w:t xml:space="preserve">. The assay was validated using a range of clinically relevant biocides and drugs that have known </w:t>
      </w:r>
      <w:r w:rsidRPr="0071546E">
        <w:rPr>
          <w:rFonts w:ascii="Arial" w:eastAsia="Calibri" w:hAnsi="Arial" w:cs="Arial"/>
          <w:i/>
          <w:iCs/>
          <w:sz w:val="24"/>
          <w:szCs w:val="24"/>
        </w:rPr>
        <w:t>in vitro</w:t>
      </w:r>
      <w:r w:rsidRPr="0071546E">
        <w:rPr>
          <w:rFonts w:ascii="Arial" w:eastAsia="Calibri" w:hAnsi="Arial" w:cs="Arial"/>
          <w:sz w:val="24"/>
          <w:szCs w:val="24"/>
        </w:rPr>
        <w:t xml:space="preserve"> activity against </w:t>
      </w:r>
      <w:r w:rsidRPr="0071546E">
        <w:rPr>
          <w:rFonts w:ascii="Arial" w:eastAsia="Calibri" w:hAnsi="Arial" w:cs="Arial"/>
          <w:i/>
          <w:iCs/>
          <w:sz w:val="24"/>
          <w:szCs w:val="24"/>
        </w:rPr>
        <w:t xml:space="preserve">Acanthamoeba. </w:t>
      </w:r>
    </w:p>
    <w:p w:rsidR="00236924" w:rsidRPr="0071546E" w:rsidRDefault="009E3064" w:rsidP="00236924">
      <w:pPr>
        <w:spacing w:line="480" w:lineRule="auto"/>
        <w:ind w:left="1021" w:right="454"/>
        <w:jc w:val="both"/>
        <w:rPr>
          <w:rFonts w:ascii="Arial" w:eastAsia="Calibri" w:hAnsi="Arial" w:cs="Arial"/>
          <w:sz w:val="24"/>
          <w:szCs w:val="24"/>
        </w:rPr>
      </w:pPr>
      <w:r w:rsidRPr="0071546E">
        <w:rPr>
          <w:rFonts w:ascii="Arial" w:eastAsia="Calibri" w:hAnsi="Arial" w:cs="Arial"/>
          <w:sz w:val="24"/>
          <w:szCs w:val="24"/>
        </w:rPr>
        <w:t xml:space="preserve">Results </w:t>
      </w:r>
      <w:r w:rsidR="00236924" w:rsidRPr="0071546E">
        <w:rPr>
          <w:rFonts w:ascii="Arial" w:eastAsia="Calibri" w:hAnsi="Arial" w:cs="Arial"/>
          <w:sz w:val="24"/>
          <w:szCs w:val="24"/>
        </w:rPr>
        <w:t>show</w:t>
      </w:r>
      <w:r w:rsidRPr="0071546E">
        <w:rPr>
          <w:rFonts w:ascii="Arial" w:eastAsia="Calibri" w:hAnsi="Arial" w:cs="Arial"/>
          <w:sz w:val="24"/>
          <w:szCs w:val="24"/>
        </w:rPr>
        <w:t>ed</w:t>
      </w:r>
      <w:r w:rsidR="00236924" w:rsidRPr="0071546E">
        <w:rPr>
          <w:rFonts w:ascii="Arial" w:eastAsia="Calibri" w:hAnsi="Arial" w:cs="Arial"/>
          <w:sz w:val="24"/>
          <w:szCs w:val="24"/>
        </w:rPr>
        <w:t xml:space="preserve"> that </w:t>
      </w:r>
      <w:r w:rsidRPr="0071546E">
        <w:rPr>
          <w:rFonts w:ascii="Arial" w:eastAsia="Calibri" w:hAnsi="Arial" w:cs="Arial"/>
          <w:sz w:val="24"/>
          <w:szCs w:val="24"/>
        </w:rPr>
        <w:t>photodynamic therapy using LED light (85 j/cm</w:t>
      </w:r>
      <w:r w:rsidRPr="0071546E">
        <w:rPr>
          <w:rFonts w:ascii="Arial" w:eastAsia="Calibri" w:hAnsi="Arial" w:cs="Arial"/>
          <w:sz w:val="24"/>
          <w:szCs w:val="24"/>
          <w:vertAlign w:val="superscript"/>
        </w:rPr>
        <w:t>2</w:t>
      </w:r>
      <w:r w:rsidRPr="0071546E">
        <w:rPr>
          <w:rFonts w:ascii="Arial" w:eastAsia="Calibri" w:hAnsi="Arial" w:cs="Arial"/>
          <w:sz w:val="24"/>
          <w:szCs w:val="24"/>
        </w:rPr>
        <w:t xml:space="preserve">) and </w:t>
      </w:r>
      <w:r w:rsidR="00236924" w:rsidRPr="0071546E">
        <w:rPr>
          <w:rFonts w:ascii="Arial" w:eastAsia="Calibri" w:hAnsi="Arial" w:cs="Arial"/>
          <w:sz w:val="24"/>
          <w:szCs w:val="24"/>
        </w:rPr>
        <w:t>cationic porphyrins</w:t>
      </w:r>
      <w:r w:rsidRPr="0071546E">
        <w:rPr>
          <w:rFonts w:ascii="Arial" w:eastAsia="Calibri" w:hAnsi="Arial" w:cs="Arial"/>
          <w:sz w:val="24"/>
          <w:szCs w:val="24"/>
        </w:rPr>
        <w:t xml:space="preserve"> (10µM),</w:t>
      </w:r>
      <w:r w:rsidR="00236924" w:rsidRPr="0071546E">
        <w:rPr>
          <w:rFonts w:ascii="Arial" w:eastAsia="Calibri" w:hAnsi="Arial" w:cs="Arial"/>
          <w:sz w:val="24"/>
          <w:szCs w:val="24"/>
        </w:rPr>
        <w:t xml:space="preserve"> </w:t>
      </w:r>
      <w:r w:rsidRPr="0071546E">
        <w:rPr>
          <w:rFonts w:ascii="Arial" w:eastAsia="Calibri" w:hAnsi="Arial" w:cs="Arial"/>
          <w:sz w:val="24"/>
          <w:szCs w:val="24"/>
        </w:rPr>
        <w:t>was</w:t>
      </w:r>
      <w:r w:rsidR="00236924" w:rsidRPr="0071546E">
        <w:rPr>
          <w:rFonts w:ascii="Arial" w:eastAsia="Calibri" w:hAnsi="Arial" w:cs="Arial"/>
          <w:sz w:val="24"/>
          <w:szCs w:val="24"/>
        </w:rPr>
        <w:t xml:space="preserve"> able to </w:t>
      </w:r>
      <w:r w:rsidRPr="0071546E">
        <w:rPr>
          <w:rFonts w:ascii="Arial" w:eastAsia="Calibri" w:hAnsi="Arial" w:cs="Arial"/>
          <w:sz w:val="24"/>
          <w:szCs w:val="24"/>
        </w:rPr>
        <w:t>inactivate</w:t>
      </w:r>
      <w:r w:rsidR="00D83AFC" w:rsidRPr="0071546E">
        <w:rPr>
          <w:rFonts w:ascii="Arial" w:eastAsia="Calibri" w:hAnsi="Arial" w:cs="Arial"/>
          <w:sz w:val="24"/>
          <w:szCs w:val="24"/>
        </w:rPr>
        <w:t xml:space="preserve"> </w:t>
      </w:r>
      <w:r w:rsidRPr="0071546E">
        <w:rPr>
          <w:rFonts w:ascii="Arial" w:eastAsia="Calibri" w:hAnsi="Arial" w:cs="Arial"/>
          <w:sz w:val="24"/>
          <w:szCs w:val="24"/>
        </w:rPr>
        <w:t>more than 80% of</w:t>
      </w:r>
      <w:r w:rsidR="00236924" w:rsidRPr="0071546E">
        <w:rPr>
          <w:rFonts w:ascii="Arial" w:eastAsia="Calibri" w:hAnsi="Arial" w:cs="Arial"/>
          <w:sz w:val="24"/>
          <w:szCs w:val="24"/>
        </w:rPr>
        <w:t xml:space="preserve"> both cysts and trophozoites</w:t>
      </w:r>
      <w:r w:rsidRPr="0071546E">
        <w:rPr>
          <w:rFonts w:ascii="Arial" w:eastAsia="Calibri" w:hAnsi="Arial" w:cs="Arial"/>
          <w:sz w:val="24"/>
          <w:szCs w:val="24"/>
        </w:rPr>
        <w:t>.</w:t>
      </w:r>
      <w:r w:rsidR="00236924" w:rsidRPr="0071546E">
        <w:rPr>
          <w:rFonts w:ascii="Arial" w:eastAsia="Calibri" w:hAnsi="Arial" w:cs="Arial"/>
          <w:sz w:val="24"/>
          <w:szCs w:val="24"/>
        </w:rPr>
        <w:t xml:space="preserve"> </w:t>
      </w:r>
      <w:r w:rsidRPr="0071546E">
        <w:rPr>
          <w:rFonts w:ascii="Arial" w:eastAsia="Calibri" w:hAnsi="Arial" w:cs="Arial"/>
          <w:sz w:val="24"/>
          <w:szCs w:val="24"/>
        </w:rPr>
        <w:t>These results</w:t>
      </w:r>
      <w:r w:rsidR="00236924" w:rsidRPr="0071546E">
        <w:rPr>
          <w:rFonts w:ascii="Arial" w:eastAsia="Calibri" w:hAnsi="Arial" w:cs="Arial"/>
          <w:sz w:val="24"/>
          <w:szCs w:val="24"/>
        </w:rPr>
        <w:t xml:space="preserve"> suggest that APDT is a promising approach for the treatment of </w:t>
      </w:r>
      <w:r w:rsidR="00236924" w:rsidRPr="0071546E">
        <w:rPr>
          <w:rFonts w:ascii="Arial" w:eastAsia="Calibri" w:hAnsi="Arial" w:cs="Arial"/>
          <w:i/>
          <w:sz w:val="24"/>
          <w:szCs w:val="24"/>
        </w:rPr>
        <w:t>Acanthamoeba</w:t>
      </w:r>
      <w:r w:rsidR="00236924" w:rsidRPr="0071546E">
        <w:rPr>
          <w:rFonts w:ascii="Arial" w:eastAsia="Calibri" w:hAnsi="Arial" w:cs="Arial"/>
          <w:sz w:val="24"/>
          <w:szCs w:val="24"/>
        </w:rPr>
        <w:t xml:space="preserve"> infections in the eye and that it may be possible to enhance the </w:t>
      </w:r>
      <w:r w:rsidRPr="0071546E">
        <w:rPr>
          <w:rFonts w:ascii="Arial" w:eastAsia="Calibri" w:hAnsi="Arial" w:cs="Arial"/>
          <w:sz w:val="24"/>
          <w:szCs w:val="24"/>
        </w:rPr>
        <w:t>a</w:t>
      </w:r>
      <w:r w:rsidR="00236924" w:rsidRPr="0071546E">
        <w:rPr>
          <w:rFonts w:ascii="Arial" w:eastAsia="Calibri" w:hAnsi="Arial" w:cs="Arial"/>
          <w:sz w:val="24"/>
          <w:szCs w:val="24"/>
        </w:rPr>
        <w:t xml:space="preserve">nti-amoebic activity of porphyrins via chemical modification. We also suggest that improved targeting of these drugs could be achieved using </w:t>
      </w:r>
      <w:r w:rsidR="00236924" w:rsidRPr="0071546E">
        <w:rPr>
          <w:rFonts w:ascii="Arial" w:eastAsia="Calibri" w:hAnsi="Arial" w:cs="Arial"/>
          <w:i/>
          <w:sz w:val="24"/>
          <w:szCs w:val="24"/>
        </w:rPr>
        <w:t>Acanthamoeba</w:t>
      </w:r>
      <w:r w:rsidR="00236924" w:rsidRPr="0071546E">
        <w:rPr>
          <w:rFonts w:ascii="Arial" w:eastAsia="Calibri" w:hAnsi="Arial" w:cs="Arial"/>
          <w:sz w:val="24"/>
          <w:szCs w:val="24"/>
        </w:rPr>
        <w:t xml:space="preserve"> specific peptides conjugated to porphyrins targeting photodynamic therapy. </w:t>
      </w:r>
    </w:p>
    <w:bookmarkEnd w:id="4"/>
    <w:p w:rsidR="00EC6497" w:rsidRPr="0071546E" w:rsidRDefault="00EC6497" w:rsidP="00236924">
      <w:pPr>
        <w:spacing w:line="480" w:lineRule="auto"/>
        <w:ind w:left="1021" w:right="454"/>
        <w:jc w:val="both"/>
        <w:rPr>
          <w:rFonts w:ascii="Arial" w:hAnsi="Arial" w:cs="Arial"/>
          <w:sz w:val="24"/>
        </w:rPr>
      </w:pPr>
    </w:p>
    <w:p w:rsidR="002B5C6A" w:rsidRPr="0071546E" w:rsidRDefault="002B5C6A" w:rsidP="00064AC1">
      <w:pPr>
        <w:ind w:right="454"/>
        <w:rPr>
          <w:rFonts w:ascii="Arial" w:hAnsi="Arial" w:cs="Arial"/>
          <w:sz w:val="24"/>
        </w:rPr>
      </w:pPr>
    </w:p>
    <w:p w:rsidR="00612BBA" w:rsidRPr="0071546E" w:rsidRDefault="00612BBA" w:rsidP="00064AC1">
      <w:pPr>
        <w:ind w:right="454"/>
        <w:rPr>
          <w:rFonts w:ascii="Arial" w:hAnsi="Arial" w:cs="Arial"/>
          <w:b/>
          <w:sz w:val="24"/>
        </w:rPr>
      </w:pPr>
    </w:p>
    <w:p w:rsidR="00725033" w:rsidRPr="0071546E" w:rsidRDefault="00725033" w:rsidP="00C639DC">
      <w:pPr>
        <w:spacing w:line="480" w:lineRule="auto"/>
        <w:ind w:left="1021" w:right="454"/>
        <w:rPr>
          <w:rFonts w:ascii="Arial" w:hAnsi="Arial" w:cs="Arial"/>
          <w:b/>
          <w:sz w:val="24"/>
          <w:szCs w:val="24"/>
        </w:rPr>
      </w:pPr>
      <w:r w:rsidRPr="0071546E">
        <w:rPr>
          <w:rFonts w:ascii="Arial" w:hAnsi="Arial" w:cs="Arial"/>
          <w:b/>
          <w:sz w:val="24"/>
        </w:rPr>
        <w:t>DECLARATION</w:t>
      </w:r>
      <w:bookmarkEnd w:id="1"/>
      <w:bookmarkEnd w:id="2"/>
      <w:r w:rsidRPr="0071546E">
        <w:rPr>
          <w:rFonts w:ascii="Arial" w:hAnsi="Arial" w:cs="Arial"/>
          <w:b/>
          <w:sz w:val="24"/>
          <w:szCs w:val="24"/>
        </w:rPr>
        <w:t xml:space="preserve"> </w:t>
      </w:r>
    </w:p>
    <w:p w:rsidR="00725033" w:rsidRPr="0071546E" w:rsidRDefault="00C639DC" w:rsidP="00C639DC">
      <w:pPr>
        <w:spacing w:after="319" w:line="480" w:lineRule="auto"/>
        <w:ind w:left="1021" w:right="454"/>
        <w:jc w:val="both"/>
        <w:rPr>
          <w:rFonts w:ascii="Arial" w:hAnsi="Arial" w:cs="Arial"/>
          <w:sz w:val="24"/>
          <w:szCs w:val="24"/>
        </w:rPr>
      </w:pPr>
      <w:r w:rsidRPr="0071546E">
        <w:rPr>
          <w:rFonts w:ascii="Arial" w:hAnsi="Arial" w:cs="Arial"/>
          <w:sz w:val="24"/>
          <w:szCs w:val="24"/>
        </w:rPr>
        <w:t>The work in this thesis was perfo</w:t>
      </w:r>
      <w:r w:rsidR="00DD6702" w:rsidRPr="0071546E">
        <w:rPr>
          <w:rFonts w:ascii="Arial" w:hAnsi="Arial" w:cs="Arial"/>
          <w:sz w:val="24"/>
          <w:szCs w:val="24"/>
        </w:rPr>
        <w:t>r</w:t>
      </w:r>
      <w:r w:rsidRPr="0071546E">
        <w:rPr>
          <w:rFonts w:ascii="Arial" w:hAnsi="Arial" w:cs="Arial"/>
          <w:sz w:val="24"/>
          <w:szCs w:val="24"/>
        </w:rPr>
        <w:t xml:space="preserve">med by the author from May 2015- May 2019, under the supervision of Professor Tim Paget and Dr Lewis Bingle in the Faculty of Pharmacy </w:t>
      </w:r>
      <w:r w:rsidR="00261EBF" w:rsidRPr="0071546E">
        <w:rPr>
          <w:rFonts w:ascii="Arial" w:hAnsi="Arial" w:cs="Arial"/>
          <w:sz w:val="24"/>
          <w:szCs w:val="24"/>
        </w:rPr>
        <w:t>H</w:t>
      </w:r>
      <w:r w:rsidRPr="0071546E">
        <w:rPr>
          <w:rFonts w:ascii="Arial" w:hAnsi="Arial" w:cs="Arial"/>
          <w:sz w:val="24"/>
          <w:szCs w:val="24"/>
        </w:rPr>
        <w:t>ealth and Wellbeing University of Sunderland. This thesis has been submitted for a degree of Doctor of Philosophy at the University of Sunderland and has not been submitted in full or part for another degree in any other institution.</w:t>
      </w:r>
    </w:p>
    <w:p w:rsidR="00C639DC" w:rsidRPr="0071546E" w:rsidRDefault="00C639DC" w:rsidP="00CF13FE">
      <w:pPr>
        <w:spacing w:after="319" w:line="480" w:lineRule="auto"/>
        <w:ind w:left="1021" w:right="454"/>
        <w:jc w:val="both"/>
        <w:rPr>
          <w:rFonts w:ascii="Arial" w:hAnsi="Arial" w:cs="Arial"/>
          <w:sz w:val="24"/>
          <w:szCs w:val="24"/>
        </w:rPr>
      </w:pPr>
      <w:r w:rsidRPr="0071546E">
        <w:rPr>
          <w:rFonts w:ascii="Arial" w:hAnsi="Arial" w:cs="Arial"/>
          <w:sz w:val="24"/>
          <w:szCs w:val="24"/>
        </w:rPr>
        <w:t>This thesis may be made available for consultation, photocopying and for use through any other lending libraries.</w:t>
      </w:r>
    </w:p>
    <w:p w:rsidR="00725033" w:rsidRPr="0071546E" w:rsidRDefault="00725033" w:rsidP="00CF13FE">
      <w:pPr>
        <w:spacing w:after="319"/>
        <w:ind w:left="1021" w:right="454"/>
        <w:rPr>
          <w:rFonts w:ascii="Arial" w:hAnsi="Arial" w:cs="Arial"/>
          <w:sz w:val="24"/>
          <w:szCs w:val="24"/>
        </w:rPr>
      </w:pPr>
      <w:r w:rsidRPr="0071546E">
        <w:rPr>
          <w:rFonts w:ascii="Arial" w:hAnsi="Arial" w:cs="Arial"/>
          <w:b/>
          <w:sz w:val="24"/>
          <w:szCs w:val="24"/>
        </w:rPr>
        <w:t>NAME</w:t>
      </w:r>
      <w:r w:rsidRPr="0071546E">
        <w:rPr>
          <w:rFonts w:ascii="Arial" w:hAnsi="Arial" w:cs="Arial"/>
          <w:sz w:val="24"/>
          <w:szCs w:val="24"/>
        </w:rPr>
        <w:t xml:space="preserve">   </w:t>
      </w:r>
      <w:r w:rsidR="006F1273" w:rsidRPr="0071546E">
        <w:rPr>
          <w:rFonts w:ascii="Arial" w:hAnsi="Arial" w:cs="Arial"/>
          <w:sz w:val="24"/>
          <w:szCs w:val="24"/>
        </w:rPr>
        <w:t>AHAMUEFULA CHIDI EREBOSI</w:t>
      </w:r>
    </w:p>
    <w:p w:rsidR="00725033" w:rsidRPr="0071546E" w:rsidRDefault="00C622CC" w:rsidP="00C622CC">
      <w:pPr>
        <w:spacing w:after="456"/>
        <w:ind w:right="454"/>
        <w:rPr>
          <w:rFonts w:ascii="Arial" w:hAnsi="Arial" w:cs="Arial"/>
          <w:sz w:val="24"/>
          <w:szCs w:val="24"/>
        </w:rPr>
      </w:pPr>
      <w:r w:rsidRPr="0071546E">
        <w:rPr>
          <w:rFonts w:ascii="Arial" w:hAnsi="Arial" w:cs="Arial"/>
          <w:b/>
          <w:sz w:val="24"/>
          <w:szCs w:val="24"/>
        </w:rPr>
        <w:t xml:space="preserve">               </w:t>
      </w:r>
      <w:r w:rsidR="00725033" w:rsidRPr="0071546E">
        <w:rPr>
          <w:rFonts w:ascii="Arial" w:hAnsi="Arial" w:cs="Arial"/>
          <w:b/>
          <w:sz w:val="24"/>
          <w:szCs w:val="24"/>
        </w:rPr>
        <w:t>SIGNED</w:t>
      </w:r>
      <w:r w:rsidRPr="0071546E">
        <w:rPr>
          <w:rFonts w:ascii="Arial" w:hAnsi="Arial" w:cs="Arial"/>
          <w:b/>
          <w:sz w:val="24"/>
          <w:szCs w:val="24"/>
        </w:rPr>
        <w:t xml:space="preserve"> ……………………………………….</w:t>
      </w:r>
    </w:p>
    <w:p w:rsidR="00236924" w:rsidRPr="0071546E" w:rsidRDefault="007450AF" w:rsidP="00C622CC">
      <w:pPr>
        <w:spacing w:after="456"/>
        <w:ind w:left="1021" w:right="454"/>
        <w:rPr>
          <w:rFonts w:ascii="Arial" w:hAnsi="Arial" w:cs="Arial"/>
          <w:b/>
          <w:sz w:val="24"/>
          <w:szCs w:val="24"/>
        </w:rPr>
        <w:sectPr w:rsidR="00236924" w:rsidRPr="0071546E" w:rsidSect="001B3C7A">
          <w:footerReference w:type="default" r:id="rId10"/>
          <w:pgSz w:w="11906" w:h="16838"/>
          <w:pgMar w:top="1134" w:right="1134" w:bottom="1134" w:left="1701" w:header="720" w:footer="720" w:gutter="0"/>
          <w:pgNumType w:fmt="lowerRoman" w:start="1"/>
          <w:cols w:space="720"/>
          <w:docGrid w:linePitch="326"/>
        </w:sectPr>
      </w:pPr>
      <w:r w:rsidRPr="0071546E">
        <w:rPr>
          <w:rFonts w:ascii="Arial" w:hAnsi="Arial" w:cs="Arial"/>
          <w:b/>
          <w:sz w:val="24"/>
          <w:szCs w:val="24"/>
        </w:rPr>
        <w:t>DAT</w:t>
      </w:r>
      <w:r w:rsidR="00C622CC" w:rsidRPr="0071546E">
        <w:rPr>
          <w:rFonts w:ascii="Arial" w:hAnsi="Arial" w:cs="Arial"/>
          <w:b/>
          <w:sz w:val="24"/>
          <w:szCs w:val="24"/>
        </w:rPr>
        <w:t>E ….....................................................</w:t>
      </w:r>
    </w:p>
    <w:bookmarkEnd w:id="3"/>
    <w:p w:rsidR="00725033" w:rsidRPr="0071546E" w:rsidRDefault="00725033" w:rsidP="00CF13FE">
      <w:pPr>
        <w:spacing w:line="480" w:lineRule="auto"/>
        <w:ind w:left="1021" w:right="454"/>
        <w:jc w:val="both"/>
        <w:rPr>
          <w:rFonts w:ascii="Arial" w:hAnsi="Arial" w:cs="Arial"/>
          <w:b/>
          <w:bCs/>
          <w:sz w:val="24"/>
          <w:szCs w:val="24"/>
        </w:rPr>
      </w:pPr>
      <w:r w:rsidRPr="0071546E">
        <w:rPr>
          <w:rFonts w:ascii="Arial" w:hAnsi="Arial" w:cs="Arial"/>
          <w:b/>
          <w:bCs/>
          <w:sz w:val="24"/>
          <w:szCs w:val="24"/>
        </w:rPr>
        <w:t>DEDICATION</w:t>
      </w:r>
    </w:p>
    <w:p w:rsidR="00725033" w:rsidRPr="0071546E" w:rsidRDefault="00725033" w:rsidP="00CF13FE">
      <w:pPr>
        <w:spacing w:line="480" w:lineRule="auto"/>
        <w:ind w:left="1021" w:right="454"/>
        <w:jc w:val="both"/>
        <w:rPr>
          <w:rFonts w:ascii="Arial" w:hAnsi="Arial" w:cs="Arial"/>
          <w:sz w:val="24"/>
          <w:szCs w:val="24"/>
        </w:rPr>
      </w:pPr>
      <w:r w:rsidRPr="0071546E">
        <w:rPr>
          <w:rFonts w:ascii="Arial" w:hAnsi="Arial" w:cs="Arial"/>
          <w:sz w:val="24"/>
          <w:szCs w:val="24"/>
        </w:rPr>
        <w:t>This PhD thesis is dedicated to Sir NICHOLAS AHAMUEFULA and Late PROF I .C ACHUMBA for their unending support and believe in the “dream”</w:t>
      </w:r>
    </w:p>
    <w:p w:rsidR="00725033" w:rsidRPr="0071546E" w:rsidRDefault="00725033" w:rsidP="00CF13FE">
      <w:pPr>
        <w:ind w:left="1021" w:right="454"/>
        <w:rPr>
          <w:rFonts w:ascii="Arial" w:hAnsi="Arial" w:cs="Arial"/>
          <w:sz w:val="24"/>
          <w:szCs w:val="24"/>
        </w:rPr>
      </w:pPr>
      <w:r w:rsidRPr="0071546E">
        <w:rPr>
          <w:rFonts w:ascii="Arial" w:hAnsi="Arial" w:cs="Arial"/>
          <w:sz w:val="24"/>
          <w:szCs w:val="24"/>
        </w:rPr>
        <w:br w:type="page"/>
      </w:r>
    </w:p>
    <w:p w:rsidR="00725033" w:rsidRPr="0071546E" w:rsidRDefault="00725033" w:rsidP="00CF13FE">
      <w:pPr>
        <w:pStyle w:val="Heading1"/>
        <w:ind w:left="1021" w:right="454"/>
      </w:pPr>
      <w:bookmarkStart w:id="5" w:name="_Toc557747"/>
      <w:bookmarkStart w:id="6" w:name="_Toc905109"/>
      <w:bookmarkStart w:id="7" w:name="_Toc14711376"/>
      <w:r w:rsidRPr="0071546E">
        <w:t>ACKNOWLEDGEMENTS</w:t>
      </w:r>
      <w:bookmarkEnd w:id="5"/>
      <w:bookmarkEnd w:id="6"/>
      <w:bookmarkEnd w:id="7"/>
    </w:p>
    <w:p w:rsidR="00235068" w:rsidRPr="0071546E" w:rsidRDefault="00235068" w:rsidP="004A421F">
      <w:pPr>
        <w:spacing w:line="480" w:lineRule="auto"/>
        <w:jc w:val="both"/>
        <w:rPr>
          <w:rFonts w:ascii="Arial" w:hAnsi="Arial" w:cs="Arial"/>
          <w:b/>
          <w:sz w:val="24"/>
          <w:szCs w:val="24"/>
        </w:rPr>
      </w:pPr>
      <w:r w:rsidRPr="0071546E">
        <w:rPr>
          <w:rFonts w:ascii="Arial" w:hAnsi="Arial" w:cs="Arial"/>
          <w:sz w:val="24"/>
          <w:szCs w:val="24"/>
        </w:rPr>
        <w:t xml:space="preserve">First, I would like to thank </w:t>
      </w:r>
      <w:r w:rsidRPr="0071546E">
        <w:rPr>
          <w:rFonts w:ascii="Arial" w:hAnsi="Arial" w:cs="Arial"/>
          <w:bCs/>
          <w:sz w:val="24"/>
          <w:szCs w:val="24"/>
        </w:rPr>
        <w:t>God</w:t>
      </w:r>
      <w:r w:rsidRPr="0071546E">
        <w:rPr>
          <w:rFonts w:ascii="Arial" w:hAnsi="Arial" w:cs="Arial"/>
          <w:sz w:val="24"/>
          <w:szCs w:val="24"/>
        </w:rPr>
        <w:t xml:space="preserve"> Almighty for giving me the strength, knowledge, ability and opportunity to undertake this research study and to persevere and complete it satisfactorily.</w:t>
      </w:r>
    </w:p>
    <w:p w:rsidR="00725033" w:rsidRPr="0071546E" w:rsidRDefault="00725033" w:rsidP="004A421F">
      <w:pPr>
        <w:spacing w:line="480" w:lineRule="auto"/>
        <w:jc w:val="both"/>
        <w:rPr>
          <w:rFonts w:ascii="Arial" w:hAnsi="Arial" w:cs="Arial"/>
          <w:sz w:val="24"/>
          <w:szCs w:val="24"/>
        </w:rPr>
      </w:pPr>
      <w:r w:rsidRPr="0071546E">
        <w:rPr>
          <w:rFonts w:ascii="Arial" w:hAnsi="Arial" w:cs="Arial"/>
          <w:sz w:val="24"/>
          <w:szCs w:val="24"/>
        </w:rPr>
        <w:t>My deepest gratitude goes to Professor Tim Paget and Dr Lewis Bingle, who relentlessly guided me through this work and who shared the excite</w:t>
      </w:r>
      <w:r w:rsidR="00942774" w:rsidRPr="0071546E">
        <w:rPr>
          <w:rFonts w:ascii="Arial" w:hAnsi="Arial" w:cs="Arial"/>
          <w:sz w:val="24"/>
          <w:szCs w:val="24"/>
        </w:rPr>
        <w:t>ment of 4 years with these</w:t>
      </w:r>
      <w:r w:rsidRPr="0071546E">
        <w:rPr>
          <w:rFonts w:ascii="Arial" w:hAnsi="Arial" w:cs="Arial"/>
          <w:sz w:val="24"/>
          <w:szCs w:val="24"/>
        </w:rPr>
        <w:t xml:space="preserve"> pathogens </w:t>
      </w:r>
      <w:r w:rsidRPr="0071546E">
        <w:rPr>
          <w:rFonts w:ascii="Arial" w:hAnsi="Arial" w:cs="Arial"/>
          <w:i/>
          <w:sz w:val="24"/>
          <w:szCs w:val="24"/>
        </w:rPr>
        <w:t>“</w:t>
      </w:r>
      <w:r w:rsidR="00432D1D" w:rsidRPr="0071546E">
        <w:rPr>
          <w:rFonts w:ascii="Arial" w:hAnsi="Arial" w:cs="Arial"/>
          <w:i/>
          <w:sz w:val="24"/>
          <w:szCs w:val="24"/>
        </w:rPr>
        <w:t>Acanthamoeba</w:t>
      </w:r>
      <w:r w:rsidRPr="0071546E">
        <w:rPr>
          <w:rFonts w:ascii="Arial" w:hAnsi="Arial" w:cs="Arial"/>
          <w:sz w:val="24"/>
          <w:szCs w:val="24"/>
        </w:rPr>
        <w:t>”</w:t>
      </w:r>
      <w:r w:rsidR="00942774" w:rsidRPr="0071546E">
        <w:rPr>
          <w:rFonts w:ascii="Arial" w:hAnsi="Arial" w:cs="Arial"/>
          <w:sz w:val="24"/>
          <w:szCs w:val="24"/>
        </w:rPr>
        <w:t>.</w:t>
      </w:r>
    </w:p>
    <w:p w:rsidR="00656235" w:rsidRPr="0071546E" w:rsidRDefault="00433054" w:rsidP="004A421F">
      <w:pPr>
        <w:spacing w:line="480" w:lineRule="auto"/>
        <w:jc w:val="both"/>
        <w:rPr>
          <w:rFonts w:ascii="Arial" w:hAnsi="Arial" w:cs="Arial"/>
          <w:sz w:val="24"/>
          <w:szCs w:val="24"/>
        </w:rPr>
      </w:pPr>
      <w:r w:rsidRPr="0071546E">
        <w:rPr>
          <w:rFonts w:ascii="Arial" w:hAnsi="Arial" w:cs="Arial"/>
          <w:sz w:val="24"/>
          <w:szCs w:val="24"/>
        </w:rPr>
        <w:t>I acknowledge</w:t>
      </w:r>
      <w:r w:rsidR="00942774" w:rsidRPr="0071546E">
        <w:rPr>
          <w:rFonts w:ascii="Arial" w:hAnsi="Arial" w:cs="Arial"/>
          <w:sz w:val="24"/>
          <w:szCs w:val="24"/>
        </w:rPr>
        <w:t xml:space="preserve"> and remain gr</w:t>
      </w:r>
      <w:r w:rsidR="008B14FD" w:rsidRPr="0071546E">
        <w:rPr>
          <w:rFonts w:ascii="Arial" w:hAnsi="Arial" w:cs="Arial"/>
          <w:sz w:val="24"/>
          <w:szCs w:val="24"/>
        </w:rPr>
        <w:t>ate</w:t>
      </w:r>
      <w:r w:rsidR="00942774" w:rsidRPr="0071546E">
        <w:rPr>
          <w:rFonts w:ascii="Arial" w:hAnsi="Arial" w:cs="Arial"/>
          <w:sz w:val="24"/>
          <w:szCs w:val="24"/>
        </w:rPr>
        <w:t>ful for</w:t>
      </w:r>
      <w:r w:rsidRPr="0071546E">
        <w:rPr>
          <w:rFonts w:ascii="Arial" w:hAnsi="Arial" w:cs="Arial"/>
          <w:sz w:val="24"/>
          <w:szCs w:val="24"/>
        </w:rPr>
        <w:t xml:space="preserve"> the financial assistance</w:t>
      </w:r>
      <w:r w:rsidR="00656235" w:rsidRPr="0071546E">
        <w:rPr>
          <w:rFonts w:ascii="Arial" w:hAnsi="Arial" w:cs="Arial"/>
          <w:sz w:val="24"/>
          <w:szCs w:val="24"/>
        </w:rPr>
        <w:t xml:space="preserve"> </w:t>
      </w:r>
      <w:r w:rsidRPr="0071546E">
        <w:rPr>
          <w:rFonts w:ascii="Arial" w:hAnsi="Arial" w:cs="Arial"/>
          <w:sz w:val="24"/>
          <w:szCs w:val="24"/>
        </w:rPr>
        <w:t>of Mr</w:t>
      </w:r>
      <w:r w:rsidR="00656235" w:rsidRPr="0071546E">
        <w:rPr>
          <w:rFonts w:ascii="Arial" w:hAnsi="Arial" w:cs="Arial"/>
          <w:sz w:val="24"/>
          <w:szCs w:val="24"/>
        </w:rPr>
        <w:t xml:space="preserve"> Stephen Emerem, Eb</w:t>
      </w:r>
      <w:r w:rsidRPr="0071546E">
        <w:rPr>
          <w:rFonts w:ascii="Arial" w:hAnsi="Arial" w:cs="Arial"/>
          <w:sz w:val="24"/>
          <w:szCs w:val="24"/>
        </w:rPr>
        <w:t>erechukwu Emerem, Oliver Obiukwu, Stephen Ezema, Fidelis Ubeh, Franklin Ngwu, Tokunboh Dokpamu and Okey Lancaster.</w:t>
      </w:r>
    </w:p>
    <w:p w:rsidR="00433054" w:rsidRPr="0071546E" w:rsidRDefault="00235068" w:rsidP="004A421F">
      <w:pPr>
        <w:spacing w:line="480" w:lineRule="auto"/>
        <w:jc w:val="both"/>
        <w:rPr>
          <w:rFonts w:ascii="Arial" w:hAnsi="Arial" w:cs="Arial"/>
          <w:sz w:val="24"/>
          <w:szCs w:val="24"/>
        </w:rPr>
      </w:pPr>
      <w:r w:rsidRPr="0071546E">
        <w:rPr>
          <w:rFonts w:ascii="Arial" w:hAnsi="Arial" w:cs="Arial"/>
          <w:sz w:val="24"/>
          <w:szCs w:val="24"/>
        </w:rPr>
        <w:t xml:space="preserve">To a special colleague turned </w:t>
      </w:r>
      <w:r w:rsidR="008B14FD" w:rsidRPr="0071546E">
        <w:rPr>
          <w:rFonts w:ascii="Arial" w:hAnsi="Arial" w:cs="Arial"/>
          <w:sz w:val="24"/>
          <w:szCs w:val="24"/>
        </w:rPr>
        <w:t>to</w:t>
      </w:r>
      <w:r w:rsidR="00DD6702" w:rsidRPr="0071546E">
        <w:rPr>
          <w:rFonts w:ascii="Arial" w:hAnsi="Arial" w:cs="Arial"/>
          <w:sz w:val="24"/>
          <w:szCs w:val="24"/>
        </w:rPr>
        <w:t xml:space="preserve"> </w:t>
      </w:r>
      <w:r w:rsidRPr="0071546E">
        <w:rPr>
          <w:rFonts w:ascii="Arial" w:hAnsi="Arial" w:cs="Arial"/>
          <w:sz w:val="24"/>
          <w:szCs w:val="24"/>
        </w:rPr>
        <w:t>friend and Brother Mr Wisdom</w:t>
      </w:r>
      <w:r w:rsidR="004904E2" w:rsidRPr="0071546E">
        <w:rPr>
          <w:rFonts w:ascii="Arial" w:hAnsi="Arial" w:cs="Arial"/>
          <w:sz w:val="24"/>
          <w:szCs w:val="24"/>
        </w:rPr>
        <w:t xml:space="preserve"> John Okoye</w:t>
      </w:r>
      <w:r w:rsidRPr="0071546E">
        <w:rPr>
          <w:rFonts w:ascii="Arial" w:hAnsi="Arial" w:cs="Arial"/>
          <w:sz w:val="24"/>
          <w:szCs w:val="24"/>
        </w:rPr>
        <w:t>. Also to Dr Samuel Oyeniyi, Dr Kwawlah Salaman and my able editor in chief Oburuche</w:t>
      </w:r>
      <w:r w:rsidR="00942774" w:rsidRPr="0071546E">
        <w:rPr>
          <w:rFonts w:ascii="Arial" w:hAnsi="Arial" w:cs="Arial"/>
          <w:sz w:val="24"/>
          <w:szCs w:val="24"/>
        </w:rPr>
        <w:t>. I will not forget my able pha</w:t>
      </w:r>
      <w:r w:rsidR="008B14FD" w:rsidRPr="0071546E">
        <w:rPr>
          <w:rFonts w:ascii="Arial" w:hAnsi="Arial" w:cs="Arial"/>
          <w:sz w:val="24"/>
          <w:szCs w:val="24"/>
        </w:rPr>
        <w:t>r</w:t>
      </w:r>
      <w:r w:rsidR="00942774" w:rsidRPr="0071546E">
        <w:rPr>
          <w:rFonts w:ascii="Arial" w:hAnsi="Arial" w:cs="Arial"/>
          <w:sz w:val="24"/>
          <w:szCs w:val="24"/>
        </w:rPr>
        <w:t>macist</w:t>
      </w:r>
      <w:r w:rsidR="00B54C88" w:rsidRPr="0071546E">
        <w:rPr>
          <w:rFonts w:ascii="Arial" w:hAnsi="Arial" w:cs="Arial"/>
          <w:sz w:val="24"/>
          <w:szCs w:val="24"/>
        </w:rPr>
        <w:t xml:space="preserve"> </w:t>
      </w:r>
      <w:r w:rsidR="00942774" w:rsidRPr="0071546E">
        <w:rPr>
          <w:rFonts w:ascii="Arial" w:hAnsi="Arial" w:cs="Arial"/>
          <w:sz w:val="24"/>
          <w:szCs w:val="24"/>
        </w:rPr>
        <w:t>and closest</w:t>
      </w:r>
      <w:r w:rsidR="00B54C88" w:rsidRPr="0071546E">
        <w:rPr>
          <w:rFonts w:ascii="Arial" w:hAnsi="Arial" w:cs="Arial"/>
          <w:sz w:val="24"/>
          <w:szCs w:val="24"/>
        </w:rPr>
        <w:t xml:space="preserve"> friend Emma.</w:t>
      </w:r>
      <w:r w:rsidRPr="0071546E">
        <w:rPr>
          <w:rFonts w:ascii="Arial" w:hAnsi="Arial" w:cs="Arial"/>
          <w:sz w:val="24"/>
          <w:szCs w:val="24"/>
        </w:rPr>
        <w:t xml:space="preserve"> </w:t>
      </w:r>
    </w:p>
    <w:p w:rsidR="00656235" w:rsidRPr="0071546E" w:rsidRDefault="00CE3DE2" w:rsidP="004A421F">
      <w:pPr>
        <w:spacing w:line="480" w:lineRule="auto"/>
        <w:jc w:val="both"/>
        <w:rPr>
          <w:rFonts w:ascii="Arial" w:hAnsi="Arial" w:cs="Arial"/>
          <w:sz w:val="24"/>
          <w:szCs w:val="24"/>
        </w:rPr>
      </w:pPr>
      <w:r w:rsidRPr="0071546E">
        <w:rPr>
          <w:rFonts w:ascii="Arial" w:hAnsi="Arial" w:cs="Arial"/>
          <w:sz w:val="24"/>
          <w:szCs w:val="24"/>
        </w:rPr>
        <w:t xml:space="preserve">Gratitude to </w:t>
      </w:r>
      <w:r w:rsidR="00725033" w:rsidRPr="0071546E">
        <w:rPr>
          <w:rFonts w:ascii="Arial" w:hAnsi="Arial" w:cs="Arial"/>
          <w:sz w:val="24"/>
          <w:szCs w:val="24"/>
        </w:rPr>
        <w:t>the</w:t>
      </w:r>
      <w:r w:rsidRPr="0071546E">
        <w:rPr>
          <w:rFonts w:ascii="Arial" w:hAnsi="Arial" w:cs="Arial"/>
          <w:sz w:val="24"/>
          <w:szCs w:val="24"/>
        </w:rPr>
        <w:t xml:space="preserve"> tireless</w:t>
      </w:r>
      <w:r w:rsidR="00725033" w:rsidRPr="0071546E">
        <w:rPr>
          <w:rFonts w:ascii="Arial" w:hAnsi="Arial" w:cs="Arial"/>
          <w:sz w:val="24"/>
          <w:szCs w:val="24"/>
        </w:rPr>
        <w:t xml:space="preserve"> technicians in the</w:t>
      </w:r>
      <w:r w:rsidR="003E4F22" w:rsidRPr="0071546E">
        <w:rPr>
          <w:rFonts w:ascii="Arial" w:hAnsi="Arial" w:cs="Arial"/>
          <w:sz w:val="24"/>
          <w:szCs w:val="24"/>
        </w:rPr>
        <w:t xml:space="preserve"> University of Sunderland microbiology </w:t>
      </w:r>
      <w:r w:rsidR="00725033" w:rsidRPr="0071546E">
        <w:rPr>
          <w:rFonts w:ascii="Arial" w:hAnsi="Arial" w:cs="Arial"/>
          <w:sz w:val="24"/>
          <w:szCs w:val="24"/>
        </w:rPr>
        <w:t>lab. Linda</w:t>
      </w:r>
      <w:r w:rsidRPr="0071546E">
        <w:rPr>
          <w:rFonts w:ascii="Arial" w:hAnsi="Arial" w:cs="Arial"/>
          <w:sz w:val="24"/>
          <w:szCs w:val="24"/>
        </w:rPr>
        <w:t xml:space="preserve"> Henry</w:t>
      </w:r>
      <w:r w:rsidR="00725033" w:rsidRPr="0071546E">
        <w:rPr>
          <w:rFonts w:ascii="Arial" w:hAnsi="Arial" w:cs="Arial"/>
          <w:sz w:val="24"/>
          <w:szCs w:val="24"/>
        </w:rPr>
        <w:t xml:space="preserve"> and Kayleigh</w:t>
      </w:r>
      <w:r w:rsidR="00656235" w:rsidRPr="0071546E">
        <w:rPr>
          <w:rFonts w:ascii="Arial" w:hAnsi="Arial" w:cs="Arial"/>
          <w:sz w:val="24"/>
          <w:szCs w:val="24"/>
        </w:rPr>
        <w:t xml:space="preserve"> Ironside, for their constant help and assistance around the lab.</w:t>
      </w:r>
      <w:r w:rsidR="00725033" w:rsidRPr="0071546E">
        <w:rPr>
          <w:rFonts w:ascii="Arial" w:hAnsi="Arial" w:cs="Arial"/>
          <w:sz w:val="24"/>
          <w:szCs w:val="24"/>
        </w:rPr>
        <w:t xml:space="preserve"> </w:t>
      </w:r>
    </w:p>
    <w:p w:rsidR="00725033" w:rsidRPr="0071546E" w:rsidRDefault="00725033" w:rsidP="004A421F">
      <w:pPr>
        <w:spacing w:line="480" w:lineRule="auto"/>
        <w:jc w:val="both"/>
        <w:rPr>
          <w:rFonts w:ascii="Arial" w:hAnsi="Arial" w:cs="Arial"/>
          <w:sz w:val="24"/>
          <w:szCs w:val="24"/>
        </w:rPr>
      </w:pPr>
      <w:r w:rsidRPr="0071546E">
        <w:rPr>
          <w:rFonts w:ascii="Arial" w:hAnsi="Arial" w:cs="Arial"/>
          <w:sz w:val="24"/>
          <w:szCs w:val="24"/>
        </w:rPr>
        <w:t>I acknowledge and appreciate the assistance of Mrs Ann Lowry Microscopy Suite Manager and Technician Faculty of Science and the Environment University of Hull</w:t>
      </w:r>
    </w:p>
    <w:p w:rsidR="00725033" w:rsidRPr="0071546E" w:rsidRDefault="00725033" w:rsidP="004A421F">
      <w:pPr>
        <w:spacing w:line="480" w:lineRule="auto"/>
        <w:jc w:val="both"/>
        <w:rPr>
          <w:rFonts w:ascii="Arial" w:hAnsi="Arial" w:cs="Arial"/>
          <w:sz w:val="24"/>
          <w:szCs w:val="24"/>
        </w:rPr>
      </w:pPr>
      <w:r w:rsidRPr="0071546E">
        <w:rPr>
          <w:rFonts w:ascii="Arial" w:hAnsi="Arial" w:cs="Arial"/>
          <w:sz w:val="24"/>
          <w:szCs w:val="24"/>
        </w:rPr>
        <w:t>Above ground, I am indebted to my family</w:t>
      </w:r>
      <w:r w:rsidR="00235068" w:rsidRPr="0071546E">
        <w:rPr>
          <w:rFonts w:ascii="Arial" w:hAnsi="Arial" w:cs="Arial"/>
          <w:sz w:val="24"/>
          <w:szCs w:val="24"/>
        </w:rPr>
        <w:t xml:space="preserve"> </w:t>
      </w:r>
      <w:r w:rsidR="001349FE" w:rsidRPr="0071546E">
        <w:rPr>
          <w:rFonts w:ascii="Arial" w:hAnsi="Arial" w:cs="Arial"/>
          <w:sz w:val="24"/>
          <w:szCs w:val="24"/>
        </w:rPr>
        <w:t>L</w:t>
      </w:r>
      <w:r w:rsidR="00235068" w:rsidRPr="0071546E">
        <w:rPr>
          <w:rFonts w:ascii="Arial" w:hAnsi="Arial" w:cs="Arial"/>
          <w:sz w:val="24"/>
          <w:szCs w:val="24"/>
        </w:rPr>
        <w:t>ady Abigail Ahamuefula</w:t>
      </w:r>
      <w:r w:rsidR="00675534" w:rsidRPr="0071546E">
        <w:rPr>
          <w:rFonts w:ascii="Arial" w:hAnsi="Arial" w:cs="Arial"/>
          <w:sz w:val="24"/>
          <w:szCs w:val="24"/>
        </w:rPr>
        <w:t xml:space="preserve"> Ugomma</w:t>
      </w:r>
      <w:r w:rsidR="00656235" w:rsidRPr="0071546E">
        <w:rPr>
          <w:rFonts w:ascii="Arial" w:hAnsi="Arial" w:cs="Arial"/>
          <w:sz w:val="24"/>
          <w:szCs w:val="24"/>
        </w:rPr>
        <w:t xml:space="preserve"> Mbanali</w:t>
      </w:r>
      <w:r w:rsidR="00675534" w:rsidRPr="0071546E">
        <w:rPr>
          <w:rFonts w:ascii="Arial" w:hAnsi="Arial" w:cs="Arial"/>
          <w:sz w:val="24"/>
          <w:szCs w:val="24"/>
        </w:rPr>
        <w:t>, Ugonna</w:t>
      </w:r>
      <w:r w:rsidR="00656235" w:rsidRPr="0071546E">
        <w:rPr>
          <w:rFonts w:ascii="Arial" w:hAnsi="Arial" w:cs="Arial"/>
          <w:sz w:val="24"/>
          <w:szCs w:val="24"/>
        </w:rPr>
        <w:t xml:space="preserve"> Ahamuefula</w:t>
      </w:r>
      <w:r w:rsidR="00675534" w:rsidRPr="0071546E">
        <w:rPr>
          <w:rFonts w:ascii="Arial" w:hAnsi="Arial" w:cs="Arial"/>
          <w:sz w:val="24"/>
          <w:szCs w:val="24"/>
        </w:rPr>
        <w:t>, Chiamaka</w:t>
      </w:r>
      <w:r w:rsidR="00656235" w:rsidRPr="0071546E">
        <w:rPr>
          <w:rFonts w:ascii="Arial" w:hAnsi="Arial" w:cs="Arial"/>
          <w:sz w:val="24"/>
          <w:szCs w:val="24"/>
        </w:rPr>
        <w:t xml:space="preserve"> Ahamuefula</w:t>
      </w:r>
      <w:r w:rsidR="00675534" w:rsidRPr="0071546E">
        <w:rPr>
          <w:rFonts w:ascii="Arial" w:hAnsi="Arial" w:cs="Arial"/>
          <w:sz w:val="24"/>
          <w:szCs w:val="24"/>
        </w:rPr>
        <w:t xml:space="preserve"> and Chigozie</w:t>
      </w:r>
      <w:r w:rsidR="00656235" w:rsidRPr="0071546E">
        <w:rPr>
          <w:rFonts w:ascii="Arial" w:hAnsi="Arial" w:cs="Arial"/>
          <w:sz w:val="24"/>
          <w:szCs w:val="24"/>
        </w:rPr>
        <w:t xml:space="preserve"> Ahamuefula</w:t>
      </w:r>
      <w:r w:rsidRPr="0071546E">
        <w:rPr>
          <w:rFonts w:ascii="Arial" w:hAnsi="Arial" w:cs="Arial"/>
          <w:sz w:val="24"/>
          <w:szCs w:val="24"/>
        </w:rPr>
        <w:t>, whose value to me only grows with age.</w:t>
      </w:r>
    </w:p>
    <w:p w:rsidR="004A421F" w:rsidRPr="0071546E" w:rsidRDefault="004A421F" w:rsidP="004A421F">
      <w:pPr>
        <w:spacing w:line="480" w:lineRule="auto"/>
        <w:ind w:right="454"/>
        <w:jc w:val="both"/>
        <w:rPr>
          <w:rFonts w:ascii="Arial" w:hAnsi="Arial" w:cs="Arial"/>
          <w:sz w:val="24"/>
          <w:szCs w:val="24"/>
        </w:rPr>
      </w:pPr>
    </w:p>
    <w:p w:rsidR="004A421F" w:rsidRPr="0071546E" w:rsidRDefault="004A421F" w:rsidP="00656235">
      <w:pPr>
        <w:spacing w:line="480" w:lineRule="auto"/>
        <w:ind w:left="1021" w:right="454"/>
        <w:jc w:val="both"/>
        <w:rPr>
          <w:rFonts w:ascii="Arial" w:hAnsi="Arial" w:cs="Arial"/>
          <w:sz w:val="24"/>
          <w:szCs w:val="24"/>
        </w:rPr>
      </w:pPr>
    </w:p>
    <w:tbl>
      <w:tblPr>
        <w:tblStyle w:val="PlainTable2"/>
        <w:tblW w:w="0" w:type="auto"/>
        <w:tblLook w:val="04A0" w:firstRow="1" w:lastRow="0" w:firstColumn="1" w:lastColumn="0" w:noHBand="0" w:noVBand="1"/>
      </w:tblPr>
      <w:tblGrid>
        <w:gridCol w:w="3349"/>
        <w:gridCol w:w="5580"/>
      </w:tblGrid>
      <w:tr w:rsidR="00225130" w:rsidRPr="0071546E" w:rsidTr="00225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nil"/>
              <w:left w:val="nil"/>
              <w:bottom w:val="nil"/>
              <w:right w:val="nil"/>
            </w:tcBorders>
          </w:tcPr>
          <w:p w:rsidR="00225130" w:rsidRPr="0071546E" w:rsidRDefault="00225130" w:rsidP="004A421F">
            <w:pPr>
              <w:pStyle w:val="Heading1"/>
              <w:outlineLvl w:val="0"/>
              <w:rPr>
                <w:b/>
              </w:rPr>
            </w:pPr>
            <w:r w:rsidRPr="0071546E">
              <w:t xml:space="preserve">                     </w:t>
            </w:r>
            <w:bookmarkStart w:id="8" w:name="_Toc14711377"/>
            <w:r w:rsidRPr="0071546E">
              <w:rPr>
                <w:b/>
              </w:rPr>
              <w:t>LIST OF ABBREVIATIONS</w:t>
            </w:r>
            <w:bookmarkEnd w:id="8"/>
          </w:p>
          <w:p w:rsidR="00225130" w:rsidRPr="0071546E" w:rsidRDefault="00225130" w:rsidP="00225130">
            <w:pPr>
              <w:spacing w:line="480" w:lineRule="auto"/>
              <w:ind w:left="1021" w:right="1418"/>
              <w:rPr>
                <w:rFonts w:ascii="Arial" w:hAnsi="Arial" w:cs="Arial"/>
                <w:b w:val="0"/>
                <w:sz w:val="24"/>
                <w:szCs w:val="24"/>
              </w:rPr>
            </w:pPr>
          </w:p>
        </w:tc>
      </w:tr>
      <w:tr w:rsidR="00225130" w:rsidRPr="0071546E" w:rsidTr="00225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ATP</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546E">
              <w:rPr>
                <w:rFonts w:ascii="Arial" w:hAnsi="Arial" w:cs="Arial"/>
                <w:sz w:val="24"/>
                <w:szCs w:val="24"/>
              </w:rPr>
              <w:t>Adenosine triphosphate</w:t>
            </w:r>
          </w:p>
        </w:tc>
      </w:tr>
      <w:tr w:rsidR="00225130" w:rsidRPr="0071546E" w:rsidTr="00225130">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EDTA</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1546E">
              <w:rPr>
                <w:rFonts w:ascii="Arial" w:hAnsi="Arial" w:cs="Arial"/>
                <w:sz w:val="24"/>
                <w:szCs w:val="24"/>
              </w:rPr>
              <w:t>Ethylene diamine tetraacetic acid</w:t>
            </w:r>
          </w:p>
        </w:tc>
      </w:tr>
      <w:tr w:rsidR="00225130" w:rsidRPr="0071546E" w:rsidTr="00225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FDA</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546E">
              <w:rPr>
                <w:rFonts w:ascii="Arial" w:hAnsi="Arial" w:cs="Arial"/>
                <w:sz w:val="24"/>
                <w:szCs w:val="24"/>
              </w:rPr>
              <w:t>Fluorescein diacetate</w:t>
            </w:r>
          </w:p>
        </w:tc>
      </w:tr>
      <w:tr w:rsidR="00225130" w:rsidRPr="0071546E" w:rsidTr="00225130">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GAE</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1546E">
              <w:rPr>
                <w:rFonts w:ascii="Arial" w:hAnsi="Arial" w:cs="Arial"/>
                <w:sz w:val="24"/>
                <w:szCs w:val="24"/>
              </w:rPr>
              <w:t>Granulomatous Amoebic Encephalitis</w:t>
            </w:r>
          </w:p>
        </w:tc>
      </w:tr>
      <w:tr w:rsidR="00225130" w:rsidRPr="0071546E" w:rsidTr="00225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HEWL</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546E">
              <w:rPr>
                <w:rFonts w:ascii="Arial" w:hAnsi="Arial" w:cs="Arial"/>
                <w:sz w:val="24"/>
                <w:szCs w:val="24"/>
              </w:rPr>
              <w:t>Hens egg white lysozyme</w:t>
            </w:r>
          </w:p>
        </w:tc>
      </w:tr>
      <w:tr w:rsidR="00225130" w:rsidRPr="0071546E" w:rsidTr="00225130">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LED</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1546E">
              <w:rPr>
                <w:rFonts w:ascii="Arial" w:hAnsi="Arial" w:cs="Arial"/>
                <w:sz w:val="24"/>
                <w:szCs w:val="24"/>
              </w:rPr>
              <w:t>Light-emitting diode</w:t>
            </w:r>
          </w:p>
        </w:tc>
      </w:tr>
      <w:tr w:rsidR="00225130" w:rsidRPr="0071546E" w:rsidTr="00225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MBP</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546E">
              <w:rPr>
                <w:rFonts w:ascii="Arial" w:hAnsi="Arial" w:cs="Arial"/>
                <w:sz w:val="24"/>
                <w:szCs w:val="24"/>
              </w:rPr>
              <w:t>Mannose-binding protein</w:t>
            </w:r>
          </w:p>
        </w:tc>
      </w:tr>
      <w:tr w:rsidR="00225130" w:rsidRPr="0071546E" w:rsidTr="00225130">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MDA</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1546E">
              <w:rPr>
                <w:rFonts w:ascii="Arial" w:hAnsi="Arial" w:cs="Arial"/>
                <w:sz w:val="24"/>
                <w:szCs w:val="24"/>
              </w:rPr>
              <w:t>Malone aldehyde</w:t>
            </w:r>
          </w:p>
        </w:tc>
      </w:tr>
      <w:tr w:rsidR="00225130" w:rsidRPr="0071546E" w:rsidTr="00225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MTT</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546E">
              <w:rPr>
                <w:rFonts w:ascii="Arial" w:hAnsi="Arial" w:cs="Arial"/>
                <w:sz w:val="24"/>
                <w:szCs w:val="24"/>
              </w:rPr>
              <w:t>Methyl thiazole tetrazolium</w:t>
            </w:r>
          </w:p>
        </w:tc>
      </w:tr>
      <w:tr w:rsidR="00225130" w:rsidRPr="0071546E" w:rsidTr="00225130">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PCR</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1546E">
              <w:rPr>
                <w:rFonts w:ascii="Arial" w:hAnsi="Arial" w:cs="Arial"/>
                <w:sz w:val="24"/>
                <w:szCs w:val="24"/>
              </w:rPr>
              <w:t>Polymerase chain reaction</w:t>
            </w:r>
          </w:p>
        </w:tc>
      </w:tr>
      <w:tr w:rsidR="00225130" w:rsidRPr="0071546E" w:rsidTr="00225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aPDT</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546E">
              <w:rPr>
                <w:rFonts w:ascii="Arial" w:hAnsi="Arial" w:cs="Arial"/>
                <w:sz w:val="24"/>
                <w:szCs w:val="24"/>
              </w:rPr>
              <w:t>Polymerase chain reaction</w:t>
            </w:r>
          </w:p>
        </w:tc>
      </w:tr>
      <w:tr w:rsidR="00225130" w:rsidRPr="0071546E" w:rsidTr="00225130">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PDT</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1546E">
              <w:rPr>
                <w:rFonts w:ascii="Arial" w:hAnsi="Arial" w:cs="Arial"/>
                <w:sz w:val="24"/>
                <w:szCs w:val="24"/>
              </w:rPr>
              <w:t>Photodynamic therapy</w:t>
            </w:r>
          </w:p>
        </w:tc>
      </w:tr>
      <w:tr w:rsidR="00225130" w:rsidRPr="0071546E" w:rsidTr="00225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PHMB</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546E">
              <w:rPr>
                <w:rFonts w:ascii="Arial" w:eastAsia="Times New Roman" w:hAnsi="Arial" w:cs="Arial"/>
                <w:sz w:val="24"/>
                <w:szCs w:val="24"/>
              </w:rPr>
              <w:t>Polyhexamethylene biguanide</w:t>
            </w:r>
          </w:p>
        </w:tc>
      </w:tr>
      <w:tr w:rsidR="00225130" w:rsidRPr="0071546E" w:rsidTr="00225130">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PVP</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1546E">
              <w:rPr>
                <w:rFonts w:ascii="Arial" w:hAnsi="Arial" w:cs="Arial"/>
                <w:sz w:val="24"/>
                <w:szCs w:val="24"/>
              </w:rPr>
              <w:t>Polyvinyl pyrrolidone</w:t>
            </w:r>
          </w:p>
        </w:tc>
      </w:tr>
      <w:tr w:rsidR="00225130" w:rsidRPr="0071546E" w:rsidTr="00225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RFU</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546E">
              <w:rPr>
                <w:rFonts w:ascii="Arial" w:hAnsi="Arial" w:cs="Arial"/>
                <w:sz w:val="24"/>
                <w:szCs w:val="24"/>
              </w:rPr>
              <w:t>Relative fluorescence unit</w:t>
            </w:r>
          </w:p>
        </w:tc>
      </w:tr>
      <w:tr w:rsidR="00225130" w:rsidRPr="0071546E" w:rsidTr="00225130">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RLU</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1546E">
              <w:rPr>
                <w:rFonts w:ascii="Arial" w:eastAsiaTheme="majorEastAsia" w:hAnsi="Arial" w:cs="Arial"/>
                <w:sz w:val="24"/>
                <w:szCs w:val="24"/>
              </w:rPr>
              <w:t>Relative light unit</w:t>
            </w:r>
          </w:p>
        </w:tc>
      </w:tr>
      <w:tr w:rsidR="00225130" w:rsidRPr="0071546E" w:rsidTr="00225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il"/>
              <w:left w:val="nil"/>
              <w:bottom w:val="nil"/>
              <w:right w:val="nil"/>
            </w:tcBorders>
            <w:hideMark/>
          </w:tcPr>
          <w:p w:rsidR="00225130" w:rsidRPr="0071546E" w:rsidRDefault="00225130" w:rsidP="00225130">
            <w:pPr>
              <w:spacing w:line="480" w:lineRule="auto"/>
              <w:ind w:left="1021" w:right="1418"/>
              <w:rPr>
                <w:rFonts w:ascii="Arial" w:hAnsi="Arial" w:cs="Arial"/>
                <w:b w:val="0"/>
                <w:sz w:val="24"/>
                <w:szCs w:val="24"/>
              </w:rPr>
            </w:pPr>
            <w:r w:rsidRPr="0071546E">
              <w:rPr>
                <w:rFonts w:ascii="Arial" w:hAnsi="Arial" w:cs="Arial"/>
                <w:b w:val="0"/>
                <w:sz w:val="24"/>
                <w:szCs w:val="24"/>
              </w:rPr>
              <w:t>ROS</w:t>
            </w:r>
          </w:p>
        </w:tc>
        <w:tc>
          <w:tcPr>
            <w:tcW w:w="7320" w:type="dxa"/>
            <w:tcBorders>
              <w:top w:val="nil"/>
              <w:left w:val="nil"/>
              <w:bottom w:val="nil"/>
              <w:right w:val="nil"/>
            </w:tcBorders>
            <w:hideMark/>
          </w:tcPr>
          <w:p w:rsidR="00225130" w:rsidRPr="0071546E" w:rsidRDefault="00225130" w:rsidP="00225130">
            <w:pPr>
              <w:spacing w:line="480" w:lineRule="auto"/>
              <w:ind w:left="1021" w:right="14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1546E">
              <w:rPr>
                <w:rFonts w:ascii="Arial" w:eastAsiaTheme="majorEastAsia" w:hAnsi="Arial" w:cs="Arial"/>
                <w:sz w:val="24"/>
                <w:szCs w:val="24"/>
              </w:rPr>
              <w:t>Reactive oxygen species</w:t>
            </w:r>
          </w:p>
        </w:tc>
      </w:tr>
    </w:tbl>
    <w:p w:rsidR="00225130" w:rsidRPr="0071546E" w:rsidRDefault="00225130" w:rsidP="00225130">
      <w:pPr>
        <w:ind w:right="454"/>
        <w:rPr>
          <w:rFonts w:ascii="Arial" w:eastAsia="Calibri" w:hAnsi="Arial" w:cs="Arial"/>
          <w:sz w:val="24"/>
          <w:szCs w:val="24"/>
        </w:rPr>
      </w:pPr>
    </w:p>
    <w:p w:rsidR="00225130" w:rsidRPr="0071546E" w:rsidRDefault="00225130" w:rsidP="00CF13FE">
      <w:pPr>
        <w:ind w:left="1021" w:right="454"/>
        <w:rPr>
          <w:rFonts w:ascii="Arial" w:eastAsia="Calibri" w:hAnsi="Arial" w:cs="Arial"/>
          <w:sz w:val="24"/>
          <w:szCs w:val="24"/>
        </w:rPr>
      </w:pPr>
    </w:p>
    <w:p w:rsidR="00E06426" w:rsidRPr="0071546E" w:rsidRDefault="00FA59D3" w:rsidP="00CF13FE">
      <w:pPr>
        <w:ind w:left="1021" w:right="454"/>
        <w:rPr>
          <w:rFonts w:ascii="Arial" w:eastAsia="Calibri" w:hAnsi="Arial" w:cs="Arial"/>
          <w:sz w:val="24"/>
          <w:szCs w:val="24"/>
        </w:rPr>
      </w:pPr>
      <w:r w:rsidRPr="0071546E">
        <w:rPr>
          <w:rFonts w:ascii="Arial" w:eastAsia="Calibri" w:hAnsi="Arial" w:cs="Arial"/>
          <w:b/>
          <w:noProof/>
          <w:sz w:val="24"/>
          <w:szCs w:val="24"/>
          <w:lang w:eastAsia="en-GB"/>
        </w:rPr>
        <mc:AlternateContent>
          <mc:Choice Requires="wps">
            <w:drawing>
              <wp:anchor distT="0" distB="0" distL="114300" distR="114300" simplePos="0" relativeHeight="251729920" behindDoc="0" locked="0" layoutInCell="1" allowOverlap="1">
                <wp:simplePos x="0" y="0"/>
                <wp:positionH relativeFrom="margin">
                  <wp:posOffset>13063</wp:posOffset>
                </wp:positionH>
                <wp:positionV relativeFrom="paragraph">
                  <wp:posOffset>248194</wp:posOffset>
                </wp:positionV>
                <wp:extent cx="2324826" cy="352697"/>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24826" cy="3526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7A14" w:rsidRPr="00FA59D3" w:rsidRDefault="00A87A14">
                            <w:pPr>
                              <w:rPr>
                                <w:rFonts w:ascii="Arial" w:hAnsi="Arial" w:cs="Arial"/>
                                <w:caps/>
                                <w:color w:val="FFFFFF" w:themeColor="background1"/>
                                <w:sz w:val="24"/>
                              </w:rPr>
                            </w:pPr>
                            <w:r w:rsidRPr="00FA59D3">
                              <w:rPr>
                                <w:rFonts w:ascii="Arial" w:hAnsi="Arial" w:cs="Arial"/>
                                <w:caps/>
                                <w:color w:val="FFFFFF" w:themeColor="background1"/>
                                <w:sz w:val="24"/>
                              </w:rPr>
                              <w:t>List of figures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0" o:spid="_x0000_s1032" type="#_x0000_t202" style="position:absolute;left:0;text-align:left;margin-left:1.05pt;margin-top:19.55pt;width:183.05pt;height:27.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" filled="f" stroked="f" strokeweight=".5pt">
                <v:textbox>
                  <w:txbxContent>
                    <w:p w:rsidR="00A87A14" w:rsidRPr="00FA59D3" w:rsidRDefault="00A87A14">
                      <w:pPr>
                        <w:rPr>
                          <w:rFonts w:ascii="Arial" w:hAnsi="Arial" w:cs="Arial"/>
                          <w:caps/>
                          <w:color w:val="FFFFFF" w:themeColor="background1"/>
                          <w:sz w:val="24"/>
                        </w:rPr>
                      </w:pPr>
                      <w:r w:rsidRPr="00FA59D3">
                        <w:rPr>
                          <w:rFonts w:ascii="Arial" w:hAnsi="Arial" w:cs="Arial"/>
                          <w:caps/>
                          <w:color w:val="FFFFFF" w:themeColor="background1"/>
                          <w:sz w:val="24"/>
                        </w:rPr>
                        <w:t>List of figures</w:t>
                      </w:r>
                    </w:p>
                  </w:txbxContent>
                </v:textbox>
                <w10:wrap anchorx="margin"/>
              </v:shape>
            </w:pict>
          </mc:Fallback>
        </mc:AlternateContent>
      </w:r>
      <w:r w:rsidRPr="0071546E">
        <w:rPr>
          <w:rFonts w:ascii="Arial" w:eastAsia="Calibri" w:hAnsi="Arial" w:cs="Arial"/>
          <w:noProof/>
          <w:sz w:val="24"/>
          <w:szCs w:val="24"/>
          <w:lang w:eastAsia="en-GB"/>
        </w:rPr>
        <mc:AlternateContent>
          <mc:Choice Requires="wps">
            <w:drawing>
              <wp:anchor distT="0" distB="0" distL="114300" distR="114300" simplePos="0" relativeHeight="251728896" behindDoc="0" locked="0" layoutInCell="1" allowOverlap="1">
                <wp:simplePos x="0" y="0"/>
                <wp:positionH relativeFrom="margin">
                  <wp:align>right</wp:align>
                </wp:positionH>
                <wp:positionV relativeFrom="paragraph">
                  <wp:posOffset>222068</wp:posOffset>
                </wp:positionV>
                <wp:extent cx="5734141" cy="313509"/>
                <wp:effectExtent l="0" t="0" r="0" b="0"/>
                <wp:wrapNone/>
                <wp:docPr id="59" name="Rectangle 59"/>
                <wp:cNvGraphicFramePr/>
                <a:graphic xmlns:a="http://schemas.openxmlformats.org/drawingml/2006/main">
                  <a:graphicData uri="http://schemas.microsoft.com/office/word/2010/wordprocessingShape">
                    <wps:wsp>
                      <wps:cNvSpPr/>
                      <wps:spPr>
                        <a:xfrm>
                          <a:off x="0" y="0"/>
                          <a:ext cx="5734141" cy="313509"/>
                        </a:xfrm>
                        <a:prstGeom prst="rect">
                          <a:avLst/>
                        </a:prstGeom>
                        <a:solidFill>
                          <a:schemeClr val="accent1">
                            <a:lumMod val="60000"/>
                            <a:lumOff val="40000"/>
                          </a:scheme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4871A1" id="Rectangle 59" o:spid="_x0000_s1026" style="position:absolute;margin-left:400.3pt;margin-top:17.5pt;width:451.5pt;height:24.7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" fillcolor="#9cc2e5 [1940]" stroked="f" strokeweight=".5pt">
                <w10:wrap anchorx="margin"/>
              </v:rect>
            </w:pict>
          </mc:Fallback>
        </mc:AlternateContent>
      </w:r>
    </w:p>
    <w:p w:rsidR="00E06426" w:rsidRPr="0071546E" w:rsidRDefault="00E06426" w:rsidP="00CF13FE">
      <w:pPr>
        <w:spacing w:line="360" w:lineRule="auto"/>
        <w:rPr>
          <w:rFonts w:ascii="Arial" w:eastAsia="Calibri" w:hAnsi="Arial" w:cs="Arial"/>
          <w:b/>
          <w:sz w:val="24"/>
          <w:szCs w:val="24"/>
        </w:rPr>
      </w:pPr>
      <w:r w:rsidRPr="0071546E">
        <w:rPr>
          <w:rFonts w:ascii="Arial" w:eastAsia="Calibri" w:hAnsi="Arial" w:cs="Arial"/>
          <w:b/>
          <w:sz w:val="24"/>
          <w:szCs w:val="24"/>
        </w:rPr>
        <w:t>List of Figures                                                                                                     Page</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 xml:space="preserve">Figure 1.1 published studies in </w:t>
      </w:r>
      <w:r w:rsidR="00291AF1" w:rsidRPr="0071546E">
        <w:rPr>
          <w:rFonts w:ascii="Arial" w:eastAsia="Calibri" w:hAnsi="Arial" w:cs="Arial"/>
        </w:rPr>
        <w:t xml:space="preserve">the </w:t>
      </w:r>
      <w:r w:rsidRPr="0071546E">
        <w:rPr>
          <w:rFonts w:ascii="Arial" w:eastAsia="Calibri" w:hAnsi="Arial" w:cs="Arial"/>
        </w:rPr>
        <w:t xml:space="preserve">PubMed database on </w:t>
      </w:r>
      <w:r w:rsidR="00064AC1" w:rsidRPr="0071546E">
        <w:rPr>
          <w:rFonts w:ascii="Arial" w:eastAsia="Calibri" w:hAnsi="Arial" w:cs="Arial"/>
          <w:i/>
        </w:rPr>
        <w:t>Acanthamoeba ………………</w:t>
      </w:r>
      <w:r w:rsidRPr="0071546E">
        <w:rPr>
          <w:rFonts w:ascii="Arial" w:eastAsia="Calibri" w:hAnsi="Arial" w:cs="Arial"/>
          <w:i/>
        </w:rPr>
        <w:t>…</w:t>
      </w:r>
      <w:r w:rsidRPr="0071546E">
        <w:rPr>
          <w:rFonts w:ascii="Arial" w:eastAsia="Calibri" w:hAnsi="Arial" w:cs="Arial"/>
        </w:rPr>
        <w:t>...4</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 xml:space="preserve">Figure 1.2 Scanning electron microscope image of </w:t>
      </w:r>
      <w:r w:rsidR="00291AF1" w:rsidRPr="0071546E">
        <w:rPr>
          <w:rFonts w:ascii="Arial" w:eastAsia="Calibri" w:hAnsi="Arial" w:cs="Arial"/>
        </w:rPr>
        <w:t>A</w:t>
      </w:r>
      <w:r w:rsidRPr="0071546E">
        <w:rPr>
          <w:rFonts w:ascii="Arial" w:eastAsia="Calibri" w:hAnsi="Arial" w:cs="Arial"/>
        </w:rPr>
        <w:t>canthamoeba cyst and trophozoite……5</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 xml:space="preserve">Figure 1.3 Life cycle and pathogenesis of </w:t>
      </w:r>
      <w:r w:rsidRPr="0071546E">
        <w:rPr>
          <w:rFonts w:ascii="Arial" w:eastAsia="Calibri" w:hAnsi="Arial" w:cs="Arial"/>
          <w:i/>
        </w:rPr>
        <w:t>Acanthamoeba spp</w:t>
      </w:r>
      <w:r w:rsidRPr="0071546E">
        <w:rPr>
          <w:rFonts w:ascii="Arial" w:eastAsia="Calibri" w:hAnsi="Arial" w:cs="Arial"/>
        </w:rPr>
        <w:t>………………………………….5</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 xml:space="preserve">Figure 1.4 </w:t>
      </w:r>
      <w:r w:rsidRPr="0071546E">
        <w:rPr>
          <w:rFonts w:ascii="Arial" w:eastAsia="Calibri" w:hAnsi="Arial" w:cs="Arial"/>
          <w:i/>
        </w:rPr>
        <w:t>Acanthamoeba</w:t>
      </w:r>
      <w:r w:rsidRPr="0071546E">
        <w:rPr>
          <w:rFonts w:ascii="Arial" w:eastAsia="Calibri" w:hAnsi="Arial" w:cs="Arial"/>
        </w:rPr>
        <w:t xml:space="preserve"> infected eye vs normal eye ………………………………………… 7</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1.5 Anatomy of the human cornea………………………………………………………..11</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1.6 Pathogenic cascade of Acanthamoeba keratitis…………………………………. . 14</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1.7 different electronic state of electrons showing their spin directions………………20</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1.8 Schematic representation of the photodynamic process…………………………..21</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 xml:space="preserve">Figure 1.9 mechanism of </w:t>
      </w:r>
      <w:r w:rsidR="00291AF1" w:rsidRPr="0071546E">
        <w:rPr>
          <w:rFonts w:ascii="Arial" w:eastAsia="Calibri" w:hAnsi="Arial" w:cs="Arial"/>
        </w:rPr>
        <w:t xml:space="preserve">the </w:t>
      </w:r>
      <w:r w:rsidRPr="0071546E">
        <w:rPr>
          <w:rFonts w:ascii="Arial" w:eastAsia="Calibri" w:hAnsi="Arial" w:cs="Arial"/>
        </w:rPr>
        <w:t>free radical fix by anti-oxidants.……………</w:t>
      </w:r>
      <w:r w:rsidR="00064AC1" w:rsidRPr="0071546E">
        <w:rPr>
          <w:rFonts w:ascii="Arial" w:eastAsia="Calibri" w:hAnsi="Arial" w:cs="Arial"/>
        </w:rPr>
        <w:t>…… ………</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24</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1.10 Electron transport chain………………………………………………………… ….25</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1.11 Chemical structure of toluidine and methylene blue……………………………..34</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1.12 Photosensitizers used in photodynamic therapy …………………………………35</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1.13A Structure of 5, 10, 15, 20-Tetraphenyl-21H, and 23H-porphine ………………38</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1.13 B Structure of 4, 4′, 4′′, 4′′′-(porphine-5, 10, 15, 20-tetrayl) tetrakis (benzene sulfonic acid) tetra sodium salt hydrate [TPPS4]………………………… …………………….38</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1.13 C Structure of 4,4’,4”,4’”-( Porphine-5,10,15,20-tetrayl)tetrakis( benzoic acid). Synonym: meso-tetraphenyl</w:t>
      </w:r>
      <w:r w:rsidR="00291AF1" w:rsidRPr="0071546E">
        <w:rPr>
          <w:rFonts w:ascii="Arial" w:eastAsia="Calibri" w:hAnsi="Arial" w:cs="Arial"/>
        </w:rPr>
        <w:t xml:space="preserve"> por</w:t>
      </w:r>
      <w:r w:rsidRPr="0071546E">
        <w:rPr>
          <w:rFonts w:ascii="Arial" w:eastAsia="Calibri" w:hAnsi="Arial" w:cs="Arial"/>
        </w:rPr>
        <w:t>phine-4, 4, 4, 4- tetra carboxylic acid………………………39</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1.13 D Structure of 5, 10, 15, 20- tetrakis (1-methyl-4-pyridinio) porphyrin tetra (p- toluene sulfonate). Synonym; meso-tetra (n-methyl-4-pyridyl) porphine tetratosylate salt…39</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1.14 Different spectrum of visible light and the</w:t>
      </w:r>
      <w:r w:rsidR="00291AF1" w:rsidRPr="0071546E">
        <w:rPr>
          <w:rFonts w:ascii="Arial" w:eastAsia="Calibri" w:hAnsi="Arial" w:cs="Arial"/>
        </w:rPr>
        <w:t>ir</w:t>
      </w:r>
      <w:r w:rsidRPr="0071546E">
        <w:rPr>
          <w:rFonts w:ascii="Arial" w:eastAsia="Calibri" w:hAnsi="Arial" w:cs="Arial"/>
        </w:rPr>
        <w:t xml:space="preserve"> wavelengths………………………..43</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1.15 MTT assay reaction ………………………………………………………………….47</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1.16 Hydrolysis of fluorescein diacetate to fluorescein by mitochondria enzyme……48</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1.17 Hydrolysis of resazurin to fluorescent resorufin……………………………………49</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1.18 Adenosine triphosphate assay reaction pathway………………………………….51</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1.19 Structure of povidone</w:t>
      </w:r>
      <w:r w:rsidR="00291AF1" w:rsidRPr="0071546E">
        <w:rPr>
          <w:rFonts w:ascii="Arial" w:eastAsia="Calibri" w:hAnsi="Arial" w:cs="Arial"/>
        </w:rPr>
        <w:t>-</w:t>
      </w:r>
      <w:r w:rsidRPr="0071546E">
        <w:rPr>
          <w:rFonts w:ascii="Arial" w:eastAsia="Calibri" w:hAnsi="Arial" w:cs="Arial"/>
        </w:rPr>
        <w:t>iodine complex………………………</w:t>
      </w:r>
      <w:r w:rsidR="00064AC1" w:rsidRPr="0071546E">
        <w:rPr>
          <w:rFonts w:ascii="Arial" w:eastAsia="Calibri" w:hAnsi="Arial" w:cs="Arial"/>
        </w:rPr>
        <w:t>……………</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56</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1.20 Structure of caspofungin……………………………………………………………. 58</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1.21 Chemical structure of Amphotericin B………………………………………………59</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1.22 Chemical structure</w:t>
      </w:r>
      <w:r w:rsidR="00064AC1" w:rsidRPr="0071546E">
        <w:rPr>
          <w:rFonts w:ascii="Arial" w:eastAsia="Calibri" w:hAnsi="Arial" w:cs="Arial"/>
        </w:rPr>
        <w:t xml:space="preserve"> of miltefosine…………………………………………</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61</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2.1 Sample injection point of a haemocytometer………………………………………..75</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2.2 General process for Acanthamoe</w:t>
      </w:r>
      <w:r w:rsidR="00064AC1" w:rsidRPr="0071546E">
        <w:rPr>
          <w:rFonts w:ascii="Arial" w:eastAsia="Calibri" w:hAnsi="Arial" w:cs="Arial"/>
        </w:rPr>
        <w:t>ba photodynamic therapy …………………</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82</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2.3 diagram of a flat-bottom 96 well plate showing cell count protocol……………….84</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2.4 A Structure of porphyrins used for photodynamic therapy……………………….</w:t>
      </w:r>
      <w:r w:rsidR="0007356A" w:rsidRPr="0071546E">
        <w:rPr>
          <w:rFonts w:ascii="Arial" w:eastAsia="Calibri" w:hAnsi="Arial" w:cs="Arial"/>
        </w:rPr>
        <w:t>.</w:t>
      </w:r>
      <w:r w:rsidRPr="0071546E">
        <w:rPr>
          <w:rFonts w:ascii="Arial" w:eastAsia="Calibri" w:hAnsi="Arial" w:cs="Arial"/>
        </w:rPr>
        <w:t>86</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2.4 B Microplate layout for porphyrin uptake assay…………………………………….86</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2.5 Microplate setup for all PDT assay…………………………………………………..88</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2.6 Photo showing red light photodynamic therapy…………………………………….89</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2.7 digital lux meter ………………………………………………………………………..89</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 xml:space="preserve">Figure 3.1 </w:t>
      </w:r>
      <w:r w:rsidRPr="0071546E">
        <w:rPr>
          <w:rFonts w:ascii="Arial" w:eastAsia="Calibri" w:hAnsi="Arial" w:cs="Arial"/>
          <w:i/>
        </w:rPr>
        <w:t>Acanthamoeba</w:t>
      </w:r>
      <w:r w:rsidRPr="0071546E">
        <w:rPr>
          <w:rFonts w:ascii="Arial" w:eastAsia="Calibri" w:hAnsi="Arial" w:cs="Arial"/>
        </w:rPr>
        <w:t xml:space="preserve"> growth curve…………………………………………………………93</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3.2 Percentage cyst chat from growth curve…………………………………………….93</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 xml:space="preserve">Figure 3.3 Gel electrophoresis of five </w:t>
      </w:r>
      <w:r w:rsidRPr="0071546E">
        <w:rPr>
          <w:rFonts w:ascii="Arial" w:eastAsia="Calibri" w:hAnsi="Arial" w:cs="Arial"/>
          <w:i/>
        </w:rPr>
        <w:t>Acanthamoeba</w:t>
      </w:r>
      <w:r w:rsidRPr="0071546E">
        <w:rPr>
          <w:rFonts w:ascii="Arial" w:eastAsia="Calibri" w:hAnsi="Arial" w:cs="Arial"/>
        </w:rPr>
        <w:t xml:space="preserve"> isolates………………………………..95</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 xml:space="preserve">Figure 3.4 Multiple sequence alignment of </w:t>
      </w:r>
      <w:r w:rsidRPr="0071546E">
        <w:rPr>
          <w:rFonts w:ascii="Arial" w:eastAsia="Calibri" w:hAnsi="Arial" w:cs="Arial"/>
          <w:i/>
        </w:rPr>
        <w:t>Acanthamoeba</w:t>
      </w:r>
      <w:r w:rsidRPr="0071546E">
        <w:rPr>
          <w:rFonts w:ascii="Arial" w:eastAsia="Calibri" w:hAnsi="Arial" w:cs="Arial"/>
        </w:rPr>
        <w:t xml:space="preserve"> DF3 fragment…………………..96</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3.5 Dendrogram of Acanthamoeba isolate</w:t>
      </w:r>
      <w:r w:rsidR="00291AF1" w:rsidRPr="0071546E">
        <w:rPr>
          <w:rFonts w:ascii="Arial" w:eastAsia="Calibri" w:hAnsi="Arial" w:cs="Arial"/>
        </w:rPr>
        <w:t>s</w:t>
      </w:r>
      <w:r w:rsidRPr="0071546E">
        <w:rPr>
          <w:rFonts w:ascii="Arial" w:eastAsia="Calibri" w:hAnsi="Arial" w:cs="Arial"/>
        </w:rPr>
        <w:t>……………………………………………..97</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3.6 Resazurin standard curve ……………………………………………………………98</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 xml:space="preserve">Figure 3.7 Fluorescein diacetate concentration curve with </w:t>
      </w:r>
      <w:r w:rsidRPr="0071546E">
        <w:rPr>
          <w:rFonts w:ascii="Arial" w:eastAsia="Calibri" w:hAnsi="Arial" w:cs="Arial"/>
          <w:i/>
        </w:rPr>
        <w:t>Acanthamoeba</w:t>
      </w:r>
      <w:r w:rsidRPr="0071546E">
        <w:rPr>
          <w:rFonts w:ascii="Arial" w:eastAsia="Calibri" w:hAnsi="Arial" w:cs="Arial"/>
        </w:rPr>
        <w:t xml:space="preserve"> trophozoites…..99</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3.8 Inhibition of trophozoites with different concentration of hydrogen peroxide……100</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3.9 Fluorescein diacetate c</w:t>
      </w:r>
      <w:r w:rsidR="00064AC1" w:rsidRPr="0071546E">
        <w:rPr>
          <w:rFonts w:ascii="Arial" w:eastAsia="Calibri" w:hAnsi="Arial" w:cs="Arial"/>
        </w:rPr>
        <w:t>ell concentration curve cysts……</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101</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 xml:space="preserve">Figure 3.10 Toluidine blue PDT on </w:t>
      </w:r>
      <w:r w:rsidRPr="0071546E">
        <w:rPr>
          <w:rFonts w:ascii="Arial" w:eastAsia="Calibri" w:hAnsi="Arial" w:cs="Arial"/>
          <w:i/>
        </w:rPr>
        <w:t xml:space="preserve">Acanthamoeba </w:t>
      </w:r>
      <w:r w:rsidR="00064AC1" w:rsidRPr="0071546E">
        <w:rPr>
          <w:rFonts w:ascii="Arial" w:eastAsia="Calibri" w:hAnsi="Arial" w:cs="Arial"/>
        </w:rPr>
        <w:t>trophozoites……………</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102</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 xml:space="preserve">Figure 3.11 ATP </w:t>
      </w:r>
      <w:r w:rsidR="00064AC1" w:rsidRPr="0071546E">
        <w:rPr>
          <w:rFonts w:ascii="Arial" w:eastAsia="Calibri" w:hAnsi="Arial" w:cs="Arial"/>
        </w:rPr>
        <w:t>concentration curve………………………………</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104</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3.12 Comparison of diffe</w:t>
      </w:r>
      <w:r w:rsidR="00064AC1" w:rsidRPr="0071546E">
        <w:rPr>
          <w:rFonts w:ascii="Arial" w:eastAsia="Calibri" w:hAnsi="Arial" w:cs="Arial"/>
        </w:rPr>
        <w:t>rent lysis methods ………………………………</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105</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 xml:space="preserve">Figure 3.13 Percentage lysis of </w:t>
      </w:r>
      <w:r w:rsidRPr="0071546E">
        <w:rPr>
          <w:rFonts w:ascii="Arial" w:eastAsia="Calibri" w:hAnsi="Arial" w:cs="Arial"/>
          <w:i/>
        </w:rPr>
        <w:t>Acanthamoeba</w:t>
      </w:r>
      <w:r w:rsidRPr="0071546E">
        <w:rPr>
          <w:rFonts w:ascii="Arial" w:eastAsia="Calibri" w:hAnsi="Arial" w:cs="Arial"/>
        </w:rPr>
        <w:t xml:space="preserve"> cysts after incubation with lysozyme……..106</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 xml:space="preserve">Figure 3.14 TEM image of Lysozyme degradation of </w:t>
      </w:r>
      <w:r w:rsidRPr="0071546E">
        <w:rPr>
          <w:rFonts w:ascii="Arial" w:eastAsia="Calibri" w:hAnsi="Arial" w:cs="Arial"/>
          <w:i/>
        </w:rPr>
        <w:t>Acanthamoeba</w:t>
      </w:r>
      <w:r w:rsidR="00064AC1" w:rsidRPr="0071546E">
        <w:rPr>
          <w:rFonts w:ascii="Arial" w:eastAsia="Calibri" w:hAnsi="Arial" w:cs="Arial"/>
        </w:rPr>
        <w:t xml:space="preserve"> cysts…………</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107</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3.15 Acanthamoeba cell concentration curve</w:t>
      </w:r>
      <w:r w:rsidR="001413C6" w:rsidRPr="0071546E">
        <w:rPr>
          <w:rFonts w:ascii="Arial" w:eastAsia="Calibri" w:hAnsi="Arial" w:cs="Arial"/>
        </w:rPr>
        <w:t xml:space="preserve"> </w:t>
      </w:r>
      <w:r w:rsidR="0007356A" w:rsidRPr="0071546E">
        <w:rPr>
          <w:rFonts w:ascii="Arial" w:eastAsia="Calibri" w:hAnsi="Arial" w:cs="Arial"/>
        </w:rPr>
        <w:t>……………………………………</w:t>
      </w:r>
      <w:r w:rsidRPr="0071546E">
        <w:rPr>
          <w:rFonts w:ascii="Arial" w:eastAsia="Calibri" w:hAnsi="Arial" w:cs="Arial"/>
        </w:rPr>
        <w:t>...</w:t>
      </w:r>
      <w:r w:rsidR="0007356A" w:rsidRPr="0071546E">
        <w:rPr>
          <w:rFonts w:ascii="Arial" w:eastAsia="Calibri" w:hAnsi="Arial" w:cs="Arial"/>
        </w:rPr>
        <w:t xml:space="preserve"> . 108</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3.16 Stability of ATP and lucifera</w:t>
      </w:r>
      <w:r w:rsidR="00064AC1" w:rsidRPr="0071546E">
        <w:rPr>
          <w:rFonts w:ascii="Arial" w:eastAsia="Calibri" w:hAnsi="Arial" w:cs="Arial"/>
        </w:rPr>
        <w:t>se enzyme after storage……………………</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109</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3.17 Effect of PBS on luciferase enzyme</w:t>
      </w:r>
      <w:r w:rsidR="001413C6" w:rsidRPr="0071546E">
        <w:rPr>
          <w:rFonts w:ascii="Arial" w:eastAsia="Calibri" w:hAnsi="Arial" w:cs="Arial"/>
        </w:rPr>
        <w:t xml:space="preserve"> </w:t>
      </w:r>
      <w:r w:rsidR="00064AC1" w:rsidRPr="0071546E">
        <w:rPr>
          <w:rFonts w:ascii="Arial" w:eastAsia="Calibri" w:hAnsi="Arial" w:cs="Arial"/>
        </w:rPr>
        <w:t>……………</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110</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 xml:space="preserve">Figure 3.18 Amphotericin </w:t>
      </w:r>
      <w:r w:rsidR="00064AC1" w:rsidRPr="0071546E">
        <w:rPr>
          <w:rFonts w:ascii="Arial" w:eastAsia="Calibri" w:hAnsi="Arial" w:cs="Arial"/>
        </w:rPr>
        <w:t>B drug assay…………………………………………………</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112</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3.19 Miltefosi</w:t>
      </w:r>
      <w:r w:rsidR="00064AC1" w:rsidRPr="0071546E">
        <w:rPr>
          <w:rFonts w:ascii="Arial" w:eastAsia="Calibri" w:hAnsi="Arial" w:cs="Arial"/>
        </w:rPr>
        <w:t>ne drug assay………………………………………………</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113</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3.20 Povidone iodi</w:t>
      </w:r>
      <w:r w:rsidR="00064AC1" w:rsidRPr="0071546E">
        <w:rPr>
          <w:rFonts w:ascii="Arial" w:eastAsia="Calibri" w:hAnsi="Arial" w:cs="Arial"/>
        </w:rPr>
        <w:t>ne drug assay………………………………………………</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114</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3.21 Caspofun</w:t>
      </w:r>
      <w:r w:rsidR="00064AC1" w:rsidRPr="0071546E">
        <w:rPr>
          <w:rFonts w:ascii="Arial" w:eastAsia="Calibri" w:hAnsi="Arial" w:cs="Arial"/>
        </w:rPr>
        <w:t>gin drug assay…………………………………………</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115</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3.22 Porphyrin excitation an</w:t>
      </w:r>
      <w:r w:rsidR="00064AC1" w:rsidRPr="0071546E">
        <w:rPr>
          <w:rFonts w:ascii="Arial" w:eastAsia="Calibri" w:hAnsi="Arial" w:cs="Arial"/>
        </w:rPr>
        <w:t>d emission spectrum………………………………</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118</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3.23 Porphyrin cal</w:t>
      </w:r>
      <w:r w:rsidR="00064AC1" w:rsidRPr="0071546E">
        <w:rPr>
          <w:rFonts w:ascii="Arial" w:eastAsia="Calibri" w:hAnsi="Arial" w:cs="Arial"/>
        </w:rPr>
        <w:t>ibration curve……………………………………………</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118</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3.24 Uptake of porphyrin</w:t>
      </w:r>
      <w:r w:rsidR="00064AC1" w:rsidRPr="0071546E">
        <w:rPr>
          <w:rFonts w:ascii="Arial" w:eastAsia="Calibri" w:hAnsi="Arial" w:cs="Arial"/>
        </w:rPr>
        <w:t xml:space="preserve"> after incubation……………………………………</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120</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3.25 Binding of 5, 10, 15, 20-tetrakis (1-methyl-4-pyridino) porphyrin tetra (P-toluene sulfon</w:t>
      </w:r>
      <w:r w:rsidR="00064AC1" w:rsidRPr="0071546E">
        <w:rPr>
          <w:rFonts w:ascii="Arial" w:eastAsia="Calibri" w:hAnsi="Arial" w:cs="Arial"/>
        </w:rPr>
        <w:t>ate) ……………………………………………………………………</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121</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 xml:space="preserve">Figure 3.26 Binding of 5, 10, 15, 20- tetrakis (pentafluorophenyl)-21H, 23H-porphine Iron (III) chloride to </w:t>
      </w:r>
      <w:r w:rsidRPr="0071546E">
        <w:rPr>
          <w:rFonts w:ascii="Arial" w:eastAsia="Calibri" w:hAnsi="Arial" w:cs="Arial"/>
          <w:i/>
        </w:rPr>
        <w:t>Acanthamoeba</w:t>
      </w:r>
      <w:r w:rsidRPr="0071546E">
        <w:rPr>
          <w:rFonts w:ascii="Arial" w:eastAsia="Calibri" w:hAnsi="Arial" w:cs="Arial"/>
        </w:rPr>
        <w:t xml:space="preserve"> cells a</w:t>
      </w:r>
      <w:r w:rsidR="00064AC1" w:rsidRPr="0071546E">
        <w:rPr>
          <w:rFonts w:ascii="Arial" w:eastAsia="Calibri" w:hAnsi="Arial" w:cs="Arial"/>
        </w:rPr>
        <w:t>fter incubation…………………………………………</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122</w:t>
      </w:r>
    </w:p>
    <w:p w:rsidR="00E06426" w:rsidRPr="0071546E" w:rsidRDefault="00E06426" w:rsidP="0007356A">
      <w:pPr>
        <w:spacing w:line="240" w:lineRule="auto"/>
        <w:jc w:val="both"/>
        <w:rPr>
          <w:rFonts w:ascii="Arial" w:eastAsia="Calibri" w:hAnsi="Arial" w:cs="Arial"/>
        </w:rPr>
      </w:pPr>
      <w:r w:rsidRPr="0071546E">
        <w:rPr>
          <w:rFonts w:ascii="Arial" w:eastAsia="Calibri" w:hAnsi="Arial" w:cs="Arial"/>
        </w:rPr>
        <w:t>Figure 3.27 Binding of 5, 10, 15, 20-Tetrakis (4-me</w:t>
      </w:r>
      <w:r w:rsidR="00064AC1" w:rsidRPr="0071546E">
        <w:rPr>
          <w:rFonts w:ascii="Arial" w:eastAsia="Calibri" w:hAnsi="Arial" w:cs="Arial"/>
        </w:rPr>
        <w:t>thyl phenyl)-21H23H porphine………</w:t>
      </w:r>
      <w:r w:rsidRPr="0071546E">
        <w:rPr>
          <w:rFonts w:ascii="Arial" w:eastAsia="Calibri" w:hAnsi="Arial" w:cs="Arial"/>
        </w:rPr>
        <w:t>123</w:t>
      </w:r>
    </w:p>
    <w:p w:rsidR="00E06426" w:rsidRPr="0071546E" w:rsidRDefault="00E06426" w:rsidP="0007356A">
      <w:pPr>
        <w:spacing w:line="360" w:lineRule="auto"/>
        <w:jc w:val="both"/>
        <w:rPr>
          <w:rFonts w:ascii="Arial" w:eastAsia="Calibri" w:hAnsi="Arial" w:cs="Arial"/>
        </w:rPr>
      </w:pPr>
      <w:r w:rsidRPr="0071546E">
        <w:rPr>
          <w:rFonts w:ascii="Arial" w:eastAsia="Calibri" w:hAnsi="Arial" w:cs="Arial"/>
        </w:rPr>
        <w:t>Figure 3.28 Binding of 4, 4′, 4′′, 4′′′-(porphine-5, 10, 15, 20-tetrayl) tetrakis (benzene sulfonic acid) tetra</w:t>
      </w:r>
      <w:r w:rsidR="00064AC1" w:rsidRPr="0071546E">
        <w:rPr>
          <w:rFonts w:ascii="Arial" w:eastAsia="Calibri" w:hAnsi="Arial" w:cs="Arial"/>
        </w:rPr>
        <w:t>sodium salt hydrate……………………</w:t>
      </w:r>
      <w:r w:rsidRPr="0071546E">
        <w:rPr>
          <w:rFonts w:ascii="Arial" w:eastAsia="Calibri" w:hAnsi="Arial" w:cs="Arial"/>
        </w:rPr>
        <w:t>………………………………………………124</w:t>
      </w:r>
    </w:p>
    <w:p w:rsidR="00E06426" w:rsidRPr="0071546E" w:rsidRDefault="00E06426" w:rsidP="0007356A">
      <w:pPr>
        <w:spacing w:line="360" w:lineRule="auto"/>
        <w:jc w:val="both"/>
        <w:rPr>
          <w:rFonts w:ascii="Arial" w:eastAsia="Calibri" w:hAnsi="Arial" w:cs="Arial"/>
        </w:rPr>
      </w:pPr>
      <w:r w:rsidRPr="0071546E">
        <w:rPr>
          <w:rFonts w:ascii="Arial" w:eastAsia="Calibri" w:hAnsi="Arial" w:cs="Arial"/>
        </w:rPr>
        <w:t>Figure 3.29 Trophozoite PDT with 4,4′,4′′,4′′′-(porphine-5,10,15,20-tetrayl) tetrakis (benzenesulfonic acid) tetrasodi</w:t>
      </w:r>
      <w:r w:rsidR="00064AC1" w:rsidRPr="0071546E">
        <w:rPr>
          <w:rFonts w:ascii="Arial" w:eastAsia="Calibri" w:hAnsi="Arial" w:cs="Arial"/>
        </w:rPr>
        <w:t>um salt hydrate…………………………………………</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125</w:t>
      </w:r>
    </w:p>
    <w:p w:rsidR="00E06426" w:rsidRPr="0071546E" w:rsidRDefault="00E06426" w:rsidP="0007356A">
      <w:pPr>
        <w:spacing w:line="360" w:lineRule="auto"/>
        <w:jc w:val="both"/>
        <w:rPr>
          <w:rFonts w:ascii="Arial" w:eastAsia="Calibri" w:hAnsi="Arial" w:cs="Arial"/>
        </w:rPr>
      </w:pPr>
      <w:r w:rsidRPr="0071546E">
        <w:rPr>
          <w:rFonts w:ascii="Arial" w:eastAsia="Calibri" w:hAnsi="Arial" w:cs="Arial"/>
        </w:rPr>
        <w:t>Figure 3.30 Cyst PDT with 4,4′,4′′,4′′′-(porphine-5,10,15,20-tetrayl) tetrakis (benzenesulfonic acid) tetrasod</w:t>
      </w:r>
      <w:r w:rsidR="00064AC1" w:rsidRPr="0071546E">
        <w:rPr>
          <w:rFonts w:ascii="Arial" w:eastAsia="Calibri" w:hAnsi="Arial" w:cs="Arial"/>
        </w:rPr>
        <w:t>ium salt hydrate………………………………………</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126</w:t>
      </w:r>
    </w:p>
    <w:p w:rsidR="00E06426" w:rsidRPr="0071546E" w:rsidRDefault="00E06426" w:rsidP="0007356A">
      <w:pPr>
        <w:spacing w:line="360" w:lineRule="auto"/>
        <w:jc w:val="both"/>
        <w:rPr>
          <w:rFonts w:ascii="Arial" w:eastAsia="Calibri" w:hAnsi="Arial" w:cs="Arial"/>
        </w:rPr>
      </w:pPr>
      <w:r w:rsidRPr="0071546E">
        <w:rPr>
          <w:rFonts w:ascii="Arial" w:eastAsia="Calibri" w:hAnsi="Arial" w:cs="Arial"/>
        </w:rPr>
        <w:t>Figure 3.31 Trophozoite PDT with 5, 10, 15, 20-tetrakis (1-methyl-4-pyridino) porphyrin tetra (P-t</w:t>
      </w:r>
      <w:r w:rsidR="00064AC1" w:rsidRPr="0071546E">
        <w:rPr>
          <w:rFonts w:ascii="Arial" w:eastAsia="Calibri" w:hAnsi="Arial" w:cs="Arial"/>
        </w:rPr>
        <w:t>oluene sulfonate)……………………………………</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127</w:t>
      </w:r>
    </w:p>
    <w:p w:rsidR="00E06426" w:rsidRPr="0071546E" w:rsidRDefault="00E06426" w:rsidP="0007356A">
      <w:pPr>
        <w:spacing w:line="360" w:lineRule="auto"/>
        <w:jc w:val="both"/>
        <w:rPr>
          <w:rFonts w:ascii="Arial" w:eastAsia="Calibri" w:hAnsi="Arial" w:cs="Arial"/>
        </w:rPr>
      </w:pPr>
      <w:r w:rsidRPr="0071546E">
        <w:rPr>
          <w:rFonts w:ascii="Arial" w:eastAsia="Calibri" w:hAnsi="Arial" w:cs="Arial"/>
        </w:rPr>
        <w:t>Figure 3.32 Cysts PDT with 5, 10, 15, 20-tetrakis (1-methyl-4-pyridino) porphyrin tetra (P-t</w:t>
      </w:r>
      <w:r w:rsidR="00064AC1" w:rsidRPr="0071546E">
        <w:rPr>
          <w:rFonts w:ascii="Arial" w:eastAsia="Calibri" w:hAnsi="Arial" w:cs="Arial"/>
        </w:rPr>
        <w:t>oluene sulfonate)……………………………………</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128</w:t>
      </w:r>
    </w:p>
    <w:p w:rsidR="00E06426" w:rsidRPr="0071546E" w:rsidRDefault="00E06426" w:rsidP="0007356A">
      <w:pPr>
        <w:spacing w:line="360" w:lineRule="auto"/>
        <w:jc w:val="both"/>
        <w:rPr>
          <w:rFonts w:ascii="Arial" w:eastAsia="Calibri" w:hAnsi="Arial" w:cs="Arial"/>
        </w:rPr>
      </w:pPr>
      <w:r w:rsidRPr="0071546E">
        <w:rPr>
          <w:rFonts w:ascii="Arial" w:eastAsia="Calibri" w:hAnsi="Arial" w:cs="Arial"/>
        </w:rPr>
        <w:t>Figure 3.33 Trophozoite PDT with 5, 10, 15, 20- tetrakis (pentafluorophenyl)-21H, 23H-porphine Iron (III) chlori</w:t>
      </w:r>
      <w:r w:rsidR="00064AC1" w:rsidRPr="0071546E">
        <w:rPr>
          <w:rFonts w:ascii="Arial" w:eastAsia="Calibri" w:hAnsi="Arial" w:cs="Arial"/>
        </w:rPr>
        <w:t>de………………………………………</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129</w:t>
      </w:r>
    </w:p>
    <w:p w:rsidR="00E06426" w:rsidRPr="0071546E" w:rsidRDefault="00E06426" w:rsidP="0007356A">
      <w:pPr>
        <w:spacing w:line="360" w:lineRule="auto"/>
        <w:jc w:val="both"/>
        <w:rPr>
          <w:rFonts w:ascii="Arial" w:eastAsia="Calibri" w:hAnsi="Arial" w:cs="Arial"/>
        </w:rPr>
      </w:pPr>
      <w:r w:rsidRPr="0071546E">
        <w:rPr>
          <w:rFonts w:ascii="Arial" w:eastAsia="Calibri" w:hAnsi="Arial" w:cs="Arial"/>
        </w:rPr>
        <w:t>Figure 3.34 Cyst PDT with 5, 10, 15, 20- tetrakis (pentafluorophenyl)-21H, 23H-porphine Ir</w:t>
      </w:r>
      <w:r w:rsidR="00064AC1" w:rsidRPr="0071546E">
        <w:rPr>
          <w:rFonts w:ascii="Arial" w:eastAsia="Calibri" w:hAnsi="Arial" w:cs="Arial"/>
        </w:rPr>
        <w:t>on (III) chloride……………………………………</w:t>
      </w:r>
      <w:r w:rsidRPr="0071546E">
        <w:rPr>
          <w:rFonts w:ascii="Arial" w:eastAsia="Calibri" w:hAnsi="Arial" w:cs="Arial"/>
        </w:rPr>
        <w:t>…………………………………………………</w:t>
      </w:r>
      <w:r w:rsidR="0007356A" w:rsidRPr="0071546E">
        <w:rPr>
          <w:rFonts w:ascii="Arial" w:eastAsia="Calibri" w:hAnsi="Arial" w:cs="Arial"/>
        </w:rPr>
        <w:t>..</w:t>
      </w:r>
      <w:r w:rsidRPr="0071546E">
        <w:rPr>
          <w:rFonts w:ascii="Arial" w:eastAsia="Calibri" w:hAnsi="Arial" w:cs="Arial"/>
        </w:rPr>
        <w:t>130</w:t>
      </w:r>
    </w:p>
    <w:p w:rsidR="00E06426" w:rsidRPr="0071546E" w:rsidRDefault="00E06426" w:rsidP="0007356A">
      <w:pPr>
        <w:spacing w:line="360" w:lineRule="auto"/>
        <w:jc w:val="both"/>
        <w:rPr>
          <w:rFonts w:ascii="Arial" w:eastAsia="Calibri" w:hAnsi="Arial" w:cs="Arial"/>
        </w:rPr>
      </w:pPr>
      <w:r w:rsidRPr="0071546E">
        <w:rPr>
          <w:rFonts w:ascii="Arial" w:eastAsia="Calibri" w:hAnsi="Arial" w:cs="Arial"/>
        </w:rPr>
        <w:t>Figure 3.35 Trophozoite PDT with 5, 10, 15, 20-Tetrakis (4-methyl phenyl)-21H23H p</w:t>
      </w:r>
      <w:r w:rsidR="00064AC1" w:rsidRPr="0071546E">
        <w:rPr>
          <w:rFonts w:ascii="Arial" w:eastAsia="Calibri" w:hAnsi="Arial" w:cs="Arial"/>
        </w:rPr>
        <w:t>orphine……………………………………………………………………………………………</w:t>
      </w:r>
      <w:r w:rsidRPr="0071546E">
        <w:rPr>
          <w:rFonts w:ascii="Arial" w:eastAsia="Calibri" w:hAnsi="Arial" w:cs="Arial"/>
        </w:rPr>
        <w:t>131</w:t>
      </w:r>
    </w:p>
    <w:p w:rsidR="00E06426" w:rsidRPr="0071546E" w:rsidRDefault="00E06426" w:rsidP="0007356A">
      <w:pPr>
        <w:spacing w:line="360" w:lineRule="auto"/>
        <w:jc w:val="both"/>
        <w:rPr>
          <w:rFonts w:ascii="Arial" w:eastAsia="Calibri" w:hAnsi="Arial" w:cs="Arial"/>
        </w:rPr>
      </w:pPr>
      <w:r w:rsidRPr="0071546E">
        <w:rPr>
          <w:rFonts w:ascii="Arial" w:eastAsia="Calibri" w:hAnsi="Arial" w:cs="Arial"/>
        </w:rPr>
        <w:t>Figure 3.36 Cysts PDT with 5, 10, 15, 20-Tetrakis (4-methyl phenyl)-21</w:t>
      </w:r>
      <w:r w:rsidR="00064AC1" w:rsidRPr="0071546E">
        <w:rPr>
          <w:rFonts w:ascii="Arial" w:eastAsia="Calibri" w:hAnsi="Arial" w:cs="Arial"/>
        </w:rPr>
        <w:t>H23H porphine</w:t>
      </w:r>
      <w:r w:rsidR="0007356A" w:rsidRPr="0071546E">
        <w:rPr>
          <w:rFonts w:ascii="Arial" w:eastAsia="Calibri" w:hAnsi="Arial" w:cs="Arial"/>
        </w:rPr>
        <w:t>…</w:t>
      </w:r>
      <w:r w:rsidRPr="0071546E">
        <w:rPr>
          <w:rFonts w:ascii="Arial" w:eastAsia="Calibri" w:hAnsi="Arial" w:cs="Arial"/>
        </w:rPr>
        <w:t>132</w:t>
      </w:r>
    </w:p>
    <w:p w:rsidR="00E06426" w:rsidRPr="0071546E" w:rsidRDefault="00E06426" w:rsidP="0007356A">
      <w:pPr>
        <w:spacing w:line="360" w:lineRule="auto"/>
        <w:jc w:val="both"/>
        <w:rPr>
          <w:rFonts w:ascii="Arial" w:eastAsia="Calibri" w:hAnsi="Arial" w:cs="Arial"/>
        </w:rPr>
      </w:pPr>
      <w:r w:rsidRPr="0071546E">
        <w:rPr>
          <w:rFonts w:ascii="Arial" w:eastAsia="Calibri" w:hAnsi="Arial" w:cs="Arial"/>
        </w:rPr>
        <w:t>Figure 4.0 Structure of chitin…………………………………………………………………….142</w:t>
      </w:r>
    </w:p>
    <w:p w:rsidR="00E06426" w:rsidRPr="0071546E" w:rsidRDefault="00E06426" w:rsidP="0007356A">
      <w:pPr>
        <w:spacing w:line="360" w:lineRule="auto"/>
        <w:jc w:val="both"/>
        <w:rPr>
          <w:rFonts w:ascii="Arial" w:eastAsia="Calibri" w:hAnsi="Arial" w:cs="Arial"/>
        </w:rPr>
      </w:pPr>
      <w:r w:rsidRPr="0071546E">
        <w:rPr>
          <w:rFonts w:ascii="Arial" w:eastAsia="Calibri" w:hAnsi="Arial" w:cs="Arial"/>
        </w:rPr>
        <w:t>Figure 4.1 N acetyl glucosamine showin</w:t>
      </w:r>
      <w:r w:rsidR="00064AC1" w:rsidRPr="0071546E">
        <w:rPr>
          <w:rFonts w:ascii="Arial" w:eastAsia="Calibri" w:hAnsi="Arial" w:cs="Arial"/>
        </w:rPr>
        <w:t>g substrate for lysozyme……………………</w:t>
      </w:r>
      <w:r w:rsidRPr="0071546E">
        <w:rPr>
          <w:rFonts w:ascii="Arial" w:eastAsia="Calibri" w:hAnsi="Arial" w:cs="Arial"/>
        </w:rPr>
        <w:t>….....143</w:t>
      </w:r>
    </w:p>
    <w:p w:rsidR="00E06426" w:rsidRPr="0071546E" w:rsidRDefault="00E06426" w:rsidP="0007356A">
      <w:pPr>
        <w:spacing w:line="360" w:lineRule="auto"/>
        <w:jc w:val="both"/>
        <w:rPr>
          <w:rFonts w:ascii="Arial" w:eastAsia="Calibri" w:hAnsi="Arial" w:cs="Arial"/>
        </w:rPr>
      </w:pPr>
      <w:r w:rsidRPr="0071546E">
        <w:rPr>
          <w:rFonts w:ascii="Arial" w:eastAsia="Calibri" w:hAnsi="Arial" w:cs="Arial"/>
        </w:rPr>
        <w:t>Figure 4.2 Structure of cellulose showing target for lysozyme ………………………………143</w:t>
      </w:r>
    </w:p>
    <w:p w:rsidR="00E06426" w:rsidRPr="0071546E" w:rsidRDefault="00E06426" w:rsidP="00CF13FE">
      <w:pPr>
        <w:spacing w:line="360" w:lineRule="auto"/>
        <w:jc w:val="both"/>
        <w:rPr>
          <w:rFonts w:ascii="Arial" w:eastAsia="Calibri" w:hAnsi="Arial" w:cs="Arial"/>
        </w:rPr>
      </w:pPr>
    </w:p>
    <w:p w:rsidR="00E06426" w:rsidRPr="0071546E" w:rsidRDefault="00E06426" w:rsidP="00CF13FE">
      <w:pPr>
        <w:spacing w:line="360" w:lineRule="auto"/>
        <w:jc w:val="both"/>
        <w:rPr>
          <w:rFonts w:ascii="Arial" w:eastAsia="Calibri" w:hAnsi="Arial" w:cs="Arial"/>
        </w:rPr>
      </w:pPr>
    </w:p>
    <w:p w:rsidR="00E06426" w:rsidRPr="0071546E" w:rsidRDefault="00E06426" w:rsidP="00CF13FE">
      <w:pPr>
        <w:spacing w:line="240" w:lineRule="auto"/>
        <w:jc w:val="both"/>
        <w:rPr>
          <w:rFonts w:ascii="Arial" w:eastAsia="Calibri" w:hAnsi="Arial" w:cs="Arial"/>
        </w:rPr>
      </w:pPr>
    </w:p>
    <w:p w:rsidR="00E06426" w:rsidRPr="0071546E" w:rsidRDefault="00E06426" w:rsidP="00CF13FE">
      <w:pPr>
        <w:spacing w:line="240" w:lineRule="auto"/>
        <w:jc w:val="both"/>
        <w:rPr>
          <w:rFonts w:ascii="Arial" w:eastAsia="Calibri" w:hAnsi="Arial" w:cs="Arial"/>
        </w:rPr>
      </w:pPr>
    </w:p>
    <w:p w:rsidR="00E06426" w:rsidRPr="0071546E" w:rsidRDefault="00E06426" w:rsidP="00CF13FE">
      <w:pPr>
        <w:spacing w:line="480" w:lineRule="auto"/>
        <w:ind w:left="1021" w:right="454" w:firstLine="720"/>
        <w:rPr>
          <w:rFonts w:ascii="Arial" w:eastAsiaTheme="majorEastAsia" w:hAnsi="Arial" w:cs="Arial"/>
          <w:sz w:val="24"/>
          <w:szCs w:val="24"/>
        </w:rPr>
        <w:sectPr w:rsidR="00E06426" w:rsidRPr="0071546E" w:rsidSect="00064AC1">
          <w:pgSz w:w="11906" w:h="16838"/>
          <w:pgMar w:top="1440" w:right="709" w:bottom="1440" w:left="2268" w:header="709" w:footer="709" w:gutter="0"/>
          <w:pgNumType w:fmt="upperRoman"/>
          <w:cols w:space="708"/>
          <w:docGrid w:linePitch="360"/>
        </w:sectPr>
      </w:pPr>
    </w:p>
    <w:sdt>
      <w:sdtPr>
        <w:rPr>
          <w:rFonts w:asciiTheme="majorHAnsi" w:eastAsiaTheme="majorEastAsia" w:hAnsiTheme="majorHAnsi" w:cstheme="majorBidi"/>
          <w:bCs w:val="0"/>
          <w:caps w:val="0"/>
          <w:color w:val="5B9BD5" w:themeColor="accent1"/>
          <w:spacing w:val="10"/>
          <w:sz w:val="52"/>
          <w:szCs w:val="52"/>
        </w:rPr>
        <w:id w:val="-776415590"/>
        <w:docPartObj>
          <w:docPartGallery w:val="Table of Contents"/>
          <w:docPartUnique/>
        </w:docPartObj>
      </w:sdtPr>
      <w:sdtEndPr>
        <w:rPr>
          <w:rFonts w:asciiTheme="minorHAnsi" w:eastAsiaTheme="minorHAnsi" w:hAnsiTheme="minorHAnsi" w:cstheme="minorBidi"/>
          <w:b/>
          <w:noProof/>
          <w:color w:val="auto"/>
          <w:spacing w:val="0"/>
          <w:sz w:val="22"/>
          <w:szCs w:val="22"/>
        </w:rPr>
      </w:sdtEndPr>
      <w:sdtContent>
        <w:p w:rsidR="000E2C6C" w:rsidRPr="0071546E" w:rsidRDefault="000E2C6C" w:rsidP="00CF13FE">
          <w:pPr>
            <w:pStyle w:val="TOCHeading"/>
            <w:ind w:left="1021" w:right="454"/>
            <w:rPr>
              <w:rFonts w:ascii="Arial" w:hAnsi="Arial" w:cs="Arial"/>
            </w:rPr>
          </w:pPr>
          <w:r w:rsidRPr="0071546E">
            <w:rPr>
              <w:rFonts w:ascii="Arial" w:hAnsi="Arial" w:cs="Arial"/>
            </w:rPr>
            <w:t>Table of Contents</w:t>
          </w:r>
        </w:p>
        <w:p w:rsidR="004A421F" w:rsidRPr="0071546E" w:rsidRDefault="000E2C6C">
          <w:pPr>
            <w:pStyle w:val="TOC1"/>
            <w:tabs>
              <w:tab w:val="right" w:leader="dot" w:pos="9016"/>
            </w:tabs>
            <w:rPr>
              <w:rFonts w:eastAsiaTheme="minorEastAsia"/>
              <w:noProof/>
              <w:lang w:eastAsia="en-GB"/>
            </w:rPr>
          </w:pPr>
          <w:r w:rsidRPr="0071546E">
            <w:rPr>
              <w:rFonts w:ascii="Arial" w:hAnsi="Arial" w:cs="Arial"/>
            </w:rPr>
            <w:fldChar w:fldCharType="begin"/>
          </w:r>
          <w:r w:rsidRPr="0071546E">
            <w:rPr>
              <w:rFonts w:ascii="Arial" w:hAnsi="Arial" w:cs="Arial"/>
            </w:rPr>
            <w:instrText xml:space="preserve"> TOC \o "1-3" \h \z \u </w:instrText>
          </w:r>
          <w:r w:rsidRPr="0071546E">
            <w:rPr>
              <w:rFonts w:ascii="Arial" w:hAnsi="Arial" w:cs="Arial"/>
            </w:rPr>
            <w:fldChar w:fldCharType="separate"/>
          </w:r>
          <w:hyperlink w:anchor="_Toc14711376" w:history="1">
            <w:r w:rsidR="004A421F" w:rsidRPr="0071546E">
              <w:rPr>
                <w:rStyle w:val="Hyperlink"/>
                <w:noProof/>
              </w:rPr>
              <w:t>ACKNOWLEDGEMENTS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_Toc14711376 \h </w:instrText>
            </w:r>
            <w:r w:rsidR="004A421F" w:rsidRPr="0071546E">
              <w:rPr>
                <w:noProof/>
                <w:webHidden/>
              </w:rPr>
            </w:r>
            <w:r w:rsidR="004A421F" w:rsidRPr="0071546E">
              <w:rPr>
                <w:noProof/>
                <w:webHidden/>
              </w:rPr>
              <w:fldChar w:fldCharType="separate"/>
            </w:r>
            <w:r w:rsidR="004A421F" w:rsidRPr="0071546E">
              <w:rPr>
                <w:noProof/>
                <w:webHidden/>
              </w:rPr>
              <w:t>VI</w:t>
            </w:r>
            <w:r w:rsidR="004A421F" w:rsidRPr="0071546E">
              <w:rPr>
                <w:noProof/>
                <w:webHidden/>
              </w:rPr>
              <w:fldChar w:fldCharType="end"/>
            </w:r>
          </w:hyperlink>
        </w:p>
        <w:p w:rsidR="004A421F" w:rsidRPr="0071546E" w:rsidRDefault="009B21F2">
          <w:pPr>
            <w:pStyle w:val="TOC1"/>
            <w:tabs>
              <w:tab w:val="right" w:leader="dot" w:pos="9016"/>
            </w:tabs>
            <w:rPr>
              <w:rFonts w:eastAsiaTheme="minorEastAsia"/>
              <w:noProof/>
              <w:lang w:eastAsia="en-GB"/>
            </w:rPr>
          </w:pPr>
          <w:hyperlink w:anchor="_Toc14711377" w:history="1">
            <w:r w:rsidR="004A421F" w:rsidRPr="0071546E">
              <w:rPr>
                <w:rStyle w:val="Hyperlink"/>
                <w:b/>
                <w:noProof/>
              </w:rPr>
              <w:t>LIST OF ABBREVIATIONS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_Toc14711377 \h </w:instrText>
            </w:r>
            <w:r w:rsidR="004A421F" w:rsidRPr="0071546E">
              <w:rPr>
                <w:noProof/>
                <w:webHidden/>
              </w:rPr>
            </w:r>
            <w:r w:rsidR="004A421F" w:rsidRPr="0071546E">
              <w:rPr>
                <w:noProof/>
                <w:webHidden/>
              </w:rPr>
              <w:fldChar w:fldCharType="separate"/>
            </w:r>
            <w:r w:rsidR="004A421F" w:rsidRPr="0071546E">
              <w:rPr>
                <w:noProof/>
                <w:webHidden/>
              </w:rPr>
              <w:t>VII</w:t>
            </w:r>
            <w:r w:rsidR="004A421F" w:rsidRPr="0071546E">
              <w:rPr>
                <w:noProof/>
                <w:webHidden/>
              </w:rPr>
              <w:fldChar w:fldCharType="end"/>
            </w:r>
          </w:hyperlink>
        </w:p>
        <w:p w:rsidR="004A421F" w:rsidRPr="0071546E" w:rsidRDefault="009B21F2">
          <w:pPr>
            <w:pStyle w:val="TOC1"/>
            <w:tabs>
              <w:tab w:val="right" w:leader="dot" w:pos="9016"/>
            </w:tabs>
            <w:rPr>
              <w:rFonts w:eastAsiaTheme="minorEastAsia"/>
              <w:noProof/>
              <w:lang w:eastAsia="en-GB"/>
            </w:rPr>
          </w:pPr>
          <w:hyperlink w:anchor="_Toc14711378" w:history="1">
            <w:r w:rsidR="004A421F" w:rsidRPr="0071546E">
              <w:rPr>
                <w:rStyle w:val="Hyperlink"/>
                <w:noProof/>
              </w:rPr>
              <w:t>CHAPTER ONE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_Toc14711378 \h </w:instrText>
            </w:r>
            <w:r w:rsidR="004A421F" w:rsidRPr="0071546E">
              <w:rPr>
                <w:noProof/>
                <w:webHidden/>
              </w:rPr>
            </w:r>
            <w:r w:rsidR="004A421F" w:rsidRPr="0071546E">
              <w:rPr>
                <w:noProof/>
                <w:webHidden/>
              </w:rPr>
              <w:fldChar w:fldCharType="separate"/>
            </w:r>
            <w:r w:rsidR="004A421F" w:rsidRPr="0071546E">
              <w:rPr>
                <w:noProof/>
                <w:webHidden/>
              </w:rPr>
              <w:t>2</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79" w:history="1">
            <w:r w:rsidR="004A421F" w:rsidRPr="0071546E">
              <w:rPr>
                <w:rStyle w:val="Hyperlink"/>
                <w:noProof/>
              </w:rPr>
              <w:t>1.0 Introduction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_Toc14711379 \h </w:instrText>
            </w:r>
            <w:r w:rsidR="004A421F" w:rsidRPr="0071546E">
              <w:rPr>
                <w:noProof/>
                <w:webHidden/>
              </w:rPr>
            </w:r>
            <w:r w:rsidR="004A421F" w:rsidRPr="0071546E">
              <w:rPr>
                <w:noProof/>
                <w:webHidden/>
              </w:rPr>
              <w:fldChar w:fldCharType="separate"/>
            </w:r>
            <w:r w:rsidR="004A421F" w:rsidRPr="0071546E">
              <w:rPr>
                <w:noProof/>
                <w:webHidden/>
              </w:rPr>
              <w:t>2</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80" w:history="1">
            <w:r w:rsidR="004A421F" w:rsidRPr="0071546E">
              <w:rPr>
                <w:rStyle w:val="Hyperlink"/>
                <w:noProof/>
              </w:rPr>
              <w:t xml:space="preserve">1.1 </w:t>
            </w:r>
            <w:r w:rsidR="004A421F" w:rsidRPr="0071546E">
              <w:rPr>
                <w:rStyle w:val="Hyperlink"/>
                <w:i/>
                <w:noProof/>
              </w:rPr>
              <w:t>Acanthamoeba</w:t>
            </w:r>
            <w:r w:rsidR="004A421F" w:rsidRPr="0071546E">
              <w:rPr>
                <w:rStyle w:val="Hyperlink"/>
                <w:noProof/>
              </w:rPr>
              <w:t xml:space="preserve"> biology, morphology and increasing incidence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_Toc14711380 \h </w:instrText>
            </w:r>
            <w:r w:rsidR="004A421F" w:rsidRPr="0071546E">
              <w:rPr>
                <w:noProof/>
                <w:webHidden/>
              </w:rPr>
            </w:r>
            <w:r w:rsidR="004A421F" w:rsidRPr="0071546E">
              <w:rPr>
                <w:noProof/>
                <w:webHidden/>
              </w:rPr>
              <w:fldChar w:fldCharType="separate"/>
            </w:r>
            <w:r w:rsidR="004A421F" w:rsidRPr="0071546E">
              <w:rPr>
                <w:noProof/>
                <w:webHidden/>
              </w:rPr>
              <w:t>2</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81" w:history="1">
            <w:r w:rsidR="004A421F" w:rsidRPr="0071546E">
              <w:rPr>
                <w:rStyle w:val="Hyperlink"/>
                <w:noProof/>
              </w:rPr>
              <w:t>1.2 Acanthamoeba Keratitis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_Toc14711381 \h </w:instrText>
            </w:r>
            <w:r w:rsidR="004A421F" w:rsidRPr="0071546E">
              <w:rPr>
                <w:noProof/>
                <w:webHidden/>
              </w:rPr>
            </w:r>
            <w:r w:rsidR="004A421F" w:rsidRPr="0071546E">
              <w:rPr>
                <w:noProof/>
                <w:webHidden/>
              </w:rPr>
              <w:fldChar w:fldCharType="separate"/>
            </w:r>
            <w:r w:rsidR="004A421F" w:rsidRPr="0071546E">
              <w:rPr>
                <w:noProof/>
                <w:webHidden/>
              </w:rPr>
              <w:t>7</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82" w:history="1">
            <w:r w:rsidR="004A421F" w:rsidRPr="0071546E">
              <w:rPr>
                <w:rStyle w:val="Hyperlink"/>
                <w:noProof/>
              </w:rPr>
              <w:t>1.2.1 Acanthamoeba keratitis; improper contact lens hygiene, a significant risk factor</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_Toc14711382 \h </w:instrText>
            </w:r>
            <w:r w:rsidR="004A421F" w:rsidRPr="0071546E">
              <w:rPr>
                <w:noProof/>
                <w:webHidden/>
              </w:rPr>
            </w:r>
            <w:r w:rsidR="004A421F" w:rsidRPr="0071546E">
              <w:rPr>
                <w:noProof/>
                <w:webHidden/>
              </w:rPr>
              <w:fldChar w:fldCharType="separate"/>
            </w:r>
            <w:r w:rsidR="004A421F" w:rsidRPr="0071546E">
              <w:rPr>
                <w:noProof/>
                <w:webHidden/>
              </w:rPr>
              <w:t>8</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83" w:history="1">
            <w:r w:rsidR="004A421F" w:rsidRPr="0071546E">
              <w:rPr>
                <w:rStyle w:val="Hyperlink"/>
                <w:noProof/>
              </w:rPr>
              <w:t>1.2.2 The cornea; function and anatomy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_Toc14711383 \h </w:instrText>
            </w:r>
            <w:r w:rsidR="004A421F" w:rsidRPr="0071546E">
              <w:rPr>
                <w:noProof/>
                <w:webHidden/>
              </w:rPr>
            </w:r>
            <w:r w:rsidR="004A421F" w:rsidRPr="0071546E">
              <w:rPr>
                <w:noProof/>
                <w:webHidden/>
              </w:rPr>
              <w:fldChar w:fldCharType="separate"/>
            </w:r>
            <w:r w:rsidR="004A421F" w:rsidRPr="0071546E">
              <w:rPr>
                <w:noProof/>
                <w:webHidden/>
              </w:rPr>
              <w:t>11</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84" w:history="1">
            <w:r w:rsidR="004A421F" w:rsidRPr="0071546E">
              <w:rPr>
                <w:rStyle w:val="Hyperlink"/>
                <w:noProof/>
              </w:rPr>
              <w:t>1.3 Pathogenesis of Acanthamoeba keratitis.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_Toc14711384 \h </w:instrText>
            </w:r>
            <w:r w:rsidR="004A421F" w:rsidRPr="0071546E">
              <w:rPr>
                <w:noProof/>
                <w:webHidden/>
              </w:rPr>
            </w:r>
            <w:r w:rsidR="004A421F" w:rsidRPr="0071546E">
              <w:rPr>
                <w:noProof/>
                <w:webHidden/>
              </w:rPr>
              <w:fldChar w:fldCharType="separate"/>
            </w:r>
            <w:r w:rsidR="004A421F" w:rsidRPr="0071546E">
              <w:rPr>
                <w:noProof/>
                <w:webHidden/>
              </w:rPr>
              <w:t>14</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85" w:history="1">
            <w:r w:rsidR="004A421F" w:rsidRPr="0071546E">
              <w:rPr>
                <w:rStyle w:val="Hyperlink"/>
                <w:noProof/>
              </w:rPr>
              <w:t xml:space="preserve">1.3.1 Adhesion of </w:t>
            </w:r>
            <w:r w:rsidR="004A421F" w:rsidRPr="0071546E">
              <w:rPr>
                <w:rStyle w:val="Hyperlink"/>
                <w:i/>
                <w:noProof/>
              </w:rPr>
              <w:t>Acanthamoeba</w:t>
            </w:r>
            <w:r w:rsidR="004A421F" w:rsidRPr="0071546E">
              <w:rPr>
                <w:rStyle w:val="Hyperlink"/>
                <w:noProof/>
              </w:rPr>
              <w:t xml:space="preserve"> to host cell</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_Toc14711385 \h </w:instrText>
            </w:r>
            <w:r w:rsidR="004A421F" w:rsidRPr="0071546E">
              <w:rPr>
                <w:noProof/>
                <w:webHidden/>
              </w:rPr>
            </w:r>
            <w:r w:rsidR="004A421F" w:rsidRPr="0071546E">
              <w:rPr>
                <w:noProof/>
                <w:webHidden/>
              </w:rPr>
              <w:fldChar w:fldCharType="separate"/>
            </w:r>
            <w:r w:rsidR="004A421F" w:rsidRPr="0071546E">
              <w:rPr>
                <w:noProof/>
                <w:webHidden/>
              </w:rPr>
              <w:t>14</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86" w:history="1">
            <w:r w:rsidR="004A421F" w:rsidRPr="0071546E">
              <w:rPr>
                <w:rStyle w:val="Hyperlink"/>
                <w:noProof/>
              </w:rPr>
              <w:t>1.3.2 Extracellular proteases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_Toc14711386 \h </w:instrText>
            </w:r>
            <w:r w:rsidR="004A421F" w:rsidRPr="0071546E">
              <w:rPr>
                <w:noProof/>
                <w:webHidden/>
              </w:rPr>
            </w:r>
            <w:r w:rsidR="004A421F" w:rsidRPr="0071546E">
              <w:rPr>
                <w:noProof/>
                <w:webHidden/>
              </w:rPr>
              <w:fldChar w:fldCharType="separate"/>
            </w:r>
            <w:r w:rsidR="004A421F" w:rsidRPr="0071546E">
              <w:rPr>
                <w:noProof/>
                <w:webHidden/>
              </w:rPr>
              <w:t>15</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87" w:history="1">
            <w:r w:rsidR="004A421F" w:rsidRPr="0071546E">
              <w:rPr>
                <w:rStyle w:val="Hyperlink"/>
                <w:noProof/>
              </w:rPr>
              <w:t>1.3.3 Diagnosis of Acanthamoeba keratitis.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_Toc14711387 \h </w:instrText>
            </w:r>
            <w:r w:rsidR="004A421F" w:rsidRPr="0071546E">
              <w:rPr>
                <w:noProof/>
                <w:webHidden/>
              </w:rPr>
            </w:r>
            <w:r w:rsidR="004A421F" w:rsidRPr="0071546E">
              <w:rPr>
                <w:noProof/>
                <w:webHidden/>
              </w:rPr>
              <w:fldChar w:fldCharType="separate"/>
            </w:r>
            <w:r w:rsidR="004A421F" w:rsidRPr="0071546E">
              <w:rPr>
                <w:noProof/>
                <w:webHidden/>
              </w:rPr>
              <w:t>17</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88" w:history="1">
            <w:r w:rsidR="004A421F" w:rsidRPr="0071546E">
              <w:rPr>
                <w:rStyle w:val="Hyperlink"/>
                <w:noProof/>
              </w:rPr>
              <w:t>1.3.4 Treatment of Acanthamoeba keratitis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_Toc14711388 \h </w:instrText>
            </w:r>
            <w:r w:rsidR="004A421F" w:rsidRPr="0071546E">
              <w:rPr>
                <w:noProof/>
                <w:webHidden/>
              </w:rPr>
            </w:r>
            <w:r w:rsidR="004A421F" w:rsidRPr="0071546E">
              <w:rPr>
                <w:noProof/>
                <w:webHidden/>
              </w:rPr>
              <w:fldChar w:fldCharType="separate"/>
            </w:r>
            <w:r w:rsidR="004A421F" w:rsidRPr="0071546E">
              <w:rPr>
                <w:noProof/>
                <w:webHidden/>
              </w:rPr>
              <w:t>18</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89" w:history="1">
            <w:r w:rsidR="004A421F" w:rsidRPr="0071546E">
              <w:rPr>
                <w:rStyle w:val="Hyperlink"/>
                <w:noProof/>
              </w:rPr>
              <w:t>1.4 Photodynamic therapy (PDT)</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_Toc14711389 \h </w:instrText>
            </w:r>
            <w:r w:rsidR="004A421F" w:rsidRPr="0071546E">
              <w:rPr>
                <w:noProof/>
                <w:webHidden/>
              </w:rPr>
            </w:r>
            <w:r w:rsidR="004A421F" w:rsidRPr="0071546E">
              <w:rPr>
                <w:noProof/>
                <w:webHidden/>
              </w:rPr>
              <w:fldChar w:fldCharType="separate"/>
            </w:r>
            <w:r w:rsidR="004A421F" w:rsidRPr="0071546E">
              <w:rPr>
                <w:noProof/>
                <w:webHidden/>
              </w:rPr>
              <w:t>22</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90" w:history="1">
            <w:r w:rsidR="004A421F" w:rsidRPr="0071546E">
              <w:rPr>
                <w:rStyle w:val="Hyperlink"/>
                <w:noProof/>
              </w:rPr>
              <w:t>1.4.1 Photochemistry and photophysics of PDT</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_Toc14711390 \h </w:instrText>
            </w:r>
            <w:r w:rsidR="004A421F" w:rsidRPr="0071546E">
              <w:rPr>
                <w:noProof/>
                <w:webHidden/>
              </w:rPr>
            </w:r>
            <w:r w:rsidR="004A421F" w:rsidRPr="0071546E">
              <w:rPr>
                <w:noProof/>
                <w:webHidden/>
              </w:rPr>
              <w:fldChar w:fldCharType="separate"/>
            </w:r>
            <w:r w:rsidR="004A421F" w:rsidRPr="0071546E">
              <w:rPr>
                <w:noProof/>
                <w:webHidden/>
              </w:rPr>
              <w:t>23</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91" w:history="1">
            <w:r w:rsidR="004A421F" w:rsidRPr="0071546E">
              <w:rPr>
                <w:rStyle w:val="Hyperlink"/>
                <w:noProof/>
              </w:rPr>
              <w:t>1.4.2 A Dual pathway of Photosensitization.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_Toc14711391 \h </w:instrText>
            </w:r>
            <w:r w:rsidR="004A421F" w:rsidRPr="0071546E">
              <w:rPr>
                <w:noProof/>
                <w:webHidden/>
              </w:rPr>
            </w:r>
            <w:r w:rsidR="004A421F" w:rsidRPr="0071546E">
              <w:rPr>
                <w:noProof/>
                <w:webHidden/>
              </w:rPr>
              <w:fldChar w:fldCharType="separate"/>
            </w:r>
            <w:r w:rsidR="004A421F" w:rsidRPr="0071546E">
              <w:rPr>
                <w:noProof/>
                <w:webHidden/>
              </w:rPr>
              <w:t>26</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92" w:history="1">
            <w:r w:rsidR="004A421F" w:rsidRPr="0071546E">
              <w:rPr>
                <w:rStyle w:val="Hyperlink"/>
                <w:noProof/>
              </w:rPr>
              <w:t>1.4.4 The electron transport chain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_Toc14711392 \h </w:instrText>
            </w:r>
            <w:r w:rsidR="004A421F" w:rsidRPr="0071546E">
              <w:rPr>
                <w:noProof/>
                <w:webHidden/>
              </w:rPr>
            </w:r>
            <w:r w:rsidR="004A421F" w:rsidRPr="0071546E">
              <w:rPr>
                <w:noProof/>
                <w:webHidden/>
              </w:rPr>
              <w:fldChar w:fldCharType="separate"/>
            </w:r>
            <w:r w:rsidR="004A421F" w:rsidRPr="0071546E">
              <w:rPr>
                <w:noProof/>
                <w:webHidden/>
              </w:rPr>
              <w:t>29</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93" w:history="1">
            <w:r w:rsidR="004A421F" w:rsidRPr="0071546E">
              <w:rPr>
                <w:rStyle w:val="Hyperlink"/>
                <w:noProof/>
              </w:rPr>
              <w:t>1.4.5 Biological effects of free radical and reactive oxygen species.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_Toc14711393 \h </w:instrText>
            </w:r>
            <w:r w:rsidR="004A421F" w:rsidRPr="0071546E">
              <w:rPr>
                <w:noProof/>
                <w:webHidden/>
              </w:rPr>
            </w:r>
            <w:r w:rsidR="004A421F" w:rsidRPr="0071546E">
              <w:rPr>
                <w:noProof/>
                <w:webHidden/>
              </w:rPr>
              <w:fldChar w:fldCharType="separate"/>
            </w:r>
            <w:r w:rsidR="004A421F" w:rsidRPr="0071546E">
              <w:rPr>
                <w:noProof/>
                <w:webHidden/>
              </w:rPr>
              <w:t>31</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94" w:history="1">
            <w:r w:rsidR="004A421F" w:rsidRPr="0071546E">
              <w:rPr>
                <w:rStyle w:val="Hyperlink"/>
                <w:noProof/>
              </w:rPr>
              <w:t>1.4.6 Lipid peroxidation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_Toc14711394 \h </w:instrText>
            </w:r>
            <w:r w:rsidR="004A421F" w:rsidRPr="0071546E">
              <w:rPr>
                <w:noProof/>
                <w:webHidden/>
              </w:rPr>
            </w:r>
            <w:r w:rsidR="004A421F" w:rsidRPr="0071546E">
              <w:rPr>
                <w:noProof/>
                <w:webHidden/>
              </w:rPr>
              <w:fldChar w:fldCharType="separate"/>
            </w:r>
            <w:r w:rsidR="004A421F" w:rsidRPr="0071546E">
              <w:rPr>
                <w:noProof/>
                <w:webHidden/>
              </w:rPr>
              <w:t>32</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95" w:history="1">
            <w:r w:rsidR="004A421F" w:rsidRPr="0071546E">
              <w:rPr>
                <w:rStyle w:val="Hyperlink"/>
                <w:noProof/>
              </w:rPr>
              <w:t>1.4.7 Free radical interaction with proteins.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_Toc14711395 \h </w:instrText>
            </w:r>
            <w:r w:rsidR="004A421F" w:rsidRPr="0071546E">
              <w:rPr>
                <w:noProof/>
                <w:webHidden/>
              </w:rPr>
            </w:r>
            <w:r w:rsidR="004A421F" w:rsidRPr="0071546E">
              <w:rPr>
                <w:noProof/>
                <w:webHidden/>
              </w:rPr>
              <w:fldChar w:fldCharType="separate"/>
            </w:r>
            <w:r w:rsidR="004A421F" w:rsidRPr="0071546E">
              <w:rPr>
                <w:noProof/>
                <w:webHidden/>
              </w:rPr>
              <w:t>34</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96" w:history="1">
            <w:r w:rsidR="004A421F" w:rsidRPr="0071546E">
              <w:rPr>
                <w:rStyle w:val="Hyperlink"/>
                <w:noProof/>
              </w:rPr>
              <w:t>1.4.8 Free radical damage to DNA</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_Toc14711396 \h </w:instrText>
            </w:r>
            <w:r w:rsidR="004A421F" w:rsidRPr="0071546E">
              <w:rPr>
                <w:noProof/>
                <w:webHidden/>
              </w:rPr>
            </w:r>
            <w:r w:rsidR="004A421F" w:rsidRPr="0071546E">
              <w:rPr>
                <w:noProof/>
                <w:webHidden/>
              </w:rPr>
              <w:fldChar w:fldCharType="separate"/>
            </w:r>
            <w:r w:rsidR="004A421F" w:rsidRPr="0071546E">
              <w:rPr>
                <w:noProof/>
                <w:webHidden/>
              </w:rPr>
              <w:t>36</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97" w:history="1">
            <w:r w:rsidR="004A421F" w:rsidRPr="0071546E">
              <w:rPr>
                <w:rStyle w:val="Hyperlink"/>
                <w:noProof/>
              </w:rPr>
              <w:t>1.5 Photodynamic inactivation of microbial cells: General Aspects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_Toc14711397 \h </w:instrText>
            </w:r>
            <w:r w:rsidR="004A421F" w:rsidRPr="0071546E">
              <w:rPr>
                <w:noProof/>
                <w:webHidden/>
              </w:rPr>
            </w:r>
            <w:r w:rsidR="004A421F" w:rsidRPr="0071546E">
              <w:rPr>
                <w:noProof/>
                <w:webHidden/>
              </w:rPr>
              <w:fldChar w:fldCharType="separate"/>
            </w:r>
            <w:r w:rsidR="004A421F" w:rsidRPr="0071546E">
              <w:rPr>
                <w:noProof/>
                <w:webHidden/>
              </w:rPr>
              <w:t>38</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98" w:history="1">
            <w:r w:rsidR="004A421F" w:rsidRPr="0071546E">
              <w:rPr>
                <w:rStyle w:val="Hyperlink"/>
                <w:noProof/>
              </w:rPr>
              <w:t>1.5.1 Photosensitizers used in photodynamic therapy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_Toc14711398 \h </w:instrText>
            </w:r>
            <w:r w:rsidR="004A421F" w:rsidRPr="0071546E">
              <w:rPr>
                <w:noProof/>
                <w:webHidden/>
              </w:rPr>
            </w:r>
            <w:r w:rsidR="004A421F" w:rsidRPr="0071546E">
              <w:rPr>
                <w:noProof/>
                <w:webHidden/>
              </w:rPr>
              <w:fldChar w:fldCharType="separate"/>
            </w:r>
            <w:r w:rsidR="004A421F" w:rsidRPr="0071546E">
              <w:rPr>
                <w:noProof/>
                <w:webHidden/>
              </w:rPr>
              <w:t>39</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399" w:history="1">
            <w:r w:rsidR="004A421F" w:rsidRPr="0071546E">
              <w:rPr>
                <w:rStyle w:val="Hyperlink"/>
                <w:noProof/>
              </w:rPr>
              <w:t>1.5.2 Phenothiazinium derivatives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_Toc14711399 \h </w:instrText>
            </w:r>
            <w:r w:rsidR="004A421F" w:rsidRPr="0071546E">
              <w:rPr>
                <w:noProof/>
                <w:webHidden/>
              </w:rPr>
            </w:r>
            <w:r w:rsidR="004A421F" w:rsidRPr="0071546E">
              <w:rPr>
                <w:noProof/>
                <w:webHidden/>
              </w:rPr>
              <w:fldChar w:fldCharType="separate"/>
            </w:r>
            <w:r w:rsidR="004A421F" w:rsidRPr="0071546E">
              <w:rPr>
                <w:noProof/>
                <w:webHidden/>
              </w:rPr>
              <w:t>40</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00" w:history="1">
            <w:r w:rsidR="004A421F" w:rsidRPr="0071546E">
              <w:rPr>
                <w:rStyle w:val="Hyperlink"/>
                <w:noProof/>
              </w:rPr>
              <w:t>1.5.3 Porphyrin-based photosensitiser.</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_Toc14711400 \h </w:instrText>
            </w:r>
            <w:r w:rsidR="004A421F" w:rsidRPr="0071546E">
              <w:rPr>
                <w:noProof/>
                <w:webHidden/>
              </w:rPr>
            </w:r>
            <w:r w:rsidR="004A421F" w:rsidRPr="0071546E">
              <w:rPr>
                <w:noProof/>
                <w:webHidden/>
              </w:rPr>
              <w:fldChar w:fldCharType="separate"/>
            </w:r>
            <w:r w:rsidR="004A421F" w:rsidRPr="0071546E">
              <w:rPr>
                <w:noProof/>
                <w:webHidden/>
              </w:rPr>
              <w:t>43</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01" w:history="1">
            <w:r w:rsidR="004A421F" w:rsidRPr="0071546E">
              <w:rPr>
                <w:rStyle w:val="Hyperlink"/>
                <w:noProof/>
              </w:rPr>
              <w:t>1.5.4 First generation porphyrin-based photosensitizers.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_Toc14711401 \h </w:instrText>
            </w:r>
            <w:r w:rsidR="004A421F" w:rsidRPr="0071546E">
              <w:rPr>
                <w:noProof/>
                <w:webHidden/>
              </w:rPr>
            </w:r>
            <w:r w:rsidR="004A421F" w:rsidRPr="0071546E">
              <w:rPr>
                <w:noProof/>
                <w:webHidden/>
              </w:rPr>
              <w:fldChar w:fldCharType="separate"/>
            </w:r>
            <w:r w:rsidR="004A421F" w:rsidRPr="0071546E">
              <w:rPr>
                <w:noProof/>
                <w:webHidden/>
              </w:rPr>
              <w:t>43</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02" w:history="1">
            <w:r w:rsidR="004A421F" w:rsidRPr="0071546E">
              <w:rPr>
                <w:rStyle w:val="Hyperlink"/>
                <w:noProof/>
              </w:rPr>
              <w:t>1.5.5 Second-generation porphyrin-based photosensitizers.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_Toc14711402 \h </w:instrText>
            </w:r>
            <w:r w:rsidR="004A421F" w:rsidRPr="0071546E">
              <w:rPr>
                <w:noProof/>
                <w:webHidden/>
              </w:rPr>
            </w:r>
            <w:r w:rsidR="004A421F" w:rsidRPr="0071546E">
              <w:rPr>
                <w:noProof/>
                <w:webHidden/>
              </w:rPr>
              <w:fldChar w:fldCharType="separate"/>
            </w:r>
            <w:r w:rsidR="004A421F" w:rsidRPr="0071546E">
              <w:rPr>
                <w:noProof/>
                <w:webHidden/>
              </w:rPr>
              <w:t>45</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03" w:history="1">
            <w:r w:rsidR="004A421F" w:rsidRPr="0071546E">
              <w:rPr>
                <w:rStyle w:val="Hyperlink"/>
                <w:noProof/>
              </w:rPr>
              <w:t>1.5.6 Porphyrins used for the present study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_Toc14711403 \h </w:instrText>
            </w:r>
            <w:r w:rsidR="004A421F" w:rsidRPr="0071546E">
              <w:rPr>
                <w:noProof/>
                <w:webHidden/>
              </w:rPr>
            </w:r>
            <w:r w:rsidR="004A421F" w:rsidRPr="0071546E">
              <w:rPr>
                <w:noProof/>
                <w:webHidden/>
              </w:rPr>
              <w:fldChar w:fldCharType="separate"/>
            </w:r>
            <w:r w:rsidR="004A421F" w:rsidRPr="0071546E">
              <w:rPr>
                <w:noProof/>
                <w:webHidden/>
              </w:rPr>
              <w:t>45</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04" w:history="1">
            <w:r w:rsidR="004A421F" w:rsidRPr="0071546E">
              <w:rPr>
                <w:rStyle w:val="Hyperlink"/>
                <w:noProof/>
              </w:rPr>
              <w:t>1.5.7 Toxicity of porphyrins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_Toc14711404 \h </w:instrText>
            </w:r>
            <w:r w:rsidR="004A421F" w:rsidRPr="0071546E">
              <w:rPr>
                <w:noProof/>
                <w:webHidden/>
              </w:rPr>
            </w:r>
            <w:r w:rsidR="004A421F" w:rsidRPr="0071546E">
              <w:rPr>
                <w:noProof/>
                <w:webHidden/>
              </w:rPr>
              <w:fldChar w:fldCharType="separate"/>
            </w:r>
            <w:r w:rsidR="004A421F" w:rsidRPr="0071546E">
              <w:rPr>
                <w:noProof/>
                <w:webHidden/>
              </w:rPr>
              <w:t>51</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05" w:history="1">
            <w:r w:rsidR="004A421F" w:rsidRPr="0071546E">
              <w:rPr>
                <w:rStyle w:val="Hyperlink"/>
                <w:noProof/>
              </w:rPr>
              <w:t>1.5.8 Light delivery systems in PDT.</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_Toc14711405 \h </w:instrText>
            </w:r>
            <w:r w:rsidR="004A421F" w:rsidRPr="0071546E">
              <w:rPr>
                <w:noProof/>
                <w:webHidden/>
              </w:rPr>
            </w:r>
            <w:r w:rsidR="004A421F" w:rsidRPr="0071546E">
              <w:rPr>
                <w:noProof/>
                <w:webHidden/>
              </w:rPr>
              <w:fldChar w:fldCharType="separate"/>
            </w:r>
            <w:r w:rsidR="004A421F" w:rsidRPr="0071546E">
              <w:rPr>
                <w:noProof/>
                <w:webHidden/>
              </w:rPr>
              <w:t>52</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06" w:history="1">
            <w:r w:rsidR="004A421F" w:rsidRPr="0071546E">
              <w:rPr>
                <w:rStyle w:val="Hyperlink"/>
                <w:noProof/>
              </w:rPr>
              <w:t>1.6 Susceptibility test for high-throughput drug development.</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_Toc14711406 \h </w:instrText>
            </w:r>
            <w:r w:rsidR="004A421F" w:rsidRPr="0071546E">
              <w:rPr>
                <w:noProof/>
                <w:webHidden/>
              </w:rPr>
            </w:r>
            <w:r w:rsidR="004A421F" w:rsidRPr="0071546E">
              <w:rPr>
                <w:noProof/>
                <w:webHidden/>
              </w:rPr>
              <w:fldChar w:fldCharType="separate"/>
            </w:r>
            <w:r w:rsidR="004A421F" w:rsidRPr="0071546E">
              <w:rPr>
                <w:noProof/>
                <w:webHidden/>
              </w:rPr>
              <w:t>55</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07" w:history="1">
            <w:r w:rsidR="004A421F" w:rsidRPr="0071546E">
              <w:rPr>
                <w:rStyle w:val="Hyperlink"/>
                <w:noProof/>
              </w:rPr>
              <w:t>1.6.1 Cell viability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_Toc14711407 \h </w:instrText>
            </w:r>
            <w:r w:rsidR="004A421F" w:rsidRPr="0071546E">
              <w:rPr>
                <w:noProof/>
                <w:webHidden/>
              </w:rPr>
            </w:r>
            <w:r w:rsidR="004A421F" w:rsidRPr="0071546E">
              <w:rPr>
                <w:noProof/>
                <w:webHidden/>
              </w:rPr>
              <w:fldChar w:fldCharType="separate"/>
            </w:r>
            <w:r w:rsidR="004A421F" w:rsidRPr="0071546E">
              <w:rPr>
                <w:noProof/>
                <w:webHidden/>
              </w:rPr>
              <w:t>57</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08" w:history="1">
            <w:r w:rsidR="004A421F" w:rsidRPr="0071546E">
              <w:rPr>
                <w:rStyle w:val="Hyperlink"/>
                <w:noProof/>
              </w:rPr>
              <w:t>1.6.1.1 MTT (3-(4, 5-dimethyl thiazolyl-2)-2, 5-diphenyltetrazolium bromide) assay</w:t>
            </w:r>
            <w:r w:rsidR="004A421F" w:rsidRPr="0071546E">
              <w:rPr>
                <w:rStyle w:val="Hyperlink"/>
                <w:bCs/>
                <w:noProof/>
              </w:rPr>
              <w:t>.</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_Toc14711408 \h </w:instrText>
            </w:r>
            <w:r w:rsidR="004A421F" w:rsidRPr="0071546E">
              <w:rPr>
                <w:noProof/>
                <w:webHidden/>
              </w:rPr>
            </w:r>
            <w:r w:rsidR="004A421F" w:rsidRPr="0071546E">
              <w:rPr>
                <w:noProof/>
                <w:webHidden/>
              </w:rPr>
              <w:fldChar w:fldCharType="separate"/>
            </w:r>
            <w:r w:rsidR="004A421F" w:rsidRPr="0071546E">
              <w:rPr>
                <w:noProof/>
                <w:webHidden/>
              </w:rPr>
              <w:t>58</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09" w:history="1">
            <w:r w:rsidR="004A421F" w:rsidRPr="0071546E">
              <w:rPr>
                <w:rStyle w:val="Hyperlink"/>
                <w:noProof/>
              </w:rPr>
              <w:t>1.6.1.2 Fluorescein Diacetate viability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_Toc14711409 \h </w:instrText>
            </w:r>
            <w:r w:rsidR="004A421F" w:rsidRPr="0071546E">
              <w:rPr>
                <w:noProof/>
                <w:webHidden/>
              </w:rPr>
            </w:r>
            <w:r w:rsidR="004A421F" w:rsidRPr="0071546E">
              <w:rPr>
                <w:noProof/>
                <w:webHidden/>
              </w:rPr>
              <w:fldChar w:fldCharType="separate"/>
            </w:r>
            <w:r w:rsidR="004A421F" w:rsidRPr="0071546E">
              <w:rPr>
                <w:noProof/>
                <w:webHidden/>
              </w:rPr>
              <w:t>61</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10" w:history="1">
            <w:r w:rsidR="004A421F" w:rsidRPr="0071546E">
              <w:rPr>
                <w:rStyle w:val="Hyperlink"/>
                <w:noProof/>
              </w:rPr>
              <w:t>1.6.1.3 Alamar blue (resazurin) viability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_Toc14711410 \h </w:instrText>
            </w:r>
            <w:r w:rsidR="004A421F" w:rsidRPr="0071546E">
              <w:rPr>
                <w:noProof/>
                <w:webHidden/>
              </w:rPr>
            </w:r>
            <w:r w:rsidR="004A421F" w:rsidRPr="0071546E">
              <w:rPr>
                <w:noProof/>
                <w:webHidden/>
              </w:rPr>
              <w:fldChar w:fldCharType="separate"/>
            </w:r>
            <w:r w:rsidR="004A421F" w:rsidRPr="0071546E">
              <w:rPr>
                <w:noProof/>
                <w:webHidden/>
              </w:rPr>
              <w:t>63</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11" w:history="1">
            <w:r w:rsidR="004A421F" w:rsidRPr="0071546E">
              <w:rPr>
                <w:rStyle w:val="Hyperlink"/>
                <w:noProof/>
              </w:rPr>
              <w:t>1.6.1.4 The ATP bioluminescence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_Toc14711411 \h </w:instrText>
            </w:r>
            <w:r w:rsidR="004A421F" w:rsidRPr="0071546E">
              <w:rPr>
                <w:noProof/>
                <w:webHidden/>
              </w:rPr>
            </w:r>
            <w:r w:rsidR="004A421F" w:rsidRPr="0071546E">
              <w:rPr>
                <w:noProof/>
                <w:webHidden/>
              </w:rPr>
              <w:fldChar w:fldCharType="separate"/>
            </w:r>
            <w:r w:rsidR="004A421F" w:rsidRPr="0071546E">
              <w:rPr>
                <w:noProof/>
                <w:webHidden/>
              </w:rPr>
              <w:t>65</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12" w:history="1">
            <w:r w:rsidR="004A421F" w:rsidRPr="0071546E">
              <w:rPr>
                <w:rStyle w:val="Hyperlink"/>
                <w:noProof/>
              </w:rPr>
              <w:t>1.7 Cell lysis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_Toc14711412 \h </w:instrText>
            </w:r>
            <w:r w:rsidR="004A421F" w:rsidRPr="0071546E">
              <w:rPr>
                <w:noProof/>
                <w:webHidden/>
              </w:rPr>
            </w:r>
            <w:r w:rsidR="004A421F" w:rsidRPr="0071546E">
              <w:rPr>
                <w:noProof/>
                <w:webHidden/>
              </w:rPr>
              <w:fldChar w:fldCharType="separate"/>
            </w:r>
            <w:r w:rsidR="004A421F" w:rsidRPr="0071546E">
              <w:rPr>
                <w:noProof/>
                <w:webHidden/>
              </w:rPr>
              <w:t>67</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13" w:history="1">
            <w:r w:rsidR="004A421F" w:rsidRPr="0071546E">
              <w:rPr>
                <w:rStyle w:val="Hyperlink"/>
                <w:noProof/>
              </w:rPr>
              <w:t>1.7.1 Enzymatic lysis; Lysozyme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_Toc14711413 \h </w:instrText>
            </w:r>
            <w:r w:rsidR="004A421F" w:rsidRPr="0071546E">
              <w:rPr>
                <w:noProof/>
                <w:webHidden/>
              </w:rPr>
            </w:r>
            <w:r w:rsidR="004A421F" w:rsidRPr="0071546E">
              <w:rPr>
                <w:noProof/>
                <w:webHidden/>
              </w:rPr>
              <w:fldChar w:fldCharType="separate"/>
            </w:r>
            <w:r w:rsidR="004A421F" w:rsidRPr="0071546E">
              <w:rPr>
                <w:noProof/>
                <w:webHidden/>
              </w:rPr>
              <w:t>68</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14" w:history="1">
            <w:r w:rsidR="004A421F" w:rsidRPr="0071546E">
              <w:rPr>
                <w:rStyle w:val="Hyperlink"/>
                <w:noProof/>
              </w:rPr>
              <w:t>1.8.1 Povidone-iodine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_Toc14711414 \h </w:instrText>
            </w:r>
            <w:r w:rsidR="004A421F" w:rsidRPr="0071546E">
              <w:rPr>
                <w:noProof/>
                <w:webHidden/>
              </w:rPr>
            </w:r>
            <w:r w:rsidR="004A421F" w:rsidRPr="0071546E">
              <w:rPr>
                <w:noProof/>
                <w:webHidden/>
              </w:rPr>
              <w:fldChar w:fldCharType="separate"/>
            </w:r>
            <w:r w:rsidR="004A421F" w:rsidRPr="0071546E">
              <w:rPr>
                <w:noProof/>
                <w:webHidden/>
              </w:rPr>
              <w:t>71</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15" w:history="1">
            <w:r w:rsidR="004A421F" w:rsidRPr="0071546E">
              <w:rPr>
                <w:rStyle w:val="Hyperlink"/>
                <w:noProof/>
              </w:rPr>
              <w:t>1.8.2 Caspofungin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_Toc14711415 \h </w:instrText>
            </w:r>
            <w:r w:rsidR="004A421F" w:rsidRPr="0071546E">
              <w:rPr>
                <w:noProof/>
                <w:webHidden/>
              </w:rPr>
            </w:r>
            <w:r w:rsidR="004A421F" w:rsidRPr="0071546E">
              <w:rPr>
                <w:noProof/>
                <w:webHidden/>
              </w:rPr>
              <w:fldChar w:fldCharType="separate"/>
            </w:r>
            <w:r w:rsidR="004A421F" w:rsidRPr="0071546E">
              <w:rPr>
                <w:noProof/>
                <w:webHidden/>
              </w:rPr>
              <w:t>73</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16" w:history="1">
            <w:r w:rsidR="004A421F" w:rsidRPr="0071546E">
              <w:rPr>
                <w:rStyle w:val="Hyperlink"/>
                <w:noProof/>
              </w:rPr>
              <w:t>1.8.3 Amphotericin B</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_Toc14711416 \h </w:instrText>
            </w:r>
            <w:r w:rsidR="004A421F" w:rsidRPr="0071546E">
              <w:rPr>
                <w:noProof/>
                <w:webHidden/>
              </w:rPr>
            </w:r>
            <w:r w:rsidR="004A421F" w:rsidRPr="0071546E">
              <w:rPr>
                <w:noProof/>
                <w:webHidden/>
              </w:rPr>
              <w:fldChar w:fldCharType="separate"/>
            </w:r>
            <w:r w:rsidR="004A421F" w:rsidRPr="0071546E">
              <w:rPr>
                <w:noProof/>
                <w:webHidden/>
              </w:rPr>
              <w:t>75</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17" w:history="1">
            <w:r w:rsidR="004A421F" w:rsidRPr="0071546E">
              <w:rPr>
                <w:rStyle w:val="Hyperlink"/>
                <w:noProof/>
              </w:rPr>
              <w:t>1.8.4 Miltefosine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_Toc14711417 \h </w:instrText>
            </w:r>
            <w:r w:rsidR="004A421F" w:rsidRPr="0071546E">
              <w:rPr>
                <w:noProof/>
                <w:webHidden/>
              </w:rPr>
            </w:r>
            <w:r w:rsidR="004A421F" w:rsidRPr="0071546E">
              <w:rPr>
                <w:noProof/>
                <w:webHidden/>
              </w:rPr>
              <w:fldChar w:fldCharType="separate"/>
            </w:r>
            <w:r w:rsidR="004A421F" w:rsidRPr="0071546E">
              <w:rPr>
                <w:noProof/>
                <w:webHidden/>
              </w:rPr>
              <w:t>77</w:t>
            </w:r>
            <w:r w:rsidR="004A421F" w:rsidRPr="0071546E">
              <w:rPr>
                <w:noProof/>
                <w:webHidden/>
              </w:rPr>
              <w:fldChar w:fldCharType="end"/>
            </w:r>
          </w:hyperlink>
        </w:p>
        <w:p w:rsidR="004A421F" w:rsidRPr="0071546E" w:rsidRDefault="009B21F2">
          <w:pPr>
            <w:pStyle w:val="TOC1"/>
            <w:tabs>
              <w:tab w:val="right" w:leader="dot" w:pos="9016"/>
            </w:tabs>
            <w:rPr>
              <w:rFonts w:eastAsiaTheme="minorEastAsia"/>
              <w:noProof/>
              <w:lang w:eastAsia="en-GB"/>
            </w:rPr>
          </w:pPr>
          <w:hyperlink w:anchor="_Toc14711418" w:history="1">
            <w:r w:rsidR="004A421F" w:rsidRPr="0071546E">
              <w:rPr>
                <w:rStyle w:val="Hyperlink"/>
                <w:noProof/>
              </w:rPr>
              <w:t>2.0 Chapter overview</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_Toc14711418 \h </w:instrText>
            </w:r>
            <w:r w:rsidR="004A421F" w:rsidRPr="0071546E">
              <w:rPr>
                <w:noProof/>
                <w:webHidden/>
              </w:rPr>
            </w:r>
            <w:r w:rsidR="004A421F" w:rsidRPr="0071546E">
              <w:rPr>
                <w:noProof/>
                <w:webHidden/>
              </w:rPr>
              <w:fldChar w:fldCharType="separate"/>
            </w:r>
            <w:r w:rsidR="004A421F" w:rsidRPr="0071546E">
              <w:rPr>
                <w:noProof/>
                <w:webHidden/>
              </w:rPr>
              <w:t>80</w:t>
            </w:r>
            <w:r w:rsidR="004A421F" w:rsidRPr="0071546E">
              <w:rPr>
                <w:noProof/>
                <w:webHidden/>
              </w:rPr>
              <w:fldChar w:fldCharType="end"/>
            </w:r>
          </w:hyperlink>
        </w:p>
        <w:p w:rsidR="004A421F" w:rsidRPr="0071546E" w:rsidRDefault="009B21F2">
          <w:pPr>
            <w:pStyle w:val="TOC1"/>
            <w:tabs>
              <w:tab w:val="right" w:leader="dot" w:pos="9016"/>
            </w:tabs>
            <w:rPr>
              <w:rFonts w:eastAsiaTheme="minorEastAsia"/>
              <w:noProof/>
              <w:lang w:eastAsia="en-GB"/>
            </w:rPr>
          </w:pPr>
          <w:hyperlink w:anchor="_Toc14711419" w:history="1">
            <w:r w:rsidR="004A421F" w:rsidRPr="0071546E">
              <w:rPr>
                <w:rStyle w:val="Hyperlink"/>
                <w:noProof/>
              </w:rPr>
              <w:t>This chapter presents the materials and the protocols used for all experiment carried out in this research.</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_Toc14711419 \h </w:instrText>
            </w:r>
            <w:r w:rsidR="004A421F" w:rsidRPr="0071546E">
              <w:rPr>
                <w:noProof/>
                <w:webHidden/>
              </w:rPr>
            </w:r>
            <w:r w:rsidR="004A421F" w:rsidRPr="0071546E">
              <w:rPr>
                <w:noProof/>
                <w:webHidden/>
              </w:rPr>
              <w:fldChar w:fldCharType="separate"/>
            </w:r>
            <w:r w:rsidR="004A421F" w:rsidRPr="0071546E">
              <w:rPr>
                <w:noProof/>
                <w:webHidden/>
              </w:rPr>
              <w:t>80</w:t>
            </w:r>
            <w:r w:rsidR="004A421F" w:rsidRPr="0071546E">
              <w:rPr>
                <w:noProof/>
                <w:webHidden/>
              </w:rPr>
              <w:fldChar w:fldCharType="end"/>
            </w:r>
          </w:hyperlink>
        </w:p>
        <w:p w:rsidR="004A421F" w:rsidRPr="0071546E" w:rsidRDefault="009B21F2">
          <w:pPr>
            <w:pStyle w:val="TOC1"/>
            <w:tabs>
              <w:tab w:val="right" w:leader="dot" w:pos="9016"/>
            </w:tabs>
            <w:rPr>
              <w:rFonts w:eastAsiaTheme="minorEastAsia"/>
              <w:noProof/>
              <w:lang w:eastAsia="en-GB"/>
            </w:rPr>
          </w:pPr>
          <w:hyperlink w:anchor="_Toc14711420" w:history="1">
            <w:r w:rsidR="004A421F" w:rsidRPr="0071546E">
              <w:rPr>
                <w:rStyle w:val="Hyperlink"/>
                <w:noProof/>
              </w:rPr>
              <w:t>2.1 MATERIALS AND METHODS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_Toc14711420 \h </w:instrText>
            </w:r>
            <w:r w:rsidR="004A421F" w:rsidRPr="0071546E">
              <w:rPr>
                <w:noProof/>
                <w:webHidden/>
              </w:rPr>
            </w:r>
            <w:r w:rsidR="004A421F" w:rsidRPr="0071546E">
              <w:rPr>
                <w:noProof/>
                <w:webHidden/>
              </w:rPr>
              <w:fldChar w:fldCharType="separate"/>
            </w:r>
            <w:r w:rsidR="004A421F" w:rsidRPr="0071546E">
              <w:rPr>
                <w:noProof/>
                <w:webHidden/>
              </w:rPr>
              <w:t>81</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21" w:history="1">
            <w:r w:rsidR="004A421F" w:rsidRPr="0071546E">
              <w:rPr>
                <w:rStyle w:val="Hyperlink"/>
                <w:noProof/>
              </w:rPr>
              <w:t>2.1.1 Materials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_Toc14711421 \h </w:instrText>
            </w:r>
            <w:r w:rsidR="004A421F" w:rsidRPr="0071546E">
              <w:rPr>
                <w:noProof/>
                <w:webHidden/>
              </w:rPr>
            </w:r>
            <w:r w:rsidR="004A421F" w:rsidRPr="0071546E">
              <w:rPr>
                <w:noProof/>
                <w:webHidden/>
              </w:rPr>
              <w:fldChar w:fldCharType="separate"/>
            </w:r>
            <w:r w:rsidR="004A421F" w:rsidRPr="0071546E">
              <w:rPr>
                <w:noProof/>
                <w:webHidden/>
              </w:rPr>
              <w:t>81</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22" w:history="1">
            <w:r w:rsidR="004A421F" w:rsidRPr="0071546E">
              <w:rPr>
                <w:rStyle w:val="Hyperlink"/>
                <w:noProof/>
              </w:rPr>
              <w:t>2.1.3 Cell counting</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_Toc14711422 \h </w:instrText>
            </w:r>
            <w:r w:rsidR="004A421F" w:rsidRPr="0071546E">
              <w:rPr>
                <w:noProof/>
                <w:webHidden/>
              </w:rPr>
            </w:r>
            <w:r w:rsidR="004A421F" w:rsidRPr="0071546E">
              <w:rPr>
                <w:noProof/>
                <w:webHidden/>
              </w:rPr>
              <w:fldChar w:fldCharType="separate"/>
            </w:r>
            <w:r w:rsidR="004A421F" w:rsidRPr="0071546E">
              <w:rPr>
                <w:noProof/>
                <w:webHidden/>
              </w:rPr>
              <w:t>82</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23" w:history="1">
            <w:r w:rsidR="004A421F" w:rsidRPr="0071546E">
              <w:rPr>
                <w:rStyle w:val="Hyperlink"/>
                <w:noProof/>
              </w:rPr>
              <w:t xml:space="preserve">2.1.4 Cryogenic preservation of </w:t>
            </w:r>
            <w:r w:rsidR="004A421F" w:rsidRPr="0071546E">
              <w:rPr>
                <w:rStyle w:val="Hyperlink"/>
                <w:i/>
                <w:noProof/>
              </w:rPr>
              <w:t>Acanthamoeba</w:t>
            </w:r>
            <w:r w:rsidR="004A421F" w:rsidRPr="0071546E">
              <w:rPr>
                <w:rStyle w:val="Hyperlink"/>
                <w:noProof/>
              </w:rPr>
              <w:t xml:space="preserve"> cells.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_Toc14711423 \h </w:instrText>
            </w:r>
            <w:r w:rsidR="004A421F" w:rsidRPr="0071546E">
              <w:rPr>
                <w:noProof/>
                <w:webHidden/>
              </w:rPr>
            </w:r>
            <w:r w:rsidR="004A421F" w:rsidRPr="0071546E">
              <w:rPr>
                <w:noProof/>
                <w:webHidden/>
              </w:rPr>
              <w:fldChar w:fldCharType="separate"/>
            </w:r>
            <w:r w:rsidR="004A421F" w:rsidRPr="0071546E">
              <w:rPr>
                <w:noProof/>
                <w:webHidden/>
              </w:rPr>
              <w:t>83</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24" w:history="1">
            <w:r w:rsidR="004A421F" w:rsidRPr="0071546E">
              <w:rPr>
                <w:rStyle w:val="Hyperlink"/>
                <w:noProof/>
              </w:rPr>
              <w:t xml:space="preserve">2.1.5 Recovery of </w:t>
            </w:r>
            <w:r w:rsidR="004A421F" w:rsidRPr="0071546E">
              <w:rPr>
                <w:rStyle w:val="Hyperlink"/>
                <w:i/>
                <w:noProof/>
              </w:rPr>
              <w:t>Acanthamoeba</w:t>
            </w:r>
            <w:r w:rsidR="004A421F" w:rsidRPr="0071546E">
              <w:rPr>
                <w:rStyle w:val="Hyperlink"/>
                <w:noProof/>
              </w:rPr>
              <w:t xml:space="preserve"> cell from cryopreservation.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_Toc14711424 \h </w:instrText>
            </w:r>
            <w:r w:rsidR="004A421F" w:rsidRPr="0071546E">
              <w:rPr>
                <w:noProof/>
                <w:webHidden/>
              </w:rPr>
            </w:r>
            <w:r w:rsidR="004A421F" w:rsidRPr="0071546E">
              <w:rPr>
                <w:noProof/>
                <w:webHidden/>
              </w:rPr>
              <w:fldChar w:fldCharType="separate"/>
            </w:r>
            <w:r w:rsidR="004A421F" w:rsidRPr="0071546E">
              <w:rPr>
                <w:noProof/>
                <w:webHidden/>
              </w:rPr>
              <w:t>83</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25" w:history="1">
            <w:r w:rsidR="004A421F" w:rsidRPr="0071546E">
              <w:rPr>
                <w:rStyle w:val="Hyperlink"/>
                <w:noProof/>
              </w:rPr>
              <w:t xml:space="preserve">2.1.6 </w:t>
            </w:r>
            <w:r w:rsidR="004A421F" w:rsidRPr="0071546E">
              <w:rPr>
                <w:rStyle w:val="Hyperlink"/>
                <w:i/>
                <w:noProof/>
              </w:rPr>
              <w:t>Acanthamoeba</w:t>
            </w:r>
            <w:r w:rsidR="004A421F" w:rsidRPr="0071546E">
              <w:rPr>
                <w:rStyle w:val="Hyperlink"/>
                <w:noProof/>
              </w:rPr>
              <w:t xml:space="preserve"> growth curve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_Toc14711425 \h </w:instrText>
            </w:r>
            <w:r w:rsidR="004A421F" w:rsidRPr="0071546E">
              <w:rPr>
                <w:noProof/>
                <w:webHidden/>
              </w:rPr>
            </w:r>
            <w:r w:rsidR="004A421F" w:rsidRPr="0071546E">
              <w:rPr>
                <w:noProof/>
                <w:webHidden/>
              </w:rPr>
              <w:fldChar w:fldCharType="separate"/>
            </w:r>
            <w:r w:rsidR="004A421F" w:rsidRPr="0071546E">
              <w:rPr>
                <w:noProof/>
                <w:webHidden/>
              </w:rPr>
              <w:t>84</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26" w:history="1">
            <w:r w:rsidR="004A421F" w:rsidRPr="0071546E">
              <w:rPr>
                <w:rStyle w:val="Hyperlink"/>
                <w:noProof/>
              </w:rPr>
              <w:t>2.2 DNA extraction for polymerase chain reaction (PCR).</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_Toc14711426 \h </w:instrText>
            </w:r>
            <w:r w:rsidR="004A421F" w:rsidRPr="0071546E">
              <w:rPr>
                <w:noProof/>
                <w:webHidden/>
              </w:rPr>
            </w:r>
            <w:r w:rsidR="004A421F" w:rsidRPr="0071546E">
              <w:rPr>
                <w:noProof/>
                <w:webHidden/>
              </w:rPr>
              <w:fldChar w:fldCharType="separate"/>
            </w:r>
            <w:r w:rsidR="004A421F" w:rsidRPr="0071546E">
              <w:rPr>
                <w:noProof/>
                <w:webHidden/>
              </w:rPr>
              <w:t>85</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27" w:history="1">
            <w:r w:rsidR="004A421F" w:rsidRPr="0071546E">
              <w:rPr>
                <w:rStyle w:val="Hyperlink"/>
                <w:noProof/>
              </w:rPr>
              <w:t>2.2.1 Use of InstaGene matrix for DNA extraction.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_Toc14711427 \h </w:instrText>
            </w:r>
            <w:r w:rsidR="004A421F" w:rsidRPr="0071546E">
              <w:rPr>
                <w:noProof/>
                <w:webHidden/>
              </w:rPr>
            </w:r>
            <w:r w:rsidR="004A421F" w:rsidRPr="0071546E">
              <w:rPr>
                <w:noProof/>
                <w:webHidden/>
              </w:rPr>
              <w:fldChar w:fldCharType="separate"/>
            </w:r>
            <w:r w:rsidR="004A421F" w:rsidRPr="0071546E">
              <w:rPr>
                <w:noProof/>
                <w:webHidden/>
              </w:rPr>
              <w:t>85</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28" w:history="1">
            <w:r w:rsidR="004A421F" w:rsidRPr="0071546E">
              <w:rPr>
                <w:rStyle w:val="Hyperlink"/>
                <w:noProof/>
              </w:rPr>
              <w:t>2.2.2 DNA extraction by sonication.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_Toc14711428 \h </w:instrText>
            </w:r>
            <w:r w:rsidR="004A421F" w:rsidRPr="0071546E">
              <w:rPr>
                <w:noProof/>
                <w:webHidden/>
              </w:rPr>
            </w:r>
            <w:r w:rsidR="004A421F" w:rsidRPr="0071546E">
              <w:rPr>
                <w:noProof/>
                <w:webHidden/>
              </w:rPr>
              <w:fldChar w:fldCharType="separate"/>
            </w:r>
            <w:r w:rsidR="004A421F" w:rsidRPr="0071546E">
              <w:rPr>
                <w:noProof/>
                <w:webHidden/>
              </w:rPr>
              <w:t>86</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29" w:history="1">
            <w:r w:rsidR="004A421F" w:rsidRPr="0071546E">
              <w:rPr>
                <w:rStyle w:val="Hyperlink"/>
                <w:noProof/>
              </w:rPr>
              <w:t>2.2.3 DNA extraction by boiling</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_Toc14711429 \h </w:instrText>
            </w:r>
            <w:r w:rsidR="004A421F" w:rsidRPr="0071546E">
              <w:rPr>
                <w:noProof/>
                <w:webHidden/>
              </w:rPr>
            </w:r>
            <w:r w:rsidR="004A421F" w:rsidRPr="0071546E">
              <w:rPr>
                <w:noProof/>
                <w:webHidden/>
              </w:rPr>
              <w:fldChar w:fldCharType="separate"/>
            </w:r>
            <w:r w:rsidR="004A421F" w:rsidRPr="0071546E">
              <w:rPr>
                <w:noProof/>
                <w:webHidden/>
              </w:rPr>
              <w:t>86</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30" w:history="1">
            <w:r w:rsidR="004A421F" w:rsidRPr="0071546E">
              <w:rPr>
                <w:rStyle w:val="Hyperlink"/>
                <w:noProof/>
              </w:rPr>
              <w:t>2.2.4 Polymerase chain reaction.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_Toc14711430 \h </w:instrText>
            </w:r>
            <w:r w:rsidR="004A421F" w:rsidRPr="0071546E">
              <w:rPr>
                <w:noProof/>
                <w:webHidden/>
              </w:rPr>
            </w:r>
            <w:r w:rsidR="004A421F" w:rsidRPr="0071546E">
              <w:rPr>
                <w:noProof/>
                <w:webHidden/>
              </w:rPr>
              <w:fldChar w:fldCharType="separate"/>
            </w:r>
            <w:r w:rsidR="004A421F" w:rsidRPr="0071546E">
              <w:rPr>
                <w:noProof/>
                <w:webHidden/>
              </w:rPr>
              <w:t>87</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31" w:history="1">
            <w:r w:rsidR="004A421F" w:rsidRPr="0071546E">
              <w:rPr>
                <w:rStyle w:val="Hyperlink"/>
                <w:noProof/>
              </w:rPr>
              <w:t xml:space="preserve">2.2.5 Purification of extracted </w:t>
            </w:r>
            <w:r w:rsidR="004A421F" w:rsidRPr="0071546E">
              <w:rPr>
                <w:rStyle w:val="Hyperlink"/>
                <w:i/>
                <w:noProof/>
              </w:rPr>
              <w:t>Acanthamoeba</w:t>
            </w:r>
            <w:r w:rsidR="004A421F" w:rsidRPr="0071546E">
              <w:rPr>
                <w:rStyle w:val="Hyperlink"/>
                <w:noProof/>
              </w:rPr>
              <w:t xml:space="preserve"> DNA</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_Toc14711431 \h </w:instrText>
            </w:r>
            <w:r w:rsidR="004A421F" w:rsidRPr="0071546E">
              <w:rPr>
                <w:noProof/>
                <w:webHidden/>
              </w:rPr>
            </w:r>
            <w:r w:rsidR="004A421F" w:rsidRPr="0071546E">
              <w:rPr>
                <w:noProof/>
                <w:webHidden/>
              </w:rPr>
              <w:fldChar w:fldCharType="separate"/>
            </w:r>
            <w:r w:rsidR="004A421F" w:rsidRPr="0071546E">
              <w:rPr>
                <w:noProof/>
                <w:webHidden/>
              </w:rPr>
              <w:t>88</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32" w:history="1">
            <w:r w:rsidR="004A421F" w:rsidRPr="0071546E">
              <w:rPr>
                <w:rStyle w:val="Hyperlink"/>
                <w:noProof/>
              </w:rPr>
              <w:t xml:space="preserve">2.2.6 Sequencing of purified </w:t>
            </w:r>
            <w:r w:rsidR="004A421F" w:rsidRPr="0071546E">
              <w:rPr>
                <w:rStyle w:val="Hyperlink"/>
                <w:i/>
                <w:noProof/>
              </w:rPr>
              <w:t>Acanthamoeba</w:t>
            </w:r>
            <w:r w:rsidR="004A421F" w:rsidRPr="0071546E">
              <w:rPr>
                <w:rStyle w:val="Hyperlink"/>
                <w:noProof/>
              </w:rPr>
              <w:t xml:space="preserve"> DNA</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_Toc14711432 \h </w:instrText>
            </w:r>
            <w:r w:rsidR="004A421F" w:rsidRPr="0071546E">
              <w:rPr>
                <w:noProof/>
                <w:webHidden/>
              </w:rPr>
            </w:r>
            <w:r w:rsidR="004A421F" w:rsidRPr="0071546E">
              <w:rPr>
                <w:noProof/>
                <w:webHidden/>
              </w:rPr>
              <w:fldChar w:fldCharType="separate"/>
            </w:r>
            <w:r w:rsidR="004A421F" w:rsidRPr="0071546E">
              <w:rPr>
                <w:noProof/>
                <w:webHidden/>
              </w:rPr>
              <w:t>89</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33" w:history="1">
            <w:r w:rsidR="004A421F" w:rsidRPr="0071546E">
              <w:rPr>
                <w:rStyle w:val="Hyperlink"/>
                <w:noProof/>
              </w:rPr>
              <w:t>2.3 Viability assays.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_Toc14711433 \h </w:instrText>
            </w:r>
            <w:r w:rsidR="004A421F" w:rsidRPr="0071546E">
              <w:rPr>
                <w:noProof/>
                <w:webHidden/>
              </w:rPr>
            </w:r>
            <w:r w:rsidR="004A421F" w:rsidRPr="0071546E">
              <w:rPr>
                <w:noProof/>
                <w:webHidden/>
              </w:rPr>
              <w:fldChar w:fldCharType="separate"/>
            </w:r>
            <w:r w:rsidR="004A421F" w:rsidRPr="0071546E">
              <w:rPr>
                <w:noProof/>
                <w:webHidden/>
              </w:rPr>
              <w:t>89</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34" w:history="1">
            <w:r w:rsidR="004A421F" w:rsidRPr="0071546E">
              <w:rPr>
                <w:rStyle w:val="Hyperlink"/>
                <w:noProof/>
              </w:rPr>
              <w:t>2.3.1 Fluorescein diacetate (FDA) viability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_Toc14711434 \h </w:instrText>
            </w:r>
            <w:r w:rsidR="004A421F" w:rsidRPr="0071546E">
              <w:rPr>
                <w:noProof/>
                <w:webHidden/>
              </w:rPr>
            </w:r>
            <w:r w:rsidR="004A421F" w:rsidRPr="0071546E">
              <w:rPr>
                <w:noProof/>
                <w:webHidden/>
              </w:rPr>
              <w:fldChar w:fldCharType="separate"/>
            </w:r>
            <w:r w:rsidR="004A421F" w:rsidRPr="0071546E">
              <w:rPr>
                <w:noProof/>
                <w:webHidden/>
              </w:rPr>
              <w:t>89</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35" w:history="1">
            <w:r w:rsidR="004A421F" w:rsidRPr="0071546E">
              <w:rPr>
                <w:rStyle w:val="Hyperlink"/>
                <w:noProof/>
              </w:rPr>
              <w:t>2.3.2 Resazurin cell concentration curve.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_Toc14711435 \h </w:instrText>
            </w:r>
            <w:r w:rsidR="004A421F" w:rsidRPr="0071546E">
              <w:rPr>
                <w:noProof/>
                <w:webHidden/>
              </w:rPr>
            </w:r>
            <w:r w:rsidR="004A421F" w:rsidRPr="0071546E">
              <w:rPr>
                <w:noProof/>
                <w:webHidden/>
              </w:rPr>
              <w:fldChar w:fldCharType="separate"/>
            </w:r>
            <w:r w:rsidR="004A421F" w:rsidRPr="0071546E">
              <w:rPr>
                <w:noProof/>
                <w:webHidden/>
              </w:rPr>
              <w:t>90</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36" w:history="1">
            <w:r w:rsidR="004A421F" w:rsidRPr="0071546E">
              <w:rPr>
                <w:rStyle w:val="Hyperlink"/>
                <w:noProof/>
              </w:rPr>
              <w:t>2.3.4 Adenosine triphosphate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_Toc14711436 \h </w:instrText>
            </w:r>
            <w:r w:rsidR="004A421F" w:rsidRPr="0071546E">
              <w:rPr>
                <w:noProof/>
                <w:webHidden/>
              </w:rPr>
            </w:r>
            <w:r w:rsidR="004A421F" w:rsidRPr="0071546E">
              <w:rPr>
                <w:noProof/>
                <w:webHidden/>
              </w:rPr>
              <w:fldChar w:fldCharType="separate"/>
            </w:r>
            <w:r w:rsidR="004A421F" w:rsidRPr="0071546E">
              <w:rPr>
                <w:noProof/>
                <w:webHidden/>
              </w:rPr>
              <w:t>91</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37" w:history="1">
            <w:r w:rsidR="004A421F" w:rsidRPr="0071546E">
              <w:rPr>
                <w:rStyle w:val="Hyperlink"/>
                <w:noProof/>
              </w:rPr>
              <w:t xml:space="preserve">2.3.5 Lysis of </w:t>
            </w:r>
            <w:r w:rsidR="004A421F" w:rsidRPr="0071546E">
              <w:rPr>
                <w:rStyle w:val="Hyperlink"/>
                <w:i/>
                <w:noProof/>
              </w:rPr>
              <w:t>Acanthamoeba</w:t>
            </w:r>
            <w:r w:rsidR="004A421F" w:rsidRPr="0071546E">
              <w:rPr>
                <w:rStyle w:val="Hyperlink"/>
                <w:noProof/>
              </w:rPr>
              <w:t xml:space="preserve"> cyst</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_Toc14711437 \h </w:instrText>
            </w:r>
            <w:r w:rsidR="004A421F" w:rsidRPr="0071546E">
              <w:rPr>
                <w:noProof/>
                <w:webHidden/>
              </w:rPr>
            </w:r>
            <w:r w:rsidR="004A421F" w:rsidRPr="0071546E">
              <w:rPr>
                <w:noProof/>
                <w:webHidden/>
              </w:rPr>
              <w:fldChar w:fldCharType="separate"/>
            </w:r>
            <w:r w:rsidR="004A421F" w:rsidRPr="0071546E">
              <w:rPr>
                <w:noProof/>
                <w:webHidden/>
              </w:rPr>
              <w:t>92</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38" w:history="1">
            <w:r w:rsidR="004A421F" w:rsidRPr="0071546E">
              <w:rPr>
                <w:rStyle w:val="Hyperlink"/>
                <w:noProof/>
              </w:rPr>
              <w:t xml:space="preserve">2.3.5.1 Sonication of </w:t>
            </w:r>
            <w:r w:rsidR="004A421F" w:rsidRPr="0071546E">
              <w:rPr>
                <w:rStyle w:val="Hyperlink"/>
                <w:i/>
                <w:noProof/>
              </w:rPr>
              <w:t>Acanthamoeba</w:t>
            </w:r>
            <w:r w:rsidR="004A421F" w:rsidRPr="0071546E">
              <w:rPr>
                <w:rStyle w:val="Hyperlink"/>
                <w:noProof/>
              </w:rPr>
              <w:t xml:space="preserve"> cysts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_Toc14711438 \h </w:instrText>
            </w:r>
            <w:r w:rsidR="004A421F" w:rsidRPr="0071546E">
              <w:rPr>
                <w:noProof/>
                <w:webHidden/>
              </w:rPr>
            </w:r>
            <w:r w:rsidR="004A421F" w:rsidRPr="0071546E">
              <w:rPr>
                <w:noProof/>
                <w:webHidden/>
              </w:rPr>
              <w:fldChar w:fldCharType="separate"/>
            </w:r>
            <w:r w:rsidR="004A421F" w:rsidRPr="0071546E">
              <w:rPr>
                <w:noProof/>
                <w:webHidden/>
              </w:rPr>
              <w:t>92</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39" w:history="1">
            <w:r w:rsidR="004A421F" w:rsidRPr="0071546E">
              <w:rPr>
                <w:rStyle w:val="Hyperlink"/>
                <w:noProof/>
              </w:rPr>
              <w:t xml:space="preserve">2.4.5 Lysis of </w:t>
            </w:r>
            <w:r w:rsidR="004A421F" w:rsidRPr="0071546E">
              <w:rPr>
                <w:rStyle w:val="Hyperlink"/>
                <w:i/>
                <w:noProof/>
              </w:rPr>
              <w:t>Acanthamoeba</w:t>
            </w:r>
            <w:r w:rsidR="004A421F" w:rsidRPr="0071546E">
              <w:rPr>
                <w:rStyle w:val="Hyperlink"/>
                <w:noProof/>
              </w:rPr>
              <w:t xml:space="preserve"> cysts with lysozyme.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_Toc14711439 \h </w:instrText>
            </w:r>
            <w:r w:rsidR="004A421F" w:rsidRPr="0071546E">
              <w:rPr>
                <w:noProof/>
                <w:webHidden/>
              </w:rPr>
            </w:r>
            <w:r w:rsidR="004A421F" w:rsidRPr="0071546E">
              <w:rPr>
                <w:noProof/>
                <w:webHidden/>
              </w:rPr>
              <w:fldChar w:fldCharType="separate"/>
            </w:r>
            <w:r w:rsidR="004A421F" w:rsidRPr="0071546E">
              <w:rPr>
                <w:noProof/>
                <w:webHidden/>
              </w:rPr>
              <w:t>93</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40" w:history="1">
            <w:r w:rsidR="004A421F" w:rsidRPr="0071546E">
              <w:rPr>
                <w:rStyle w:val="Hyperlink"/>
                <w:noProof/>
              </w:rPr>
              <w:t>2.5.1 Fixation procedure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_Toc14711440 \h </w:instrText>
            </w:r>
            <w:r w:rsidR="004A421F" w:rsidRPr="0071546E">
              <w:rPr>
                <w:noProof/>
                <w:webHidden/>
              </w:rPr>
            </w:r>
            <w:r w:rsidR="004A421F" w:rsidRPr="0071546E">
              <w:rPr>
                <w:noProof/>
                <w:webHidden/>
              </w:rPr>
              <w:fldChar w:fldCharType="separate"/>
            </w:r>
            <w:r w:rsidR="004A421F" w:rsidRPr="0071546E">
              <w:rPr>
                <w:noProof/>
                <w:webHidden/>
              </w:rPr>
              <w:t>95</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41" w:history="1">
            <w:r w:rsidR="004A421F" w:rsidRPr="0071546E">
              <w:rPr>
                <w:rStyle w:val="Hyperlink"/>
                <w:noProof/>
              </w:rPr>
              <w:t>2.5.2 Dehydration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_Toc14711441 \h </w:instrText>
            </w:r>
            <w:r w:rsidR="004A421F" w:rsidRPr="0071546E">
              <w:rPr>
                <w:noProof/>
                <w:webHidden/>
              </w:rPr>
            </w:r>
            <w:r w:rsidR="004A421F" w:rsidRPr="0071546E">
              <w:rPr>
                <w:noProof/>
                <w:webHidden/>
              </w:rPr>
              <w:fldChar w:fldCharType="separate"/>
            </w:r>
            <w:r w:rsidR="004A421F" w:rsidRPr="0071546E">
              <w:rPr>
                <w:noProof/>
                <w:webHidden/>
              </w:rPr>
              <w:t>96</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42" w:history="1">
            <w:r w:rsidR="004A421F" w:rsidRPr="0071546E">
              <w:rPr>
                <w:rStyle w:val="Hyperlink"/>
                <w:noProof/>
              </w:rPr>
              <w:t>2.6 Optimisation of ATP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_Toc14711442 \h </w:instrText>
            </w:r>
            <w:r w:rsidR="004A421F" w:rsidRPr="0071546E">
              <w:rPr>
                <w:noProof/>
                <w:webHidden/>
              </w:rPr>
            </w:r>
            <w:r w:rsidR="004A421F" w:rsidRPr="0071546E">
              <w:rPr>
                <w:noProof/>
                <w:webHidden/>
              </w:rPr>
              <w:fldChar w:fldCharType="separate"/>
            </w:r>
            <w:r w:rsidR="004A421F" w:rsidRPr="0071546E">
              <w:rPr>
                <w:noProof/>
                <w:webHidden/>
              </w:rPr>
              <w:t>97</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43" w:history="1">
            <w:r w:rsidR="004A421F" w:rsidRPr="0071546E">
              <w:rPr>
                <w:rStyle w:val="Hyperlink"/>
                <w:noProof/>
              </w:rPr>
              <w:t>2.6.1 Stability of ATP after storage.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_Toc14711443 \h </w:instrText>
            </w:r>
            <w:r w:rsidR="004A421F" w:rsidRPr="0071546E">
              <w:rPr>
                <w:noProof/>
                <w:webHidden/>
              </w:rPr>
            </w:r>
            <w:r w:rsidR="004A421F" w:rsidRPr="0071546E">
              <w:rPr>
                <w:noProof/>
                <w:webHidden/>
              </w:rPr>
              <w:fldChar w:fldCharType="separate"/>
            </w:r>
            <w:r w:rsidR="004A421F" w:rsidRPr="0071546E">
              <w:rPr>
                <w:noProof/>
                <w:webHidden/>
              </w:rPr>
              <w:t>98</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44" w:history="1">
            <w:r w:rsidR="004A421F" w:rsidRPr="0071546E">
              <w:rPr>
                <w:rStyle w:val="Hyperlink"/>
                <w:noProof/>
              </w:rPr>
              <w:t>2.6.2 Effects of solvents on ATP and luciferase enzyme reaction.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_Toc14711444 \h </w:instrText>
            </w:r>
            <w:r w:rsidR="004A421F" w:rsidRPr="0071546E">
              <w:rPr>
                <w:noProof/>
                <w:webHidden/>
              </w:rPr>
            </w:r>
            <w:r w:rsidR="004A421F" w:rsidRPr="0071546E">
              <w:rPr>
                <w:noProof/>
                <w:webHidden/>
              </w:rPr>
              <w:fldChar w:fldCharType="separate"/>
            </w:r>
            <w:r w:rsidR="004A421F" w:rsidRPr="0071546E">
              <w:rPr>
                <w:noProof/>
                <w:webHidden/>
              </w:rPr>
              <w:t>99</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45" w:history="1">
            <w:r w:rsidR="004A421F" w:rsidRPr="0071546E">
              <w:rPr>
                <w:rStyle w:val="Hyperlink"/>
                <w:noProof/>
              </w:rPr>
              <w:t>2.6.3 ATP calibrations curves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_Toc14711445 \h </w:instrText>
            </w:r>
            <w:r w:rsidR="004A421F" w:rsidRPr="0071546E">
              <w:rPr>
                <w:noProof/>
                <w:webHidden/>
              </w:rPr>
            </w:r>
            <w:r w:rsidR="004A421F" w:rsidRPr="0071546E">
              <w:rPr>
                <w:noProof/>
                <w:webHidden/>
              </w:rPr>
              <w:fldChar w:fldCharType="separate"/>
            </w:r>
            <w:r w:rsidR="004A421F" w:rsidRPr="0071546E">
              <w:rPr>
                <w:noProof/>
                <w:webHidden/>
              </w:rPr>
              <w:t>99</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46" w:history="1">
            <w:r w:rsidR="004A421F" w:rsidRPr="0071546E">
              <w:rPr>
                <w:rStyle w:val="Hyperlink"/>
                <w:noProof/>
              </w:rPr>
              <w:t>2.7 Methods Validation (Drug assays)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_Toc14711446 \h </w:instrText>
            </w:r>
            <w:r w:rsidR="004A421F" w:rsidRPr="0071546E">
              <w:rPr>
                <w:noProof/>
                <w:webHidden/>
              </w:rPr>
            </w:r>
            <w:r w:rsidR="004A421F" w:rsidRPr="0071546E">
              <w:rPr>
                <w:noProof/>
                <w:webHidden/>
              </w:rPr>
              <w:fldChar w:fldCharType="separate"/>
            </w:r>
            <w:r w:rsidR="004A421F" w:rsidRPr="0071546E">
              <w:rPr>
                <w:noProof/>
                <w:webHidden/>
              </w:rPr>
              <w:t>100</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47" w:history="1">
            <w:r w:rsidR="004A421F" w:rsidRPr="0071546E">
              <w:rPr>
                <w:rStyle w:val="Hyperlink"/>
                <w:noProof/>
              </w:rPr>
              <w:t>2.7.1 Povidone-iodine drug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_Toc14711447 \h </w:instrText>
            </w:r>
            <w:r w:rsidR="004A421F" w:rsidRPr="0071546E">
              <w:rPr>
                <w:noProof/>
                <w:webHidden/>
              </w:rPr>
            </w:r>
            <w:r w:rsidR="004A421F" w:rsidRPr="0071546E">
              <w:rPr>
                <w:noProof/>
                <w:webHidden/>
              </w:rPr>
              <w:fldChar w:fldCharType="separate"/>
            </w:r>
            <w:r w:rsidR="004A421F" w:rsidRPr="0071546E">
              <w:rPr>
                <w:noProof/>
                <w:webHidden/>
              </w:rPr>
              <w:t>100</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48" w:history="1">
            <w:r w:rsidR="004A421F" w:rsidRPr="0071546E">
              <w:rPr>
                <w:rStyle w:val="Hyperlink"/>
                <w:noProof/>
              </w:rPr>
              <w:t>2.7.2 Caspofungin drug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_Toc14711448 \h </w:instrText>
            </w:r>
            <w:r w:rsidR="004A421F" w:rsidRPr="0071546E">
              <w:rPr>
                <w:noProof/>
                <w:webHidden/>
              </w:rPr>
            </w:r>
            <w:r w:rsidR="004A421F" w:rsidRPr="0071546E">
              <w:rPr>
                <w:noProof/>
                <w:webHidden/>
              </w:rPr>
              <w:fldChar w:fldCharType="separate"/>
            </w:r>
            <w:r w:rsidR="004A421F" w:rsidRPr="0071546E">
              <w:rPr>
                <w:noProof/>
                <w:webHidden/>
              </w:rPr>
              <w:t>101</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49" w:history="1">
            <w:r w:rsidR="004A421F" w:rsidRPr="0071546E">
              <w:rPr>
                <w:rStyle w:val="Hyperlink"/>
                <w:noProof/>
              </w:rPr>
              <w:t>2.7.4 Miltefosine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_Toc14711449 \h </w:instrText>
            </w:r>
            <w:r w:rsidR="004A421F" w:rsidRPr="0071546E">
              <w:rPr>
                <w:noProof/>
                <w:webHidden/>
              </w:rPr>
            </w:r>
            <w:r w:rsidR="004A421F" w:rsidRPr="0071546E">
              <w:rPr>
                <w:noProof/>
                <w:webHidden/>
              </w:rPr>
              <w:fldChar w:fldCharType="separate"/>
            </w:r>
            <w:r w:rsidR="004A421F" w:rsidRPr="0071546E">
              <w:rPr>
                <w:noProof/>
                <w:webHidden/>
              </w:rPr>
              <w:t>102</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50" w:history="1">
            <w:r w:rsidR="004A421F" w:rsidRPr="0071546E">
              <w:rPr>
                <w:rStyle w:val="Hyperlink"/>
                <w:noProof/>
              </w:rPr>
              <w:t>2.8.1 Toluidine blue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_Toc14711450 \h </w:instrText>
            </w:r>
            <w:r w:rsidR="004A421F" w:rsidRPr="0071546E">
              <w:rPr>
                <w:noProof/>
                <w:webHidden/>
              </w:rPr>
            </w:r>
            <w:r w:rsidR="004A421F" w:rsidRPr="0071546E">
              <w:rPr>
                <w:noProof/>
                <w:webHidden/>
              </w:rPr>
              <w:fldChar w:fldCharType="separate"/>
            </w:r>
            <w:r w:rsidR="004A421F" w:rsidRPr="0071546E">
              <w:rPr>
                <w:noProof/>
                <w:webHidden/>
              </w:rPr>
              <w:t>104</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51" w:history="1">
            <w:r w:rsidR="004A421F" w:rsidRPr="0071546E">
              <w:rPr>
                <w:rStyle w:val="Hyperlink"/>
                <w:noProof/>
              </w:rPr>
              <w:t xml:space="preserve">2.8.2 The kinetics of porphyrin accumulation in </w:t>
            </w:r>
            <w:r w:rsidR="004A421F" w:rsidRPr="0071546E">
              <w:rPr>
                <w:rStyle w:val="Hyperlink"/>
                <w:i/>
                <w:noProof/>
              </w:rPr>
              <w:t>Acanthamoeba</w:t>
            </w:r>
            <w:r w:rsidR="004A421F" w:rsidRPr="0071546E">
              <w:rPr>
                <w:rStyle w:val="Hyperlink"/>
                <w:noProof/>
              </w:rPr>
              <w:t xml:space="preserve"> cells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_Toc14711451 \h </w:instrText>
            </w:r>
            <w:r w:rsidR="004A421F" w:rsidRPr="0071546E">
              <w:rPr>
                <w:noProof/>
                <w:webHidden/>
              </w:rPr>
            </w:r>
            <w:r w:rsidR="004A421F" w:rsidRPr="0071546E">
              <w:rPr>
                <w:noProof/>
                <w:webHidden/>
              </w:rPr>
              <w:fldChar w:fldCharType="separate"/>
            </w:r>
            <w:r w:rsidR="004A421F" w:rsidRPr="0071546E">
              <w:rPr>
                <w:noProof/>
                <w:webHidden/>
              </w:rPr>
              <w:t>106</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52" w:history="1">
            <w:r w:rsidR="004A421F" w:rsidRPr="0071546E">
              <w:rPr>
                <w:rStyle w:val="Hyperlink"/>
                <w:noProof/>
              </w:rPr>
              <w:t xml:space="preserve">2.8.3 Uptake of porphyrins by </w:t>
            </w:r>
            <w:r w:rsidR="004A421F" w:rsidRPr="0071546E">
              <w:rPr>
                <w:rStyle w:val="Hyperlink"/>
                <w:i/>
                <w:noProof/>
              </w:rPr>
              <w:t>Acanthamoeba</w:t>
            </w:r>
            <w:r w:rsidR="004A421F" w:rsidRPr="0071546E">
              <w:rPr>
                <w:rStyle w:val="Hyperlink"/>
                <w:noProof/>
              </w:rPr>
              <w:t xml:space="preserve"> cells.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_Toc14711452 \h </w:instrText>
            </w:r>
            <w:r w:rsidR="004A421F" w:rsidRPr="0071546E">
              <w:rPr>
                <w:noProof/>
                <w:webHidden/>
              </w:rPr>
            </w:r>
            <w:r w:rsidR="004A421F" w:rsidRPr="0071546E">
              <w:rPr>
                <w:noProof/>
                <w:webHidden/>
              </w:rPr>
              <w:fldChar w:fldCharType="separate"/>
            </w:r>
            <w:r w:rsidR="004A421F" w:rsidRPr="0071546E">
              <w:rPr>
                <w:noProof/>
                <w:webHidden/>
              </w:rPr>
              <w:t>106</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53" w:history="1">
            <w:r w:rsidR="004A421F" w:rsidRPr="0071546E">
              <w:rPr>
                <w:rStyle w:val="Hyperlink"/>
                <w:noProof/>
              </w:rPr>
              <w:t>2.8.4 Excitation and emission spectrum of porphyrins.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_Toc14711453 \h </w:instrText>
            </w:r>
            <w:r w:rsidR="004A421F" w:rsidRPr="0071546E">
              <w:rPr>
                <w:noProof/>
                <w:webHidden/>
              </w:rPr>
            </w:r>
            <w:r w:rsidR="004A421F" w:rsidRPr="0071546E">
              <w:rPr>
                <w:noProof/>
                <w:webHidden/>
              </w:rPr>
              <w:fldChar w:fldCharType="separate"/>
            </w:r>
            <w:r w:rsidR="004A421F" w:rsidRPr="0071546E">
              <w:rPr>
                <w:noProof/>
                <w:webHidden/>
              </w:rPr>
              <w:t>108</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54" w:history="1">
            <w:r w:rsidR="004A421F" w:rsidRPr="0071546E">
              <w:rPr>
                <w:rStyle w:val="Hyperlink"/>
                <w:noProof/>
              </w:rPr>
              <w:t>2.8.3 Porphyrin concentration curve.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_Toc14711454 \h </w:instrText>
            </w:r>
            <w:r w:rsidR="004A421F" w:rsidRPr="0071546E">
              <w:rPr>
                <w:noProof/>
                <w:webHidden/>
              </w:rPr>
            </w:r>
            <w:r w:rsidR="004A421F" w:rsidRPr="0071546E">
              <w:rPr>
                <w:noProof/>
                <w:webHidden/>
              </w:rPr>
              <w:fldChar w:fldCharType="separate"/>
            </w:r>
            <w:r w:rsidR="004A421F" w:rsidRPr="0071546E">
              <w:rPr>
                <w:noProof/>
                <w:webHidden/>
              </w:rPr>
              <w:t>109</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55" w:history="1">
            <w:r w:rsidR="004A421F" w:rsidRPr="0071546E">
              <w:rPr>
                <w:rStyle w:val="Hyperlink"/>
                <w:noProof/>
              </w:rPr>
              <w:t>2.8.4 Photosensitizer preparation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_Toc14711455 \h </w:instrText>
            </w:r>
            <w:r w:rsidR="004A421F" w:rsidRPr="0071546E">
              <w:rPr>
                <w:noProof/>
                <w:webHidden/>
              </w:rPr>
            </w:r>
            <w:r w:rsidR="004A421F" w:rsidRPr="0071546E">
              <w:rPr>
                <w:noProof/>
                <w:webHidden/>
              </w:rPr>
              <w:fldChar w:fldCharType="separate"/>
            </w:r>
            <w:r w:rsidR="004A421F" w:rsidRPr="0071546E">
              <w:rPr>
                <w:noProof/>
                <w:webHidden/>
              </w:rPr>
              <w:t>109</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56" w:history="1">
            <w:r w:rsidR="004A421F" w:rsidRPr="0071546E">
              <w:rPr>
                <w:rStyle w:val="Hyperlink"/>
                <w:noProof/>
              </w:rPr>
              <w:t>2.8.5 Porphyrin PDT; Irradiation procedure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_Toc14711456 \h </w:instrText>
            </w:r>
            <w:r w:rsidR="004A421F" w:rsidRPr="0071546E">
              <w:rPr>
                <w:noProof/>
                <w:webHidden/>
              </w:rPr>
            </w:r>
            <w:r w:rsidR="004A421F" w:rsidRPr="0071546E">
              <w:rPr>
                <w:noProof/>
                <w:webHidden/>
              </w:rPr>
              <w:fldChar w:fldCharType="separate"/>
            </w:r>
            <w:r w:rsidR="004A421F" w:rsidRPr="0071546E">
              <w:rPr>
                <w:noProof/>
                <w:webHidden/>
              </w:rPr>
              <w:t>110</w:t>
            </w:r>
            <w:r w:rsidR="004A421F" w:rsidRPr="0071546E">
              <w:rPr>
                <w:noProof/>
                <w:webHidden/>
              </w:rPr>
              <w:fldChar w:fldCharType="end"/>
            </w:r>
          </w:hyperlink>
        </w:p>
        <w:p w:rsidR="004A421F" w:rsidRPr="0071546E" w:rsidRDefault="009B21F2">
          <w:pPr>
            <w:pStyle w:val="TOC1"/>
            <w:tabs>
              <w:tab w:val="right" w:leader="dot" w:pos="9016"/>
            </w:tabs>
            <w:rPr>
              <w:rFonts w:eastAsiaTheme="minorEastAsia"/>
              <w:noProof/>
              <w:lang w:eastAsia="en-GB"/>
            </w:rPr>
          </w:pPr>
          <w:hyperlink w:anchor="_Toc14711457" w:history="1">
            <w:r w:rsidR="004A421F" w:rsidRPr="0071546E">
              <w:rPr>
                <w:rStyle w:val="Hyperlink"/>
                <w:noProof/>
              </w:rPr>
              <w:t>Chapter 3</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_Toc14711457 \h </w:instrText>
            </w:r>
            <w:r w:rsidR="004A421F" w:rsidRPr="0071546E">
              <w:rPr>
                <w:noProof/>
                <w:webHidden/>
              </w:rPr>
            </w:r>
            <w:r w:rsidR="004A421F" w:rsidRPr="0071546E">
              <w:rPr>
                <w:noProof/>
                <w:webHidden/>
              </w:rPr>
              <w:fldChar w:fldCharType="separate"/>
            </w:r>
            <w:r w:rsidR="004A421F" w:rsidRPr="0071546E">
              <w:rPr>
                <w:noProof/>
                <w:webHidden/>
              </w:rPr>
              <w:t>114</w:t>
            </w:r>
            <w:r w:rsidR="004A421F" w:rsidRPr="0071546E">
              <w:rPr>
                <w:noProof/>
                <w:webHidden/>
              </w:rPr>
              <w:fldChar w:fldCharType="end"/>
            </w:r>
          </w:hyperlink>
        </w:p>
        <w:p w:rsidR="004A421F" w:rsidRPr="0071546E" w:rsidRDefault="009B21F2">
          <w:pPr>
            <w:pStyle w:val="TOC1"/>
            <w:tabs>
              <w:tab w:val="right" w:leader="dot" w:pos="9016"/>
            </w:tabs>
            <w:rPr>
              <w:rFonts w:eastAsiaTheme="minorEastAsia"/>
              <w:noProof/>
              <w:lang w:eastAsia="en-GB"/>
            </w:rPr>
          </w:pPr>
          <w:hyperlink w:anchor="_Toc14711458" w:history="1">
            <w:r w:rsidR="004A421F" w:rsidRPr="0071546E">
              <w:rPr>
                <w:rStyle w:val="Hyperlink"/>
                <w:noProof/>
              </w:rPr>
              <w:t>3.0 Overview of the chapter.</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_Toc14711458 \h </w:instrText>
            </w:r>
            <w:r w:rsidR="004A421F" w:rsidRPr="0071546E">
              <w:rPr>
                <w:noProof/>
                <w:webHidden/>
              </w:rPr>
            </w:r>
            <w:r w:rsidR="004A421F" w:rsidRPr="0071546E">
              <w:rPr>
                <w:noProof/>
                <w:webHidden/>
              </w:rPr>
              <w:fldChar w:fldCharType="separate"/>
            </w:r>
            <w:r w:rsidR="004A421F" w:rsidRPr="0071546E">
              <w:rPr>
                <w:noProof/>
                <w:webHidden/>
              </w:rPr>
              <w:t>114</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59" w:history="1">
            <w:r w:rsidR="004A421F" w:rsidRPr="0071546E">
              <w:rPr>
                <w:rStyle w:val="Hyperlink"/>
                <w:noProof/>
              </w:rPr>
              <w:t xml:space="preserve">3.1 Characterisation of </w:t>
            </w:r>
            <w:r w:rsidR="004A421F" w:rsidRPr="0071546E">
              <w:rPr>
                <w:rStyle w:val="Hyperlink"/>
                <w:i/>
                <w:noProof/>
              </w:rPr>
              <w:t>Acanthamoeba</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_Toc14711459 \h </w:instrText>
            </w:r>
            <w:r w:rsidR="004A421F" w:rsidRPr="0071546E">
              <w:rPr>
                <w:noProof/>
                <w:webHidden/>
              </w:rPr>
            </w:r>
            <w:r w:rsidR="004A421F" w:rsidRPr="0071546E">
              <w:rPr>
                <w:noProof/>
                <w:webHidden/>
              </w:rPr>
              <w:fldChar w:fldCharType="separate"/>
            </w:r>
            <w:r w:rsidR="004A421F" w:rsidRPr="0071546E">
              <w:rPr>
                <w:noProof/>
                <w:webHidden/>
              </w:rPr>
              <w:t>115</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60" w:history="1">
            <w:r w:rsidR="004A421F" w:rsidRPr="0071546E">
              <w:rPr>
                <w:rStyle w:val="Hyperlink"/>
                <w:noProof/>
              </w:rPr>
              <w:t xml:space="preserve">3.1.1 </w:t>
            </w:r>
            <w:r w:rsidR="004A421F" w:rsidRPr="0071546E">
              <w:rPr>
                <w:rStyle w:val="Hyperlink"/>
                <w:i/>
                <w:noProof/>
              </w:rPr>
              <w:t>Acanthamoeba</w:t>
            </w:r>
            <w:r w:rsidR="004A421F" w:rsidRPr="0071546E">
              <w:rPr>
                <w:rStyle w:val="Hyperlink"/>
                <w:noProof/>
              </w:rPr>
              <w:t xml:space="preserve"> growth curve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_Toc14711460 \h </w:instrText>
            </w:r>
            <w:r w:rsidR="004A421F" w:rsidRPr="0071546E">
              <w:rPr>
                <w:noProof/>
                <w:webHidden/>
              </w:rPr>
            </w:r>
            <w:r w:rsidR="004A421F" w:rsidRPr="0071546E">
              <w:rPr>
                <w:noProof/>
                <w:webHidden/>
              </w:rPr>
              <w:fldChar w:fldCharType="separate"/>
            </w:r>
            <w:r w:rsidR="004A421F" w:rsidRPr="0071546E">
              <w:rPr>
                <w:noProof/>
                <w:webHidden/>
              </w:rPr>
              <w:t>115</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61" w:history="1">
            <w:r w:rsidR="004A421F" w:rsidRPr="0071546E">
              <w:rPr>
                <w:rStyle w:val="Hyperlink"/>
                <w:noProof/>
              </w:rPr>
              <w:t xml:space="preserve">3.1.2 </w:t>
            </w:r>
            <w:r w:rsidR="004A421F" w:rsidRPr="0071546E">
              <w:rPr>
                <w:rStyle w:val="Hyperlink"/>
                <w:i/>
                <w:noProof/>
              </w:rPr>
              <w:t>Acanthamoeba</w:t>
            </w:r>
            <w:r w:rsidR="004A421F" w:rsidRPr="0071546E">
              <w:rPr>
                <w:rStyle w:val="Hyperlink"/>
                <w:noProof/>
              </w:rPr>
              <w:t xml:space="preserve"> genotyping (DNA extraction)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_Toc14711461 \h </w:instrText>
            </w:r>
            <w:r w:rsidR="004A421F" w:rsidRPr="0071546E">
              <w:rPr>
                <w:noProof/>
                <w:webHidden/>
              </w:rPr>
            </w:r>
            <w:r w:rsidR="004A421F" w:rsidRPr="0071546E">
              <w:rPr>
                <w:noProof/>
                <w:webHidden/>
              </w:rPr>
              <w:fldChar w:fldCharType="separate"/>
            </w:r>
            <w:r w:rsidR="004A421F" w:rsidRPr="0071546E">
              <w:rPr>
                <w:noProof/>
                <w:webHidden/>
              </w:rPr>
              <w:t>117</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62" w:history="1">
            <w:r w:rsidR="004A421F" w:rsidRPr="0071546E">
              <w:rPr>
                <w:rStyle w:val="Hyperlink"/>
                <w:noProof/>
              </w:rPr>
              <w:t xml:space="preserve">3.1.3 Agarose gel electrophoresis of the PCR amplified products of </w:t>
            </w:r>
            <w:r w:rsidR="004A421F" w:rsidRPr="0071546E">
              <w:rPr>
                <w:rStyle w:val="Hyperlink"/>
                <w:i/>
                <w:noProof/>
              </w:rPr>
              <w:t>Acanthamoeba</w:t>
            </w:r>
            <w:r w:rsidR="004A421F" w:rsidRPr="0071546E">
              <w:rPr>
                <w:rStyle w:val="Hyperlink"/>
                <w:noProof/>
              </w:rPr>
              <w:t xml:space="preserve"> -DNA</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_Toc14711462 \h </w:instrText>
            </w:r>
            <w:r w:rsidR="004A421F" w:rsidRPr="0071546E">
              <w:rPr>
                <w:noProof/>
                <w:webHidden/>
              </w:rPr>
            </w:r>
            <w:r w:rsidR="004A421F" w:rsidRPr="0071546E">
              <w:rPr>
                <w:noProof/>
                <w:webHidden/>
              </w:rPr>
              <w:fldChar w:fldCharType="separate"/>
            </w:r>
            <w:r w:rsidR="004A421F" w:rsidRPr="0071546E">
              <w:rPr>
                <w:noProof/>
                <w:webHidden/>
              </w:rPr>
              <w:t>118</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63" w:history="1">
            <w:r w:rsidR="004A421F" w:rsidRPr="0071546E">
              <w:rPr>
                <w:rStyle w:val="Hyperlink"/>
                <w:noProof/>
              </w:rPr>
              <w:t xml:space="preserve">3.1.4 Sequencing and genotyping of all five isolates of </w:t>
            </w:r>
            <w:r w:rsidR="004A421F" w:rsidRPr="0071546E">
              <w:rPr>
                <w:rStyle w:val="Hyperlink"/>
                <w:i/>
                <w:noProof/>
              </w:rPr>
              <w:t>Acanthamoeba</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_Toc14711463 \h </w:instrText>
            </w:r>
            <w:r w:rsidR="004A421F" w:rsidRPr="0071546E">
              <w:rPr>
                <w:noProof/>
                <w:webHidden/>
              </w:rPr>
            </w:r>
            <w:r w:rsidR="004A421F" w:rsidRPr="0071546E">
              <w:rPr>
                <w:noProof/>
                <w:webHidden/>
              </w:rPr>
              <w:fldChar w:fldCharType="separate"/>
            </w:r>
            <w:r w:rsidR="004A421F" w:rsidRPr="0071546E">
              <w:rPr>
                <w:noProof/>
                <w:webHidden/>
              </w:rPr>
              <w:t>119</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64" w:history="1">
            <w:r w:rsidR="004A421F" w:rsidRPr="0071546E">
              <w:rPr>
                <w:rStyle w:val="Hyperlink"/>
                <w:noProof/>
              </w:rPr>
              <w:t>3.2.2 Fluorescein diacetate assay (FDA)</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_Toc14711464 \h </w:instrText>
            </w:r>
            <w:r w:rsidR="004A421F" w:rsidRPr="0071546E">
              <w:rPr>
                <w:noProof/>
                <w:webHidden/>
              </w:rPr>
            </w:r>
            <w:r w:rsidR="004A421F" w:rsidRPr="0071546E">
              <w:rPr>
                <w:noProof/>
                <w:webHidden/>
              </w:rPr>
              <w:fldChar w:fldCharType="separate"/>
            </w:r>
            <w:r w:rsidR="004A421F" w:rsidRPr="0071546E">
              <w:rPr>
                <w:noProof/>
                <w:webHidden/>
              </w:rPr>
              <w:t>122</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65" w:history="1">
            <w:r w:rsidR="004A421F" w:rsidRPr="0071546E">
              <w:rPr>
                <w:rStyle w:val="Hyperlink"/>
                <w:noProof/>
              </w:rPr>
              <w:t>3.2.4 Trypan blue viability assay with Toluidine Blue PDT</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_Toc14711465 \h </w:instrText>
            </w:r>
            <w:r w:rsidR="004A421F" w:rsidRPr="0071546E">
              <w:rPr>
                <w:noProof/>
                <w:webHidden/>
              </w:rPr>
            </w:r>
            <w:r w:rsidR="004A421F" w:rsidRPr="0071546E">
              <w:rPr>
                <w:noProof/>
                <w:webHidden/>
              </w:rPr>
              <w:fldChar w:fldCharType="separate"/>
            </w:r>
            <w:r w:rsidR="004A421F" w:rsidRPr="0071546E">
              <w:rPr>
                <w:noProof/>
                <w:webHidden/>
              </w:rPr>
              <w:t>125</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66" w:history="1">
            <w:r w:rsidR="004A421F" w:rsidRPr="0071546E">
              <w:rPr>
                <w:rStyle w:val="Hyperlink"/>
                <w:noProof/>
              </w:rPr>
              <w:t>3.3 Adenosine triphosphate assay (ATP)</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_Toc14711466 \h </w:instrText>
            </w:r>
            <w:r w:rsidR="004A421F" w:rsidRPr="0071546E">
              <w:rPr>
                <w:noProof/>
                <w:webHidden/>
              </w:rPr>
            </w:r>
            <w:r w:rsidR="004A421F" w:rsidRPr="0071546E">
              <w:rPr>
                <w:noProof/>
                <w:webHidden/>
              </w:rPr>
              <w:fldChar w:fldCharType="separate"/>
            </w:r>
            <w:r w:rsidR="004A421F" w:rsidRPr="0071546E">
              <w:rPr>
                <w:noProof/>
                <w:webHidden/>
              </w:rPr>
              <w:t>126</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67" w:history="1">
            <w:r w:rsidR="004A421F" w:rsidRPr="0071546E">
              <w:rPr>
                <w:rStyle w:val="Hyperlink"/>
                <w:noProof/>
              </w:rPr>
              <w:t>3.4.1 Amphotericin B Drug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_Toc14711467 \h </w:instrText>
            </w:r>
            <w:r w:rsidR="004A421F" w:rsidRPr="0071546E">
              <w:rPr>
                <w:noProof/>
                <w:webHidden/>
              </w:rPr>
            </w:r>
            <w:r w:rsidR="004A421F" w:rsidRPr="0071546E">
              <w:rPr>
                <w:noProof/>
                <w:webHidden/>
              </w:rPr>
              <w:fldChar w:fldCharType="separate"/>
            </w:r>
            <w:r w:rsidR="004A421F" w:rsidRPr="0071546E">
              <w:rPr>
                <w:noProof/>
                <w:webHidden/>
              </w:rPr>
              <w:t>134</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68" w:history="1">
            <w:r w:rsidR="004A421F" w:rsidRPr="0071546E">
              <w:rPr>
                <w:rStyle w:val="Hyperlink"/>
                <w:noProof/>
              </w:rPr>
              <w:t>3.4.2 Miltefosine Drug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_Toc14711468 \h </w:instrText>
            </w:r>
            <w:r w:rsidR="004A421F" w:rsidRPr="0071546E">
              <w:rPr>
                <w:noProof/>
                <w:webHidden/>
              </w:rPr>
            </w:r>
            <w:r w:rsidR="004A421F" w:rsidRPr="0071546E">
              <w:rPr>
                <w:noProof/>
                <w:webHidden/>
              </w:rPr>
              <w:fldChar w:fldCharType="separate"/>
            </w:r>
            <w:r w:rsidR="004A421F" w:rsidRPr="0071546E">
              <w:rPr>
                <w:noProof/>
                <w:webHidden/>
              </w:rPr>
              <w:t>135</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69" w:history="1">
            <w:r w:rsidR="004A421F" w:rsidRPr="0071546E">
              <w:rPr>
                <w:rStyle w:val="Hyperlink"/>
                <w:noProof/>
              </w:rPr>
              <w:t>3.4.3 Povidone-iodine drug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_Toc14711469 \h </w:instrText>
            </w:r>
            <w:r w:rsidR="004A421F" w:rsidRPr="0071546E">
              <w:rPr>
                <w:noProof/>
                <w:webHidden/>
              </w:rPr>
            </w:r>
            <w:r w:rsidR="004A421F" w:rsidRPr="0071546E">
              <w:rPr>
                <w:noProof/>
                <w:webHidden/>
              </w:rPr>
              <w:fldChar w:fldCharType="separate"/>
            </w:r>
            <w:r w:rsidR="004A421F" w:rsidRPr="0071546E">
              <w:rPr>
                <w:noProof/>
                <w:webHidden/>
              </w:rPr>
              <w:t>136</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70" w:history="1">
            <w:r w:rsidR="004A421F" w:rsidRPr="0071546E">
              <w:rPr>
                <w:rStyle w:val="Hyperlink"/>
                <w:noProof/>
              </w:rPr>
              <w:t>3.4.4 Caspofungin Drug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_Toc14711470 \h </w:instrText>
            </w:r>
            <w:r w:rsidR="004A421F" w:rsidRPr="0071546E">
              <w:rPr>
                <w:noProof/>
                <w:webHidden/>
              </w:rPr>
            </w:r>
            <w:r w:rsidR="004A421F" w:rsidRPr="0071546E">
              <w:rPr>
                <w:noProof/>
                <w:webHidden/>
              </w:rPr>
              <w:fldChar w:fldCharType="separate"/>
            </w:r>
            <w:r w:rsidR="004A421F" w:rsidRPr="0071546E">
              <w:rPr>
                <w:noProof/>
                <w:webHidden/>
              </w:rPr>
              <w:t>137</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71" w:history="1">
            <w:r w:rsidR="004A421F" w:rsidRPr="0071546E">
              <w:rPr>
                <w:rStyle w:val="Hyperlink"/>
                <w:noProof/>
              </w:rPr>
              <w:t>3.5 Photodynamic therapy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_Toc14711471 \h </w:instrText>
            </w:r>
            <w:r w:rsidR="004A421F" w:rsidRPr="0071546E">
              <w:rPr>
                <w:noProof/>
                <w:webHidden/>
              </w:rPr>
            </w:r>
            <w:r w:rsidR="004A421F" w:rsidRPr="0071546E">
              <w:rPr>
                <w:noProof/>
                <w:webHidden/>
              </w:rPr>
              <w:fldChar w:fldCharType="separate"/>
            </w:r>
            <w:r w:rsidR="004A421F" w:rsidRPr="0071546E">
              <w:rPr>
                <w:noProof/>
                <w:webHidden/>
              </w:rPr>
              <w:t>139</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72" w:history="1">
            <w:r w:rsidR="004A421F" w:rsidRPr="0071546E">
              <w:rPr>
                <w:rStyle w:val="Hyperlink"/>
                <w:noProof/>
              </w:rPr>
              <w:t>3.5.1 Spectra of porphyrins used for PDT</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_Toc14711472 \h </w:instrText>
            </w:r>
            <w:r w:rsidR="004A421F" w:rsidRPr="0071546E">
              <w:rPr>
                <w:noProof/>
                <w:webHidden/>
              </w:rPr>
            </w:r>
            <w:r w:rsidR="004A421F" w:rsidRPr="0071546E">
              <w:rPr>
                <w:noProof/>
                <w:webHidden/>
              </w:rPr>
              <w:fldChar w:fldCharType="separate"/>
            </w:r>
            <w:r w:rsidR="004A421F" w:rsidRPr="0071546E">
              <w:rPr>
                <w:noProof/>
                <w:webHidden/>
              </w:rPr>
              <w:t>140</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73" w:history="1">
            <w:r w:rsidR="004A421F" w:rsidRPr="0071546E">
              <w:rPr>
                <w:rStyle w:val="Hyperlink"/>
                <w:noProof/>
              </w:rPr>
              <w:t>3.5.2 Porphyrin uptake after incubation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_Toc14711473 \h </w:instrText>
            </w:r>
            <w:r w:rsidR="004A421F" w:rsidRPr="0071546E">
              <w:rPr>
                <w:noProof/>
                <w:webHidden/>
              </w:rPr>
            </w:r>
            <w:r w:rsidR="004A421F" w:rsidRPr="0071546E">
              <w:rPr>
                <w:noProof/>
                <w:webHidden/>
              </w:rPr>
              <w:fldChar w:fldCharType="separate"/>
            </w:r>
            <w:r w:rsidR="004A421F" w:rsidRPr="0071546E">
              <w:rPr>
                <w:noProof/>
                <w:webHidden/>
              </w:rPr>
              <w:t>141</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74" w:history="1">
            <w:r w:rsidR="004A421F" w:rsidRPr="0071546E">
              <w:rPr>
                <w:rStyle w:val="Hyperlink"/>
                <w:noProof/>
              </w:rPr>
              <w:t>3.6 Binding strength of porphyrins for cysts and trophozoites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_Toc14711474 \h </w:instrText>
            </w:r>
            <w:r w:rsidR="004A421F" w:rsidRPr="0071546E">
              <w:rPr>
                <w:noProof/>
                <w:webHidden/>
              </w:rPr>
            </w:r>
            <w:r w:rsidR="004A421F" w:rsidRPr="0071546E">
              <w:rPr>
                <w:noProof/>
                <w:webHidden/>
              </w:rPr>
              <w:fldChar w:fldCharType="separate"/>
            </w:r>
            <w:r w:rsidR="004A421F" w:rsidRPr="0071546E">
              <w:rPr>
                <w:noProof/>
                <w:webHidden/>
              </w:rPr>
              <w:t>143</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75" w:history="1">
            <w:r w:rsidR="004A421F" w:rsidRPr="0071546E">
              <w:rPr>
                <w:rStyle w:val="Hyperlink"/>
                <w:noProof/>
              </w:rPr>
              <w:t xml:space="preserve">3.6.1 Binding strength of 5, 10, 15, 20-tetrakis (1-methyl-4-pyridino) porphyrin tetra (P-toluene sulfonate), </w:t>
            </w:r>
            <w:r w:rsidR="004A421F" w:rsidRPr="0071546E">
              <w:rPr>
                <w:rStyle w:val="Hyperlink"/>
                <w:i/>
                <w:noProof/>
              </w:rPr>
              <w:t>Acanthamoeba</w:t>
            </w:r>
            <w:r w:rsidR="004A421F" w:rsidRPr="0071546E">
              <w:rPr>
                <w:rStyle w:val="Hyperlink"/>
                <w:noProof/>
              </w:rPr>
              <w:t xml:space="preserve"> cells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_Toc14711475 \h </w:instrText>
            </w:r>
            <w:r w:rsidR="004A421F" w:rsidRPr="0071546E">
              <w:rPr>
                <w:noProof/>
                <w:webHidden/>
              </w:rPr>
            </w:r>
            <w:r w:rsidR="004A421F" w:rsidRPr="0071546E">
              <w:rPr>
                <w:noProof/>
                <w:webHidden/>
              </w:rPr>
              <w:fldChar w:fldCharType="separate"/>
            </w:r>
            <w:r w:rsidR="004A421F" w:rsidRPr="0071546E">
              <w:rPr>
                <w:noProof/>
                <w:webHidden/>
              </w:rPr>
              <w:t>143</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76" w:history="1">
            <w:r w:rsidR="004A421F" w:rsidRPr="0071546E">
              <w:rPr>
                <w:rStyle w:val="Hyperlink"/>
                <w:noProof/>
              </w:rPr>
              <w:t xml:space="preserve">3.6.2 Permeability of 5, 10, 15, 20- tetrakis (pentafluorophenyl)-21H, 23H-porphine Iron (III) chloride to </w:t>
            </w:r>
            <w:r w:rsidR="004A421F" w:rsidRPr="0071546E">
              <w:rPr>
                <w:rStyle w:val="Hyperlink"/>
                <w:i/>
                <w:noProof/>
              </w:rPr>
              <w:t>Acanthamoeba</w:t>
            </w:r>
            <w:r w:rsidR="004A421F" w:rsidRPr="0071546E">
              <w:rPr>
                <w:rStyle w:val="Hyperlink"/>
                <w:noProof/>
              </w:rPr>
              <w:t xml:space="preserve"> cells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_Toc14711476 \h </w:instrText>
            </w:r>
            <w:r w:rsidR="004A421F" w:rsidRPr="0071546E">
              <w:rPr>
                <w:noProof/>
                <w:webHidden/>
              </w:rPr>
            </w:r>
            <w:r w:rsidR="004A421F" w:rsidRPr="0071546E">
              <w:rPr>
                <w:noProof/>
                <w:webHidden/>
              </w:rPr>
              <w:fldChar w:fldCharType="separate"/>
            </w:r>
            <w:r w:rsidR="004A421F" w:rsidRPr="0071546E">
              <w:rPr>
                <w:noProof/>
                <w:webHidden/>
              </w:rPr>
              <w:t>144</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77" w:history="1">
            <w:r w:rsidR="004A421F" w:rsidRPr="0071546E">
              <w:rPr>
                <w:rStyle w:val="Hyperlink"/>
                <w:noProof/>
              </w:rPr>
              <w:t xml:space="preserve">3.6.3 Binding strength of 5, 10, 15, 20-Tetrakis (4-methyl phenyl)-21H23H porphine to </w:t>
            </w:r>
            <w:r w:rsidR="004A421F" w:rsidRPr="0071546E">
              <w:rPr>
                <w:rStyle w:val="Hyperlink"/>
                <w:i/>
                <w:noProof/>
              </w:rPr>
              <w:t>Acanthamoeba cells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_Toc14711477 \h </w:instrText>
            </w:r>
            <w:r w:rsidR="004A421F" w:rsidRPr="0071546E">
              <w:rPr>
                <w:noProof/>
                <w:webHidden/>
              </w:rPr>
            </w:r>
            <w:r w:rsidR="004A421F" w:rsidRPr="0071546E">
              <w:rPr>
                <w:noProof/>
                <w:webHidden/>
              </w:rPr>
              <w:fldChar w:fldCharType="separate"/>
            </w:r>
            <w:r w:rsidR="004A421F" w:rsidRPr="0071546E">
              <w:rPr>
                <w:noProof/>
                <w:webHidden/>
              </w:rPr>
              <w:t>145</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78" w:history="1">
            <w:r w:rsidR="004A421F" w:rsidRPr="0071546E">
              <w:rPr>
                <w:rStyle w:val="Hyperlink"/>
                <w:noProof/>
              </w:rPr>
              <w:t xml:space="preserve">3.6.4 Binding of 4, 4′, 4′′, 4′′′-(porphine-5, 10, 15, 20-tetrayl) tetrakis (benzene sulfonic acid) tetrasodium salt hydrate [TPPS4], to </w:t>
            </w:r>
            <w:r w:rsidR="004A421F" w:rsidRPr="0071546E">
              <w:rPr>
                <w:rStyle w:val="Hyperlink"/>
                <w:i/>
                <w:noProof/>
              </w:rPr>
              <w:t>Acanthamoeba</w:t>
            </w:r>
            <w:r w:rsidR="004A421F" w:rsidRPr="0071546E">
              <w:rPr>
                <w:rStyle w:val="Hyperlink"/>
                <w:noProof/>
              </w:rPr>
              <w:t xml:space="preserve"> cells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_Toc14711478 \h </w:instrText>
            </w:r>
            <w:r w:rsidR="004A421F" w:rsidRPr="0071546E">
              <w:rPr>
                <w:noProof/>
                <w:webHidden/>
              </w:rPr>
            </w:r>
            <w:r w:rsidR="004A421F" w:rsidRPr="0071546E">
              <w:rPr>
                <w:noProof/>
                <w:webHidden/>
              </w:rPr>
              <w:fldChar w:fldCharType="separate"/>
            </w:r>
            <w:r w:rsidR="004A421F" w:rsidRPr="0071546E">
              <w:rPr>
                <w:noProof/>
                <w:webHidden/>
              </w:rPr>
              <w:t>146</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79" w:history="1">
            <w:r w:rsidR="004A421F" w:rsidRPr="0071546E">
              <w:rPr>
                <w:rStyle w:val="Hyperlink"/>
                <w:noProof/>
              </w:rPr>
              <w:t>3.7.1 PDT with 4, 4′, 4′′, 4′′′-(porphine-5, 10, 15, 20-tetrayl) tetrakis (benzene sulfonic</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_Toc14711479 \h </w:instrText>
            </w:r>
            <w:r w:rsidR="004A421F" w:rsidRPr="0071546E">
              <w:rPr>
                <w:noProof/>
                <w:webHidden/>
              </w:rPr>
            </w:r>
            <w:r w:rsidR="004A421F" w:rsidRPr="0071546E">
              <w:rPr>
                <w:noProof/>
                <w:webHidden/>
              </w:rPr>
              <w:fldChar w:fldCharType="separate"/>
            </w:r>
            <w:r w:rsidR="004A421F" w:rsidRPr="0071546E">
              <w:rPr>
                <w:noProof/>
                <w:webHidden/>
              </w:rPr>
              <w:t>147</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80" w:history="1">
            <w:r w:rsidR="004A421F" w:rsidRPr="0071546E">
              <w:rPr>
                <w:rStyle w:val="Hyperlink"/>
                <w:noProof/>
              </w:rPr>
              <w:t>3.7.2 PDT with 5, 10, 15, 20-tetrakis (1-methyl-4-pyridino) porphyrin tetra (P-toluene sulfonate).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_Toc14711480 \h </w:instrText>
            </w:r>
            <w:r w:rsidR="004A421F" w:rsidRPr="0071546E">
              <w:rPr>
                <w:noProof/>
                <w:webHidden/>
              </w:rPr>
            </w:r>
            <w:r w:rsidR="004A421F" w:rsidRPr="0071546E">
              <w:rPr>
                <w:noProof/>
                <w:webHidden/>
              </w:rPr>
              <w:fldChar w:fldCharType="separate"/>
            </w:r>
            <w:r w:rsidR="004A421F" w:rsidRPr="0071546E">
              <w:rPr>
                <w:noProof/>
                <w:webHidden/>
              </w:rPr>
              <w:t>149</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81" w:history="1">
            <w:r w:rsidR="004A421F" w:rsidRPr="0071546E">
              <w:rPr>
                <w:rStyle w:val="Hyperlink"/>
                <w:noProof/>
              </w:rPr>
              <w:t>3.7.3 PDT with 5, 10, 15, 20- tetrakis (pentafluorophenyl)-21H, 23H-porphine Iron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_Toc14711481 \h </w:instrText>
            </w:r>
            <w:r w:rsidR="004A421F" w:rsidRPr="0071546E">
              <w:rPr>
                <w:noProof/>
                <w:webHidden/>
              </w:rPr>
            </w:r>
            <w:r w:rsidR="004A421F" w:rsidRPr="0071546E">
              <w:rPr>
                <w:noProof/>
                <w:webHidden/>
              </w:rPr>
              <w:fldChar w:fldCharType="separate"/>
            </w:r>
            <w:r w:rsidR="004A421F" w:rsidRPr="0071546E">
              <w:rPr>
                <w:noProof/>
                <w:webHidden/>
              </w:rPr>
              <w:t>151</w:t>
            </w:r>
            <w:r w:rsidR="004A421F" w:rsidRPr="0071546E">
              <w:rPr>
                <w:noProof/>
                <w:webHidden/>
              </w:rPr>
              <w:fldChar w:fldCharType="end"/>
            </w:r>
          </w:hyperlink>
        </w:p>
        <w:p w:rsidR="004A421F" w:rsidRPr="0071546E" w:rsidRDefault="009B21F2">
          <w:pPr>
            <w:pStyle w:val="TOC2"/>
            <w:tabs>
              <w:tab w:val="left" w:pos="1100"/>
            </w:tabs>
            <w:rPr>
              <w:rFonts w:eastAsiaTheme="minorEastAsia"/>
              <w:noProof/>
              <w:lang w:eastAsia="en-GB"/>
            </w:rPr>
          </w:pPr>
          <w:hyperlink w:anchor="_Toc14711482" w:history="1">
            <w:r w:rsidR="004A421F" w:rsidRPr="0071546E">
              <w:rPr>
                <w:rStyle w:val="Hyperlink"/>
                <w:noProof/>
              </w:rPr>
              <w:t>3.7.4</w:t>
            </w:r>
            <w:r w:rsidR="004A421F" w:rsidRPr="0071546E">
              <w:rPr>
                <w:rFonts w:eastAsiaTheme="minorEastAsia"/>
                <w:noProof/>
                <w:lang w:eastAsia="en-GB"/>
              </w:rPr>
              <w:tab/>
            </w:r>
            <w:r w:rsidR="004A421F" w:rsidRPr="0071546E">
              <w:rPr>
                <w:rStyle w:val="Hyperlink"/>
                <w:noProof/>
              </w:rPr>
              <w:t xml:space="preserve"> PDT with 5, 10, 15, 20-Tetrakis (4-methyl phenyl)-21H23H porphine</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_Toc14711482 \h </w:instrText>
            </w:r>
            <w:r w:rsidR="004A421F" w:rsidRPr="0071546E">
              <w:rPr>
                <w:noProof/>
                <w:webHidden/>
              </w:rPr>
            </w:r>
            <w:r w:rsidR="004A421F" w:rsidRPr="0071546E">
              <w:rPr>
                <w:noProof/>
                <w:webHidden/>
              </w:rPr>
              <w:fldChar w:fldCharType="separate"/>
            </w:r>
            <w:r w:rsidR="004A421F" w:rsidRPr="0071546E">
              <w:rPr>
                <w:noProof/>
                <w:webHidden/>
              </w:rPr>
              <w:t>153</w:t>
            </w:r>
            <w:r w:rsidR="004A421F" w:rsidRPr="0071546E">
              <w:rPr>
                <w:noProof/>
                <w:webHidden/>
              </w:rPr>
              <w:fldChar w:fldCharType="end"/>
            </w:r>
          </w:hyperlink>
        </w:p>
        <w:p w:rsidR="004A421F" w:rsidRPr="0071546E" w:rsidRDefault="009B21F2">
          <w:pPr>
            <w:pStyle w:val="TOC1"/>
            <w:tabs>
              <w:tab w:val="right" w:leader="dot" w:pos="9016"/>
            </w:tabs>
            <w:rPr>
              <w:rFonts w:eastAsiaTheme="minorEastAsia"/>
              <w:noProof/>
              <w:lang w:eastAsia="en-GB"/>
            </w:rPr>
          </w:pPr>
          <w:hyperlink w:anchor="_Toc14711483" w:history="1">
            <w:r w:rsidR="004A421F" w:rsidRPr="0071546E">
              <w:rPr>
                <w:rStyle w:val="Hyperlink"/>
                <w:noProof/>
              </w:rPr>
              <w:t>4.0   DISCUSSION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_Toc14711483 \h </w:instrText>
            </w:r>
            <w:r w:rsidR="004A421F" w:rsidRPr="0071546E">
              <w:rPr>
                <w:noProof/>
                <w:webHidden/>
              </w:rPr>
            </w:r>
            <w:r w:rsidR="004A421F" w:rsidRPr="0071546E">
              <w:rPr>
                <w:noProof/>
                <w:webHidden/>
              </w:rPr>
              <w:fldChar w:fldCharType="separate"/>
            </w:r>
            <w:r w:rsidR="004A421F" w:rsidRPr="0071546E">
              <w:rPr>
                <w:noProof/>
                <w:webHidden/>
              </w:rPr>
              <w:t>156</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84" w:history="1">
            <w:r w:rsidR="004A421F" w:rsidRPr="0071546E">
              <w:rPr>
                <w:rStyle w:val="Hyperlink"/>
                <w:noProof/>
              </w:rPr>
              <w:t>4.1 Viability assays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_Toc14711484 \h </w:instrText>
            </w:r>
            <w:r w:rsidR="004A421F" w:rsidRPr="0071546E">
              <w:rPr>
                <w:noProof/>
                <w:webHidden/>
              </w:rPr>
            </w:r>
            <w:r w:rsidR="004A421F" w:rsidRPr="0071546E">
              <w:rPr>
                <w:noProof/>
                <w:webHidden/>
              </w:rPr>
              <w:fldChar w:fldCharType="separate"/>
            </w:r>
            <w:r w:rsidR="004A421F" w:rsidRPr="0071546E">
              <w:rPr>
                <w:noProof/>
                <w:webHidden/>
              </w:rPr>
              <w:t>157</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85" w:history="1">
            <w:r w:rsidR="004A421F" w:rsidRPr="0071546E">
              <w:rPr>
                <w:rStyle w:val="Hyperlink"/>
                <w:noProof/>
              </w:rPr>
              <w:t>4.1.1 MTT based viability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_Toc14711485 \h </w:instrText>
            </w:r>
            <w:r w:rsidR="004A421F" w:rsidRPr="0071546E">
              <w:rPr>
                <w:noProof/>
                <w:webHidden/>
              </w:rPr>
            </w:r>
            <w:r w:rsidR="004A421F" w:rsidRPr="0071546E">
              <w:rPr>
                <w:noProof/>
                <w:webHidden/>
              </w:rPr>
              <w:fldChar w:fldCharType="separate"/>
            </w:r>
            <w:r w:rsidR="004A421F" w:rsidRPr="0071546E">
              <w:rPr>
                <w:noProof/>
                <w:webHidden/>
              </w:rPr>
              <w:t>158</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86" w:history="1">
            <w:r w:rsidR="004A421F" w:rsidRPr="0071546E">
              <w:rPr>
                <w:rStyle w:val="Hyperlink"/>
                <w:noProof/>
              </w:rPr>
              <w:t>4.1.2 Alamar blue (resazurin) viability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_Toc14711486 \h </w:instrText>
            </w:r>
            <w:r w:rsidR="004A421F" w:rsidRPr="0071546E">
              <w:rPr>
                <w:noProof/>
                <w:webHidden/>
              </w:rPr>
            </w:r>
            <w:r w:rsidR="004A421F" w:rsidRPr="0071546E">
              <w:rPr>
                <w:noProof/>
                <w:webHidden/>
              </w:rPr>
              <w:fldChar w:fldCharType="separate"/>
            </w:r>
            <w:r w:rsidR="004A421F" w:rsidRPr="0071546E">
              <w:rPr>
                <w:noProof/>
                <w:webHidden/>
              </w:rPr>
              <w:t>159</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87" w:history="1">
            <w:r w:rsidR="004A421F" w:rsidRPr="0071546E">
              <w:rPr>
                <w:rStyle w:val="Hyperlink"/>
                <w:noProof/>
              </w:rPr>
              <w:t>4.1.3 Fluorescein diacetate (FDA)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_Toc14711487 \h </w:instrText>
            </w:r>
            <w:r w:rsidR="004A421F" w:rsidRPr="0071546E">
              <w:rPr>
                <w:noProof/>
                <w:webHidden/>
              </w:rPr>
            </w:r>
            <w:r w:rsidR="004A421F" w:rsidRPr="0071546E">
              <w:rPr>
                <w:noProof/>
                <w:webHidden/>
              </w:rPr>
              <w:fldChar w:fldCharType="separate"/>
            </w:r>
            <w:r w:rsidR="004A421F" w:rsidRPr="0071546E">
              <w:rPr>
                <w:noProof/>
                <w:webHidden/>
              </w:rPr>
              <w:t>160</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88" w:history="1">
            <w:r w:rsidR="004A421F" w:rsidRPr="0071546E">
              <w:rPr>
                <w:rStyle w:val="Hyperlink"/>
                <w:noProof/>
              </w:rPr>
              <w:t>4.1.4 The Adenosine triphosphate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_Toc14711488 \h </w:instrText>
            </w:r>
            <w:r w:rsidR="004A421F" w:rsidRPr="0071546E">
              <w:rPr>
                <w:noProof/>
                <w:webHidden/>
              </w:rPr>
            </w:r>
            <w:r w:rsidR="004A421F" w:rsidRPr="0071546E">
              <w:rPr>
                <w:noProof/>
                <w:webHidden/>
              </w:rPr>
              <w:fldChar w:fldCharType="separate"/>
            </w:r>
            <w:r w:rsidR="004A421F" w:rsidRPr="0071546E">
              <w:rPr>
                <w:noProof/>
                <w:webHidden/>
              </w:rPr>
              <w:t>161</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89" w:history="1">
            <w:r w:rsidR="004A421F" w:rsidRPr="0071546E">
              <w:rPr>
                <w:rStyle w:val="Hyperlink"/>
                <w:noProof/>
              </w:rPr>
              <w:t>4.2 Extraction of microbial intracellular proteins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_Toc14711489 \h </w:instrText>
            </w:r>
            <w:r w:rsidR="004A421F" w:rsidRPr="0071546E">
              <w:rPr>
                <w:noProof/>
                <w:webHidden/>
              </w:rPr>
            </w:r>
            <w:r w:rsidR="004A421F" w:rsidRPr="0071546E">
              <w:rPr>
                <w:noProof/>
                <w:webHidden/>
              </w:rPr>
              <w:fldChar w:fldCharType="separate"/>
            </w:r>
            <w:r w:rsidR="004A421F" w:rsidRPr="0071546E">
              <w:rPr>
                <w:noProof/>
                <w:webHidden/>
              </w:rPr>
              <w:t>162</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90" w:history="1">
            <w:r w:rsidR="004A421F" w:rsidRPr="0071546E">
              <w:rPr>
                <w:rStyle w:val="Hyperlink"/>
                <w:noProof/>
              </w:rPr>
              <w:t xml:space="preserve">4.2.1 Lysozyme specificity to </w:t>
            </w:r>
            <w:r w:rsidR="004A421F" w:rsidRPr="0071546E">
              <w:rPr>
                <w:rStyle w:val="Hyperlink"/>
                <w:i/>
                <w:noProof/>
              </w:rPr>
              <w:t>Acanthamoeba</w:t>
            </w:r>
            <w:r w:rsidR="004A421F" w:rsidRPr="0071546E">
              <w:rPr>
                <w:rStyle w:val="Hyperlink"/>
                <w:noProof/>
              </w:rPr>
              <w:t xml:space="preserve"> cyst cell wall</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_Toc14711490 \h </w:instrText>
            </w:r>
            <w:r w:rsidR="004A421F" w:rsidRPr="0071546E">
              <w:rPr>
                <w:noProof/>
                <w:webHidden/>
              </w:rPr>
            </w:r>
            <w:r w:rsidR="004A421F" w:rsidRPr="0071546E">
              <w:rPr>
                <w:noProof/>
                <w:webHidden/>
              </w:rPr>
              <w:fldChar w:fldCharType="separate"/>
            </w:r>
            <w:r w:rsidR="004A421F" w:rsidRPr="0071546E">
              <w:rPr>
                <w:noProof/>
                <w:webHidden/>
              </w:rPr>
              <w:t>163</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91" w:history="1">
            <w:r w:rsidR="004A421F" w:rsidRPr="0071546E">
              <w:rPr>
                <w:rStyle w:val="Hyperlink"/>
                <w:noProof/>
              </w:rPr>
              <w:t>4.3 Activity of disinfectants and therapeutic agents measured using ATP bioluminescence assay.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_Toc14711491 \h </w:instrText>
            </w:r>
            <w:r w:rsidR="004A421F" w:rsidRPr="0071546E">
              <w:rPr>
                <w:noProof/>
                <w:webHidden/>
              </w:rPr>
            </w:r>
            <w:r w:rsidR="004A421F" w:rsidRPr="0071546E">
              <w:rPr>
                <w:noProof/>
                <w:webHidden/>
              </w:rPr>
              <w:fldChar w:fldCharType="separate"/>
            </w:r>
            <w:r w:rsidR="004A421F" w:rsidRPr="0071546E">
              <w:rPr>
                <w:noProof/>
                <w:webHidden/>
              </w:rPr>
              <w:t>169</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92" w:history="1">
            <w:r w:rsidR="004A421F" w:rsidRPr="0071546E">
              <w:rPr>
                <w:rStyle w:val="Hyperlink"/>
                <w:noProof/>
              </w:rPr>
              <w:t xml:space="preserve">4.4 </w:t>
            </w:r>
            <w:r w:rsidR="004A421F" w:rsidRPr="0071546E">
              <w:rPr>
                <w:rStyle w:val="Hyperlink"/>
                <w:i/>
                <w:noProof/>
              </w:rPr>
              <w:t>Acanthamoeba</w:t>
            </w:r>
            <w:r w:rsidR="004A421F" w:rsidRPr="0071546E">
              <w:rPr>
                <w:rStyle w:val="Hyperlink"/>
                <w:noProof/>
              </w:rPr>
              <w:t xml:space="preserve"> photodynamic therapy Photodynamic therapy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_Toc14711492 \h </w:instrText>
            </w:r>
            <w:r w:rsidR="004A421F" w:rsidRPr="0071546E">
              <w:rPr>
                <w:noProof/>
                <w:webHidden/>
              </w:rPr>
            </w:r>
            <w:r w:rsidR="004A421F" w:rsidRPr="0071546E">
              <w:rPr>
                <w:noProof/>
                <w:webHidden/>
              </w:rPr>
              <w:fldChar w:fldCharType="separate"/>
            </w:r>
            <w:r w:rsidR="004A421F" w:rsidRPr="0071546E">
              <w:rPr>
                <w:noProof/>
                <w:webHidden/>
              </w:rPr>
              <w:t>173</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93" w:history="1">
            <w:r w:rsidR="004A421F" w:rsidRPr="0071546E">
              <w:rPr>
                <w:rStyle w:val="Hyperlink"/>
                <w:noProof/>
              </w:rPr>
              <w:t>4.1.1 Toluidine blue photodynamic therapy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_Toc14711493 \h </w:instrText>
            </w:r>
            <w:r w:rsidR="004A421F" w:rsidRPr="0071546E">
              <w:rPr>
                <w:noProof/>
                <w:webHidden/>
              </w:rPr>
            </w:r>
            <w:r w:rsidR="004A421F" w:rsidRPr="0071546E">
              <w:rPr>
                <w:noProof/>
                <w:webHidden/>
              </w:rPr>
              <w:fldChar w:fldCharType="separate"/>
            </w:r>
            <w:r w:rsidR="004A421F" w:rsidRPr="0071546E">
              <w:rPr>
                <w:noProof/>
                <w:webHidden/>
              </w:rPr>
              <w:t>173</w:t>
            </w:r>
            <w:r w:rsidR="004A421F" w:rsidRPr="0071546E">
              <w:rPr>
                <w:noProof/>
                <w:webHidden/>
              </w:rPr>
              <w:fldChar w:fldCharType="end"/>
            </w:r>
          </w:hyperlink>
        </w:p>
        <w:p w:rsidR="004A421F" w:rsidRPr="0071546E" w:rsidRDefault="009B21F2">
          <w:pPr>
            <w:pStyle w:val="TOC2"/>
            <w:rPr>
              <w:rFonts w:eastAsiaTheme="minorEastAsia"/>
              <w:noProof/>
              <w:lang w:eastAsia="en-GB"/>
            </w:rPr>
          </w:pPr>
          <w:hyperlink w:anchor="_Toc14711494" w:history="1">
            <w:r w:rsidR="004A421F" w:rsidRPr="0071546E">
              <w:rPr>
                <w:rStyle w:val="Hyperlink"/>
                <w:noProof/>
              </w:rPr>
              <w:t>4.1.2 Photodynamic therapy using porphyrins.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_Toc14711494 \h </w:instrText>
            </w:r>
            <w:r w:rsidR="004A421F" w:rsidRPr="0071546E">
              <w:rPr>
                <w:noProof/>
                <w:webHidden/>
              </w:rPr>
            </w:r>
            <w:r w:rsidR="004A421F" w:rsidRPr="0071546E">
              <w:rPr>
                <w:noProof/>
                <w:webHidden/>
              </w:rPr>
              <w:fldChar w:fldCharType="separate"/>
            </w:r>
            <w:r w:rsidR="004A421F" w:rsidRPr="0071546E">
              <w:rPr>
                <w:noProof/>
                <w:webHidden/>
              </w:rPr>
              <w:t>174</w:t>
            </w:r>
            <w:r w:rsidR="004A421F" w:rsidRPr="0071546E">
              <w:rPr>
                <w:noProof/>
                <w:webHidden/>
              </w:rPr>
              <w:fldChar w:fldCharType="end"/>
            </w:r>
          </w:hyperlink>
        </w:p>
        <w:p w:rsidR="004A421F" w:rsidRPr="0071546E" w:rsidRDefault="009B21F2">
          <w:pPr>
            <w:pStyle w:val="TOC1"/>
            <w:tabs>
              <w:tab w:val="right" w:leader="dot" w:pos="9016"/>
            </w:tabs>
            <w:rPr>
              <w:rFonts w:eastAsiaTheme="minorEastAsia"/>
              <w:noProof/>
              <w:lang w:eastAsia="en-GB"/>
            </w:rPr>
          </w:pPr>
          <w:hyperlink w:anchor="_Toc14711495" w:history="1">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_Toc14711495 \h </w:instrText>
            </w:r>
            <w:r w:rsidR="004A421F" w:rsidRPr="0071546E">
              <w:rPr>
                <w:noProof/>
                <w:webHidden/>
              </w:rPr>
            </w:r>
            <w:r w:rsidR="004A421F" w:rsidRPr="0071546E">
              <w:rPr>
                <w:noProof/>
                <w:webHidden/>
              </w:rPr>
              <w:fldChar w:fldCharType="separate"/>
            </w:r>
            <w:r w:rsidR="004A421F" w:rsidRPr="0071546E">
              <w:rPr>
                <w:noProof/>
                <w:webHidden/>
              </w:rPr>
              <w:t>180</w:t>
            </w:r>
            <w:r w:rsidR="004A421F" w:rsidRPr="0071546E">
              <w:rPr>
                <w:noProof/>
                <w:webHidden/>
              </w:rPr>
              <w:fldChar w:fldCharType="end"/>
            </w:r>
          </w:hyperlink>
        </w:p>
        <w:p w:rsidR="004A421F" w:rsidRPr="0071546E" w:rsidRDefault="009B21F2">
          <w:pPr>
            <w:pStyle w:val="TOC1"/>
            <w:tabs>
              <w:tab w:val="right" w:leader="dot" w:pos="9016"/>
            </w:tabs>
            <w:rPr>
              <w:rFonts w:eastAsiaTheme="minorEastAsia"/>
              <w:noProof/>
              <w:lang w:eastAsia="en-GB"/>
            </w:rPr>
          </w:pPr>
          <w:hyperlink w:anchor="_Toc14711496" w:history="1">
            <w:r w:rsidR="004A421F" w:rsidRPr="0071546E">
              <w:rPr>
                <w:rStyle w:val="Hyperlink"/>
                <w:noProof/>
              </w:rPr>
              <w:t>5.0 Conclusion</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_Toc14711496 \h </w:instrText>
            </w:r>
            <w:r w:rsidR="004A421F" w:rsidRPr="0071546E">
              <w:rPr>
                <w:noProof/>
                <w:webHidden/>
              </w:rPr>
            </w:r>
            <w:r w:rsidR="004A421F" w:rsidRPr="0071546E">
              <w:rPr>
                <w:noProof/>
                <w:webHidden/>
              </w:rPr>
              <w:fldChar w:fldCharType="separate"/>
            </w:r>
            <w:r w:rsidR="004A421F" w:rsidRPr="0071546E">
              <w:rPr>
                <w:noProof/>
                <w:webHidden/>
              </w:rPr>
              <w:t>181</w:t>
            </w:r>
            <w:r w:rsidR="004A421F" w:rsidRPr="0071546E">
              <w:rPr>
                <w:noProof/>
                <w:webHidden/>
              </w:rPr>
              <w:fldChar w:fldCharType="end"/>
            </w:r>
          </w:hyperlink>
        </w:p>
        <w:p w:rsidR="004A421F" w:rsidRPr="0071546E" w:rsidRDefault="009B21F2">
          <w:pPr>
            <w:pStyle w:val="TOC1"/>
            <w:tabs>
              <w:tab w:val="right" w:leader="dot" w:pos="9016"/>
            </w:tabs>
            <w:rPr>
              <w:rFonts w:eastAsiaTheme="minorEastAsia"/>
              <w:noProof/>
              <w:lang w:eastAsia="en-GB"/>
            </w:rPr>
          </w:pPr>
          <w:hyperlink w:anchor="_Toc14711497" w:history="1">
            <w:r w:rsidR="004A421F" w:rsidRPr="0071546E">
              <w:rPr>
                <w:rStyle w:val="Hyperlink"/>
                <w:noProof/>
                <w:lang w:val="en"/>
              </w:rPr>
              <w:t>Novelty.</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_Toc14711497 \h </w:instrText>
            </w:r>
            <w:r w:rsidR="004A421F" w:rsidRPr="0071546E">
              <w:rPr>
                <w:noProof/>
                <w:webHidden/>
              </w:rPr>
            </w:r>
            <w:r w:rsidR="004A421F" w:rsidRPr="0071546E">
              <w:rPr>
                <w:noProof/>
                <w:webHidden/>
              </w:rPr>
              <w:fldChar w:fldCharType="separate"/>
            </w:r>
            <w:r w:rsidR="004A421F" w:rsidRPr="0071546E">
              <w:rPr>
                <w:noProof/>
                <w:webHidden/>
              </w:rPr>
              <w:t>184</w:t>
            </w:r>
            <w:r w:rsidR="004A421F" w:rsidRPr="0071546E">
              <w:rPr>
                <w:noProof/>
                <w:webHidden/>
              </w:rPr>
              <w:fldChar w:fldCharType="end"/>
            </w:r>
          </w:hyperlink>
        </w:p>
        <w:p w:rsidR="004A421F" w:rsidRPr="0071546E" w:rsidRDefault="009B21F2">
          <w:pPr>
            <w:pStyle w:val="TOC1"/>
            <w:tabs>
              <w:tab w:val="right" w:leader="dot" w:pos="9016"/>
            </w:tabs>
            <w:rPr>
              <w:rFonts w:eastAsiaTheme="minorEastAsia"/>
              <w:noProof/>
              <w:lang w:eastAsia="en-GB"/>
            </w:rPr>
          </w:pPr>
          <w:hyperlink w:anchor="_Toc14711498" w:history="1">
            <w:r w:rsidR="004A421F" w:rsidRPr="0071546E">
              <w:rPr>
                <w:rStyle w:val="Hyperlink"/>
                <w:noProof/>
              </w:rPr>
              <w:t>Future work</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_Toc14711498 \h </w:instrText>
            </w:r>
            <w:r w:rsidR="004A421F" w:rsidRPr="0071546E">
              <w:rPr>
                <w:noProof/>
                <w:webHidden/>
              </w:rPr>
            </w:r>
            <w:r w:rsidR="004A421F" w:rsidRPr="0071546E">
              <w:rPr>
                <w:noProof/>
                <w:webHidden/>
              </w:rPr>
              <w:fldChar w:fldCharType="separate"/>
            </w:r>
            <w:r w:rsidR="004A421F" w:rsidRPr="0071546E">
              <w:rPr>
                <w:noProof/>
                <w:webHidden/>
              </w:rPr>
              <w:t>185</w:t>
            </w:r>
            <w:r w:rsidR="004A421F" w:rsidRPr="0071546E">
              <w:rPr>
                <w:noProof/>
                <w:webHidden/>
              </w:rPr>
              <w:fldChar w:fldCharType="end"/>
            </w:r>
          </w:hyperlink>
        </w:p>
        <w:p w:rsidR="004A421F" w:rsidRPr="0071546E" w:rsidRDefault="009B21F2">
          <w:pPr>
            <w:pStyle w:val="TOC1"/>
            <w:tabs>
              <w:tab w:val="right" w:leader="dot" w:pos="9016"/>
            </w:tabs>
            <w:rPr>
              <w:rFonts w:eastAsiaTheme="minorEastAsia"/>
              <w:noProof/>
              <w:lang w:eastAsia="en-GB"/>
            </w:rPr>
          </w:pPr>
          <w:hyperlink w:anchor="_Toc14711499" w:history="1">
            <w:r w:rsidR="004A421F" w:rsidRPr="0071546E">
              <w:rPr>
                <w:rStyle w:val="Hyperlink"/>
                <w:noProof/>
              </w:rPr>
              <w:t>LIST OF PRESENTATIONS</w:t>
            </w:r>
            <w:r w:rsidR="004A421F" w:rsidRPr="0071546E">
              <w:rPr>
                <w:noProof/>
                <w:webHidden/>
              </w:rPr>
              <w:tab/>
            </w:r>
            <w:r w:rsidR="004A421F" w:rsidRPr="0071546E">
              <w:rPr>
                <w:noProof/>
                <w:webHidden/>
              </w:rPr>
              <w:fldChar w:fldCharType="begin"/>
            </w:r>
            <w:r w:rsidR="004A421F" w:rsidRPr="0071546E">
              <w:rPr>
                <w:noProof/>
                <w:webHidden/>
              </w:rPr>
              <w:instrText xml:space="preserve"> PAGEREF _Toc14711499 \h </w:instrText>
            </w:r>
            <w:r w:rsidR="004A421F" w:rsidRPr="0071546E">
              <w:rPr>
                <w:noProof/>
                <w:webHidden/>
              </w:rPr>
            </w:r>
            <w:r w:rsidR="004A421F" w:rsidRPr="0071546E">
              <w:rPr>
                <w:noProof/>
                <w:webHidden/>
              </w:rPr>
              <w:fldChar w:fldCharType="separate"/>
            </w:r>
            <w:r w:rsidR="004A421F" w:rsidRPr="0071546E">
              <w:rPr>
                <w:noProof/>
                <w:webHidden/>
              </w:rPr>
              <w:t>186</w:t>
            </w:r>
            <w:r w:rsidR="004A421F" w:rsidRPr="0071546E">
              <w:rPr>
                <w:noProof/>
                <w:webHidden/>
              </w:rPr>
              <w:fldChar w:fldCharType="end"/>
            </w:r>
          </w:hyperlink>
        </w:p>
        <w:p w:rsidR="004A421F" w:rsidRPr="0071546E" w:rsidRDefault="009B21F2">
          <w:pPr>
            <w:pStyle w:val="TOC3"/>
            <w:framePr w:wrap="around"/>
            <w:tabs>
              <w:tab w:val="right" w:leader="dot" w:pos="9016"/>
            </w:tabs>
            <w:rPr>
              <w:rFonts w:asciiTheme="minorHAnsi" w:eastAsiaTheme="minorEastAsia" w:hAnsiTheme="minorHAnsi" w:cstheme="minorBidi"/>
              <w:b w:val="0"/>
              <w:bCs w:val="0"/>
              <w:noProof/>
              <w:color w:val="auto"/>
              <w:sz w:val="22"/>
              <w:szCs w:val="22"/>
            </w:rPr>
          </w:pPr>
          <w:hyperlink w:anchor="_Toc14711500" w:history="1">
            <w:r w:rsidR="004A421F" w:rsidRPr="0071546E">
              <w:rPr>
                <w:rStyle w:val="Hyperlink"/>
                <w:rFonts w:ascii="Arial" w:hAnsi="Arial" w:cs="Arial"/>
                <w:b w:val="0"/>
                <w:bCs w:val="0"/>
                <w:noProof/>
              </w:rPr>
              <w:t>Poster Presentations</w:t>
            </w:r>
            <w:r w:rsidR="004A421F" w:rsidRPr="0071546E">
              <w:rPr>
                <w:b w:val="0"/>
                <w:bCs w:val="0"/>
                <w:noProof/>
                <w:webHidden/>
              </w:rPr>
              <w:tab/>
            </w:r>
            <w:r w:rsidR="004A421F" w:rsidRPr="0071546E">
              <w:rPr>
                <w:b w:val="0"/>
                <w:bCs w:val="0"/>
                <w:noProof/>
                <w:webHidden/>
              </w:rPr>
              <w:fldChar w:fldCharType="begin"/>
            </w:r>
            <w:r w:rsidR="004A421F" w:rsidRPr="0071546E">
              <w:rPr>
                <w:b w:val="0"/>
                <w:bCs w:val="0"/>
                <w:noProof/>
                <w:webHidden/>
              </w:rPr>
              <w:instrText xml:space="preserve"> PAGEREF _Toc14711500 \h </w:instrText>
            </w:r>
            <w:r w:rsidR="004A421F" w:rsidRPr="0071546E">
              <w:rPr>
                <w:b w:val="0"/>
                <w:bCs w:val="0"/>
                <w:noProof/>
                <w:webHidden/>
              </w:rPr>
            </w:r>
            <w:r w:rsidR="004A421F" w:rsidRPr="0071546E">
              <w:rPr>
                <w:b w:val="0"/>
                <w:bCs w:val="0"/>
                <w:noProof/>
                <w:webHidden/>
              </w:rPr>
              <w:fldChar w:fldCharType="separate"/>
            </w:r>
            <w:r w:rsidR="004A421F" w:rsidRPr="0071546E">
              <w:rPr>
                <w:b w:val="0"/>
                <w:bCs w:val="0"/>
                <w:noProof/>
                <w:webHidden/>
              </w:rPr>
              <w:t>186</w:t>
            </w:r>
            <w:r w:rsidR="004A421F" w:rsidRPr="0071546E">
              <w:rPr>
                <w:b w:val="0"/>
                <w:bCs w:val="0"/>
                <w:noProof/>
                <w:webHidden/>
              </w:rPr>
              <w:fldChar w:fldCharType="end"/>
            </w:r>
          </w:hyperlink>
        </w:p>
        <w:p w:rsidR="004A421F" w:rsidRPr="0071546E" w:rsidRDefault="009B21F2">
          <w:pPr>
            <w:pStyle w:val="TOC3"/>
            <w:framePr w:wrap="around"/>
            <w:tabs>
              <w:tab w:val="right" w:leader="dot" w:pos="9016"/>
            </w:tabs>
            <w:rPr>
              <w:rFonts w:asciiTheme="minorHAnsi" w:eastAsiaTheme="minorEastAsia" w:hAnsiTheme="minorHAnsi" w:cstheme="minorBidi"/>
              <w:b w:val="0"/>
              <w:bCs w:val="0"/>
              <w:noProof/>
              <w:color w:val="auto"/>
              <w:sz w:val="22"/>
              <w:szCs w:val="22"/>
            </w:rPr>
          </w:pPr>
          <w:hyperlink w:anchor="_Toc14711501" w:history="1">
            <w:r w:rsidR="004A421F" w:rsidRPr="0071546E">
              <w:rPr>
                <w:rStyle w:val="Hyperlink"/>
                <w:rFonts w:ascii="Arial" w:hAnsi="Arial" w:cs="Arial"/>
                <w:b w:val="0"/>
                <w:bCs w:val="0"/>
                <w:noProof/>
              </w:rPr>
              <w:t>Oral Presentation</w:t>
            </w:r>
            <w:r w:rsidR="004A421F" w:rsidRPr="0071546E">
              <w:rPr>
                <w:b w:val="0"/>
                <w:bCs w:val="0"/>
                <w:noProof/>
                <w:webHidden/>
              </w:rPr>
              <w:tab/>
            </w:r>
            <w:r w:rsidR="004A421F" w:rsidRPr="0071546E">
              <w:rPr>
                <w:b w:val="0"/>
                <w:bCs w:val="0"/>
                <w:noProof/>
                <w:webHidden/>
              </w:rPr>
              <w:fldChar w:fldCharType="begin"/>
            </w:r>
            <w:r w:rsidR="004A421F" w:rsidRPr="0071546E">
              <w:rPr>
                <w:b w:val="0"/>
                <w:bCs w:val="0"/>
                <w:noProof/>
                <w:webHidden/>
              </w:rPr>
              <w:instrText xml:space="preserve"> PAGEREF _Toc14711501 \h </w:instrText>
            </w:r>
            <w:r w:rsidR="004A421F" w:rsidRPr="0071546E">
              <w:rPr>
                <w:b w:val="0"/>
                <w:bCs w:val="0"/>
                <w:noProof/>
                <w:webHidden/>
              </w:rPr>
            </w:r>
            <w:r w:rsidR="004A421F" w:rsidRPr="0071546E">
              <w:rPr>
                <w:b w:val="0"/>
                <w:bCs w:val="0"/>
                <w:noProof/>
                <w:webHidden/>
              </w:rPr>
              <w:fldChar w:fldCharType="separate"/>
            </w:r>
            <w:r w:rsidR="004A421F" w:rsidRPr="0071546E">
              <w:rPr>
                <w:b w:val="0"/>
                <w:bCs w:val="0"/>
                <w:noProof/>
                <w:webHidden/>
              </w:rPr>
              <w:t>186</w:t>
            </w:r>
            <w:r w:rsidR="004A421F" w:rsidRPr="0071546E">
              <w:rPr>
                <w:b w:val="0"/>
                <w:bCs w:val="0"/>
                <w:noProof/>
                <w:webHidden/>
              </w:rPr>
              <w:fldChar w:fldCharType="end"/>
            </w:r>
          </w:hyperlink>
        </w:p>
        <w:p w:rsidR="004A421F" w:rsidRPr="0071546E" w:rsidRDefault="009B21F2">
          <w:pPr>
            <w:pStyle w:val="TOC3"/>
            <w:framePr w:wrap="around"/>
            <w:tabs>
              <w:tab w:val="right" w:leader="dot" w:pos="9016"/>
            </w:tabs>
            <w:rPr>
              <w:rFonts w:asciiTheme="minorHAnsi" w:eastAsiaTheme="minorEastAsia" w:hAnsiTheme="minorHAnsi" w:cstheme="minorBidi"/>
              <w:b w:val="0"/>
              <w:bCs w:val="0"/>
              <w:noProof/>
              <w:color w:val="auto"/>
              <w:sz w:val="22"/>
              <w:szCs w:val="22"/>
            </w:rPr>
          </w:pPr>
          <w:hyperlink w:anchor="_Toc14711502" w:history="1">
            <w:r w:rsidR="004A421F" w:rsidRPr="0071546E">
              <w:rPr>
                <w:rStyle w:val="Hyperlink"/>
                <w:rFonts w:ascii="Arial" w:hAnsi="Arial" w:cs="Arial"/>
                <w:b w:val="0"/>
                <w:bCs w:val="0"/>
                <w:noProof/>
              </w:rPr>
              <w:t>Publications in preparation</w:t>
            </w:r>
            <w:r w:rsidR="004A421F" w:rsidRPr="0071546E">
              <w:rPr>
                <w:b w:val="0"/>
                <w:bCs w:val="0"/>
                <w:noProof/>
                <w:webHidden/>
              </w:rPr>
              <w:tab/>
            </w:r>
            <w:r w:rsidR="004A421F" w:rsidRPr="0071546E">
              <w:rPr>
                <w:b w:val="0"/>
                <w:bCs w:val="0"/>
                <w:noProof/>
                <w:webHidden/>
              </w:rPr>
              <w:fldChar w:fldCharType="begin"/>
            </w:r>
            <w:r w:rsidR="004A421F" w:rsidRPr="0071546E">
              <w:rPr>
                <w:b w:val="0"/>
                <w:bCs w:val="0"/>
                <w:noProof/>
                <w:webHidden/>
              </w:rPr>
              <w:instrText xml:space="preserve"> PAGEREF _Toc14711502 \h </w:instrText>
            </w:r>
            <w:r w:rsidR="004A421F" w:rsidRPr="0071546E">
              <w:rPr>
                <w:b w:val="0"/>
                <w:bCs w:val="0"/>
                <w:noProof/>
                <w:webHidden/>
              </w:rPr>
            </w:r>
            <w:r w:rsidR="004A421F" w:rsidRPr="0071546E">
              <w:rPr>
                <w:b w:val="0"/>
                <w:bCs w:val="0"/>
                <w:noProof/>
                <w:webHidden/>
              </w:rPr>
              <w:fldChar w:fldCharType="separate"/>
            </w:r>
            <w:r w:rsidR="004A421F" w:rsidRPr="0071546E">
              <w:rPr>
                <w:b w:val="0"/>
                <w:bCs w:val="0"/>
                <w:noProof/>
                <w:webHidden/>
              </w:rPr>
              <w:t>186</w:t>
            </w:r>
            <w:r w:rsidR="004A421F" w:rsidRPr="0071546E">
              <w:rPr>
                <w:b w:val="0"/>
                <w:bCs w:val="0"/>
                <w:noProof/>
                <w:webHidden/>
              </w:rPr>
              <w:fldChar w:fldCharType="end"/>
            </w:r>
          </w:hyperlink>
        </w:p>
        <w:p w:rsidR="00A63532" w:rsidRPr="0071546E" w:rsidRDefault="000E2C6C" w:rsidP="00CF13FE">
          <w:pPr>
            <w:ind w:left="1021" w:right="454"/>
            <w:rPr>
              <w:rFonts w:ascii="Arial" w:hAnsi="Arial" w:cs="Arial"/>
              <w:b/>
              <w:bCs/>
              <w:noProof/>
            </w:rPr>
            <w:sectPr w:rsidR="00A63532" w:rsidRPr="0071546E" w:rsidSect="00291A79">
              <w:footerReference w:type="default" r:id="rId11"/>
              <w:pgSz w:w="11906" w:h="16838"/>
              <w:pgMar w:top="1440" w:right="1440" w:bottom="1440" w:left="1440" w:header="709" w:footer="709" w:gutter="0"/>
              <w:pgNumType w:fmt="lowerRoman"/>
              <w:cols w:space="708"/>
              <w:docGrid w:linePitch="360"/>
            </w:sectPr>
          </w:pPr>
          <w:r w:rsidRPr="0071546E">
            <w:rPr>
              <w:rFonts w:ascii="Arial" w:hAnsi="Arial" w:cs="Arial"/>
              <w:b/>
              <w:bCs/>
              <w:noProof/>
            </w:rPr>
            <w:fldChar w:fldCharType="end"/>
          </w:r>
        </w:p>
      </w:sdtContent>
    </w:sdt>
    <w:p w:rsidR="00291A79" w:rsidRPr="0071546E" w:rsidRDefault="009B7013" w:rsidP="00CF13FE">
      <w:pPr>
        <w:ind w:left="1021" w:right="454"/>
        <w:rPr>
          <w:rStyle w:val="TitleChar"/>
        </w:rPr>
      </w:pPr>
      <w:r w:rsidRPr="0071546E">
        <w:rPr>
          <w:rFonts w:asciiTheme="majorHAnsi" w:eastAsiaTheme="majorEastAsia" w:hAnsiTheme="majorHAnsi" w:cstheme="majorBidi"/>
          <w:caps/>
          <w:noProof/>
          <w:color w:val="5B9BD5" w:themeColor="accent1"/>
          <w:spacing w:val="10"/>
          <w:sz w:val="52"/>
          <w:szCs w:val="52"/>
          <w:lang w:eastAsia="en-GB"/>
        </w:rPr>
        <mc:AlternateContent>
          <mc:Choice Requires="wps">
            <w:drawing>
              <wp:anchor distT="0" distB="0" distL="114300" distR="114300" simplePos="0" relativeHeight="251754496" behindDoc="0" locked="0" layoutInCell="1" allowOverlap="1">
                <wp:simplePos x="0" y="0"/>
                <wp:positionH relativeFrom="margin">
                  <wp:align>left</wp:align>
                </wp:positionH>
                <wp:positionV relativeFrom="paragraph">
                  <wp:posOffset>10274</wp:posOffset>
                </wp:positionV>
                <wp:extent cx="5188449" cy="1273996"/>
                <wp:effectExtent l="0" t="0" r="0" b="2540"/>
                <wp:wrapNone/>
                <wp:docPr id="1188" name="Text Box 1188"/>
                <wp:cNvGraphicFramePr/>
                <a:graphic xmlns:a="http://schemas.openxmlformats.org/drawingml/2006/main">
                  <a:graphicData uri="http://schemas.microsoft.com/office/word/2010/wordprocessingShape">
                    <wps:wsp>
                      <wps:cNvSpPr txBox="1"/>
                      <wps:spPr>
                        <a:xfrm>
                          <a:off x="0" y="0"/>
                          <a:ext cx="5188449" cy="1273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7A14" w:rsidRPr="001349FE" w:rsidRDefault="00A87A14" w:rsidP="009B7013">
                            <w:pPr>
                              <w:spacing w:line="360" w:lineRule="auto"/>
                              <w:ind w:right="454"/>
                              <w:rPr>
                                <w:rFonts w:eastAsiaTheme="minorEastAsia"/>
                                <w:caps/>
                                <w:color w:val="000000" w:themeColor="text1"/>
                                <w:spacing w:val="10"/>
                                <w:sz w:val="21"/>
                                <w:szCs w:val="21"/>
                              </w:rPr>
                            </w:pPr>
                            <w:r w:rsidRPr="001349FE">
                              <w:rPr>
                                <w:rFonts w:ascii="Arial" w:eastAsiaTheme="majorEastAsia" w:hAnsi="Arial" w:cs="Arial"/>
                                <w:b/>
                                <w:caps/>
                                <w:color w:val="000000" w:themeColor="text1"/>
                                <w:spacing w:val="10"/>
                                <w:sz w:val="56"/>
                                <w:szCs w:val="56"/>
                              </w:rPr>
                              <w:t>CHAPTER ONE</w:t>
                            </w:r>
                            <w:r w:rsidRPr="001349FE">
                              <w:rPr>
                                <w:rFonts w:ascii="Arial" w:eastAsiaTheme="minorEastAsia" w:hAnsi="Arial" w:cs="Arial"/>
                                <w:color w:val="000000" w:themeColor="text1"/>
                                <w:sz w:val="56"/>
                                <w:szCs w:val="56"/>
                              </w:rPr>
                              <w:br/>
                            </w:r>
                            <w:r w:rsidRPr="001349FE">
                              <w:rPr>
                                <w:rFonts w:ascii="Arial" w:eastAsiaTheme="minorEastAsia" w:hAnsi="Arial" w:cs="Arial"/>
                                <w:caps/>
                                <w:color w:val="000000" w:themeColor="text1"/>
                                <w:spacing w:val="10"/>
                                <w:sz w:val="48"/>
                                <w:szCs w:val="48"/>
                              </w:rPr>
                              <w:t>GENERAL INTRODUCTION</w:t>
                            </w:r>
                          </w:p>
                          <w:p w:rsidR="00A87A14" w:rsidRDefault="00A87A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88" o:spid="_x0000_s1033" type="#_x0000_t202" style="position:absolute;left:0;text-align:left;margin-left:0;margin-top:.8pt;width:408.55pt;height:100.3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" filled="f" stroked="f" strokeweight=".5pt">
                <v:textbox>
                  <w:txbxContent>
                    <w:p w:rsidR="00A87A14" w:rsidRPr="001349FE" w:rsidRDefault="00A87A14" w:rsidP="009B7013">
                      <w:pPr>
                        <w:spacing w:line="360" w:lineRule="auto"/>
                        <w:ind w:right="454"/>
                        <w:rPr>
                          <w:rFonts w:eastAsiaTheme="minorEastAsia"/>
                          <w:caps/>
                          <w:color w:val="000000" w:themeColor="text1"/>
                          <w:spacing w:val="10"/>
                          <w:sz w:val="21"/>
                          <w:szCs w:val="21"/>
                        </w:rPr>
                      </w:pPr>
                      <w:r w:rsidRPr="001349FE">
                        <w:rPr>
                          <w:rFonts w:ascii="Arial" w:eastAsiaTheme="majorEastAsia" w:hAnsi="Arial" w:cs="Arial"/>
                          <w:b/>
                          <w:caps/>
                          <w:color w:val="000000" w:themeColor="text1"/>
                          <w:spacing w:val="10"/>
                          <w:sz w:val="56"/>
                          <w:szCs w:val="56"/>
                        </w:rPr>
                        <w:t>CHAPTER ONE</w:t>
                      </w:r>
                      <w:r w:rsidRPr="001349FE">
                        <w:rPr>
                          <w:rFonts w:ascii="Arial" w:eastAsiaTheme="minorEastAsia" w:hAnsi="Arial" w:cs="Arial"/>
                          <w:color w:val="000000" w:themeColor="text1"/>
                          <w:sz w:val="56"/>
                          <w:szCs w:val="56"/>
                        </w:rPr>
                        <w:br/>
                      </w:r>
                      <w:r w:rsidRPr="001349FE">
                        <w:rPr>
                          <w:rFonts w:ascii="Arial" w:eastAsiaTheme="minorEastAsia" w:hAnsi="Arial" w:cs="Arial"/>
                          <w:caps/>
                          <w:color w:val="000000" w:themeColor="text1"/>
                          <w:spacing w:val="10"/>
                          <w:sz w:val="48"/>
                          <w:szCs w:val="48"/>
                        </w:rPr>
                        <w:t>GENERAL INTRODUCTION</w:t>
                      </w:r>
                    </w:p>
                    <w:p w:rsidR="00A87A14" w:rsidRDefault="00A87A14"/>
                  </w:txbxContent>
                </v:textbox>
                <w10:wrap anchorx="margin"/>
              </v:shape>
            </w:pict>
          </mc:Fallback>
        </mc:AlternateContent>
      </w:r>
      <w:r w:rsidR="00D17291" w:rsidRPr="0071546E">
        <w:rPr>
          <w:rFonts w:asciiTheme="majorHAnsi" w:eastAsiaTheme="majorEastAsia" w:hAnsiTheme="majorHAnsi" w:cstheme="majorBidi"/>
          <w:caps/>
          <w:noProof/>
          <w:color w:val="5B9BD5" w:themeColor="accent1"/>
          <w:spacing w:val="10"/>
          <w:sz w:val="52"/>
          <w:szCs w:val="52"/>
          <w:lang w:eastAsia="en-GB"/>
        </w:rPr>
        <mc:AlternateContent>
          <mc:Choice Requires="wps">
            <w:drawing>
              <wp:anchor distT="0" distB="0" distL="114300" distR="114300" simplePos="0" relativeHeight="251753472" behindDoc="0" locked="0" layoutInCell="1" allowOverlap="1">
                <wp:simplePos x="0" y="0"/>
                <wp:positionH relativeFrom="page">
                  <wp:posOffset>-22578</wp:posOffset>
                </wp:positionH>
                <wp:positionV relativeFrom="paragraph">
                  <wp:posOffset>-959556</wp:posOffset>
                </wp:positionV>
                <wp:extent cx="7574845" cy="10713085"/>
                <wp:effectExtent l="0" t="0" r="26670" b="12065"/>
                <wp:wrapNone/>
                <wp:docPr id="89" name="Rectangle 89"/>
                <wp:cNvGraphicFramePr/>
                <a:graphic xmlns:a="http://schemas.openxmlformats.org/drawingml/2006/main">
                  <a:graphicData uri="http://schemas.microsoft.com/office/word/2010/wordprocessingShape">
                    <wps:wsp>
                      <wps:cNvSpPr/>
                      <wps:spPr>
                        <a:xfrm>
                          <a:off x="0" y="0"/>
                          <a:ext cx="7574845" cy="10713085"/>
                        </a:xfrm>
                        <a:prstGeom prst="rect">
                          <a:avLst/>
                        </a:prstGeom>
                        <a:solidFill>
                          <a:schemeClr val="bg1"/>
                        </a:solidFill>
                        <a:ln/>
                      </wps:spPr>
                      <wps:style>
                        <a:lnRef idx="1">
                          <a:schemeClr val="accent3"/>
                        </a:lnRef>
                        <a:fillRef idx="2">
                          <a:schemeClr val="accent3"/>
                        </a:fillRef>
                        <a:effectRef idx="1">
                          <a:schemeClr val="accent3"/>
                        </a:effectRef>
                        <a:fontRef idx="minor">
                          <a:schemeClr val="dk1"/>
                        </a:fontRef>
                      </wps:style>
                      <wps:txbx>
                        <w:txbxContent>
                          <w:p w:rsidR="00A87A14" w:rsidRDefault="00A87A14" w:rsidP="001349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89" o:spid="_x0000_s1034" style="position:absolute;left:0;text-align:left;margin-left:-1.8pt;margin-top:-75.55pt;width:596.45pt;height:843.5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" fillcolor="white [3212]" strokecolor="#a5a5a5 [3206]" strokeweight=".5pt">
                <v:textbox>
                  <w:txbxContent>
                    <w:p w:rsidR="00A87A14" w:rsidRDefault="00A87A14" w:rsidP="001349FE">
                      <w:pPr>
                        <w:jc w:val="center"/>
                      </w:pPr>
                    </w:p>
                  </w:txbxContent>
                </v:textbox>
                <w10:wrap anchorx="page"/>
              </v:rect>
            </w:pict>
          </mc:Fallback>
        </mc:AlternateContent>
      </w:r>
    </w:p>
    <w:p w:rsidR="00AB60A7" w:rsidRPr="0071546E" w:rsidRDefault="00AB60A7" w:rsidP="00CF13FE">
      <w:pPr>
        <w:ind w:left="1021" w:right="454"/>
        <w:rPr>
          <w:rFonts w:ascii="Arial" w:eastAsia="Times New Roman" w:hAnsi="Arial" w:cs="Arial"/>
          <w:b/>
          <w:bCs/>
          <w:kern w:val="36"/>
          <w:sz w:val="24"/>
          <w:szCs w:val="24"/>
          <w:lang w:eastAsia="en-GB"/>
        </w:rPr>
      </w:pPr>
      <w:r w:rsidRPr="0071546E">
        <w:rPr>
          <w:rFonts w:cs="Arial"/>
          <w:sz w:val="24"/>
          <w:szCs w:val="24"/>
        </w:rPr>
        <w:br w:type="page"/>
      </w:r>
    </w:p>
    <w:p w:rsidR="00725033" w:rsidRPr="0071546E" w:rsidRDefault="00725033" w:rsidP="00CF13FE">
      <w:pPr>
        <w:pStyle w:val="Heading1"/>
        <w:ind w:left="1021" w:right="454"/>
      </w:pPr>
      <w:bookmarkStart w:id="9" w:name="_Toc14711378"/>
      <w:r w:rsidRPr="0071546E">
        <w:t>CHAPTER ONE</w:t>
      </w:r>
      <w:bookmarkEnd w:id="9"/>
    </w:p>
    <w:p w:rsidR="00725033" w:rsidRPr="0071546E" w:rsidRDefault="007C4367" w:rsidP="00CF13FE">
      <w:pPr>
        <w:pStyle w:val="Heading2"/>
        <w:ind w:left="1021" w:right="454"/>
      </w:pPr>
      <w:bookmarkStart w:id="10" w:name="_Toc14711379"/>
      <w:r w:rsidRPr="0071546E">
        <w:t xml:space="preserve">1.0 </w:t>
      </w:r>
      <w:r w:rsidR="00725033" w:rsidRPr="0071546E">
        <w:t>Introduction</w:t>
      </w:r>
      <w:bookmarkEnd w:id="10"/>
      <w:r w:rsidR="00725033" w:rsidRPr="0071546E">
        <w:t xml:space="preserve">  </w:t>
      </w:r>
    </w:p>
    <w:p w:rsidR="00725033" w:rsidRPr="0071546E" w:rsidRDefault="00725033" w:rsidP="00CF13FE">
      <w:pPr>
        <w:pStyle w:val="Heading2"/>
        <w:ind w:left="1021" w:right="454"/>
      </w:pPr>
      <w:bookmarkStart w:id="11" w:name="_Toc14711380"/>
      <w:r w:rsidRPr="0071546E">
        <w:t xml:space="preserve">1.1 </w:t>
      </w:r>
      <w:r w:rsidR="00432D1D" w:rsidRPr="0071546E">
        <w:rPr>
          <w:i/>
        </w:rPr>
        <w:t>Acanthamoeba</w:t>
      </w:r>
      <w:r w:rsidRPr="0071546E">
        <w:t xml:space="preserve"> biology, morphology and increasing incidence</w:t>
      </w:r>
      <w:bookmarkEnd w:id="11"/>
      <w:r w:rsidRPr="0071546E">
        <w:t xml:space="preserve"> </w:t>
      </w:r>
    </w:p>
    <w:p w:rsidR="000C2EFE" w:rsidRPr="0071546E" w:rsidRDefault="00432D1D" w:rsidP="00CF13FE">
      <w:pPr>
        <w:spacing w:line="480" w:lineRule="auto"/>
        <w:ind w:left="1021" w:right="454"/>
        <w:jc w:val="both"/>
        <w:rPr>
          <w:rFonts w:ascii="Arial" w:hAnsi="Arial" w:cs="Arial"/>
          <w:sz w:val="24"/>
          <w:szCs w:val="24"/>
        </w:rPr>
      </w:pPr>
      <w:r w:rsidRPr="0071546E">
        <w:rPr>
          <w:rFonts w:ascii="Arial" w:hAnsi="Arial" w:cs="Arial"/>
          <w:i/>
          <w:sz w:val="24"/>
          <w:szCs w:val="24"/>
        </w:rPr>
        <w:t>Acanthamoeba</w:t>
      </w:r>
      <w:r w:rsidR="00725033" w:rsidRPr="0071546E">
        <w:rPr>
          <w:rFonts w:ascii="Arial" w:hAnsi="Arial" w:cs="Arial"/>
          <w:sz w:val="24"/>
          <w:szCs w:val="24"/>
        </w:rPr>
        <w:t xml:space="preserve"> was first observed in 1957 as a contaminant in a trypsinised monkey tissue culture (Jahnes </w:t>
      </w:r>
      <w:r w:rsidR="00725033" w:rsidRPr="0071546E">
        <w:rPr>
          <w:rFonts w:ascii="Arial" w:hAnsi="Arial" w:cs="Arial"/>
          <w:i/>
          <w:sz w:val="24"/>
          <w:szCs w:val="24"/>
        </w:rPr>
        <w:t>et al</w:t>
      </w:r>
      <w:r w:rsidR="003212DC" w:rsidRPr="0071546E">
        <w:rPr>
          <w:rFonts w:ascii="Arial" w:hAnsi="Arial" w:cs="Arial"/>
          <w:sz w:val="24"/>
          <w:szCs w:val="24"/>
        </w:rPr>
        <w:t>., 1957). The</w:t>
      </w:r>
      <w:r w:rsidR="00725033" w:rsidRPr="0071546E">
        <w:rPr>
          <w:rFonts w:ascii="Arial" w:hAnsi="Arial" w:cs="Arial"/>
          <w:sz w:val="24"/>
          <w:szCs w:val="24"/>
        </w:rPr>
        <w:t xml:space="preserve"> pathogenic potential</w:t>
      </w:r>
      <w:r w:rsidR="003212DC" w:rsidRPr="0071546E">
        <w:rPr>
          <w:rFonts w:ascii="Arial" w:hAnsi="Arial" w:cs="Arial"/>
          <w:sz w:val="24"/>
          <w:szCs w:val="24"/>
        </w:rPr>
        <w:t xml:space="preserve"> of </w:t>
      </w:r>
      <w:r w:rsidR="003212DC" w:rsidRPr="0071546E">
        <w:rPr>
          <w:rFonts w:ascii="Arial" w:hAnsi="Arial" w:cs="Arial"/>
          <w:i/>
          <w:sz w:val="24"/>
          <w:szCs w:val="24"/>
        </w:rPr>
        <w:t>Acanthamoeba</w:t>
      </w:r>
      <w:r w:rsidR="003212DC" w:rsidRPr="0071546E">
        <w:rPr>
          <w:rFonts w:ascii="Arial" w:hAnsi="Arial" w:cs="Arial"/>
          <w:sz w:val="24"/>
          <w:szCs w:val="24"/>
        </w:rPr>
        <w:t xml:space="preserve"> was</w:t>
      </w:r>
      <w:r w:rsidR="00725033" w:rsidRPr="0071546E">
        <w:rPr>
          <w:rFonts w:ascii="Arial" w:hAnsi="Arial" w:cs="Arial"/>
          <w:sz w:val="24"/>
          <w:szCs w:val="24"/>
        </w:rPr>
        <w:t xml:space="preserve"> uncovered during the development of a polio vaccine (Culbertson </w:t>
      </w:r>
      <w:r w:rsidR="00725033" w:rsidRPr="0071546E">
        <w:rPr>
          <w:rFonts w:ascii="Arial" w:hAnsi="Arial" w:cs="Arial"/>
          <w:i/>
          <w:sz w:val="24"/>
          <w:szCs w:val="24"/>
        </w:rPr>
        <w:t>et al.</w:t>
      </w:r>
      <w:r w:rsidR="00725033" w:rsidRPr="0071546E">
        <w:rPr>
          <w:rFonts w:ascii="Arial" w:hAnsi="Arial" w:cs="Arial"/>
          <w:sz w:val="24"/>
          <w:szCs w:val="24"/>
        </w:rPr>
        <w:t xml:space="preserve">, 1958). Culbertson and colleagues unintentionally inoculated a contaminated monkey-cell culture fluid infested by </w:t>
      </w:r>
      <w:r w:rsidRPr="0071546E">
        <w:rPr>
          <w:rFonts w:ascii="Arial" w:hAnsi="Arial" w:cs="Arial"/>
          <w:i/>
          <w:sz w:val="24"/>
          <w:szCs w:val="24"/>
        </w:rPr>
        <w:t>Acanthamoeba</w:t>
      </w:r>
      <w:r w:rsidR="0007356A" w:rsidRPr="0071546E">
        <w:rPr>
          <w:rFonts w:ascii="Arial" w:hAnsi="Arial" w:cs="Arial"/>
          <w:sz w:val="24"/>
          <w:szCs w:val="24"/>
        </w:rPr>
        <w:t xml:space="preserve"> into</w:t>
      </w:r>
      <w:r w:rsidR="00725033" w:rsidRPr="0071546E">
        <w:rPr>
          <w:rFonts w:ascii="Arial" w:hAnsi="Arial" w:cs="Arial"/>
          <w:sz w:val="24"/>
          <w:szCs w:val="24"/>
        </w:rPr>
        <w:t xml:space="preserve"> immunosuppressed monkeys and mice, resulting in deadly encephalitis of the host within 24</w:t>
      </w:r>
      <w:r w:rsidR="003212DC" w:rsidRPr="0071546E">
        <w:rPr>
          <w:rFonts w:ascii="Arial" w:hAnsi="Arial" w:cs="Arial"/>
          <w:sz w:val="24"/>
          <w:szCs w:val="24"/>
        </w:rPr>
        <w:t xml:space="preserve"> </w:t>
      </w:r>
      <w:r w:rsidR="00725033" w:rsidRPr="0071546E">
        <w:rPr>
          <w:rFonts w:ascii="Arial" w:hAnsi="Arial" w:cs="Arial"/>
          <w:sz w:val="24"/>
          <w:szCs w:val="24"/>
        </w:rPr>
        <w:t xml:space="preserve">hours. First, they thought the cell culture was contaminated with an unknown virus. However, after histological assessment of the animals and microscopy of the culture fluids, they confirmed </w:t>
      </w:r>
      <w:r w:rsidRPr="0071546E">
        <w:rPr>
          <w:rFonts w:ascii="Arial" w:hAnsi="Arial" w:cs="Arial"/>
          <w:i/>
          <w:sz w:val="24"/>
          <w:szCs w:val="24"/>
        </w:rPr>
        <w:t>Acanthamoeba</w:t>
      </w:r>
      <w:r w:rsidR="00725033" w:rsidRPr="0071546E">
        <w:rPr>
          <w:rFonts w:ascii="Arial" w:hAnsi="Arial" w:cs="Arial"/>
          <w:sz w:val="24"/>
          <w:szCs w:val="24"/>
        </w:rPr>
        <w:t xml:space="preserve"> as the contamin</w:t>
      </w:r>
      <w:r w:rsidR="003212DC" w:rsidRPr="0071546E">
        <w:rPr>
          <w:rFonts w:ascii="Arial" w:hAnsi="Arial" w:cs="Arial"/>
          <w:sz w:val="24"/>
          <w:szCs w:val="24"/>
        </w:rPr>
        <w:t>ant. The first recorded</w:t>
      </w:r>
      <w:r w:rsidR="00725033" w:rsidRPr="0071546E">
        <w:rPr>
          <w:rFonts w:ascii="Arial" w:hAnsi="Arial" w:cs="Arial"/>
          <w:sz w:val="24"/>
          <w:szCs w:val="24"/>
        </w:rPr>
        <w:t xml:space="preserve"> human infection by </w:t>
      </w:r>
      <w:r w:rsidRPr="0071546E">
        <w:rPr>
          <w:rFonts w:ascii="Arial" w:hAnsi="Arial" w:cs="Arial"/>
          <w:i/>
          <w:sz w:val="24"/>
          <w:szCs w:val="24"/>
        </w:rPr>
        <w:t>Acanthamoeba</w:t>
      </w:r>
      <w:r w:rsidR="00725033" w:rsidRPr="0071546E">
        <w:rPr>
          <w:rFonts w:ascii="Arial" w:hAnsi="Arial" w:cs="Arial"/>
          <w:sz w:val="24"/>
          <w:szCs w:val="24"/>
        </w:rPr>
        <w:t xml:space="preserve"> came in 1972 (Jager and Stamm, 1972).  A decade later, </w:t>
      </w:r>
      <w:r w:rsidRPr="0071546E">
        <w:rPr>
          <w:rFonts w:ascii="Arial" w:hAnsi="Arial" w:cs="Arial"/>
          <w:i/>
          <w:sz w:val="24"/>
          <w:szCs w:val="24"/>
        </w:rPr>
        <w:t>Acanthamoeba</w:t>
      </w:r>
      <w:r w:rsidR="00725033" w:rsidRPr="0071546E">
        <w:rPr>
          <w:rFonts w:ascii="Arial" w:hAnsi="Arial" w:cs="Arial"/>
          <w:sz w:val="24"/>
          <w:szCs w:val="24"/>
        </w:rPr>
        <w:t xml:space="preserve"> was characterised as an opportunistic pathogen, which affects </w:t>
      </w:r>
      <w:r w:rsidR="004A57D4" w:rsidRPr="0071546E">
        <w:rPr>
          <w:rFonts w:ascii="Arial" w:hAnsi="Arial" w:cs="Arial"/>
          <w:sz w:val="24"/>
          <w:szCs w:val="24"/>
        </w:rPr>
        <w:t xml:space="preserve">the </w:t>
      </w:r>
      <w:r w:rsidR="00725033" w:rsidRPr="0071546E">
        <w:rPr>
          <w:rFonts w:ascii="Arial" w:hAnsi="Arial" w:cs="Arial"/>
          <w:sz w:val="24"/>
          <w:szCs w:val="24"/>
        </w:rPr>
        <w:t>immunosuppressed individual (Martinez, 1980). These free-living amoebas ha</w:t>
      </w:r>
      <w:r w:rsidR="004A57D4" w:rsidRPr="0071546E">
        <w:rPr>
          <w:rFonts w:ascii="Arial" w:hAnsi="Arial" w:cs="Arial"/>
          <w:sz w:val="24"/>
          <w:szCs w:val="24"/>
        </w:rPr>
        <w:t>ve</w:t>
      </w:r>
      <w:r w:rsidR="00725033" w:rsidRPr="0071546E">
        <w:rPr>
          <w:rFonts w:ascii="Arial" w:hAnsi="Arial" w:cs="Arial"/>
          <w:sz w:val="24"/>
          <w:szCs w:val="24"/>
        </w:rPr>
        <w:t xml:space="preserve"> not evolved to parasitism </w:t>
      </w:r>
      <w:r w:rsidR="00D753FD" w:rsidRPr="0071546E">
        <w:rPr>
          <w:rFonts w:ascii="Arial" w:hAnsi="Arial" w:cs="Arial"/>
          <w:sz w:val="24"/>
          <w:szCs w:val="24"/>
        </w:rPr>
        <w:t xml:space="preserve"> such as seen in </w:t>
      </w:r>
      <w:r w:rsidR="00725033" w:rsidRPr="0071546E">
        <w:rPr>
          <w:rFonts w:ascii="Arial" w:hAnsi="Arial" w:cs="Arial"/>
          <w:sz w:val="24"/>
          <w:szCs w:val="24"/>
        </w:rPr>
        <w:t xml:space="preserve">typical parasitic protozoa such as </w:t>
      </w:r>
      <w:r w:rsidR="00725033" w:rsidRPr="0071546E">
        <w:rPr>
          <w:rFonts w:ascii="Arial" w:hAnsi="Arial" w:cs="Arial"/>
          <w:i/>
          <w:sz w:val="24"/>
          <w:szCs w:val="24"/>
        </w:rPr>
        <w:t>Plasmodium</w:t>
      </w:r>
      <w:r w:rsidR="00725033" w:rsidRPr="0071546E">
        <w:rPr>
          <w:rFonts w:ascii="Arial" w:hAnsi="Arial" w:cs="Arial"/>
          <w:sz w:val="24"/>
          <w:szCs w:val="24"/>
        </w:rPr>
        <w:t xml:space="preserve"> </w:t>
      </w:r>
      <w:r w:rsidR="00725033" w:rsidRPr="0071546E">
        <w:rPr>
          <w:rFonts w:ascii="Arial" w:hAnsi="Arial" w:cs="Arial"/>
          <w:i/>
          <w:sz w:val="24"/>
          <w:szCs w:val="24"/>
        </w:rPr>
        <w:t>spp.</w:t>
      </w:r>
      <w:r w:rsidR="00725033" w:rsidRPr="0071546E">
        <w:rPr>
          <w:rFonts w:ascii="Arial" w:hAnsi="Arial" w:cs="Arial"/>
          <w:sz w:val="24"/>
          <w:szCs w:val="24"/>
        </w:rPr>
        <w:t xml:space="preserve"> and </w:t>
      </w:r>
      <w:r w:rsidR="00725033" w:rsidRPr="0071546E">
        <w:rPr>
          <w:rFonts w:ascii="Arial" w:hAnsi="Arial" w:cs="Arial"/>
          <w:i/>
          <w:sz w:val="24"/>
          <w:szCs w:val="24"/>
        </w:rPr>
        <w:t>Leishmania</w:t>
      </w:r>
      <w:r w:rsidR="00725033" w:rsidRPr="0071546E">
        <w:rPr>
          <w:rFonts w:ascii="Arial" w:hAnsi="Arial" w:cs="Arial"/>
          <w:sz w:val="24"/>
          <w:szCs w:val="24"/>
        </w:rPr>
        <w:t xml:space="preserve"> </w:t>
      </w:r>
      <w:r w:rsidR="00725033" w:rsidRPr="0071546E">
        <w:rPr>
          <w:rFonts w:ascii="Arial" w:hAnsi="Arial" w:cs="Arial"/>
          <w:i/>
          <w:sz w:val="24"/>
          <w:szCs w:val="24"/>
        </w:rPr>
        <w:t>spp</w:t>
      </w:r>
      <w:r w:rsidR="00725033" w:rsidRPr="0071546E">
        <w:rPr>
          <w:rFonts w:ascii="Arial" w:hAnsi="Arial" w:cs="Arial"/>
          <w:sz w:val="24"/>
          <w:szCs w:val="24"/>
        </w:rPr>
        <w:t>.</w:t>
      </w:r>
      <w:r w:rsidR="00942774" w:rsidRPr="0071546E">
        <w:rPr>
          <w:rFonts w:ascii="Arial" w:hAnsi="Arial" w:cs="Arial"/>
          <w:sz w:val="24"/>
          <w:szCs w:val="24"/>
        </w:rPr>
        <w:t>;</w:t>
      </w:r>
      <w:r w:rsidR="00725033" w:rsidRPr="0071546E">
        <w:rPr>
          <w:rFonts w:ascii="Arial" w:hAnsi="Arial" w:cs="Arial"/>
          <w:sz w:val="24"/>
          <w:szCs w:val="24"/>
        </w:rPr>
        <w:t xml:space="preserve"> </w:t>
      </w:r>
      <w:r w:rsidR="00942774" w:rsidRPr="0071546E">
        <w:rPr>
          <w:rFonts w:ascii="Arial" w:hAnsi="Arial" w:cs="Arial"/>
          <w:sz w:val="24"/>
          <w:szCs w:val="24"/>
        </w:rPr>
        <w:t>hence</w:t>
      </w:r>
      <w:r w:rsidR="00DE5B34" w:rsidRPr="0071546E">
        <w:rPr>
          <w:rFonts w:ascii="Arial" w:hAnsi="Arial" w:cs="Arial"/>
          <w:sz w:val="24"/>
          <w:szCs w:val="24"/>
        </w:rPr>
        <w:t xml:space="preserve"> no</w:t>
      </w:r>
      <w:r w:rsidR="00725033" w:rsidRPr="0071546E">
        <w:rPr>
          <w:rFonts w:ascii="Arial" w:hAnsi="Arial" w:cs="Arial"/>
          <w:sz w:val="24"/>
          <w:szCs w:val="24"/>
        </w:rPr>
        <w:t xml:space="preserve"> reported case of host-to-host transmission of </w:t>
      </w:r>
      <w:r w:rsidRPr="0071546E">
        <w:rPr>
          <w:rFonts w:ascii="Arial" w:hAnsi="Arial" w:cs="Arial"/>
          <w:i/>
          <w:sz w:val="24"/>
          <w:szCs w:val="24"/>
        </w:rPr>
        <w:t>Acanthamoeba</w:t>
      </w:r>
      <w:r w:rsidR="00725033" w:rsidRPr="0071546E">
        <w:rPr>
          <w:rFonts w:ascii="Arial" w:hAnsi="Arial" w:cs="Arial"/>
          <w:sz w:val="24"/>
          <w:szCs w:val="24"/>
        </w:rPr>
        <w:t xml:space="preserve"> infections. </w:t>
      </w:r>
      <w:r w:rsidRPr="0071546E">
        <w:rPr>
          <w:rFonts w:ascii="Arial" w:hAnsi="Arial" w:cs="Arial"/>
          <w:i/>
          <w:sz w:val="24"/>
          <w:szCs w:val="24"/>
        </w:rPr>
        <w:t>Acanthamoeba</w:t>
      </w:r>
      <w:r w:rsidR="00725033" w:rsidRPr="0071546E">
        <w:rPr>
          <w:rFonts w:ascii="Arial" w:hAnsi="Arial" w:cs="Arial"/>
          <w:sz w:val="24"/>
          <w:szCs w:val="24"/>
        </w:rPr>
        <w:t xml:space="preserve"> </w:t>
      </w:r>
      <w:r w:rsidR="004A57D4" w:rsidRPr="0071546E">
        <w:rPr>
          <w:rFonts w:ascii="Arial" w:hAnsi="Arial" w:cs="Arial"/>
          <w:sz w:val="24"/>
          <w:szCs w:val="24"/>
        </w:rPr>
        <w:t>is</w:t>
      </w:r>
      <w:r w:rsidR="00725033" w:rsidRPr="0071546E">
        <w:rPr>
          <w:rFonts w:ascii="Arial" w:hAnsi="Arial" w:cs="Arial"/>
          <w:sz w:val="24"/>
          <w:szCs w:val="24"/>
        </w:rPr>
        <w:t xml:space="preserve"> extremely versatile and resistant, as shown by their ubiquitous distribution in nature and man</w:t>
      </w:r>
      <w:r w:rsidR="003212DC" w:rsidRPr="0071546E">
        <w:rPr>
          <w:rFonts w:ascii="Arial" w:hAnsi="Arial" w:cs="Arial"/>
          <w:sz w:val="24"/>
          <w:szCs w:val="24"/>
        </w:rPr>
        <w:t>-</w:t>
      </w:r>
      <w:r w:rsidR="00725033" w:rsidRPr="0071546E">
        <w:rPr>
          <w:rFonts w:ascii="Arial" w:hAnsi="Arial" w:cs="Arial"/>
          <w:sz w:val="24"/>
          <w:szCs w:val="24"/>
        </w:rPr>
        <w:t xml:space="preserve">made environments.  In soil and water sample they are reported as the most common amoeba (Page 1988) and can be seen in all water environment. </w:t>
      </w:r>
      <w:r w:rsidR="000C2EFE" w:rsidRPr="0071546E">
        <w:rPr>
          <w:rFonts w:ascii="Arial" w:hAnsi="Arial" w:cs="Arial"/>
          <w:i/>
          <w:iCs/>
          <w:sz w:val="24"/>
          <w:szCs w:val="24"/>
        </w:rPr>
        <w:t>Acanthamoeba</w:t>
      </w:r>
      <w:r w:rsidR="000C2EFE" w:rsidRPr="0071546E">
        <w:rPr>
          <w:rFonts w:ascii="Arial" w:hAnsi="Arial" w:cs="Arial"/>
          <w:sz w:val="24"/>
          <w:szCs w:val="24"/>
        </w:rPr>
        <w:t xml:space="preserve"> has</w:t>
      </w:r>
      <w:r w:rsidR="00725033" w:rsidRPr="0071546E">
        <w:rPr>
          <w:rFonts w:ascii="Arial" w:hAnsi="Arial" w:cs="Arial"/>
          <w:sz w:val="24"/>
          <w:szCs w:val="24"/>
        </w:rPr>
        <w:t xml:space="preserve"> </w:t>
      </w:r>
      <w:r w:rsidR="000554C3" w:rsidRPr="0071546E">
        <w:rPr>
          <w:rFonts w:ascii="Arial" w:hAnsi="Arial" w:cs="Arial"/>
          <w:sz w:val="24"/>
          <w:szCs w:val="24"/>
        </w:rPr>
        <w:t xml:space="preserve">the </w:t>
      </w:r>
      <w:r w:rsidR="00725033" w:rsidRPr="0071546E">
        <w:rPr>
          <w:rFonts w:ascii="Arial" w:hAnsi="Arial" w:cs="Arial"/>
          <w:sz w:val="24"/>
          <w:szCs w:val="24"/>
        </w:rPr>
        <w:t xml:space="preserve">ability to </w:t>
      </w:r>
      <w:r w:rsidR="000C2EFE" w:rsidRPr="0071546E">
        <w:rPr>
          <w:rFonts w:ascii="Arial" w:hAnsi="Arial" w:cs="Arial"/>
          <w:sz w:val="24"/>
          <w:szCs w:val="24"/>
        </w:rPr>
        <w:t xml:space="preserve">survive in diverse </w:t>
      </w:r>
      <w:r w:rsidR="00725033" w:rsidRPr="0071546E">
        <w:rPr>
          <w:rFonts w:ascii="Arial" w:hAnsi="Arial" w:cs="Arial"/>
          <w:sz w:val="24"/>
          <w:szCs w:val="24"/>
        </w:rPr>
        <w:t>environments like extreme temperature, osmolality, pH and nutrient</w:t>
      </w:r>
      <w:r w:rsidR="00563D9A" w:rsidRPr="0071546E">
        <w:rPr>
          <w:rFonts w:ascii="Arial" w:hAnsi="Arial" w:cs="Arial"/>
          <w:sz w:val="24"/>
          <w:szCs w:val="24"/>
        </w:rPr>
        <w:t>-</w:t>
      </w:r>
      <w:r w:rsidR="00725033" w:rsidRPr="0071546E">
        <w:rPr>
          <w:rFonts w:ascii="Arial" w:hAnsi="Arial" w:cs="Arial"/>
          <w:sz w:val="24"/>
          <w:szCs w:val="24"/>
        </w:rPr>
        <w:t>depleted habitats</w:t>
      </w:r>
      <w:r w:rsidR="000C2EFE" w:rsidRPr="0071546E">
        <w:rPr>
          <w:rFonts w:ascii="Arial" w:hAnsi="Arial" w:cs="Arial"/>
          <w:sz w:val="24"/>
          <w:szCs w:val="24"/>
        </w:rPr>
        <w:t xml:space="preserve"> and this can be attributed to their ability to transform to more resistant cyst formin extreme e</w:t>
      </w:r>
      <w:r w:rsidR="000554C3" w:rsidRPr="0071546E">
        <w:rPr>
          <w:rFonts w:ascii="Arial" w:hAnsi="Arial" w:cs="Arial"/>
          <w:sz w:val="24"/>
          <w:szCs w:val="24"/>
        </w:rPr>
        <w:t>nviron</w:t>
      </w:r>
      <w:r w:rsidR="000C2EFE" w:rsidRPr="0071546E">
        <w:rPr>
          <w:rFonts w:ascii="Arial" w:hAnsi="Arial" w:cs="Arial"/>
          <w:sz w:val="24"/>
          <w:szCs w:val="24"/>
        </w:rPr>
        <w:t>mental situations</w:t>
      </w:r>
      <w:r w:rsidR="00725033" w:rsidRPr="0071546E">
        <w:rPr>
          <w:rFonts w:ascii="Arial" w:hAnsi="Arial" w:cs="Arial"/>
          <w:sz w:val="24"/>
          <w:szCs w:val="24"/>
        </w:rPr>
        <w:t xml:space="preserve">. </w:t>
      </w:r>
      <w:r w:rsidR="000C2EFE" w:rsidRPr="0071546E">
        <w:rPr>
          <w:rFonts w:ascii="Arial" w:hAnsi="Arial" w:cs="Arial"/>
          <w:i/>
          <w:iCs/>
          <w:sz w:val="24"/>
          <w:szCs w:val="24"/>
        </w:rPr>
        <w:t>Acanthamoeba</w:t>
      </w:r>
      <w:r w:rsidR="000C2EFE" w:rsidRPr="0071546E">
        <w:rPr>
          <w:rFonts w:ascii="Arial" w:hAnsi="Arial" w:cs="Arial"/>
          <w:sz w:val="24"/>
          <w:szCs w:val="24"/>
        </w:rPr>
        <w:t xml:space="preserve"> ha</w:t>
      </w:r>
      <w:r w:rsidR="000554C3" w:rsidRPr="0071546E">
        <w:rPr>
          <w:rFonts w:ascii="Arial" w:hAnsi="Arial" w:cs="Arial"/>
          <w:sz w:val="24"/>
          <w:szCs w:val="24"/>
        </w:rPr>
        <w:t>s</w:t>
      </w:r>
      <w:r w:rsidR="000C2EFE" w:rsidRPr="0071546E">
        <w:rPr>
          <w:rFonts w:ascii="Arial" w:hAnsi="Arial" w:cs="Arial"/>
          <w:sz w:val="24"/>
          <w:szCs w:val="24"/>
        </w:rPr>
        <w:t xml:space="preserve"> been isolated from </w:t>
      </w:r>
      <w:r w:rsidR="000554C3" w:rsidRPr="0071546E">
        <w:rPr>
          <w:rFonts w:ascii="Arial" w:hAnsi="Arial" w:cs="Arial"/>
          <w:sz w:val="24"/>
          <w:szCs w:val="24"/>
        </w:rPr>
        <w:t xml:space="preserve">the </w:t>
      </w:r>
      <w:r w:rsidR="000C2EFE" w:rsidRPr="0071546E">
        <w:rPr>
          <w:rFonts w:ascii="Arial" w:hAnsi="Arial" w:cs="Arial"/>
          <w:sz w:val="24"/>
          <w:szCs w:val="24"/>
        </w:rPr>
        <w:t>public water supply, bottled water seawater, pond water, mud, freshwater, saltwater lakes</w:t>
      </w:r>
      <w:r w:rsidR="000554C3" w:rsidRPr="0071546E">
        <w:rPr>
          <w:rFonts w:ascii="Arial" w:hAnsi="Arial" w:cs="Arial"/>
          <w:sz w:val="24"/>
          <w:szCs w:val="24"/>
        </w:rPr>
        <w:t xml:space="preserve">, </w:t>
      </w:r>
      <w:r w:rsidR="000C2EFE" w:rsidRPr="0071546E">
        <w:rPr>
          <w:rFonts w:ascii="Arial" w:hAnsi="Arial" w:cs="Arial"/>
          <w:sz w:val="24"/>
          <w:szCs w:val="24"/>
        </w:rPr>
        <w:t xml:space="preserve">ventilation ducts, sewage, compost, </w:t>
      </w:r>
      <w:r w:rsidR="000554C3" w:rsidRPr="0071546E">
        <w:rPr>
          <w:rFonts w:ascii="Arial" w:hAnsi="Arial" w:cs="Arial"/>
          <w:sz w:val="24"/>
          <w:szCs w:val="24"/>
        </w:rPr>
        <w:t xml:space="preserve">the </w:t>
      </w:r>
      <w:r w:rsidR="000C2EFE" w:rsidRPr="0071546E">
        <w:rPr>
          <w:rFonts w:ascii="Arial" w:hAnsi="Arial" w:cs="Arial"/>
          <w:sz w:val="24"/>
          <w:szCs w:val="24"/>
        </w:rPr>
        <w:t>carca</w:t>
      </w:r>
      <w:r w:rsidR="000554C3" w:rsidRPr="0071546E">
        <w:rPr>
          <w:rFonts w:ascii="Arial" w:hAnsi="Arial" w:cs="Arial"/>
          <w:sz w:val="24"/>
          <w:szCs w:val="24"/>
        </w:rPr>
        <w:t>s</w:t>
      </w:r>
      <w:r w:rsidR="000C2EFE" w:rsidRPr="0071546E">
        <w:rPr>
          <w:rFonts w:ascii="Arial" w:hAnsi="Arial" w:cs="Arial"/>
          <w:sz w:val="24"/>
          <w:szCs w:val="24"/>
        </w:rPr>
        <w:t xml:space="preserve">s of </w:t>
      </w:r>
      <w:r w:rsidR="000554C3" w:rsidRPr="0071546E">
        <w:rPr>
          <w:rFonts w:ascii="Arial" w:hAnsi="Arial" w:cs="Arial"/>
          <w:sz w:val="24"/>
          <w:szCs w:val="24"/>
        </w:rPr>
        <w:t xml:space="preserve">a </w:t>
      </w:r>
      <w:r w:rsidR="000C2EFE" w:rsidRPr="0071546E">
        <w:rPr>
          <w:rFonts w:ascii="Arial" w:hAnsi="Arial" w:cs="Arial"/>
          <w:sz w:val="24"/>
          <w:szCs w:val="24"/>
        </w:rPr>
        <w:t>dead animal, vegetables, contact lenses and their cases</w:t>
      </w:r>
      <w:r w:rsidR="002C63A3" w:rsidRPr="0071546E">
        <w:rPr>
          <w:rFonts w:ascii="Arial" w:hAnsi="Arial" w:cs="Arial"/>
          <w:sz w:val="24"/>
          <w:szCs w:val="24"/>
        </w:rPr>
        <w:t xml:space="preserve">. </w:t>
      </w:r>
      <w:r w:rsidR="003150A0" w:rsidRPr="0071546E">
        <w:rPr>
          <w:rFonts w:ascii="Arial" w:hAnsi="Arial" w:cs="Arial"/>
          <w:sz w:val="24"/>
          <w:szCs w:val="24"/>
        </w:rPr>
        <w:t>F</w:t>
      </w:r>
      <w:r w:rsidR="002C63A3" w:rsidRPr="0071546E">
        <w:rPr>
          <w:rFonts w:ascii="Arial" w:hAnsi="Arial" w:cs="Arial"/>
          <w:sz w:val="24"/>
          <w:szCs w:val="24"/>
        </w:rPr>
        <w:t>urthermore</w:t>
      </w:r>
      <w:r w:rsidR="000554C3" w:rsidRPr="0071546E">
        <w:rPr>
          <w:rFonts w:ascii="Arial" w:hAnsi="Arial" w:cs="Arial"/>
          <w:sz w:val="24"/>
          <w:szCs w:val="24"/>
        </w:rPr>
        <w:t>,</w:t>
      </w:r>
      <w:r w:rsidR="002C63A3" w:rsidRPr="0071546E">
        <w:rPr>
          <w:rFonts w:ascii="Arial" w:hAnsi="Arial" w:cs="Arial"/>
          <w:sz w:val="24"/>
          <w:szCs w:val="24"/>
        </w:rPr>
        <w:t xml:space="preserve"> </w:t>
      </w:r>
      <w:r w:rsidR="002C63A3" w:rsidRPr="0071546E">
        <w:rPr>
          <w:rFonts w:ascii="Arial" w:hAnsi="Arial" w:cs="Arial"/>
          <w:i/>
          <w:iCs/>
          <w:sz w:val="24"/>
          <w:szCs w:val="24"/>
        </w:rPr>
        <w:t>Acanthamoeba</w:t>
      </w:r>
      <w:r w:rsidR="002C63A3" w:rsidRPr="0071546E">
        <w:rPr>
          <w:rFonts w:ascii="Arial" w:hAnsi="Arial" w:cs="Arial"/>
          <w:sz w:val="24"/>
          <w:szCs w:val="24"/>
        </w:rPr>
        <w:t xml:space="preserve"> has been</w:t>
      </w:r>
      <w:r w:rsidR="000554C3" w:rsidRPr="0071546E">
        <w:rPr>
          <w:rFonts w:ascii="Arial" w:hAnsi="Arial" w:cs="Arial"/>
          <w:sz w:val="24"/>
          <w:szCs w:val="24"/>
        </w:rPr>
        <w:t xml:space="preserve"> </w:t>
      </w:r>
      <w:r w:rsidR="002C63A3" w:rsidRPr="0071546E">
        <w:rPr>
          <w:rFonts w:ascii="Arial" w:hAnsi="Arial" w:cs="Arial"/>
          <w:sz w:val="24"/>
          <w:szCs w:val="24"/>
        </w:rPr>
        <w:t>isolated from dialysis units eyewash stations, human nasal cavities, lungs tissues skin lesions, cerebrospinal fluids (review</w:t>
      </w:r>
      <w:r w:rsidR="000554C3" w:rsidRPr="0071546E">
        <w:rPr>
          <w:rFonts w:ascii="Arial" w:hAnsi="Arial" w:cs="Arial"/>
          <w:sz w:val="24"/>
          <w:szCs w:val="24"/>
        </w:rPr>
        <w:t>e</w:t>
      </w:r>
      <w:r w:rsidR="002C63A3" w:rsidRPr="0071546E">
        <w:rPr>
          <w:rFonts w:ascii="Arial" w:hAnsi="Arial" w:cs="Arial"/>
          <w:sz w:val="24"/>
          <w:szCs w:val="24"/>
        </w:rPr>
        <w:t xml:space="preserve">d in </w:t>
      </w:r>
      <w:r w:rsidR="003150A0" w:rsidRPr="0071546E">
        <w:rPr>
          <w:rFonts w:ascii="Arial" w:hAnsi="Arial" w:cs="Arial"/>
          <w:sz w:val="24"/>
          <w:szCs w:val="24"/>
        </w:rPr>
        <w:t>Khan, 2003; Marciano-Cabral and Cabral, 2003; Schuster and Visvesvara, 2004)</w:t>
      </w:r>
    </w:p>
    <w:p w:rsidR="00725033" w:rsidRPr="0071546E" w:rsidRDefault="00725033" w:rsidP="00CF13FE">
      <w:pPr>
        <w:spacing w:line="480" w:lineRule="auto"/>
        <w:ind w:left="1021" w:right="454"/>
        <w:jc w:val="both"/>
        <w:rPr>
          <w:rFonts w:ascii="Arial" w:hAnsi="Arial" w:cs="Arial"/>
          <w:sz w:val="24"/>
          <w:szCs w:val="24"/>
        </w:rPr>
      </w:pPr>
      <w:r w:rsidRPr="0071546E">
        <w:rPr>
          <w:rFonts w:ascii="Arial" w:hAnsi="Arial" w:cs="Arial"/>
          <w:sz w:val="24"/>
          <w:szCs w:val="24"/>
        </w:rPr>
        <w:t xml:space="preserve">The ubiquitous nature of </w:t>
      </w:r>
      <w:r w:rsidR="00432D1D" w:rsidRPr="0071546E">
        <w:rPr>
          <w:rFonts w:ascii="Arial" w:hAnsi="Arial" w:cs="Arial"/>
          <w:i/>
          <w:sz w:val="24"/>
          <w:szCs w:val="24"/>
        </w:rPr>
        <w:t>Acanthamoeba</w:t>
      </w:r>
      <w:r w:rsidRPr="0071546E">
        <w:rPr>
          <w:rFonts w:ascii="Arial" w:hAnsi="Arial" w:cs="Arial"/>
          <w:sz w:val="24"/>
          <w:szCs w:val="24"/>
        </w:rPr>
        <w:t xml:space="preserve"> means they are no</w:t>
      </w:r>
      <w:r w:rsidR="003212DC" w:rsidRPr="0071546E">
        <w:rPr>
          <w:rFonts w:ascii="Arial" w:hAnsi="Arial" w:cs="Arial"/>
          <w:sz w:val="24"/>
          <w:szCs w:val="24"/>
        </w:rPr>
        <w:t>t</w:t>
      </w:r>
      <w:r w:rsidRPr="0071546E">
        <w:rPr>
          <w:rFonts w:ascii="Arial" w:hAnsi="Arial" w:cs="Arial"/>
          <w:sz w:val="24"/>
          <w:szCs w:val="24"/>
        </w:rPr>
        <w:t xml:space="preserve"> reliant on ho</w:t>
      </w:r>
      <w:r w:rsidR="003212DC" w:rsidRPr="0071546E">
        <w:rPr>
          <w:rFonts w:ascii="Arial" w:hAnsi="Arial" w:cs="Arial"/>
          <w:sz w:val="24"/>
          <w:szCs w:val="24"/>
        </w:rPr>
        <w:t>sts for transmission and spread</w:t>
      </w:r>
      <w:r w:rsidR="003212DC" w:rsidRPr="0071546E">
        <w:rPr>
          <w:rFonts w:ascii="Arial" w:hAnsi="Arial" w:cs="Arial"/>
          <w:color w:val="000000"/>
          <w:sz w:val="24"/>
          <w:szCs w:val="24"/>
        </w:rPr>
        <w:t xml:space="preserve"> </w:t>
      </w:r>
      <w:r w:rsidRPr="0071546E">
        <w:rPr>
          <w:rFonts w:ascii="Arial" w:hAnsi="Arial" w:cs="Arial"/>
          <w:sz w:val="24"/>
          <w:szCs w:val="24"/>
        </w:rPr>
        <w:t xml:space="preserve">(Khan, 2006). Remarkably, despite the opportunities offered to these amoebas by nature, </w:t>
      </w:r>
      <w:r w:rsidR="00ED3ED3" w:rsidRPr="0071546E">
        <w:rPr>
          <w:rFonts w:ascii="Arial" w:hAnsi="Arial" w:cs="Arial"/>
          <w:sz w:val="24"/>
          <w:szCs w:val="24"/>
        </w:rPr>
        <w:t>Infection of</w:t>
      </w:r>
      <w:r w:rsidRPr="0071546E">
        <w:rPr>
          <w:rFonts w:ascii="Arial" w:hAnsi="Arial" w:cs="Arial"/>
          <w:sz w:val="24"/>
          <w:szCs w:val="24"/>
        </w:rPr>
        <w:t xml:space="preserve"> humans is uncommon and limited to immunocompromised hosts</w:t>
      </w:r>
      <w:r w:rsidRPr="0071546E">
        <w:rPr>
          <w:rFonts w:ascii="Arial" w:hAnsi="Arial" w:cs="Arial"/>
          <w:color w:val="000000"/>
          <w:sz w:val="24"/>
          <w:szCs w:val="24"/>
        </w:rPr>
        <w:t xml:space="preserve"> </w:t>
      </w:r>
      <w:r w:rsidRPr="0071546E">
        <w:rPr>
          <w:rFonts w:ascii="Arial" w:hAnsi="Arial" w:cs="Arial"/>
          <w:sz w:val="24"/>
          <w:szCs w:val="24"/>
        </w:rPr>
        <w:t xml:space="preserve">(Kays, 2010). They can infect the eye and cause </w:t>
      </w:r>
      <w:r w:rsidR="00432D1D" w:rsidRPr="0071546E">
        <w:rPr>
          <w:rFonts w:ascii="Arial" w:hAnsi="Arial" w:cs="Arial"/>
          <w:sz w:val="24"/>
          <w:szCs w:val="24"/>
        </w:rPr>
        <w:t>Acanthamoeba</w:t>
      </w:r>
      <w:r w:rsidRPr="0071546E">
        <w:rPr>
          <w:rFonts w:ascii="Arial" w:hAnsi="Arial" w:cs="Arial"/>
          <w:sz w:val="24"/>
          <w:szCs w:val="24"/>
        </w:rPr>
        <w:t xml:space="preserve"> keratitis (AK), and they can affect the central nervous system and brain in a deadly infection known as Granulomatous Amoebic Encephalitis (GAE)</w:t>
      </w:r>
      <w:r w:rsidRPr="0071546E">
        <w:rPr>
          <w:rFonts w:ascii="Arial" w:hAnsi="Arial" w:cs="Arial"/>
          <w:color w:val="000000"/>
          <w:sz w:val="24"/>
          <w:szCs w:val="24"/>
        </w:rPr>
        <w:t xml:space="preserve"> </w:t>
      </w:r>
      <w:r w:rsidRPr="0071546E">
        <w:rPr>
          <w:rFonts w:ascii="Arial" w:hAnsi="Arial" w:cs="Arial"/>
          <w:sz w:val="24"/>
          <w:szCs w:val="24"/>
        </w:rPr>
        <w:t xml:space="preserve">(Maritschnegg et al., 2010). Until date, there are about 24 named species of </w:t>
      </w:r>
      <w:r w:rsidR="00432D1D" w:rsidRPr="0071546E">
        <w:rPr>
          <w:rFonts w:ascii="Arial" w:hAnsi="Arial" w:cs="Arial"/>
          <w:i/>
          <w:sz w:val="24"/>
          <w:szCs w:val="24"/>
        </w:rPr>
        <w:t>Acanthamoeba</w:t>
      </w:r>
      <w:r w:rsidRPr="0071546E">
        <w:rPr>
          <w:rFonts w:ascii="Arial" w:hAnsi="Arial" w:cs="Arial"/>
          <w:sz w:val="24"/>
          <w:szCs w:val="24"/>
        </w:rPr>
        <w:t xml:space="preserve"> though not all of them are pathogenic in nature (Chelkha et al., 2018). The first isolated specie</w:t>
      </w:r>
      <w:r w:rsidR="004A57D4" w:rsidRPr="0071546E">
        <w:rPr>
          <w:rFonts w:ascii="Arial" w:hAnsi="Arial" w:cs="Arial"/>
          <w:sz w:val="24"/>
          <w:szCs w:val="24"/>
        </w:rPr>
        <w:t>s</w:t>
      </w:r>
      <w:r w:rsidRPr="0071546E">
        <w:rPr>
          <w:rFonts w:ascii="Arial" w:hAnsi="Arial" w:cs="Arial"/>
          <w:sz w:val="24"/>
          <w:szCs w:val="24"/>
        </w:rPr>
        <w:t xml:space="preserve"> </w:t>
      </w:r>
      <w:r w:rsidR="00D753FD" w:rsidRPr="0071546E">
        <w:rPr>
          <w:rFonts w:ascii="Arial" w:hAnsi="Arial" w:cs="Arial"/>
          <w:sz w:val="24"/>
          <w:szCs w:val="24"/>
        </w:rPr>
        <w:t xml:space="preserve">of </w:t>
      </w:r>
      <w:r w:rsidR="00D753FD" w:rsidRPr="0071546E">
        <w:rPr>
          <w:rFonts w:ascii="Arial" w:hAnsi="Arial" w:cs="Arial"/>
          <w:i/>
          <w:sz w:val="24"/>
          <w:szCs w:val="24"/>
        </w:rPr>
        <w:t>Acanthamoeba</w:t>
      </w:r>
      <w:r w:rsidR="00D753FD" w:rsidRPr="0071546E">
        <w:rPr>
          <w:rFonts w:ascii="Arial" w:hAnsi="Arial" w:cs="Arial"/>
          <w:sz w:val="24"/>
          <w:szCs w:val="24"/>
        </w:rPr>
        <w:t xml:space="preserve"> (from dust) </w:t>
      </w:r>
      <w:r w:rsidR="0007356A" w:rsidRPr="0071546E">
        <w:rPr>
          <w:rFonts w:ascii="Arial" w:hAnsi="Arial" w:cs="Arial"/>
          <w:sz w:val="24"/>
          <w:szCs w:val="24"/>
        </w:rPr>
        <w:t xml:space="preserve">was </w:t>
      </w:r>
      <w:r w:rsidR="00432D1D" w:rsidRPr="0071546E">
        <w:rPr>
          <w:rFonts w:ascii="Arial" w:hAnsi="Arial" w:cs="Arial"/>
          <w:i/>
          <w:sz w:val="24"/>
          <w:szCs w:val="24"/>
        </w:rPr>
        <w:t>Acanthamoeba</w:t>
      </w:r>
      <w:r w:rsidRPr="0071546E">
        <w:rPr>
          <w:rFonts w:ascii="Arial" w:hAnsi="Arial" w:cs="Arial"/>
          <w:i/>
          <w:sz w:val="24"/>
          <w:szCs w:val="24"/>
        </w:rPr>
        <w:t xml:space="preserve"> polyphaga</w:t>
      </w:r>
      <w:r w:rsidRPr="0071546E">
        <w:rPr>
          <w:rFonts w:ascii="Arial" w:hAnsi="Arial" w:cs="Arial"/>
          <w:sz w:val="24"/>
          <w:szCs w:val="24"/>
        </w:rPr>
        <w:t xml:space="preserve"> </w:t>
      </w:r>
      <w:r w:rsidR="00D753FD" w:rsidRPr="0071546E">
        <w:rPr>
          <w:rFonts w:ascii="Arial" w:hAnsi="Arial" w:cs="Arial"/>
          <w:sz w:val="24"/>
          <w:szCs w:val="24"/>
        </w:rPr>
        <w:t xml:space="preserve">( previously known as </w:t>
      </w:r>
      <w:r w:rsidRPr="0071546E">
        <w:rPr>
          <w:rFonts w:ascii="Arial" w:hAnsi="Arial" w:cs="Arial"/>
          <w:i/>
          <w:sz w:val="24"/>
          <w:szCs w:val="24"/>
        </w:rPr>
        <w:t>Amoeba polyhagus</w:t>
      </w:r>
      <w:r w:rsidR="00D753FD" w:rsidRPr="0071546E">
        <w:rPr>
          <w:rFonts w:ascii="Arial" w:hAnsi="Arial" w:cs="Arial"/>
          <w:sz w:val="24"/>
          <w:szCs w:val="24"/>
        </w:rPr>
        <w:t xml:space="preserve">; </w:t>
      </w:r>
      <w:r w:rsidRPr="0071546E">
        <w:rPr>
          <w:rFonts w:ascii="Arial" w:hAnsi="Arial" w:cs="Arial"/>
          <w:sz w:val="24"/>
          <w:szCs w:val="24"/>
        </w:rPr>
        <w:t xml:space="preserve">Puschkare, 1913) a nomenclature later changed to </w:t>
      </w:r>
      <w:r w:rsidRPr="0071546E">
        <w:rPr>
          <w:rFonts w:ascii="Arial" w:hAnsi="Arial" w:cs="Arial"/>
          <w:i/>
          <w:sz w:val="24"/>
          <w:szCs w:val="24"/>
        </w:rPr>
        <w:t>A. polyphaga</w:t>
      </w:r>
      <w:r w:rsidRPr="0071546E">
        <w:rPr>
          <w:rFonts w:ascii="Arial" w:hAnsi="Arial" w:cs="Arial"/>
          <w:sz w:val="24"/>
          <w:szCs w:val="24"/>
        </w:rPr>
        <w:t xml:space="preserve"> (Page, 1967). Another common specie</w:t>
      </w:r>
      <w:r w:rsidR="004A57D4" w:rsidRPr="0071546E">
        <w:rPr>
          <w:rFonts w:ascii="Arial" w:hAnsi="Arial" w:cs="Arial"/>
          <w:sz w:val="24"/>
          <w:szCs w:val="24"/>
        </w:rPr>
        <w:t>s</w:t>
      </w:r>
      <w:r w:rsidRPr="0071546E">
        <w:rPr>
          <w:rFonts w:ascii="Arial" w:hAnsi="Arial" w:cs="Arial"/>
          <w:sz w:val="24"/>
          <w:szCs w:val="24"/>
        </w:rPr>
        <w:t xml:space="preserve"> </w:t>
      </w:r>
      <w:r w:rsidRPr="0071546E">
        <w:rPr>
          <w:rFonts w:ascii="Arial" w:hAnsi="Arial" w:cs="Arial"/>
          <w:i/>
          <w:sz w:val="24"/>
          <w:szCs w:val="24"/>
        </w:rPr>
        <w:t xml:space="preserve">A. Castellani </w:t>
      </w:r>
      <w:r w:rsidRPr="0071546E">
        <w:rPr>
          <w:rFonts w:ascii="Arial" w:hAnsi="Arial" w:cs="Arial"/>
          <w:sz w:val="24"/>
          <w:szCs w:val="24"/>
        </w:rPr>
        <w:t xml:space="preserve">was isolated from a yeast culture of </w:t>
      </w:r>
      <w:r w:rsidRPr="0071546E">
        <w:rPr>
          <w:rFonts w:ascii="Arial" w:hAnsi="Arial" w:cs="Arial"/>
          <w:i/>
          <w:sz w:val="24"/>
          <w:szCs w:val="24"/>
        </w:rPr>
        <w:t>Cryptococcus pararoseus</w:t>
      </w:r>
      <w:r w:rsidRPr="0071546E">
        <w:rPr>
          <w:rFonts w:ascii="Arial" w:hAnsi="Arial" w:cs="Arial"/>
          <w:sz w:val="24"/>
          <w:szCs w:val="24"/>
        </w:rPr>
        <w:t xml:space="preserve"> (Castellani, 1930), and was later renamed </w:t>
      </w:r>
      <w:r w:rsidRPr="0071546E">
        <w:rPr>
          <w:rFonts w:ascii="Arial" w:hAnsi="Arial" w:cs="Arial"/>
          <w:i/>
          <w:sz w:val="24"/>
          <w:szCs w:val="24"/>
        </w:rPr>
        <w:t>Hartmanella castellani</w:t>
      </w:r>
      <w:r w:rsidRPr="0071546E">
        <w:rPr>
          <w:rFonts w:ascii="Arial" w:hAnsi="Arial" w:cs="Arial"/>
          <w:sz w:val="24"/>
          <w:szCs w:val="24"/>
        </w:rPr>
        <w:t xml:space="preserve"> (Douglas, 1930). The genus of </w:t>
      </w:r>
      <w:r w:rsidR="00432D1D" w:rsidRPr="0071546E">
        <w:rPr>
          <w:rFonts w:ascii="Arial" w:hAnsi="Arial" w:cs="Arial"/>
          <w:i/>
          <w:sz w:val="24"/>
          <w:szCs w:val="24"/>
        </w:rPr>
        <w:t>Acanthamoeba</w:t>
      </w:r>
      <w:r w:rsidRPr="0071546E">
        <w:rPr>
          <w:rFonts w:ascii="Arial" w:hAnsi="Arial" w:cs="Arial"/>
          <w:sz w:val="24"/>
          <w:szCs w:val="24"/>
        </w:rPr>
        <w:t xml:space="preserve"> was later established and distinguished from </w:t>
      </w:r>
      <w:r w:rsidRPr="0071546E">
        <w:rPr>
          <w:rFonts w:ascii="Arial" w:hAnsi="Arial" w:cs="Arial"/>
          <w:i/>
          <w:sz w:val="24"/>
          <w:szCs w:val="24"/>
        </w:rPr>
        <w:t xml:space="preserve">Hartmanella, </w:t>
      </w:r>
      <w:r w:rsidRPr="0071546E">
        <w:rPr>
          <w:rFonts w:ascii="Arial" w:hAnsi="Arial" w:cs="Arial"/>
          <w:sz w:val="24"/>
          <w:szCs w:val="24"/>
        </w:rPr>
        <w:t xml:space="preserve">which lead to the reclassification of </w:t>
      </w:r>
      <w:r w:rsidRPr="0071546E">
        <w:rPr>
          <w:rFonts w:ascii="Arial" w:hAnsi="Arial" w:cs="Arial"/>
          <w:i/>
          <w:sz w:val="24"/>
          <w:szCs w:val="24"/>
        </w:rPr>
        <w:t>H. castellanii</w:t>
      </w:r>
      <w:r w:rsidRPr="0071546E">
        <w:rPr>
          <w:rFonts w:ascii="Arial" w:hAnsi="Arial" w:cs="Arial"/>
          <w:sz w:val="24"/>
          <w:szCs w:val="24"/>
        </w:rPr>
        <w:t xml:space="preserve"> to </w:t>
      </w:r>
      <w:r w:rsidRPr="0071546E">
        <w:rPr>
          <w:rFonts w:ascii="Arial" w:hAnsi="Arial" w:cs="Arial"/>
          <w:i/>
          <w:sz w:val="24"/>
          <w:szCs w:val="24"/>
        </w:rPr>
        <w:t>A. castellanii</w:t>
      </w:r>
      <w:r w:rsidRPr="0071546E">
        <w:rPr>
          <w:rFonts w:ascii="Arial" w:hAnsi="Arial" w:cs="Arial"/>
          <w:sz w:val="24"/>
          <w:szCs w:val="24"/>
        </w:rPr>
        <w:t xml:space="preserve"> (Volkonsky, 1931).</w:t>
      </w:r>
      <w:r w:rsidR="00230FB2" w:rsidRPr="0071546E">
        <w:rPr>
          <w:rFonts w:ascii="Arial" w:hAnsi="Arial" w:cs="Arial"/>
          <w:sz w:val="24"/>
          <w:szCs w:val="24"/>
        </w:rPr>
        <w:t xml:space="preserve"> </w:t>
      </w:r>
      <w:r w:rsidR="00230FB2" w:rsidRPr="0071546E">
        <w:rPr>
          <w:rFonts w:ascii="Arial" w:hAnsi="Arial" w:cs="Arial"/>
          <w:i/>
          <w:sz w:val="24"/>
          <w:szCs w:val="24"/>
        </w:rPr>
        <w:t>Acanthamoeba</w:t>
      </w:r>
      <w:r w:rsidR="00230FB2" w:rsidRPr="0071546E">
        <w:rPr>
          <w:rFonts w:ascii="Arial" w:hAnsi="Arial" w:cs="Arial"/>
          <w:sz w:val="24"/>
          <w:szCs w:val="24"/>
        </w:rPr>
        <w:t xml:space="preserve"> can occur in two morphological forms.</w:t>
      </w:r>
      <w:r w:rsidRPr="0071546E">
        <w:rPr>
          <w:rFonts w:ascii="Arial" w:hAnsi="Arial" w:cs="Arial"/>
          <w:sz w:val="24"/>
          <w:szCs w:val="24"/>
        </w:rPr>
        <w:t xml:space="preserve"> A single cell-walled vegetative motile form known as the trophozoite and a double</w:t>
      </w:r>
      <w:r w:rsidR="004A57D4" w:rsidRPr="0071546E">
        <w:rPr>
          <w:rFonts w:ascii="Arial" w:hAnsi="Arial" w:cs="Arial"/>
          <w:sz w:val="24"/>
          <w:szCs w:val="24"/>
        </w:rPr>
        <w:t>-</w:t>
      </w:r>
      <w:r w:rsidRPr="0071546E">
        <w:rPr>
          <w:rFonts w:ascii="Arial" w:hAnsi="Arial" w:cs="Arial"/>
          <w:sz w:val="24"/>
          <w:szCs w:val="24"/>
        </w:rPr>
        <w:t>walled dormant form called the cysts</w:t>
      </w:r>
      <w:r w:rsidRPr="0071546E">
        <w:rPr>
          <w:rFonts w:ascii="Arial" w:hAnsi="Arial" w:cs="Arial"/>
          <w:color w:val="000000"/>
          <w:sz w:val="24"/>
          <w:szCs w:val="24"/>
        </w:rPr>
        <w:t xml:space="preserve"> </w:t>
      </w:r>
      <w:r w:rsidRPr="0071546E">
        <w:rPr>
          <w:rFonts w:ascii="Arial" w:hAnsi="Arial" w:cs="Arial"/>
          <w:sz w:val="24"/>
          <w:szCs w:val="24"/>
        </w:rPr>
        <w:t>(Duarte et al., 2013).  The trophozoites are usually 15-30µm in length with several distinguishing morphological features. Trophozoites have a cytoplasm with a large vacuole and ps</w:t>
      </w:r>
      <w:r w:rsidR="005530EB" w:rsidRPr="0071546E">
        <w:rPr>
          <w:rFonts w:ascii="Arial" w:hAnsi="Arial" w:cs="Arial"/>
          <w:sz w:val="24"/>
          <w:szCs w:val="24"/>
        </w:rPr>
        <w:t>eudopodia often referred to as a</w:t>
      </w:r>
      <w:r w:rsidRPr="0071546E">
        <w:rPr>
          <w:rFonts w:ascii="Arial" w:hAnsi="Arial" w:cs="Arial"/>
          <w:sz w:val="24"/>
          <w:szCs w:val="24"/>
        </w:rPr>
        <w:t>canth</w:t>
      </w:r>
      <w:r w:rsidR="005171D0" w:rsidRPr="0071546E">
        <w:rPr>
          <w:rFonts w:ascii="Arial" w:hAnsi="Arial" w:cs="Arial"/>
          <w:sz w:val="24"/>
          <w:szCs w:val="24"/>
        </w:rPr>
        <w:t>opodia (Fig 1.2</w:t>
      </w:r>
      <w:r w:rsidR="004A57D4" w:rsidRPr="0071546E">
        <w:rPr>
          <w:rFonts w:ascii="Arial" w:hAnsi="Arial" w:cs="Arial"/>
          <w:sz w:val="24"/>
          <w:szCs w:val="24"/>
        </w:rPr>
        <w:t>). The acantho</w:t>
      </w:r>
      <w:r w:rsidRPr="0071546E">
        <w:rPr>
          <w:rFonts w:ascii="Arial" w:hAnsi="Arial" w:cs="Arial"/>
          <w:sz w:val="24"/>
          <w:szCs w:val="24"/>
        </w:rPr>
        <w:t xml:space="preserve">podia allow pathogenic strains to adhere to the host cell surface, aids movement and serve as a hook to capture its </w:t>
      </w:r>
      <w:r w:rsidR="00ED3ED3" w:rsidRPr="0071546E">
        <w:rPr>
          <w:rFonts w:ascii="Arial" w:hAnsi="Arial" w:cs="Arial"/>
          <w:sz w:val="24"/>
          <w:szCs w:val="24"/>
        </w:rPr>
        <w:t>food</w:t>
      </w:r>
      <w:r w:rsidRPr="0071546E">
        <w:rPr>
          <w:rFonts w:ascii="Arial" w:hAnsi="Arial" w:cs="Arial"/>
          <w:sz w:val="24"/>
          <w:szCs w:val="24"/>
        </w:rPr>
        <w:t xml:space="preserve"> (Brocious et al., 2018). </w:t>
      </w:r>
      <w:r w:rsidR="00C06EEE" w:rsidRPr="0071546E">
        <w:rPr>
          <w:rFonts w:ascii="Arial" w:hAnsi="Arial" w:cs="Arial"/>
          <w:i/>
          <w:iCs/>
          <w:sz w:val="24"/>
          <w:szCs w:val="24"/>
        </w:rPr>
        <w:t>Acanthamoeba</w:t>
      </w:r>
      <w:r w:rsidR="00C06EEE" w:rsidRPr="0071546E">
        <w:rPr>
          <w:rFonts w:ascii="Arial" w:hAnsi="Arial" w:cs="Arial"/>
          <w:sz w:val="24"/>
          <w:szCs w:val="24"/>
        </w:rPr>
        <w:t xml:space="preserve"> feeds on microorganism found on surfaces of different habitats (Guimaraes et al., 2016). Food uptake by </w:t>
      </w:r>
      <w:r w:rsidR="00C06EEE" w:rsidRPr="0071546E">
        <w:rPr>
          <w:rFonts w:ascii="Arial" w:hAnsi="Arial" w:cs="Arial"/>
          <w:i/>
          <w:iCs/>
          <w:sz w:val="24"/>
          <w:szCs w:val="24"/>
        </w:rPr>
        <w:t>Acanthamoeba</w:t>
      </w:r>
      <w:r w:rsidR="00C06EEE" w:rsidRPr="0071546E">
        <w:rPr>
          <w:rFonts w:ascii="Arial" w:hAnsi="Arial" w:cs="Arial"/>
          <w:sz w:val="24"/>
          <w:szCs w:val="24"/>
        </w:rPr>
        <w:t xml:space="preserve"> can be either by phagocytosis or by pinocytosis (Chrisman, Alvarez and Casadevall, 2010). Acanthamoeba engulfs bacteria, algae and smaller yeasts through its vacuole during phagocytosis. When in an axenic culture Acanthamoeba feed by taking up large volumes of solutes mostly glucose.</w:t>
      </w:r>
      <w:r w:rsidRPr="0071546E">
        <w:rPr>
          <w:rFonts w:ascii="Arial" w:hAnsi="Arial" w:cs="Arial"/>
          <w:sz w:val="24"/>
          <w:szCs w:val="24"/>
        </w:rPr>
        <w:t xml:space="preserve"> </w:t>
      </w:r>
      <w:r w:rsidR="00C06EEE" w:rsidRPr="0071546E">
        <w:rPr>
          <w:rFonts w:ascii="Arial" w:hAnsi="Arial" w:cs="Arial"/>
          <w:sz w:val="24"/>
          <w:szCs w:val="24"/>
        </w:rPr>
        <w:t>They</w:t>
      </w:r>
      <w:r w:rsidRPr="0071546E">
        <w:rPr>
          <w:rFonts w:ascii="Arial" w:hAnsi="Arial" w:cs="Arial"/>
          <w:sz w:val="24"/>
          <w:szCs w:val="24"/>
        </w:rPr>
        <w:t xml:space="preserve"> reproduce asexually by binary fission (Brocious et al., 2018). The trophozoites cannot survive over time in very adverse condition and will quickly transform to a more robust form the cyst. The cyst ha</w:t>
      </w:r>
      <w:r w:rsidR="00ED3ED3" w:rsidRPr="0071546E">
        <w:rPr>
          <w:rFonts w:ascii="Arial" w:hAnsi="Arial" w:cs="Arial"/>
          <w:sz w:val="24"/>
          <w:szCs w:val="24"/>
        </w:rPr>
        <w:t>s</w:t>
      </w:r>
      <w:r w:rsidRPr="0071546E">
        <w:rPr>
          <w:rFonts w:ascii="Arial" w:hAnsi="Arial" w:cs="Arial"/>
          <w:sz w:val="24"/>
          <w:szCs w:val="24"/>
        </w:rPr>
        <w:t xml:space="preserve"> a single nucleus and a double cell wall (endo- and ectocyst). This very resistant form has pores, which help it to monitor changes in the environment</w:t>
      </w:r>
      <w:r w:rsidRPr="0071546E">
        <w:rPr>
          <w:rFonts w:ascii="Arial" w:hAnsi="Arial" w:cs="Arial"/>
          <w:color w:val="000000"/>
          <w:sz w:val="24"/>
          <w:szCs w:val="24"/>
        </w:rPr>
        <w:t xml:space="preserve"> </w:t>
      </w:r>
      <w:r w:rsidRPr="0071546E">
        <w:rPr>
          <w:rFonts w:ascii="Arial" w:hAnsi="Arial" w:cs="Arial"/>
          <w:sz w:val="24"/>
          <w:szCs w:val="24"/>
        </w:rPr>
        <w:t>(Siddiqui, Dudley and Khan, 2012). Cysts</w:t>
      </w:r>
      <w:r w:rsidR="00ED3ED3" w:rsidRPr="0071546E">
        <w:rPr>
          <w:rFonts w:ascii="Arial" w:hAnsi="Arial" w:cs="Arial"/>
          <w:sz w:val="24"/>
          <w:szCs w:val="24"/>
        </w:rPr>
        <w:t xml:space="preserve"> can</w:t>
      </w:r>
      <w:r w:rsidRPr="0071546E">
        <w:rPr>
          <w:rFonts w:ascii="Arial" w:hAnsi="Arial" w:cs="Arial"/>
          <w:sz w:val="24"/>
          <w:szCs w:val="24"/>
        </w:rPr>
        <w:t xml:space="preserve"> survive outside the host for more than 20</w:t>
      </w:r>
      <w:r w:rsidR="00C06D01" w:rsidRPr="0071546E">
        <w:rPr>
          <w:rFonts w:ascii="Arial" w:hAnsi="Arial" w:cs="Arial"/>
          <w:sz w:val="24"/>
          <w:szCs w:val="24"/>
        </w:rPr>
        <w:t xml:space="preserve"> </w:t>
      </w:r>
      <w:r w:rsidRPr="0071546E">
        <w:rPr>
          <w:rFonts w:ascii="Arial" w:hAnsi="Arial" w:cs="Arial"/>
          <w:sz w:val="24"/>
          <w:szCs w:val="24"/>
        </w:rPr>
        <w:t>years</w:t>
      </w:r>
      <w:r w:rsidRPr="0071546E">
        <w:rPr>
          <w:rFonts w:ascii="Arial" w:hAnsi="Arial" w:cs="Arial"/>
          <w:color w:val="000000"/>
          <w:sz w:val="24"/>
          <w:szCs w:val="24"/>
        </w:rPr>
        <w:t xml:space="preserve"> </w:t>
      </w:r>
      <w:r w:rsidRPr="0071546E">
        <w:rPr>
          <w:rFonts w:ascii="Arial" w:hAnsi="Arial" w:cs="Arial"/>
          <w:sz w:val="24"/>
          <w:szCs w:val="24"/>
        </w:rPr>
        <w:t>(Juárez et al., 2018). When environmental factors become favourable, the cysts quickly germinate to the trophozoites and begin feeding and reproduction</w:t>
      </w:r>
      <w:r w:rsidR="005171D0" w:rsidRPr="0071546E">
        <w:rPr>
          <w:rFonts w:ascii="Arial" w:hAnsi="Arial" w:cs="Arial"/>
          <w:sz w:val="24"/>
          <w:szCs w:val="24"/>
        </w:rPr>
        <w:t xml:space="preserve"> as illustrated in fig 1.3</w:t>
      </w:r>
      <w:r w:rsidRPr="0071546E">
        <w:rPr>
          <w:rFonts w:ascii="Arial" w:hAnsi="Arial" w:cs="Arial"/>
          <w:sz w:val="24"/>
          <w:szCs w:val="24"/>
        </w:rPr>
        <w:t xml:space="preserve">. </w:t>
      </w:r>
      <w:r w:rsidR="00C06EEE" w:rsidRPr="0071546E">
        <w:rPr>
          <w:rFonts w:ascii="Arial" w:hAnsi="Arial" w:cs="Arial"/>
          <w:sz w:val="24"/>
          <w:szCs w:val="24"/>
        </w:rPr>
        <w:t xml:space="preserve">Data from PubMed shows that there has been a steady increase in </w:t>
      </w:r>
      <w:r w:rsidR="00C06EEE" w:rsidRPr="0071546E">
        <w:rPr>
          <w:rFonts w:ascii="Arial" w:hAnsi="Arial" w:cs="Arial"/>
          <w:i/>
          <w:iCs/>
          <w:sz w:val="24"/>
          <w:szCs w:val="24"/>
        </w:rPr>
        <w:t>Acanthamoeba</w:t>
      </w:r>
      <w:r w:rsidR="00C06EEE" w:rsidRPr="0071546E">
        <w:rPr>
          <w:rFonts w:ascii="Arial" w:hAnsi="Arial" w:cs="Arial"/>
          <w:sz w:val="24"/>
          <w:szCs w:val="24"/>
        </w:rPr>
        <w:t xml:space="preserve"> research since </w:t>
      </w:r>
      <w:r w:rsidR="000554C3" w:rsidRPr="0071546E">
        <w:rPr>
          <w:rFonts w:ascii="Arial" w:hAnsi="Arial" w:cs="Arial"/>
          <w:sz w:val="24"/>
          <w:szCs w:val="24"/>
        </w:rPr>
        <w:t xml:space="preserve">the </w:t>
      </w:r>
      <w:r w:rsidR="00C06EEE" w:rsidRPr="0071546E">
        <w:rPr>
          <w:rFonts w:ascii="Arial" w:hAnsi="Arial" w:cs="Arial"/>
          <w:sz w:val="24"/>
          <w:szCs w:val="24"/>
        </w:rPr>
        <w:t xml:space="preserve">discovery of pathogen in 1961 </w:t>
      </w:r>
      <w:r w:rsidR="00D753FD" w:rsidRPr="0071546E">
        <w:rPr>
          <w:rFonts w:ascii="Arial" w:hAnsi="Arial" w:cs="Arial"/>
          <w:sz w:val="24"/>
          <w:szCs w:val="24"/>
        </w:rPr>
        <w:t>(</w:t>
      </w:r>
      <w:r w:rsidR="00C06EEE" w:rsidRPr="0071546E">
        <w:rPr>
          <w:rFonts w:ascii="Arial" w:hAnsi="Arial" w:cs="Arial"/>
          <w:sz w:val="24"/>
          <w:szCs w:val="24"/>
        </w:rPr>
        <w:t>see fig 1.1)</w:t>
      </w:r>
    </w:p>
    <w:p w:rsidR="00725033" w:rsidRPr="0071546E" w:rsidRDefault="00725033" w:rsidP="0007356A">
      <w:pPr>
        <w:spacing w:line="240" w:lineRule="auto"/>
        <w:ind w:left="1021" w:right="454"/>
        <w:jc w:val="both"/>
        <w:rPr>
          <w:rFonts w:ascii="Arial" w:hAnsi="Arial" w:cs="Arial"/>
          <w:sz w:val="24"/>
          <w:szCs w:val="24"/>
        </w:rPr>
      </w:pPr>
      <w:r w:rsidRPr="0071546E">
        <w:rPr>
          <w:rFonts w:ascii="Arial" w:hAnsi="Arial" w:cs="Arial"/>
          <w:noProof/>
          <w:sz w:val="24"/>
          <w:szCs w:val="24"/>
          <w:lang w:eastAsia="en-GB"/>
        </w:rPr>
        <w:drawing>
          <wp:inline distT="0" distB="0" distL="0" distR="0" wp14:anchorId="66885EB7" wp14:editId="18A67F5B">
            <wp:extent cx="3824654" cy="2848610"/>
            <wp:effectExtent l="0" t="0" r="4445"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1719" cy="2891112"/>
                    </a:xfrm>
                    <a:prstGeom prst="rect">
                      <a:avLst/>
                    </a:prstGeom>
                  </pic:spPr>
                </pic:pic>
              </a:graphicData>
            </a:graphic>
          </wp:inline>
        </w:drawing>
      </w:r>
    </w:p>
    <w:p w:rsidR="00725033" w:rsidRPr="0071546E" w:rsidRDefault="0090425F" w:rsidP="0007356A">
      <w:pPr>
        <w:spacing w:line="240" w:lineRule="auto"/>
        <w:ind w:left="1021" w:right="454"/>
        <w:jc w:val="both"/>
        <w:rPr>
          <w:rFonts w:ascii="Arial" w:hAnsi="Arial" w:cs="Arial"/>
          <w:sz w:val="20"/>
          <w:szCs w:val="20"/>
        </w:rPr>
      </w:pPr>
      <w:r w:rsidRPr="0071546E">
        <w:rPr>
          <w:rFonts w:ascii="Arial" w:hAnsi="Arial" w:cs="Arial"/>
          <w:sz w:val="20"/>
          <w:szCs w:val="20"/>
        </w:rPr>
        <w:t xml:space="preserve">Fig 1.1 Number of published studies in </w:t>
      </w:r>
      <w:r w:rsidR="00675534" w:rsidRPr="0071546E">
        <w:rPr>
          <w:rFonts w:ascii="Arial" w:hAnsi="Arial" w:cs="Arial"/>
          <w:sz w:val="20"/>
          <w:szCs w:val="20"/>
        </w:rPr>
        <w:t xml:space="preserve">the </w:t>
      </w:r>
      <w:r w:rsidRPr="0071546E">
        <w:rPr>
          <w:rFonts w:ascii="Arial" w:hAnsi="Arial" w:cs="Arial"/>
          <w:sz w:val="20"/>
          <w:szCs w:val="20"/>
        </w:rPr>
        <w:t xml:space="preserve">PubMed database on </w:t>
      </w:r>
      <w:r w:rsidRPr="0071546E">
        <w:rPr>
          <w:rFonts w:ascii="Arial" w:hAnsi="Arial" w:cs="Arial"/>
          <w:i/>
          <w:sz w:val="20"/>
          <w:szCs w:val="20"/>
        </w:rPr>
        <w:t xml:space="preserve">Acanthamoeba </w:t>
      </w:r>
      <w:r w:rsidRPr="0071546E">
        <w:rPr>
          <w:rFonts w:ascii="Arial" w:hAnsi="Arial" w:cs="Arial"/>
          <w:sz w:val="20"/>
          <w:szCs w:val="20"/>
        </w:rPr>
        <w:t xml:space="preserve">from 1960 to May 2019. Chat shows a consistent increase in </w:t>
      </w:r>
      <w:r w:rsidRPr="0071546E">
        <w:rPr>
          <w:rFonts w:ascii="Arial" w:hAnsi="Arial" w:cs="Arial"/>
          <w:i/>
          <w:sz w:val="20"/>
          <w:szCs w:val="20"/>
        </w:rPr>
        <w:t>Acanthamoeba</w:t>
      </w:r>
      <w:r w:rsidRPr="0071546E">
        <w:rPr>
          <w:rFonts w:ascii="Arial" w:hAnsi="Arial" w:cs="Arial"/>
          <w:sz w:val="20"/>
          <w:szCs w:val="20"/>
        </w:rPr>
        <w:t xml:space="preserve"> research.</w:t>
      </w:r>
    </w:p>
    <w:p w:rsidR="0007356A" w:rsidRPr="0071546E" w:rsidRDefault="0007356A" w:rsidP="00C06EEE">
      <w:pPr>
        <w:spacing w:line="240" w:lineRule="auto"/>
        <w:ind w:right="454"/>
        <w:jc w:val="both"/>
        <w:rPr>
          <w:rFonts w:ascii="Arial" w:hAnsi="Arial" w:cs="Arial"/>
          <w:noProof/>
          <w:sz w:val="24"/>
          <w:szCs w:val="24"/>
          <w:lang w:eastAsia="en-GB"/>
        </w:rPr>
      </w:pPr>
    </w:p>
    <w:p w:rsidR="00725033" w:rsidRPr="0071546E" w:rsidRDefault="009B47EB" w:rsidP="00CF13FE">
      <w:pPr>
        <w:spacing w:line="240" w:lineRule="atLeast"/>
        <w:ind w:left="1021" w:right="454"/>
        <w:jc w:val="both"/>
        <w:rPr>
          <w:rFonts w:ascii="Arial" w:hAnsi="Arial" w:cs="Arial"/>
          <w:noProof/>
          <w:sz w:val="24"/>
          <w:szCs w:val="24"/>
          <w:lang w:eastAsia="en-GB"/>
        </w:rPr>
      </w:pPr>
      <w:r w:rsidRPr="0071546E">
        <w:rPr>
          <w:noProof/>
          <w:lang w:eastAsia="en-GB"/>
        </w:rPr>
        <w:drawing>
          <wp:inline distT="0" distB="0" distL="0" distR="0" wp14:anchorId="7BCEEB82" wp14:editId="02AE2ADE">
            <wp:extent cx="4563110" cy="2435469"/>
            <wp:effectExtent l="0" t="0" r="889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5961" cy="2453003"/>
                    </a:xfrm>
                    <a:prstGeom prst="rect">
                      <a:avLst/>
                    </a:prstGeom>
                  </pic:spPr>
                </pic:pic>
              </a:graphicData>
            </a:graphic>
          </wp:inline>
        </w:drawing>
      </w:r>
    </w:p>
    <w:p w:rsidR="00725033" w:rsidRPr="0071546E" w:rsidRDefault="00725033" w:rsidP="00CF13FE">
      <w:pPr>
        <w:spacing w:line="240" w:lineRule="atLeast"/>
        <w:ind w:left="1021" w:right="454"/>
        <w:jc w:val="both"/>
        <w:rPr>
          <w:rFonts w:ascii="Arial" w:hAnsi="Arial" w:cs="Arial"/>
          <w:noProof/>
          <w:sz w:val="20"/>
          <w:szCs w:val="20"/>
          <w:lang w:eastAsia="en-GB"/>
        </w:rPr>
      </w:pPr>
      <w:r w:rsidRPr="0071546E">
        <w:rPr>
          <w:rFonts w:ascii="Arial" w:hAnsi="Arial" w:cs="Arial"/>
          <w:sz w:val="20"/>
          <w:szCs w:val="20"/>
        </w:rPr>
        <w:t xml:space="preserve">Fig 1.2 </w:t>
      </w:r>
      <w:r w:rsidR="002C33CC" w:rsidRPr="0071546E">
        <w:rPr>
          <w:rFonts w:ascii="Arial" w:hAnsi="Arial" w:cs="Arial"/>
          <w:sz w:val="20"/>
          <w:szCs w:val="20"/>
        </w:rPr>
        <w:t xml:space="preserve">Interface contrast microscopy (magnification: X1, 000). </w:t>
      </w:r>
      <w:r w:rsidRPr="0071546E">
        <w:rPr>
          <w:rFonts w:ascii="Arial" w:hAnsi="Arial" w:cs="Arial"/>
          <w:sz w:val="20"/>
          <w:szCs w:val="20"/>
        </w:rPr>
        <w:t xml:space="preserve">(A) </w:t>
      </w:r>
      <w:r w:rsidR="00432D1D" w:rsidRPr="0071546E">
        <w:rPr>
          <w:rFonts w:ascii="Arial" w:hAnsi="Arial" w:cs="Arial"/>
          <w:i/>
          <w:sz w:val="20"/>
          <w:szCs w:val="20"/>
        </w:rPr>
        <w:t>Acanthamoeba</w:t>
      </w:r>
      <w:r w:rsidRPr="0071546E">
        <w:rPr>
          <w:rFonts w:ascii="Arial" w:hAnsi="Arial" w:cs="Arial"/>
          <w:sz w:val="20"/>
          <w:szCs w:val="20"/>
        </w:rPr>
        <w:t xml:space="preserve"> Cyst</w:t>
      </w:r>
      <w:r w:rsidR="002C33CC" w:rsidRPr="0071546E">
        <w:rPr>
          <w:rFonts w:ascii="Arial" w:hAnsi="Arial" w:cs="Arial"/>
          <w:sz w:val="20"/>
          <w:szCs w:val="20"/>
        </w:rPr>
        <w:t xml:space="preserve"> arrows show the double-cell wall</w:t>
      </w:r>
      <w:r w:rsidRPr="0071546E">
        <w:rPr>
          <w:rFonts w:ascii="Arial" w:hAnsi="Arial" w:cs="Arial"/>
          <w:sz w:val="20"/>
          <w:szCs w:val="20"/>
        </w:rPr>
        <w:t xml:space="preserve"> (B). </w:t>
      </w:r>
      <w:r w:rsidR="00432D1D" w:rsidRPr="0071546E">
        <w:rPr>
          <w:rFonts w:ascii="Arial" w:hAnsi="Arial" w:cs="Arial"/>
          <w:i/>
          <w:sz w:val="20"/>
          <w:szCs w:val="20"/>
        </w:rPr>
        <w:t>Acanthamoeba</w:t>
      </w:r>
      <w:r w:rsidRPr="0071546E">
        <w:rPr>
          <w:rFonts w:ascii="Arial" w:hAnsi="Arial" w:cs="Arial"/>
          <w:sz w:val="20"/>
          <w:szCs w:val="20"/>
        </w:rPr>
        <w:t xml:space="preserve"> trophozoite. The trophozoite </w:t>
      </w:r>
      <w:r w:rsidR="004A57D4" w:rsidRPr="0071546E">
        <w:rPr>
          <w:rFonts w:ascii="Arial" w:hAnsi="Arial" w:cs="Arial"/>
          <w:sz w:val="20"/>
          <w:szCs w:val="20"/>
        </w:rPr>
        <w:t>is</w:t>
      </w:r>
      <w:r w:rsidRPr="0071546E">
        <w:rPr>
          <w:rFonts w:ascii="Arial" w:hAnsi="Arial" w:cs="Arial"/>
          <w:sz w:val="20"/>
          <w:szCs w:val="20"/>
        </w:rPr>
        <w:t xml:space="preserve"> typically irregular in shape with a large central nucleus and spine</w:t>
      </w:r>
      <w:r w:rsidR="004A57D4" w:rsidRPr="0071546E">
        <w:rPr>
          <w:rFonts w:ascii="Arial" w:hAnsi="Arial" w:cs="Arial"/>
          <w:sz w:val="20"/>
          <w:szCs w:val="20"/>
        </w:rPr>
        <w:t>-</w:t>
      </w:r>
      <w:r w:rsidRPr="0071546E">
        <w:rPr>
          <w:rFonts w:ascii="Arial" w:hAnsi="Arial" w:cs="Arial"/>
          <w:sz w:val="20"/>
          <w:szCs w:val="20"/>
        </w:rPr>
        <w:t>like structures around the cells called the acanth</w:t>
      </w:r>
      <w:r w:rsidR="004A57D4" w:rsidRPr="0071546E">
        <w:rPr>
          <w:rFonts w:ascii="Arial" w:hAnsi="Arial" w:cs="Arial"/>
          <w:sz w:val="20"/>
          <w:szCs w:val="20"/>
        </w:rPr>
        <w:t>o</w:t>
      </w:r>
      <w:r w:rsidR="00187ECB" w:rsidRPr="0071546E">
        <w:rPr>
          <w:rFonts w:ascii="Arial" w:hAnsi="Arial" w:cs="Arial"/>
          <w:sz w:val="20"/>
          <w:szCs w:val="20"/>
        </w:rPr>
        <w:t>podia</w:t>
      </w:r>
      <w:r w:rsidR="002C33CC" w:rsidRPr="0071546E">
        <w:rPr>
          <w:rFonts w:ascii="Arial" w:hAnsi="Arial" w:cs="Arial"/>
          <w:sz w:val="20"/>
          <w:szCs w:val="20"/>
        </w:rPr>
        <w:t xml:space="preserve"> (yellow</w:t>
      </w:r>
      <w:r w:rsidR="00FE6279" w:rsidRPr="0071546E">
        <w:rPr>
          <w:rFonts w:ascii="Arial" w:hAnsi="Arial" w:cs="Arial"/>
          <w:sz w:val="20"/>
          <w:szCs w:val="20"/>
        </w:rPr>
        <w:t xml:space="preserve"> arrows).</w:t>
      </w:r>
      <w:r w:rsidR="00187ECB" w:rsidRPr="0071546E">
        <w:rPr>
          <w:rFonts w:ascii="Arial" w:hAnsi="Arial" w:cs="Arial"/>
          <w:sz w:val="20"/>
          <w:szCs w:val="20"/>
        </w:rPr>
        <w:t xml:space="preserve"> </w:t>
      </w:r>
      <w:r w:rsidR="002C33CC" w:rsidRPr="0071546E">
        <w:rPr>
          <w:rFonts w:ascii="Arial" w:hAnsi="Arial" w:cs="Arial"/>
          <w:sz w:val="20"/>
          <w:szCs w:val="20"/>
        </w:rPr>
        <w:t>(Walochnik, Scheikl and Haller-Schober, 2014)</w:t>
      </w:r>
    </w:p>
    <w:p w:rsidR="00725033" w:rsidRPr="0071546E" w:rsidRDefault="00725033" w:rsidP="00CF13FE">
      <w:pPr>
        <w:spacing w:line="480" w:lineRule="auto"/>
        <w:ind w:left="1021" w:right="454"/>
        <w:jc w:val="both"/>
        <w:rPr>
          <w:rFonts w:ascii="Arial" w:hAnsi="Arial" w:cs="Arial"/>
          <w:sz w:val="24"/>
          <w:szCs w:val="24"/>
        </w:rPr>
      </w:pPr>
      <w:r w:rsidRPr="0071546E">
        <w:rPr>
          <w:rFonts w:ascii="Arial" w:hAnsi="Arial" w:cs="Arial"/>
          <w:noProof/>
          <w:sz w:val="24"/>
          <w:szCs w:val="24"/>
          <w:lang w:eastAsia="en-GB"/>
        </w:rPr>
        <w:drawing>
          <wp:inline distT="0" distB="0" distL="0" distR="0" wp14:anchorId="3B5AFCB4" wp14:editId="2C9D6B5F">
            <wp:extent cx="4739463" cy="4035669"/>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4969" cy="4116993"/>
                    </a:xfrm>
                    <a:prstGeom prst="rect">
                      <a:avLst/>
                    </a:prstGeom>
                  </pic:spPr>
                </pic:pic>
              </a:graphicData>
            </a:graphic>
          </wp:inline>
        </w:drawing>
      </w:r>
    </w:p>
    <w:p w:rsidR="00CF13FE" w:rsidRPr="0071546E" w:rsidRDefault="00725033" w:rsidP="00666F5D">
      <w:pPr>
        <w:spacing w:line="240" w:lineRule="auto"/>
        <w:ind w:left="1021" w:right="454"/>
        <w:jc w:val="both"/>
        <w:rPr>
          <w:rFonts w:ascii="Arial" w:hAnsi="Arial" w:cs="Arial"/>
          <w:sz w:val="20"/>
          <w:szCs w:val="20"/>
        </w:rPr>
      </w:pPr>
      <w:r w:rsidRPr="0071546E">
        <w:rPr>
          <w:rFonts w:ascii="Arial" w:hAnsi="Arial" w:cs="Arial"/>
          <w:b/>
          <w:sz w:val="20"/>
          <w:szCs w:val="20"/>
        </w:rPr>
        <w:t xml:space="preserve">Fig 1. 3 </w:t>
      </w:r>
      <w:r w:rsidRPr="0071546E">
        <w:rPr>
          <w:rFonts w:ascii="Arial" w:hAnsi="Arial" w:cs="Arial"/>
          <w:sz w:val="20"/>
          <w:szCs w:val="20"/>
        </w:rPr>
        <w:t xml:space="preserve">The life cycle and pathogenesis of </w:t>
      </w:r>
      <w:r w:rsidR="00432D1D" w:rsidRPr="0071546E">
        <w:rPr>
          <w:rFonts w:ascii="Arial" w:hAnsi="Arial" w:cs="Arial"/>
          <w:i/>
          <w:sz w:val="20"/>
          <w:szCs w:val="20"/>
        </w:rPr>
        <w:t>Acanthamoeba</w:t>
      </w:r>
      <w:r w:rsidRPr="0071546E">
        <w:rPr>
          <w:rFonts w:ascii="Arial" w:hAnsi="Arial" w:cs="Arial"/>
          <w:i/>
          <w:sz w:val="20"/>
          <w:szCs w:val="20"/>
        </w:rPr>
        <w:t xml:space="preserve"> spp</w:t>
      </w:r>
      <w:r w:rsidRPr="0071546E">
        <w:rPr>
          <w:rFonts w:ascii="Arial" w:hAnsi="Arial" w:cs="Arial"/>
          <w:sz w:val="20"/>
          <w:szCs w:val="20"/>
        </w:rPr>
        <w:t xml:space="preserve">. The life cycle of </w:t>
      </w:r>
      <w:r w:rsidR="00432D1D" w:rsidRPr="0071546E">
        <w:rPr>
          <w:rFonts w:ascii="Arial" w:hAnsi="Arial" w:cs="Arial"/>
          <w:i/>
          <w:sz w:val="20"/>
          <w:szCs w:val="20"/>
        </w:rPr>
        <w:t>Acanthamoeba</w:t>
      </w:r>
      <w:r w:rsidRPr="0071546E">
        <w:rPr>
          <w:rFonts w:ascii="Arial" w:hAnsi="Arial" w:cs="Arial"/>
          <w:i/>
          <w:sz w:val="20"/>
          <w:szCs w:val="20"/>
        </w:rPr>
        <w:t xml:space="preserve"> spp</w:t>
      </w:r>
      <w:r w:rsidRPr="0071546E">
        <w:rPr>
          <w:rFonts w:ascii="Arial" w:hAnsi="Arial" w:cs="Arial"/>
          <w:sz w:val="20"/>
          <w:szCs w:val="20"/>
        </w:rPr>
        <w:t xml:space="preserve"> begins with vegetative trophozoites. Reproduction is asexual by mitosis and can occur in only the trophozoites. When the chemo-physical environment around the amoeba changes and becomes harsh the</w:t>
      </w:r>
      <w:r w:rsidR="009D21F2" w:rsidRPr="0071546E">
        <w:rPr>
          <w:rFonts w:ascii="Arial" w:hAnsi="Arial" w:cs="Arial"/>
          <w:sz w:val="20"/>
          <w:szCs w:val="20"/>
        </w:rPr>
        <w:t>y</w:t>
      </w:r>
      <w:r w:rsidRPr="0071546E">
        <w:rPr>
          <w:rFonts w:ascii="Arial" w:hAnsi="Arial" w:cs="Arial"/>
          <w:sz w:val="20"/>
          <w:szCs w:val="20"/>
        </w:rPr>
        <w:t xml:space="preserve"> transform to cysts. The cysts are static, viable, and highly resistant. Cysts will re-transform to trophozoites when they are in optimal conditions.</w:t>
      </w:r>
      <w:r w:rsidR="0088333A" w:rsidRPr="0071546E">
        <w:rPr>
          <w:rFonts w:ascii="Arial" w:hAnsi="Arial" w:cs="Arial"/>
          <w:sz w:val="20"/>
          <w:szCs w:val="20"/>
        </w:rPr>
        <w:t xml:space="preserve"> Updated from (Mahmud, Lim and Amir, 2017)</w:t>
      </w:r>
    </w:p>
    <w:p w:rsidR="00666F5D" w:rsidRPr="0071546E" w:rsidRDefault="00666F5D" w:rsidP="00666F5D">
      <w:pPr>
        <w:spacing w:line="240" w:lineRule="auto"/>
        <w:ind w:left="1021" w:right="454"/>
        <w:jc w:val="both"/>
        <w:rPr>
          <w:rFonts w:ascii="Arial" w:hAnsi="Arial" w:cs="Arial"/>
          <w:sz w:val="20"/>
          <w:szCs w:val="20"/>
        </w:rPr>
      </w:pPr>
    </w:p>
    <w:p w:rsidR="00725033" w:rsidRPr="0071546E" w:rsidRDefault="00725033" w:rsidP="00CF13FE">
      <w:pPr>
        <w:pStyle w:val="Heading2"/>
        <w:ind w:left="1021" w:right="454"/>
      </w:pPr>
      <w:bookmarkStart w:id="12" w:name="_Toc14711381"/>
      <w:r w:rsidRPr="0071546E">
        <w:t xml:space="preserve">1.2 </w:t>
      </w:r>
      <w:r w:rsidR="00432D1D" w:rsidRPr="0071546E">
        <w:t>Acanthamoeba</w:t>
      </w:r>
      <w:r w:rsidRPr="0071546E">
        <w:t xml:space="preserve"> Keratitis</w:t>
      </w:r>
      <w:bookmarkEnd w:id="12"/>
    </w:p>
    <w:p w:rsidR="00CF13FE" w:rsidRPr="0071546E" w:rsidRDefault="00725033" w:rsidP="00666F5D">
      <w:pPr>
        <w:spacing w:line="480" w:lineRule="auto"/>
        <w:ind w:left="1021" w:right="454"/>
        <w:jc w:val="both"/>
        <w:rPr>
          <w:rFonts w:ascii="Arial" w:eastAsia="PalatinoLinotype-Roman" w:hAnsi="Arial" w:cs="Arial"/>
          <w:sz w:val="24"/>
          <w:szCs w:val="24"/>
        </w:rPr>
      </w:pPr>
      <w:r w:rsidRPr="0071546E">
        <w:rPr>
          <w:rFonts w:ascii="Arial" w:hAnsi="Arial" w:cs="Arial"/>
          <w:sz w:val="24"/>
          <w:szCs w:val="24"/>
        </w:rPr>
        <w:t xml:space="preserve">Keratitis is an inflammation of the cornea – the transparent, oval-shaped tissue located on the front of the eye, which covers the pupil and iris. Non-infectious keratitis is often caused by a minor abrasion on the cornea usually </w:t>
      </w:r>
      <w:r w:rsidR="00CD2CBF" w:rsidRPr="0071546E">
        <w:rPr>
          <w:rFonts w:ascii="Arial" w:hAnsi="Arial" w:cs="Arial"/>
          <w:sz w:val="24"/>
          <w:szCs w:val="24"/>
        </w:rPr>
        <w:t>stimulated</w:t>
      </w:r>
      <w:r w:rsidRPr="0071546E">
        <w:rPr>
          <w:rFonts w:ascii="Arial" w:hAnsi="Arial" w:cs="Arial"/>
          <w:sz w:val="24"/>
          <w:szCs w:val="24"/>
        </w:rPr>
        <w:t xml:space="preserve"> by foreign materi</w:t>
      </w:r>
      <w:r w:rsidR="00CD2CBF" w:rsidRPr="0071546E">
        <w:rPr>
          <w:rFonts w:ascii="Arial" w:hAnsi="Arial" w:cs="Arial"/>
          <w:sz w:val="24"/>
          <w:szCs w:val="24"/>
        </w:rPr>
        <w:t>al or wearing a contact lens</w:t>
      </w:r>
      <w:r w:rsidRPr="0071546E">
        <w:rPr>
          <w:rFonts w:ascii="Arial" w:hAnsi="Arial" w:cs="Arial"/>
          <w:sz w:val="24"/>
          <w:szCs w:val="24"/>
        </w:rPr>
        <w:t xml:space="preserve"> </w:t>
      </w:r>
      <w:r w:rsidR="00CD2CBF" w:rsidRPr="0071546E">
        <w:rPr>
          <w:rFonts w:ascii="Arial" w:hAnsi="Arial" w:cs="Arial"/>
          <w:sz w:val="24"/>
          <w:szCs w:val="24"/>
        </w:rPr>
        <w:t>longer than required</w:t>
      </w:r>
      <w:r w:rsidRPr="0071546E">
        <w:rPr>
          <w:rFonts w:ascii="Arial" w:hAnsi="Arial" w:cs="Arial"/>
          <w:sz w:val="24"/>
          <w:szCs w:val="24"/>
        </w:rPr>
        <w:t xml:space="preserve">. Microorganisms like bacteria, fungi, viruses and parasites can cause infectious </w:t>
      </w:r>
      <w:r w:rsidR="00CD2CBF" w:rsidRPr="0071546E">
        <w:rPr>
          <w:rFonts w:ascii="Arial" w:hAnsi="Arial" w:cs="Arial"/>
          <w:sz w:val="24"/>
          <w:szCs w:val="24"/>
        </w:rPr>
        <w:t>keratitis (Richards et al., 2015)</w:t>
      </w:r>
      <w:r w:rsidRPr="0071546E">
        <w:rPr>
          <w:rFonts w:ascii="Arial" w:hAnsi="Arial" w:cs="Arial"/>
          <w:sz w:val="24"/>
          <w:szCs w:val="24"/>
        </w:rPr>
        <w:t xml:space="preserve">. Keratitis caused by </w:t>
      </w:r>
      <w:r w:rsidR="00432D1D" w:rsidRPr="0071546E">
        <w:rPr>
          <w:rFonts w:ascii="Arial" w:hAnsi="Arial" w:cs="Arial"/>
          <w:i/>
          <w:sz w:val="24"/>
          <w:szCs w:val="24"/>
        </w:rPr>
        <w:t>Acanthamoeba</w:t>
      </w:r>
      <w:r w:rsidRPr="0071546E">
        <w:rPr>
          <w:rFonts w:ascii="Arial" w:hAnsi="Arial" w:cs="Arial"/>
          <w:i/>
          <w:sz w:val="24"/>
          <w:szCs w:val="24"/>
        </w:rPr>
        <w:t xml:space="preserve"> spp.</w:t>
      </w:r>
      <w:r w:rsidRPr="0071546E">
        <w:rPr>
          <w:rFonts w:ascii="Arial" w:hAnsi="Arial" w:cs="Arial"/>
          <w:sz w:val="24"/>
          <w:szCs w:val="24"/>
        </w:rPr>
        <w:t xml:space="preserve"> is often referred to as </w:t>
      </w:r>
      <w:r w:rsidR="00432D1D" w:rsidRPr="0071546E">
        <w:rPr>
          <w:rFonts w:ascii="Arial" w:hAnsi="Arial" w:cs="Arial"/>
          <w:sz w:val="24"/>
          <w:szCs w:val="24"/>
        </w:rPr>
        <w:t>Acanthamoeba</w:t>
      </w:r>
      <w:r w:rsidRPr="0071546E">
        <w:rPr>
          <w:rFonts w:ascii="Arial" w:hAnsi="Arial" w:cs="Arial"/>
          <w:sz w:val="24"/>
          <w:szCs w:val="24"/>
        </w:rPr>
        <w:t xml:space="preserve"> Keratitis. </w:t>
      </w:r>
      <w:r w:rsidR="00432D1D" w:rsidRPr="0071546E">
        <w:rPr>
          <w:rFonts w:ascii="Arial" w:hAnsi="Arial" w:cs="Arial"/>
          <w:sz w:val="24"/>
          <w:szCs w:val="24"/>
        </w:rPr>
        <w:t>Acanthamoeba</w:t>
      </w:r>
      <w:r w:rsidRPr="0071546E">
        <w:rPr>
          <w:rFonts w:ascii="Arial" w:hAnsi="Arial" w:cs="Arial"/>
          <w:sz w:val="24"/>
          <w:szCs w:val="24"/>
        </w:rPr>
        <w:t xml:space="preserve"> keratitis (AK) is an uncommon but serious eye infection that is painful and sight</w:t>
      </w:r>
      <w:r w:rsidR="004A57D4" w:rsidRPr="0071546E">
        <w:rPr>
          <w:rFonts w:ascii="Arial" w:hAnsi="Arial" w:cs="Arial"/>
          <w:sz w:val="24"/>
          <w:szCs w:val="24"/>
        </w:rPr>
        <w:t>-</w:t>
      </w:r>
      <w:r w:rsidRPr="0071546E">
        <w:rPr>
          <w:rFonts w:ascii="Arial" w:hAnsi="Arial" w:cs="Arial"/>
          <w:sz w:val="24"/>
          <w:szCs w:val="24"/>
        </w:rPr>
        <w:t xml:space="preserve">threatening (Fasciani et al., 2018).  As the name implies, </w:t>
      </w:r>
      <w:r w:rsidR="00432D1D" w:rsidRPr="0071546E">
        <w:rPr>
          <w:rFonts w:ascii="Arial" w:hAnsi="Arial" w:cs="Arial"/>
          <w:i/>
          <w:sz w:val="24"/>
          <w:szCs w:val="24"/>
        </w:rPr>
        <w:t>Acanthamoeba</w:t>
      </w:r>
      <w:r w:rsidRPr="0071546E">
        <w:rPr>
          <w:rFonts w:ascii="Arial" w:hAnsi="Arial" w:cs="Arial"/>
          <w:sz w:val="24"/>
          <w:szCs w:val="24"/>
        </w:rPr>
        <w:t xml:space="preserve"> causes this infection, when they invade the eye and find their way through the outer membrane of the cornea (Gonçalves, Ferreira and Guimarães, 2019).</w:t>
      </w:r>
      <w:r w:rsidRPr="0071546E">
        <w:rPr>
          <w:rFonts w:ascii="Arial" w:eastAsia="PalatinoLinotype-Roman" w:hAnsi="Arial" w:cs="Arial"/>
          <w:sz w:val="24"/>
          <w:szCs w:val="24"/>
        </w:rPr>
        <w:t xml:space="preserve"> It is estimated that the </w:t>
      </w:r>
      <w:r w:rsidR="00666F5D" w:rsidRPr="0071546E">
        <w:rPr>
          <w:rFonts w:ascii="Arial" w:eastAsia="PalatinoLinotype-Roman" w:hAnsi="Arial" w:cs="Arial"/>
          <w:sz w:val="24"/>
          <w:szCs w:val="24"/>
        </w:rPr>
        <w:t xml:space="preserve">annual </w:t>
      </w:r>
      <w:r w:rsidRPr="0071546E">
        <w:rPr>
          <w:rFonts w:ascii="Arial" w:eastAsia="PalatinoLinotype-Roman" w:hAnsi="Arial" w:cs="Arial"/>
          <w:sz w:val="24"/>
          <w:szCs w:val="24"/>
        </w:rPr>
        <w:t xml:space="preserve">incidence of </w:t>
      </w:r>
      <w:r w:rsidR="00432D1D" w:rsidRPr="0071546E">
        <w:rPr>
          <w:rFonts w:ascii="Arial" w:eastAsia="PalatinoLinotype-Roman" w:hAnsi="Arial" w:cs="Arial"/>
          <w:sz w:val="24"/>
          <w:szCs w:val="24"/>
        </w:rPr>
        <w:t>Acanthamoeba</w:t>
      </w:r>
      <w:r w:rsidRPr="0071546E">
        <w:rPr>
          <w:rFonts w:ascii="Arial" w:eastAsia="PalatinoLinotype-Roman" w:hAnsi="Arial" w:cs="Arial"/>
          <w:sz w:val="24"/>
          <w:szCs w:val="24"/>
        </w:rPr>
        <w:t xml:space="preserve"> keratitis is</w:t>
      </w:r>
      <w:r w:rsidR="00666F5D" w:rsidRPr="0071546E">
        <w:rPr>
          <w:rFonts w:ascii="Arial" w:eastAsia="PalatinoLinotype-Roman" w:hAnsi="Arial" w:cs="Arial"/>
          <w:sz w:val="24"/>
          <w:szCs w:val="24"/>
        </w:rPr>
        <w:t xml:space="preserve"> approximately</w:t>
      </w:r>
      <w:r w:rsidR="005E64DB" w:rsidRPr="0071546E">
        <w:rPr>
          <w:rFonts w:ascii="Arial" w:eastAsia="PalatinoLinotype-Roman" w:hAnsi="Arial" w:cs="Arial"/>
          <w:sz w:val="24"/>
          <w:szCs w:val="24"/>
        </w:rPr>
        <w:t xml:space="preserve"> </w:t>
      </w:r>
      <w:r w:rsidRPr="0071546E">
        <w:rPr>
          <w:rFonts w:ascii="Arial" w:eastAsia="PalatinoLinotype-Roman" w:hAnsi="Arial" w:cs="Arial"/>
          <w:sz w:val="24"/>
          <w:szCs w:val="24"/>
        </w:rPr>
        <w:t xml:space="preserve">1.4 per million people </w:t>
      </w:r>
      <w:r w:rsidR="00666F5D" w:rsidRPr="0071546E">
        <w:rPr>
          <w:rFonts w:ascii="Arial" w:eastAsia="PalatinoLinotype-Roman" w:hAnsi="Arial" w:cs="Arial"/>
          <w:sz w:val="24"/>
          <w:szCs w:val="24"/>
        </w:rPr>
        <w:t>worldwide in 2004. 80 to 90% of suffere</w:t>
      </w:r>
      <w:r w:rsidR="000554C3" w:rsidRPr="0071546E">
        <w:rPr>
          <w:rFonts w:ascii="Arial" w:eastAsia="PalatinoLinotype-Roman" w:hAnsi="Arial" w:cs="Arial"/>
          <w:sz w:val="24"/>
          <w:szCs w:val="24"/>
        </w:rPr>
        <w:t>r</w:t>
      </w:r>
      <w:r w:rsidR="00666F5D" w:rsidRPr="0071546E">
        <w:rPr>
          <w:rFonts w:ascii="Arial" w:eastAsia="PalatinoLinotype-Roman" w:hAnsi="Arial" w:cs="Arial"/>
          <w:sz w:val="24"/>
          <w:szCs w:val="24"/>
        </w:rPr>
        <w:t xml:space="preserve">s are </w:t>
      </w:r>
      <w:r w:rsidRPr="0071546E">
        <w:rPr>
          <w:rFonts w:ascii="Arial" w:eastAsia="PalatinoLinotype-Roman" w:hAnsi="Arial" w:cs="Arial"/>
          <w:sz w:val="24"/>
          <w:szCs w:val="24"/>
        </w:rPr>
        <w:t>contact lens users</w:t>
      </w:r>
      <w:r w:rsidRPr="0071546E">
        <w:rPr>
          <w:rFonts w:ascii="Arial" w:hAnsi="Arial" w:cs="Arial"/>
          <w:color w:val="000000"/>
          <w:sz w:val="24"/>
          <w:szCs w:val="24"/>
        </w:rPr>
        <w:t xml:space="preserve"> </w:t>
      </w:r>
      <w:r w:rsidRPr="0071546E">
        <w:rPr>
          <w:rFonts w:ascii="Arial" w:eastAsia="PalatinoLinotype-Roman" w:hAnsi="Arial" w:cs="Arial"/>
          <w:sz w:val="24"/>
          <w:szCs w:val="24"/>
        </w:rPr>
        <w:t>(Khan, 2015;</w:t>
      </w:r>
      <w:r w:rsidR="00B24288" w:rsidRPr="0071546E">
        <w:rPr>
          <w:rFonts w:ascii="Arial" w:hAnsi="Arial" w:cs="Arial"/>
          <w:color w:val="000000"/>
          <w:sz w:val="24"/>
          <w:szCs w:val="24"/>
        </w:rPr>
        <w:t xml:space="preserve"> </w:t>
      </w:r>
      <w:r w:rsidRPr="0071546E">
        <w:rPr>
          <w:rFonts w:ascii="Arial" w:eastAsia="PalatinoLinotype-Roman" w:hAnsi="Arial" w:cs="Arial"/>
          <w:sz w:val="24"/>
          <w:szCs w:val="24"/>
        </w:rPr>
        <w:t>Lorenzo-Morales, Khan and Walochnik, 2015;</w:t>
      </w:r>
      <w:r w:rsidRPr="0071546E">
        <w:rPr>
          <w:rFonts w:ascii="Arial" w:hAnsi="Arial" w:cs="Arial"/>
          <w:color w:val="000000"/>
          <w:sz w:val="24"/>
          <w:szCs w:val="24"/>
        </w:rPr>
        <w:t xml:space="preserve"> </w:t>
      </w:r>
      <w:r w:rsidRPr="0071546E">
        <w:rPr>
          <w:rFonts w:ascii="Arial" w:eastAsia="PalatinoLinotype-Roman" w:hAnsi="Arial" w:cs="Arial"/>
          <w:sz w:val="24"/>
          <w:szCs w:val="24"/>
        </w:rPr>
        <w:t>Maycock and Jayaswal, 2016</w:t>
      </w:r>
      <w:r w:rsidR="00B006F0" w:rsidRPr="0071546E">
        <w:rPr>
          <w:rFonts w:ascii="Arial" w:eastAsia="PalatinoLinotype-Roman" w:hAnsi="Arial" w:cs="Arial"/>
          <w:sz w:val="24"/>
          <w:szCs w:val="24"/>
        </w:rPr>
        <w:t>.</w:t>
      </w:r>
      <w:r w:rsidRPr="0071546E">
        <w:rPr>
          <w:rFonts w:ascii="Arial" w:eastAsia="PalatinoLinotype-Roman" w:hAnsi="Arial" w:cs="Arial"/>
          <w:sz w:val="24"/>
          <w:szCs w:val="24"/>
        </w:rPr>
        <w:t xml:space="preserve"> </w:t>
      </w:r>
    </w:p>
    <w:p w:rsidR="00725033" w:rsidRPr="0071546E" w:rsidRDefault="00725033" w:rsidP="00CF13FE">
      <w:pPr>
        <w:spacing w:line="480" w:lineRule="auto"/>
        <w:ind w:left="1021" w:right="454"/>
        <w:jc w:val="both"/>
        <w:rPr>
          <w:rFonts w:ascii="Arial" w:hAnsi="Arial" w:cs="Arial"/>
          <w:sz w:val="24"/>
          <w:szCs w:val="24"/>
        </w:rPr>
      </w:pPr>
      <w:r w:rsidRPr="0071546E">
        <w:rPr>
          <w:rFonts w:ascii="Arial" w:eastAsia="PalatinoLinotype-Roman" w:hAnsi="Arial" w:cs="Arial"/>
          <w:sz w:val="24"/>
          <w:szCs w:val="24"/>
        </w:rPr>
        <w:t>In England</w:t>
      </w:r>
      <w:r w:rsidR="004A57D4" w:rsidRPr="0071546E">
        <w:rPr>
          <w:rFonts w:ascii="Arial" w:eastAsia="PalatinoLinotype-Roman" w:hAnsi="Arial" w:cs="Arial"/>
          <w:sz w:val="24"/>
          <w:szCs w:val="24"/>
        </w:rPr>
        <w:t>,</w:t>
      </w:r>
      <w:r w:rsidRPr="0071546E">
        <w:rPr>
          <w:rFonts w:ascii="Arial" w:eastAsia="PalatinoLinotype-Roman" w:hAnsi="Arial" w:cs="Arial"/>
          <w:sz w:val="24"/>
          <w:szCs w:val="24"/>
        </w:rPr>
        <w:t xml:space="preserve"> the incidence is reported to be </w:t>
      </w:r>
      <w:r w:rsidR="005E64DB" w:rsidRPr="0071546E">
        <w:rPr>
          <w:rFonts w:ascii="Arial" w:eastAsia="PalatinoLinotype-Roman" w:hAnsi="Arial" w:cs="Arial"/>
          <w:sz w:val="24"/>
          <w:szCs w:val="24"/>
        </w:rPr>
        <w:t>1.2-1.3</w:t>
      </w:r>
      <w:r w:rsidRPr="0071546E">
        <w:rPr>
          <w:rFonts w:ascii="Arial" w:eastAsia="PalatinoLinotype-Roman" w:hAnsi="Arial" w:cs="Arial"/>
          <w:sz w:val="24"/>
          <w:szCs w:val="24"/>
        </w:rPr>
        <w:t xml:space="preserve"> cases per million</w:t>
      </w:r>
      <w:r w:rsidRPr="0071546E">
        <w:rPr>
          <w:rFonts w:ascii="Arial" w:hAnsi="Arial" w:cs="Arial"/>
          <w:color w:val="000000"/>
          <w:sz w:val="24"/>
          <w:szCs w:val="24"/>
        </w:rPr>
        <w:t xml:space="preserve"> </w:t>
      </w:r>
      <w:r w:rsidR="005E64DB" w:rsidRPr="0071546E">
        <w:rPr>
          <w:rFonts w:ascii="Arial" w:hAnsi="Arial" w:cs="Arial"/>
          <w:color w:val="000000"/>
          <w:sz w:val="24"/>
          <w:szCs w:val="24"/>
        </w:rPr>
        <w:t>in 2010</w:t>
      </w:r>
      <w:r w:rsidR="00820BA2" w:rsidRPr="0071546E">
        <w:rPr>
          <w:rFonts w:ascii="Arial" w:hAnsi="Arial" w:cs="Arial"/>
          <w:color w:val="000000"/>
          <w:sz w:val="24"/>
          <w:szCs w:val="24"/>
        </w:rPr>
        <w:t xml:space="preserve"> </w:t>
      </w:r>
      <w:r w:rsidRPr="0071546E">
        <w:rPr>
          <w:rFonts w:ascii="Arial" w:eastAsia="PalatinoLinotype-Roman" w:hAnsi="Arial" w:cs="Arial"/>
          <w:sz w:val="24"/>
          <w:szCs w:val="24"/>
        </w:rPr>
        <w:t xml:space="preserve">(Trabelsi et al., 2012).  Recently, it is emphasised that the awareness about </w:t>
      </w:r>
      <w:r w:rsidR="00432D1D" w:rsidRPr="0071546E">
        <w:rPr>
          <w:rFonts w:ascii="Arial" w:eastAsia="PalatinoLinotype-Roman" w:hAnsi="Arial" w:cs="Arial"/>
          <w:sz w:val="24"/>
          <w:szCs w:val="24"/>
        </w:rPr>
        <w:t>Acanthamoeba</w:t>
      </w:r>
      <w:r w:rsidRPr="0071546E">
        <w:rPr>
          <w:rFonts w:ascii="Arial" w:eastAsia="PalatinoLinotype-Roman" w:hAnsi="Arial" w:cs="Arial"/>
          <w:sz w:val="24"/>
          <w:szCs w:val="24"/>
        </w:rPr>
        <w:t xml:space="preserve"> keratitis a severe sight</w:t>
      </w:r>
      <w:r w:rsidR="004A57D4" w:rsidRPr="0071546E">
        <w:rPr>
          <w:rFonts w:ascii="Arial" w:eastAsia="PalatinoLinotype-Roman" w:hAnsi="Arial" w:cs="Arial"/>
          <w:sz w:val="24"/>
          <w:szCs w:val="24"/>
        </w:rPr>
        <w:t>-</w:t>
      </w:r>
      <w:r w:rsidRPr="0071546E">
        <w:rPr>
          <w:rFonts w:ascii="Arial" w:eastAsia="PalatinoLinotype-Roman" w:hAnsi="Arial" w:cs="Arial"/>
          <w:sz w:val="24"/>
          <w:szCs w:val="24"/>
        </w:rPr>
        <w:t xml:space="preserve">threatening infection is still insufficient. </w:t>
      </w:r>
      <w:r w:rsidRPr="0071546E">
        <w:rPr>
          <w:rFonts w:ascii="Arial" w:hAnsi="Arial" w:cs="Arial"/>
          <w:sz w:val="24"/>
          <w:szCs w:val="24"/>
        </w:rPr>
        <w:t xml:space="preserve">Experimental observation in rats and mice show that infection begins with trauma in the eye (Wu, 2010). Poor contact lens hygiene is </w:t>
      </w:r>
      <w:r w:rsidR="004A57D4" w:rsidRPr="0071546E">
        <w:rPr>
          <w:rFonts w:ascii="Arial" w:hAnsi="Arial" w:cs="Arial"/>
          <w:sz w:val="24"/>
          <w:szCs w:val="24"/>
        </w:rPr>
        <w:t>a</w:t>
      </w:r>
      <w:r w:rsidRPr="0071546E">
        <w:rPr>
          <w:rFonts w:ascii="Arial" w:hAnsi="Arial" w:cs="Arial"/>
          <w:sz w:val="24"/>
          <w:szCs w:val="24"/>
        </w:rPr>
        <w:t xml:space="preserve"> major contributing factor to infection</w:t>
      </w:r>
      <w:r w:rsidR="00B24288" w:rsidRPr="0071546E">
        <w:rPr>
          <w:rFonts w:ascii="Arial" w:hAnsi="Arial" w:cs="Arial"/>
          <w:sz w:val="24"/>
          <w:szCs w:val="24"/>
        </w:rPr>
        <w:t xml:space="preserve"> in humans</w:t>
      </w:r>
      <w:r w:rsidRPr="0071546E">
        <w:rPr>
          <w:rFonts w:ascii="Arial" w:hAnsi="Arial" w:cs="Arial"/>
          <w:sz w:val="24"/>
          <w:szCs w:val="24"/>
        </w:rPr>
        <w:t xml:space="preserve"> (Brown et al., 2017). </w:t>
      </w:r>
    </w:p>
    <w:p w:rsidR="00725033" w:rsidRPr="0071546E" w:rsidRDefault="00725033" w:rsidP="00CF13FE">
      <w:pPr>
        <w:spacing w:line="240" w:lineRule="atLeast"/>
        <w:ind w:left="1021" w:right="454"/>
        <w:jc w:val="both"/>
        <w:rPr>
          <w:rFonts w:ascii="Arial" w:hAnsi="Arial" w:cs="Arial"/>
          <w:sz w:val="24"/>
          <w:szCs w:val="24"/>
        </w:rPr>
      </w:pPr>
      <w:r w:rsidRPr="0071546E">
        <w:rPr>
          <w:rFonts w:ascii="Arial" w:hAnsi="Arial" w:cs="Arial"/>
          <w:noProof/>
          <w:sz w:val="24"/>
          <w:szCs w:val="24"/>
          <w:lang w:eastAsia="en-GB"/>
        </w:rPr>
        <w:drawing>
          <wp:inline distT="0" distB="0" distL="0" distR="0" wp14:anchorId="2E2CD728" wp14:editId="0946E37D">
            <wp:extent cx="4777105" cy="2523392"/>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5502" cy="2554239"/>
                    </a:xfrm>
                    <a:prstGeom prst="rect">
                      <a:avLst/>
                    </a:prstGeom>
                  </pic:spPr>
                </pic:pic>
              </a:graphicData>
            </a:graphic>
          </wp:inline>
        </w:drawing>
      </w:r>
    </w:p>
    <w:p w:rsidR="00725033" w:rsidRPr="0071546E" w:rsidRDefault="00725033" w:rsidP="00CF13FE">
      <w:pPr>
        <w:spacing w:line="240" w:lineRule="atLeast"/>
        <w:ind w:left="1021" w:right="454"/>
        <w:jc w:val="both"/>
        <w:rPr>
          <w:rFonts w:ascii="Arial" w:hAnsi="Arial" w:cs="Arial"/>
          <w:sz w:val="20"/>
          <w:szCs w:val="20"/>
        </w:rPr>
      </w:pPr>
      <w:r w:rsidRPr="0071546E">
        <w:rPr>
          <w:rFonts w:ascii="Arial" w:hAnsi="Arial" w:cs="Arial"/>
          <w:bCs/>
          <w:sz w:val="20"/>
          <w:szCs w:val="20"/>
        </w:rPr>
        <w:t xml:space="preserve">Fig 1.4 (A) Normal eye and (B) Infected eye exhibiting symptoms of </w:t>
      </w:r>
      <w:r w:rsidR="00432D1D" w:rsidRPr="0071546E">
        <w:rPr>
          <w:rFonts w:ascii="Arial" w:hAnsi="Arial" w:cs="Arial"/>
          <w:bCs/>
          <w:sz w:val="20"/>
          <w:szCs w:val="20"/>
        </w:rPr>
        <w:t>Acanthamoeba</w:t>
      </w:r>
      <w:r w:rsidRPr="0071546E">
        <w:rPr>
          <w:rFonts w:ascii="Arial" w:hAnsi="Arial" w:cs="Arial"/>
          <w:bCs/>
          <w:sz w:val="20"/>
          <w:szCs w:val="20"/>
        </w:rPr>
        <w:t xml:space="preserve"> keratitis</w:t>
      </w:r>
      <w:r w:rsidRPr="0071546E">
        <w:rPr>
          <w:rFonts w:ascii="Arial" w:hAnsi="Arial" w:cs="Arial"/>
          <w:bCs/>
          <w:i/>
          <w:sz w:val="20"/>
          <w:szCs w:val="20"/>
        </w:rPr>
        <w:t>; redness</w:t>
      </w:r>
      <w:r w:rsidRPr="0071546E">
        <w:rPr>
          <w:rFonts w:ascii="Arial" w:hAnsi="Arial" w:cs="Arial"/>
          <w:bCs/>
          <w:sz w:val="20"/>
          <w:szCs w:val="20"/>
        </w:rPr>
        <w:t xml:space="preserve"> of the eye, corneal ulcer and characteristic, ring</w:t>
      </w:r>
      <w:r w:rsidR="004A57D4" w:rsidRPr="0071546E">
        <w:rPr>
          <w:rFonts w:ascii="Arial" w:hAnsi="Arial" w:cs="Arial"/>
          <w:bCs/>
          <w:sz w:val="20"/>
          <w:szCs w:val="20"/>
        </w:rPr>
        <w:t>-</w:t>
      </w:r>
      <w:r w:rsidRPr="0071546E">
        <w:rPr>
          <w:rFonts w:ascii="Arial" w:hAnsi="Arial" w:cs="Arial"/>
          <w:bCs/>
          <w:sz w:val="20"/>
          <w:szCs w:val="20"/>
        </w:rPr>
        <w:t>like corneal infiltration.</w:t>
      </w:r>
      <w:r w:rsidR="00D60CFF" w:rsidRPr="0071546E">
        <w:rPr>
          <w:rFonts w:ascii="Arial" w:hAnsi="Arial" w:cs="Arial"/>
          <w:bCs/>
          <w:sz w:val="20"/>
          <w:szCs w:val="20"/>
        </w:rPr>
        <w:t xml:space="preserve"> Adapted from</w:t>
      </w:r>
      <w:r w:rsidR="00D60CFF" w:rsidRPr="0071546E">
        <w:rPr>
          <w:color w:val="000000"/>
        </w:rPr>
        <w:t xml:space="preserve"> </w:t>
      </w:r>
      <w:r w:rsidR="00D60CFF" w:rsidRPr="0071546E">
        <w:rPr>
          <w:rFonts w:ascii="Arial" w:hAnsi="Arial" w:cs="Arial"/>
          <w:bCs/>
          <w:sz w:val="20"/>
          <w:szCs w:val="20"/>
        </w:rPr>
        <w:t>(Chaidaroon and Supalaset, 2016)</w:t>
      </w:r>
    </w:p>
    <w:p w:rsidR="00725033" w:rsidRPr="0071546E" w:rsidRDefault="00725033" w:rsidP="00CF13FE">
      <w:pPr>
        <w:spacing w:line="480" w:lineRule="auto"/>
        <w:ind w:left="1021" w:right="454"/>
        <w:jc w:val="both"/>
        <w:rPr>
          <w:rFonts w:ascii="Arial" w:hAnsi="Arial" w:cs="Arial"/>
          <w:sz w:val="24"/>
          <w:szCs w:val="24"/>
        </w:rPr>
      </w:pPr>
    </w:p>
    <w:p w:rsidR="00725033" w:rsidRPr="0071546E" w:rsidRDefault="00725033" w:rsidP="00CF13FE">
      <w:pPr>
        <w:pStyle w:val="Heading2"/>
        <w:ind w:left="1021" w:right="454"/>
      </w:pPr>
      <w:bookmarkStart w:id="13" w:name="_Toc14711382"/>
      <w:r w:rsidRPr="0071546E">
        <w:t xml:space="preserve">1.2.1 </w:t>
      </w:r>
      <w:r w:rsidR="00432D1D" w:rsidRPr="0071546E">
        <w:t>Acanthamoeba</w:t>
      </w:r>
      <w:r w:rsidRPr="0071546E">
        <w:t xml:space="preserve"> keratitis; improper contact lens hygiene, a significant risk factor</w:t>
      </w:r>
      <w:bookmarkEnd w:id="13"/>
    </w:p>
    <w:p w:rsidR="00D83AFC" w:rsidRPr="0071546E" w:rsidRDefault="00725033" w:rsidP="00D83AFC">
      <w:pPr>
        <w:spacing w:line="480" w:lineRule="auto"/>
        <w:ind w:left="1021" w:right="454"/>
        <w:jc w:val="both"/>
        <w:rPr>
          <w:rFonts w:ascii="Arial" w:hAnsi="Arial" w:cs="Arial"/>
          <w:sz w:val="24"/>
          <w:szCs w:val="24"/>
        </w:rPr>
      </w:pPr>
      <w:r w:rsidRPr="0071546E">
        <w:rPr>
          <w:rFonts w:ascii="Arial" w:hAnsi="Arial" w:cs="Arial"/>
          <w:sz w:val="24"/>
          <w:szCs w:val="24"/>
        </w:rPr>
        <w:t xml:space="preserve">Contact lenses are tin lens placed directly on the surface of the cornea in the eye. They are usually </w:t>
      </w:r>
      <w:r w:rsidR="00CD2CBF" w:rsidRPr="0071546E">
        <w:rPr>
          <w:rFonts w:ascii="Arial" w:hAnsi="Arial" w:cs="Arial"/>
          <w:sz w:val="24"/>
          <w:szCs w:val="24"/>
        </w:rPr>
        <w:t>corrective</w:t>
      </w:r>
      <w:r w:rsidRPr="0071546E">
        <w:rPr>
          <w:rFonts w:ascii="Arial" w:hAnsi="Arial" w:cs="Arial"/>
          <w:sz w:val="24"/>
          <w:szCs w:val="24"/>
        </w:rPr>
        <w:t xml:space="preserve"> devices but sometimes worn for cosmetic reasons. For a contact lens user, the </w:t>
      </w:r>
      <w:r w:rsidR="00D753FD" w:rsidRPr="0071546E">
        <w:rPr>
          <w:rFonts w:ascii="Arial" w:hAnsi="Arial" w:cs="Arial"/>
          <w:sz w:val="24"/>
          <w:szCs w:val="24"/>
        </w:rPr>
        <w:t>fig</w:t>
      </w:r>
      <w:r w:rsidRPr="0071546E">
        <w:rPr>
          <w:rFonts w:ascii="Arial" w:hAnsi="Arial" w:cs="Arial"/>
          <w:sz w:val="24"/>
          <w:szCs w:val="24"/>
        </w:rPr>
        <w:t xml:space="preserve"> lens sit</w:t>
      </w:r>
      <w:r w:rsidR="00486E52" w:rsidRPr="0071546E">
        <w:rPr>
          <w:rFonts w:ascii="Arial" w:hAnsi="Arial" w:cs="Arial"/>
          <w:sz w:val="24"/>
          <w:szCs w:val="24"/>
        </w:rPr>
        <w:t>s on the cornea. Not all cornea</w:t>
      </w:r>
      <w:r w:rsidRPr="0071546E">
        <w:rPr>
          <w:rFonts w:ascii="Arial" w:hAnsi="Arial" w:cs="Arial"/>
          <w:sz w:val="24"/>
          <w:szCs w:val="24"/>
        </w:rPr>
        <w:t xml:space="preserve"> ha</w:t>
      </w:r>
      <w:r w:rsidR="00D32381" w:rsidRPr="0071546E">
        <w:rPr>
          <w:rFonts w:ascii="Arial" w:hAnsi="Arial" w:cs="Arial"/>
          <w:sz w:val="24"/>
          <w:szCs w:val="24"/>
        </w:rPr>
        <w:t>s</w:t>
      </w:r>
      <w:r w:rsidRPr="0071546E">
        <w:rPr>
          <w:rFonts w:ascii="Arial" w:hAnsi="Arial" w:cs="Arial"/>
          <w:sz w:val="24"/>
          <w:szCs w:val="24"/>
        </w:rPr>
        <w:t xml:space="preserve"> </w:t>
      </w:r>
      <w:r w:rsidR="004A57D4" w:rsidRPr="0071546E">
        <w:rPr>
          <w:rFonts w:ascii="Arial" w:hAnsi="Arial" w:cs="Arial"/>
          <w:sz w:val="24"/>
          <w:szCs w:val="24"/>
        </w:rPr>
        <w:t xml:space="preserve">the </w:t>
      </w:r>
      <w:r w:rsidRPr="0071546E">
        <w:rPr>
          <w:rFonts w:ascii="Arial" w:hAnsi="Arial" w:cs="Arial"/>
          <w:sz w:val="24"/>
          <w:szCs w:val="24"/>
        </w:rPr>
        <w:t xml:space="preserve">same structure and size (Jester et al., 2013). Some cornea </w:t>
      </w:r>
      <w:r w:rsidR="004A57D4" w:rsidRPr="0071546E">
        <w:rPr>
          <w:rFonts w:ascii="Arial" w:hAnsi="Arial" w:cs="Arial"/>
          <w:sz w:val="24"/>
          <w:szCs w:val="24"/>
        </w:rPr>
        <w:t>is</w:t>
      </w:r>
      <w:r w:rsidRPr="0071546E">
        <w:rPr>
          <w:rFonts w:ascii="Arial" w:hAnsi="Arial" w:cs="Arial"/>
          <w:sz w:val="24"/>
          <w:szCs w:val="24"/>
        </w:rPr>
        <w:t xml:space="preserve"> more curved while others are flatter. It is vital to have a contact lens that fits properly onto the cornea, highlighting the importance of professional guidance before and during contact lens use. If the contact lens does not align properly on the cornea, it can cause serious problems for the user- including corneal distortion, swelling, ulceration, abrasion and inflammation</w:t>
      </w:r>
      <w:r w:rsidR="002D1DC9" w:rsidRPr="0071546E">
        <w:rPr>
          <w:rFonts w:ascii="Arial" w:hAnsi="Arial" w:cs="Arial"/>
          <w:sz w:val="24"/>
          <w:szCs w:val="24"/>
        </w:rPr>
        <w:t xml:space="preserve"> (Asoklis, 2017)</w:t>
      </w:r>
      <w:r w:rsidRPr="0071546E">
        <w:rPr>
          <w:rFonts w:ascii="Arial" w:hAnsi="Arial" w:cs="Arial"/>
          <w:sz w:val="24"/>
          <w:szCs w:val="24"/>
        </w:rPr>
        <w:t>. Corneal ulcers develop when there is a disruption of the corneal epithelium</w:t>
      </w:r>
      <w:r w:rsidR="00AC6BC1" w:rsidRPr="0071546E">
        <w:rPr>
          <w:rFonts w:ascii="Arial" w:hAnsi="Arial" w:cs="Arial"/>
          <w:sz w:val="24"/>
          <w:szCs w:val="24"/>
        </w:rPr>
        <w:t>; i</w:t>
      </w:r>
      <w:r w:rsidRPr="0071546E">
        <w:rPr>
          <w:rFonts w:ascii="Arial" w:hAnsi="Arial" w:cs="Arial"/>
          <w:sz w:val="24"/>
          <w:szCs w:val="24"/>
        </w:rPr>
        <w:t>n a normal eye, the tear films constantly lubricate the surface of the cornea</w:t>
      </w:r>
      <w:r w:rsidR="00AC6BC1" w:rsidRPr="0071546E">
        <w:rPr>
          <w:rFonts w:ascii="Arial" w:hAnsi="Arial" w:cs="Arial"/>
          <w:sz w:val="24"/>
          <w:szCs w:val="24"/>
        </w:rPr>
        <w:t>, preventing corneal abrasion from friction. As seen in fig (1.6)</w:t>
      </w:r>
      <w:r w:rsidR="00D83AFC" w:rsidRPr="0071546E">
        <w:rPr>
          <w:rFonts w:ascii="Arial" w:hAnsi="Arial" w:cs="Arial"/>
          <w:sz w:val="24"/>
          <w:szCs w:val="24"/>
        </w:rPr>
        <w:t xml:space="preserve">, </w:t>
      </w:r>
      <w:r w:rsidR="00AC6BC1" w:rsidRPr="0071546E">
        <w:rPr>
          <w:rFonts w:ascii="Arial" w:hAnsi="Arial" w:cs="Arial"/>
          <w:sz w:val="24"/>
          <w:szCs w:val="24"/>
        </w:rPr>
        <w:t xml:space="preserve">attachment of </w:t>
      </w:r>
      <w:r w:rsidR="00AC6BC1" w:rsidRPr="0071546E">
        <w:rPr>
          <w:rFonts w:ascii="Arial" w:hAnsi="Arial" w:cs="Arial"/>
          <w:i/>
          <w:iCs/>
          <w:sz w:val="24"/>
          <w:szCs w:val="24"/>
        </w:rPr>
        <w:t>Acanthamoeba</w:t>
      </w:r>
      <w:r w:rsidR="00AC6BC1" w:rsidRPr="0071546E">
        <w:rPr>
          <w:rFonts w:ascii="Arial" w:hAnsi="Arial" w:cs="Arial"/>
          <w:sz w:val="24"/>
          <w:szCs w:val="24"/>
        </w:rPr>
        <w:t xml:space="preserve"> trophozoites on the surface of the cornea </w:t>
      </w:r>
      <w:r w:rsidR="00D83AFC" w:rsidRPr="0071546E">
        <w:rPr>
          <w:rFonts w:ascii="Arial" w:hAnsi="Arial" w:cs="Arial"/>
          <w:sz w:val="24"/>
          <w:szCs w:val="24"/>
        </w:rPr>
        <w:t>initiates the first step of the</w:t>
      </w:r>
      <w:r w:rsidR="00AC6BC1" w:rsidRPr="0071546E">
        <w:rPr>
          <w:rFonts w:ascii="Arial" w:hAnsi="Arial" w:cs="Arial"/>
          <w:sz w:val="24"/>
          <w:szCs w:val="24"/>
        </w:rPr>
        <w:t xml:space="preserve"> pathogenicity</w:t>
      </w:r>
      <w:r w:rsidR="00D83AFC" w:rsidRPr="0071546E">
        <w:rPr>
          <w:rFonts w:ascii="Arial" w:hAnsi="Arial" w:cs="Arial"/>
          <w:sz w:val="24"/>
          <w:szCs w:val="24"/>
        </w:rPr>
        <w:t xml:space="preserve"> of Acanthamoeba keratitis</w:t>
      </w:r>
      <w:r w:rsidR="00AC6BC1" w:rsidRPr="0071546E">
        <w:rPr>
          <w:rFonts w:ascii="Arial" w:hAnsi="Arial" w:cs="Arial"/>
          <w:sz w:val="24"/>
          <w:szCs w:val="24"/>
        </w:rPr>
        <w:t>.</w:t>
      </w:r>
      <w:r w:rsidR="00D83AFC" w:rsidRPr="0071546E">
        <w:rPr>
          <w:rFonts w:ascii="Arial" w:hAnsi="Arial" w:cs="Arial"/>
          <w:sz w:val="24"/>
          <w:szCs w:val="24"/>
        </w:rPr>
        <w:t xml:space="preserve"> The key role of the tear is to lubricate and supply the appropriate amount of oxygen in the cornea. This function can be affected by inappropriate contact lens use, causing several problems like dry eyes, and corneal abrasion. Studies have shown that frequent overnight use of contact lens predisposes an individual to corneal ulceration (Asoklis, 2017). </w:t>
      </w:r>
    </w:p>
    <w:p w:rsidR="00D83AFC" w:rsidRPr="0071546E" w:rsidRDefault="00D83AFC" w:rsidP="00D83AFC">
      <w:pPr>
        <w:spacing w:line="480" w:lineRule="auto"/>
        <w:ind w:left="1021" w:right="454"/>
        <w:jc w:val="both"/>
        <w:rPr>
          <w:rFonts w:ascii="Arial" w:hAnsi="Arial" w:cs="Arial"/>
          <w:sz w:val="24"/>
          <w:szCs w:val="24"/>
        </w:rPr>
      </w:pPr>
    </w:p>
    <w:p w:rsidR="00D83AFC" w:rsidRPr="0071546E" w:rsidRDefault="00D83AFC" w:rsidP="00D83AFC">
      <w:pPr>
        <w:spacing w:line="480" w:lineRule="auto"/>
        <w:ind w:left="1021" w:right="454"/>
        <w:jc w:val="both"/>
        <w:rPr>
          <w:rFonts w:ascii="Arial" w:hAnsi="Arial" w:cs="Arial"/>
          <w:sz w:val="24"/>
          <w:szCs w:val="24"/>
        </w:rPr>
      </w:pPr>
      <w:r w:rsidRPr="0071546E">
        <w:rPr>
          <w:rFonts w:ascii="Arial" w:hAnsi="Arial" w:cs="Arial"/>
          <w:sz w:val="24"/>
          <w:szCs w:val="24"/>
        </w:rPr>
        <w:t xml:space="preserve">During sleep when the contact lens is in use, there is obstruction of the flow of tear and oxygen, which might lead to hypoxia and hypercapnia of the corneal epithelium, leading to ischemic necrosis </w:t>
      </w:r>
      <w:r w:rsidRPr="0071546E">
        <w:rPr>
          <w:rFonts w:ascii="Arial" w:hAnsi="Arial" w:cs="Arial"/>
          <w:sz w:val="24"/>
          <w:szCs w:val="24"/>
          <w:lang w:val="en"/>
        </w:rPr>
        <w:t>(Alharbi, La Hood and Swarbrick, 2005)</w:t>
      </w:r>
      <w:r w:rsidRPr="0071546E">
        <w:rPr>
          <w:rFonts w:ascii="Arial" w:hAnsi="Arial" w:cs="Arial"/>
          <w:sz w:val="24"/>
          <w:szCs w:val="24"/>
        </w:rPr>
        <w:t xml:space="preserve">. Alharbi and co reported that the relative risk of ischemic necrosis for overnight used of the contact lens was 5 times greater than the non-contact lens user (Abdelkader, 2014). Recall that corneal abrasion or trauma is the major anchor point of </w:t>
      </w:r>
      <w:r w:rsidRPr="0071546E">
        <w:rPr>
          <w:rFonts w:ascii="Arial" w:hAnsi="Arial" w:cs="Arial"/>
          <w:i/>
          <w:sz w:val="24"/>
          <w:szCs w:val="24"/>
        </w:rPr>
        <w:t xml:space="preserve">Acanthamoeba </w:t>
      </w:r>
      <w:r w:rsidRPr="0071546E">
        <w:rPr>
          <w:rFonts w:ascii="Arial" w:hAnsi="Arial" w:cs="Arial"/>
          <w:sz w:val="24"/>
          <w:szCs w:val="24"/>
        </w:rPr>
        <w:t xml:space="preserve">trophozoite and this has been demonstrated in vivo (Suryawanshi et al., 2014).  The toughness of the cornea epithelium prevents this process hence it is difficult for </w:t>
      </w:r>
      <w:r w:rsidRPr="0071546E">
        <w:rPr>
          <w:rFonts w:ascii="Arial" w:hAnsi="Arial" w:cs="Arial"/>
          <w:i/>
          <w:iCs/>
          <w:sz w:val="24"/>
          <w:szCs w:val="24"/>
        </w:rPr>
        <w:t>Acanthamoeba</w:t>
      </w:r>
      <w:r w:rsidRPr="0071546E">
        <w:rPr>
          <w:rFonts w:ascii="Arial" w:hAnsi="Arial" w:cs="Arial"/>
          <w:sz w:val="24"/>
          <w:szCs w:val="24"/>
        </w:rPr>
        <w:t xml:space="preserve"> to invade an intact cornea. It has been shown that corneal epithelial cells are more resistant to the cytopathic mechanism of trophozoite invasion (Omaña-Molina et al., 2013) However, because the use of contact lenses facilitates the initial mechanism of corneal invasion by increasing the chances of corneal abrasion, contact lens use is one of the primary risk factors for Acanthamoeba keratitis. </w:t>
      </w:r>
      <w:r w:rsidR="00725033" w:rsidRPr="0071546E">
        <w:rPr>
          <w:rFonts w:ascii="Arial" w:hAnsi="Arial" w:cs="Arial"/>
          <w:sz w:val="24"/>
          <w:szCs w:val="24"/>
        </w:rPr>
        <w:t xml:space="preserve">The </w:t>
      </w:r>
      <w:r w:rsidR="002D1DC9" w:rsidRPr="0071546E">
        <w:rPr>
          <w:rFonts w:ascii="Arial" w:hAnsi="Arial" w:cs="Arial"/>
          <w:sz w:val="24"/>
          <w:szCs w:val="24"/>
        </w:rPr>
        <w:t>toughness</w:t>
      </w:r>
      <w:r w:rsidR="00725033" w:rsidRPr="0071546E">
        <w:rPr>
          <w:rFonts w:ascii="Arial" w:hAnsi="Arial" w:cs="Arial"/>
          <w:sz w:val="24"/>
          <w:szCs w:val="24"/>
        </w:rPr>
        <w:t xml:space="preserve"> of the corneal epithelium creates an important obstruction against </w:t>
      </w:r>
      <w:r w:rsidR="00432D1D" w:rsidRPr="0071546E">
        <w:rPr>
          <w:rFonts w:ascii="Arial" w:hAnsi="Arial" w:cs="Arial"/>
          <w:i/>
          <w:sz w:val="24"/>
          <w:szCs w:val="24"/>
        </w:rPr>
        <w:t>Acanthamoeba</w:t>
      </w:r>
      <w:r w:rsidR="00725033" w:rsidRPr="0071546E">
        <w:rPr>
          <w:rFonts w:ascii="Arial" w:hAnsi="Arial" w:cs="Arial"/>
          <w:sz w:val="24"/>
          <w:szCs w:val="24"/>
        </w:rPr>
        <w:t xml:space="preserve"> invasion to the underlying structures</w:t>
      </w:r>
      <w:r w:rsidRPr="0071546E">
        <w:rPr>
          <w:rFonts w:ascii="Arial" w:hAnsi="Arial" w:cs="Arial"/>
          <w:sz w:val="24"/>
          <w:szCs w:val="24"/>
        </w:rPr>
        <w:t>.</w:t>
      </w:r>
      <w:r w:rsidR="00725033" w:rsidRPr="0071546E">
        <w:rPr>
          <w:rFonts w:ascii="Arial" w:hAnsi="Arial" w:cs="Arial"/>
          <w:sz w:val="24"/>
          <w:szCs w:val="24"/>
        </w:rPr>
        <w:t xml:space="preserve"> However, </w:t>
      </w:r>
      <w:r w:rsidR="00563D9A" w:rsidRPr="0071546E">
        <w:rPr>
          <w:rFonts w:ascii="Arial" w:hAnsi="Arial" w:cs="Arial"/>
          <w:sz w:val="24"/>
          <w:szCs w:val="24"/>
        </w:rPr>
        <w:t>r</w:t>
      </w:r>
      <w:r w:rsidR="00725033" w:rsidRPr="0071546E">
        <w:rPr>
          <w:rFonts w:ascii="Arial" w:hAnsi="Arial" w:cs="Arial"/>
          <w:sz w:val="24"/>
          <w:szCs w:val="24"/>
        </w:rPr>
        <w:t xml:space="preserve">eports showed that the adherence of </w:t>
      </w:r>
      <w:r w:rsidR="00432D1D" w:rsidRPr="0071546E">
        <w:rPr>
          <w:rFonts w:ascii="Arial" w:hAnsi="Arial" w:cs="Arial"/>
          <w:i/>
          <w:sz w:val="24"/>
          <w:szCs w:val="24"/>
        </w:rPr>
        <w:t>Acanthamoeba</w:t>
      </w:r>
      <w:r w:rsidR="00725033" w:rsidRPr="0071546E">
        <w:rPr>
          <w:rFonts w:ascii="Arial" w:hAnsi="Arial" w:cs="Arial"/>
          <w:sz w:val="24"/>
          <w:szCs w:val="24"/>
        </w:rPr>
        <w:t xml:space="preserve"> trophozoites to an intact corneal in</w:t>
      </w:r>
      <w:r w:rsidRPr="0071546E">
        <w:rPr>
          <w:rFonts w:ascii="Arial" w:hAnsi="Arial" w:cs="Arial"/>
          <w:sz w:val="24"/>
          <w:szCs w:val="24"/>
        </w:rPr>
        <w:t xml:space="preserve"> </w:t>
      </w:r>
      <w:r w:rsidR="00725033" w:rsidRPr="0071546E">
        <w:rPr>
          <w:rFonts w:ascii="Arial" w:hAnsi="Arial" w:cs="Arial"/>
          <w:sz w:val="24"/>
          <w:szCs w:val="24"/>
        </w:rPr>
        <w:t>animal</w:t>
      </w:r>
      <w:r w:rsidRPr="0071546E">
        <w:rPr>
          <w:rFonts w:ascii="Arial" w:hAnsi="Arial" w:cs="Arial"/>
          <w:sz w:val="24"/>
          <w:szCs w:val="24"/>
        </w:rPr>
        <w:t>s</w:t>
      </w:r>
      <w:r w:rsidR="00725033" w:rsidRPr="0071546E">
        <w:rPr>
          <w:rFonts w:ascii="Arial" w:hAnsi="Arial" w:cs="Arial"/>
          <w:sz w:val="24"/>
          <w:szCs w:val="24"/>
        </w:rPr>
        <w:t xml:space="preserve"> also caused keratitis; suggesting that the exi</w:t>
      </w:r>
      <w:r w:rsidR="004A57D4" w:rsidRPr="0071546E">
        <w:rPr>
          <w:rFonts w:ascii="Arial" w:hAnsi="Arial" w:cs="Arial"/>
          <w:sz w:val="24"/>
          <w:szCs w:val="24"/>
        </w:rPr>
        <w:t>s</w:t>
      </w:r>
      <w:r w:rsidR="00725033" w:rsidRPr="0071546E">
        <w:rPr>
          <w:rFonts w:ascii="Arial" w:hAnsi="Arial" w:cs="Arial"/>
          <w:sz w:val="24"/>
          <w:szCs w:val="24"/>
        </w:rPr>
        <w:t xml:space="preserve">ting trauma to the corneal surface is not a requirement for the initiation of amoebic keratitis. (Omana-Molina et al., 2004). </w:t>
      </w:r>
    </w:p>
    <w:p w:rsidR="00D83AFC" w:rsidRPr="0071546E" w:rsidRDefault="00D83AFC" w:rsidP="00D83AFC">
      <w:pPr>
        <w:spacing w:line="480" w:lineRule="auto"/>
        <w:ind w:left="1021" w:right="454"/>
        <w:jc w:val="both"/>
        <w:rPr>
          <w:rFonts w:ascii="Arial" w:hAnsi="Arial" w:cs="Arial"/>
          <w:sz w:val="24"/>
          <w:szCs w:val="24"/>
        </w:rPr>
      </w:pPr>
    </w:p>
    <w:p w:rsidR="00D83AFC" w:rsidRPr="0071546E" w:rsidRDefault="00D83AFC" w:rsidP="00D83AFC">
      <w:pPr>
        <w:spacing w:line="480" w:lineRule="auto"/>
        <w:ind w:left="1021" w:right="454"/>
        <w:jc w:val="both"/>
        <w:rPr>
          <w:rFonts w:ascii="Arial" w:hAnsi="Arial" w:cs="Arial"/>
          <w:sz w:val="24"/>
          <w:szCs w:val="24"/>
        </w:rPr>
      </w:pPr>
    </w:p>
    <w:p w:rsidR="00725033" w:rsidRPr="0071546E" w:rsidRDefault="00725033" w:rsidP="00D83AFC">
      <w:pPr>
        <w:spacing w:line="480" w:lineRule="auto"/>
        <w:ind w:left="1021" w:right="454"/>
        <w:jc w:val="both"/>
        <w:rPr>
          <w:rFonts w:ascii="Arial" w:hAnsi="Arial" w:cs="Arial"/>
          <w:sz w:val="24"/>
          <w:szCs w:val="24"/>
        </w:rPr>
      </w:pPr>
      <w:r w:rsidRPr="0071546E">
        <w:rPr>
          <w:rFonts w:ascii="Arial" w:hAnsi="Arial" w:cs="Arial"/>
          <w:sz w:val="24"/>
          <w:szCs w:val="24"/>
        </w:rPr>
        <w:t xml:space="preserve">Ulceration of the corneal was essential for the development of </w:t>
      </w:r>
      <w:r w:rsidR="00432D1D" w:rsidRPr="0071546E">
        <w:rPr>
          <w:rFonts w:ascii="Arial" w:hAnsi="Arial" w:cs="Arial"/>
          <w:sz w:val="24"/>
          <w:szCs w:val="24"/>
        </w:rPr>
        <w:t>Acanthamoeba</w:t>
      </w:r>
      <w:r w:rsidRPr="0071546E">
        <w:rPr>
          <w:rFonts w:ascii="Arial" w:hAnsi="Arial" w:cs="Arial"/>
          <w:sz w:val="24"/>
          <w:szCs w:val="24"/>
        </w:rPr>
        <w:t xml:space="preserve"> keratitis in rabbits (Ortillés et al., 2017). Corneal epithelial trauma facilitates the attachment of </w:t>
      </w:r>
      <w:r w:rsidR="00432D1D" w:rsidRPr="0071546E">
        <w:rPr>
          <w:rFonts w:ascii="Arial" w:hAnsi="Arial" w:cs="Arial"/>
          <w:i/>
          <w:sz w:val="24"/>
          <w:szCs w:val="24"/>
        </w:rPr>
        <w:t>Acanthamoeba</w:t>
      </w:r>
      <w:r w:rsidRPr="0071546E">
        <w:rPr>
          <w:rFonts w:ascii="Arial" w:hAnsi="Arial" w:cs="Arial"/>
          <w:sz w:val="24"/>
          <w:szCs w:val="24"/>
        </w:rPr>
        <w:t xml:space="preserve"> on the cornea and subsequent invasion of the underlying layers of the cornea. Lacerations on the cornea expose protein-binding sites of the mannose glycoprotein. The adhesion of </w:t>
      </w:r>
      <w:r w:rsidR="00432D1D" w:rsidRPr="0071546E">
        <w:rPr>
          <w:rFonts w:ascii="Arial" w:hAnsi="Arial" w:cs="Arial"/>
          <w:i/>
          <w:sz w:val="24"/>
          <w:szCs w:val="24"/>
        </w:rPr>
        <w:t>Acanthamoeba</w:t>
      </w:r>
      <w:r w:rsidRPr="0071546E">
        <w:rPr>
          <w:rFonts w:ascii="Arial" w:hAnsi="Arial" w:cs="Arial"/>
          <w:sz w:val="24"/>
          <w:szCs w:val="24"/>
        </w:rPr>
        <w:t xml:space="preserve"> to the corneal epithelial cells is a site-specific interaction between proteins found on the acanth</w:t>
      </w:r>
      <w:r w:rsidR="004A57D4" w:rsidRPr="0071546E">
        <w:rPr>
          <w:rFonts w:ascii="Arial" w:hAnsi="Arial" w:cs="Arial"/>
          <w:sz w:val="24"/>
          <w:szCs w:val="24"/>
        </w:rPr>
        <w:t>o</w:t>
      </w:r>
      <w:r w:rsidRPr="0071546E">
        <w:rPr>
          <w:rFonts w:ascii="Arial" w:hAnsi="Arial" w:cs="Arial"/>
          <w:sz w:val="24"/>
          <w:szCs w:val="24"/>
        </w:rPr>
        <w:t>podia and the corresponding mannose</w:t>
      </w:r>
      <w:r w:rsidR="004A57D4" w:rsidRPr="0071546E">
        <w:rPr>
          <w:rFonts w:ascii="Arial" w:hAnsi="Arial" w:cs="Arial"/>
          <w:sz w:val="24"/>
          <w:szCs w:val="24"/>
        </w:rPr>
        <w:t>-</w:t>
      </w:r>
      <w:r w:rsidRPr="0071546E">
        <w:rPr>
          <w:rFonts w:ascii="Arial" w:hAnsi="Arial" w:cs="Arial"/>
          <w:sz w:val="24"/>
          <w:szCs w:val="24"/>
        </w:rPr>
        <w:t xml:space="preserve">binding glycol-protein. Sugar inhibition assays have shown that </w:t>
      </w:r>
      <w:r w:rsidR="00432D1D" w:rsidRPr="0071546E">
        <w:rPr>
          <w:rFonts w:ascii="Arial" w:hAnsi="Arial" w:cs="Arial"/>
          <w:i/>
          <w:sz w:val="24"/>
          <w:szCs w:val="24"/>
        </w:rPr>
        <w:t>Acanthamoeba</w:t>
      </w:r>
      <w:r w:rsidRPr="0071546E">
        <w:rPr>
          <w:rFonts w:ascii="Arial" w:hAnsi="Arial" w:cs="Arial"/>
          <w:sz w:val="24"/>
          <w:szCs w:val="24"/>
        </w:rPr>
        <w:t xml:space="preserve"> specifically binds (with high affinity) mannose saccharides and not non-mannosylated glycoproteins like galactose fructose and lactose (Cao, Jefferson and Panjwani, 1998; Huth et al., 2017). Mannose receptors on the surface of the cornea stimulate </w:t>
      </w:r>
      <w:r w:rsidR="00432D1D" w:rsidRPr="0071546E">
        <w:rPr>
          <w:rFonts w:ascii="Arial" w:hAnsi="Arial" w:cs="Arial"/>
          <w:i/>
          <w:sz w:val="24"/>
          <w:szCs w:val="24"/>
        </w:rPr>
        <w:t>Acanthamoeba</w:t>
      </w:r>
      <w:r w:rsidRPr="0071546E">
        <w:rPr>
          <w:rFonts w:ascii="Arial" w:hAnsi="Arial" w:cs="Arial"/>
          <w:sz w:val="24"/>
          <w:szCs w:val="24"/>
        </w:rPr>
        <w:t xml:space="preserve"> to release pathogenic proteases, which activates epithelium apoptosis and enhances invasion of </w:t>
      </w:r>
      <w:r w:rsidR="00432D1D" w:rsidRPr="0071546E">
        <w:rPr>
          <w:rFonts w:ascii="Arial" w:hAnsi="Arial" w:cs="Arial"/>
          <w:i/>
          <w:sz w:val="24"/>
          <w:szCs w:val="24"/>
        </w:rPr>
        <w:t>Acanthamoeba</w:t>
      </w:r>
      <w:r w:rsidRPr="0071546E">
        <w:rPr>
          <w:rFonts w:ascii="Arial" w:hAnsi="Arial" w:cs="Arial"/>
          <w:sz w:val="24"/>
          <w:szCs w:val="24"/>
        </w:rPr>
        <w:t xml:space="preserve"> into the underlying stroma (Badenoch, 1991). </w:t>
      </w:r>
      <w:r w:rsidR="00D83AFC" w:rsidRPr="0071546E">
        <w:rPr>
          <w:rFonts w:ascii="Arial" w:hAnsi="Arial" w:cs="Arial"/>
          <w:sz w:val="24"/>
          <w:szCs w:val="24"/>
        </w:rPr>
        <w:t>Therefore it is vital for c</w:t>
      </w:r>
      <w:r w:rsidRPr="0071546E">
        <w:rPr>
          <w:rFonts w:ascii="Arial" w:hAnsi="Arial" w:cs="Arial"/>
          <w:sz w:val="24"/>
          <w:szCs w:val="24"/>
        </w:rPr>
        <w:t xml:space="preserve">ontact </w:t>
      </w:r>
      <w:r w:rsidR="004A57D4" w:rsidRPr="0071546E">
        <w:rPr>
          <w:rFonts w:ascii="Arial" w:hAnsi="Arial" w:cs="Arial"/>
          <w:sz w:val="24"/>
          <w:szCs w:val="24"/>
        </w:rPr>
        <w:t>lens user</w:t>
      </w:r>
      <w:r w:rsidR="00D83AFC" w:rsidRPr="0071546E">
        <w:rPr>
          <w:rFonts w:ascii="Arial" w:hAnsi="Arial" w:cs="Arial"/>
          <w:sz w:val="24"/>
          <w:szCs w:val="24"/>
        </w:rPr>
        <w:t>s</w:t>
      </w:r>
      <w:r w:rsidR="004A57D4" w:rsidRPr="0071546E">
        <w:rPr>
          <w:rFonts w:ascii="Arial" w:hAnsi="Arial" w:cs="Arial"/>
          <w:sz w:val="24"/>
          <w:szCs w:val="24"/>
        </w:rPr>
        <w:t xml:space="preserve"> </w:t>
      </w:r>
      <w:r w:rsidR="00D83AFC" w:rsidRPr="0071546E">
        <w:rPr>
          <w:rFonts w:ascii="Arial" w:hAnsi="Arial" w:cs="Arial"/>
          <w:sz w:val="24"/>
          <w:szCs w:val="24"/>
        </w:rPr>
        <w:t>to familiarise themselves with</w:t>
      </w:r>
      <w:r w:rsidR="004A57D4" w:rsidRPr="0071546E">
        <w:rPr>
          <w:rFonts w:ascii="Arial" w:hAnsi="Arial" w:cs="Arial"/>
          <w:sz w:val="24"/>
          <w:szCs w:val="24"/>
        </w:rPr>
        <w:t xml:space="preserve"> information</w:t>
      </w:r>
      <w:r w:rsidRPr="0071546E">
        <w:rPr>
          <w:rFonts w:ascii="Arial" w:hAnsi="Arial" w:cs="Arial"/>
          <w:sz w:val="24"/>
          <w:szCs w:val="24"/>
        </w:rPr>
        <w:t xml:space="preserve"> about proper lens care i.e. method of disinfection and most appropriate disinfectants to be used. </w:t>
      </w:r>
      <w:r w:rsidR="00D83AFC" w:rsidRPr="0071546E">
        <w:rPr>
          <w:rFonts w:ascii="Arial" w:hAnsi="Arial" w:cs="Arial"/>
          <w:sz w:val="24"/>
          <w:szCs w:val="24"/>
        </w:rPr>
        <w:t>It is a bad practice to wash the contact lens with tap water, swim or shower or use a hot tub while wearing your contact lens</w:t>
      </w:r>
      <w:r w:rsidR="00A87A14" w:rsidRPr="0071546E">
        <w:rPr>
          <w:rFonts w:ascii="Arial" w:hAnsi="Arial" w:cs="Arial"/>
          <w:sz w:val="24"/>
          <w:szCs w:val="24"/>
        </w:rPr>
        <w:t>.</w:t>
      </w:r>
      <w:r w:rsidR="00A87A14" w:rsidRPr="0071546E">
        <w:rPr>
          <w:b/>
          <w:bCs/>
        </w:rPr>
        <w:t xml:space="preserve"> </w:t>
      </w:r>
      <w:r w:rsidR="00A87A14" w:rsidRPr="0071546E">
        <w:rPr>
          <w:rFonts w:ascii="Arial" w:hAnsi="Arial" w:cs="Arial"/>
          <w:sz w:val="24"/>
          <w:szCs w:val="24"/>
        </w:rPr>
        <w:t xml:space="preserve">Water contains viable </w:t>
      </w:r>
      <w:r w:rsidR="00A87A14" w:rsidRPr="0071546E">
        <w:rPr>
          <w:rFonts w:ascii="Arial" w:hAnsi="Arial" w:cs="Arial"/>
          <w:i/>
          <w:iCs/>
          <w:sz w:val="24"/>
          <w:szCs w:val="24"/>
        </w:rPr>
        <w:t>Acanthamoeba</w:t>
      </w:r>
      <w:r w:rsidR="00A87A14" w:rsidRPr="0071546E">
        <w:rPr>
          <w:rFonts w:ascii="Arial" w:hAnsi="Arial" w:cs="Arial"/>
          <w:sz w:val="24"/>
          <w:szCs w:val="24"/>
        </w:rPr>
        <w:t xml:space="preserve"> cysts which when in a suitable environment can transform to trophozoites and  lead to Acanthamoeba keratitis, so water should not come into contact with the contact lenses </w:t>
      </w:r>
    </w:p>
    <w:p w:rsidR="00D83AFC" w:rsidRPr="0071546E" w:rsidRDefault="00D83AFC" w:rsidP="00CF13FE">
      <w:pPr>
        <w:spacing w:line="480" w:lineRule="auto"/>
        <w:ind w:left="1021" w:right="454"/>
        <w:jc w:val="both"/>
        <w:rPr>
          <w:rFonts w:ascii="Arial" w:hAnsi="Arial" w:cs="Arial"/>
          <w:sz w:val="24"/>
          <w:szCs w:val="24"/>
        </w:rPr>
      </w:pPr>
    </w:p>
    <w:p w:rsidR="00D83AFC" w:rsidRPr="0071546E" w:rsidRDefault="00D83AFC" w:rsidP="00A87A14">
      <w:pPr>
        <w:spacing w:line="480" w:lineRule="auto"/>
        <w:ind w:right="454"/>
        <w:jc w:val="both"/>
        <w:rPr>
          <w:rFonts w:ascii="Arial" w:hAnsi="Arial" w:cs="Arial"/>
          <w:sz w:val="24"/>
          <w:szCs w:val="24"/>
        </w:rPr>
      </w:pPr>
    </w:p>
    <w:p w:rsidR="00725033" w:rsidRPr="0071546E" w:rsidRDefault="00725033" w:rsidP="00CF13FE">
      <w:pPr>
        <w:pStyle w:val="Heading2"/>
        <w:ind w:left="1021" w:right="454"/>
      </w:pPr>
      <w:bookmarkStart w:id="14" w:name="_Toc14711383"/>
      <w:r w:rsidRPr="0071546E">
        <w:t>1.2.2 The cornea; function and anatomy</w:t>
      </w:r>
      <w:bookmarkEnd w:id="14"/>
    </w:p>
    <w:p w:rsidR="00725033" w:rsidRPr="0071546E" w:rsidRDefault="00725033" w:rsidP="00FF2039">
      <w:pPr>
        <w:spacing w:line="480" w:lineRule="auto"/>
        <w:ind w:left="1021" w:right="454"/>
        <w:jc w:val="both"/>
        <w:rPr>
          <w:rFonts w:ascii="Arial" w:hAnsi="Arial" w:cs="Arial"/>
          <w:sz w:val="24"/>
          <w:szCs w:val="24"/>
        </w:rPr>
      </w:pPr>
      <w:r w:rsidRPr="0071546E">
        <w:rPr>
          <w:rFonts w:ascii="Arial" w:hAnsi="Arial" w:cs="Arial"/>
          <w:sz w:val="24"/>
          <w:szCs w:val="24"/>
        </w:rPr>
        <w:t>The cornea is the peripheral layer of the eyeball</w:t>
      </w:r>
      <w:r w:rsidR="00FF2039" w:rsidRPr="0071546E">
        <w:rPr>
          <w:rFonts w:ascii="Arial" w:hAnsi="Arial" w:cs="Arial"/>
          <w:sz w:val="24"/>
          <w:szCs w:val="24"/>
        </w:rPr>
        <w:t xml:space="preserve"> see Fig 1.5</w:t>
      </w:r>
      <w:r w:rsidRPr="0071546E">
        <w:rPr>
          <w:rFonts w:ascii="Arial" w:hAnsi="Arial" w:cs="Arial"/>
          <w:sz w:val="24"/>
          <w:szCs w:val="24"/>
        </w:rPr>
        <w:t>. The key function of the cornea is to protect the internal structures of the eye (Luo et al., 2017). The cornea is a translucent tissue that plays a very important role in the normal functioning of the eye. Although the corneal appears empty when observed from the outside, the cornea is made of very complex str</w:t>
      </w:r>
      <w:r w:rsidR="004A57D4" w:rsidRPr="0071546E">
        <w:rPr>
          <w:rFonts w:ascii="Arial" w:hAnsi="Arial" w:cs="Arial"/>
          <w:sz w:val="24"/>
          <w:szCs w:val="24"/>
        </w:rPr>
        <w:t>u</w:t>
      </w:r>
      <w:r w:rsidRPr="0071546E">
        <w:rPr>
          <w:rFonts w:ascii="Arial" w:hAnsi="Arial" w:cs="Arial"/>
          <w:sz w:val="24"/>
          <w:szCs w:val="24"/>
        </w:rPr>
        <w:t xml:space="preserve">ctures that </w:t>
      </w:r>
      <w:r w:rsidR="00855EC2" w:rsidRPr="0071546E">
        <w:rPr>
          <w:rFonts w:ascii="Arial" w:hAnsi="Arial" w:cs="Arial"/>
          <w:sz w:val="24"/>
          <w:szCs w:val="24"/>
        </w:rPr>
        <w:t>carry out</w:t>
      </w:r>
      <w:r w:rsidR="00DD6702" w:rsidRPr="0071546E">
        <w:rPr>
          <w:rFonts w:ascii="Arial" w:hAnsi="Arial" w:cs="Arial"/>
          <w:sz w:val="24"/>
          <w:szCs w:val="24"/>
        </w:rPr>
        <w:t xml:space="preserve"> </w:t>
      </w:r>
      <w:r w:rsidR="00855EC2" w:rsidRPr="0071546E">
        <w:rPr>
          <w:rFonts w:ascii="Arial" w:hAnsi="Arial" w:cs="Arial"/>
          <w:sz w:val="24"/>
          <w:szCs w:val="24"/>
        </w:rPr>
        <w:t>important function</w:t>
      </w:r>
      <w:r w:rsidR="00B24288" w:rsidRPr="0071546E">
        <w:rPr>
          <w:rFonts w:ascii="Arial" w:hAnsi="Arial" w:cs="Arial"/>
          <w:sz w:val="24"/>
          <w:szCs w:val="24"/>
        </w:rPr>
        <w:t>s</w:t>
      </w:r>
      <w:r w:rsidR="00855EC2" w:rsidRPr="0071546E">
        <w:rPr>
          <w:rFonts w:ascii="Arial" w:hAnsi="Arial" w:cs="Arial"/>
          <w:sz w:val="24"/>
          <w:szCs w:val="24"/>
        </w:rPr>
        <w:t xml:space="preserve"> in</w:t>
      </w:r>
      <w:r w:rsidRPr="0071546E">
        <w:rPr>
          <w:rFonts w:ascii="Arial" w:hAnsi="Arial" w:cs="Arial"/>
          <w:sz w:val="24"/>
          <w:szCs w:val="24"/>
        </w:rPr>
        <w:t xml:space="preserve"> the eye. The major component of the cornea is collagen; as well as providing robustness, the complex arrangement of the collagen</w:t>
      </w:r>
      <w:r w:rsidR="00FF2039" w:rsidRPr="0071546E">
        <w:rPr>
          <w:rFonts w:ascii="Arial" w:hAnsi="Arial" w:cs="Arial"/>
          <w:sz w:val="24"/>
          <w:szCs w:val="24"/>
        </w:rPr>
        <w:t>, for example,</w:t>
      </w:r>
      <w:r w:rsidR="00B24288" w:rsidRPr="0071546E">
        <w:rPr>
          <w:rFonts w:ascii="Arial" w:hAnsi="Arial" w:cs="Arial"/>
          <w:sz w:val="24"/>
          <w:szCs w:val="24"/>
        </w:rPr>
        <w:t xml:space="preserve"> the avascular arrangement of tissues, </w:t>
      </w:r>
      <w:r w:rsidRPr="0071546E">
        <w:rPr>
          <w:rFonts w:ascii="Arial" w:hAnsi="Arial" w:cs="Arial"/>
          <w:sz w:val="24"/>
          <w:szCs w:val="24"/>
        </w:rPr>
        <w:t>allows passage of light with limited scattering, making the cornea transparent (Meek, 2009). The intricate structure of the cornea enforces the structural function of the cornea</w:t>
      </w:r>
      <w:r w:rsidR="00FF2039" w:rsidRPr="0071546E">
        <w:rPr>
          <w:rFonts w:ascii="Arial" w:hAnsi="Arial" w:cs="Arial"/>
          <w:sz w:val="24"/>
          <w:szCs w:val="24"/>
        </w:rPr>
        <w:t xml:space="preserve"> Fig 1.5</w:t>
      </w:r>
      <w:r w:rsidRPr="0071546E">
        <w:rPr>
          <w:rFonts w:ascii="Arial" w:hAnsi="Arial" w:cs="Arial"/>
          <w:sz w:val="24"/>
          <w:szCs w:val="24"/>
        </w:rPr>
        <w:t xml:space="preserve">, which is to act, </w:t>
      </w:r>
      <w:r w:rsidR="004A57D4" w:rsidRPr="0071546E">
        <w:rPr>
          <w:rFonts w:ascii="Arial" w:hAnsi="Arial" w:cs="Arial"/>
          <w:sz w:val="24"/>
          <w:szCs w:val="24"/>
        </w:rPr>
        <w:t>like</w:t>
      </w:r>
      <w:r w:rsidRPr="0071546E">
        <w:rPr>
          <w:rFonts w:ascii="Arial" w:hAnsi="Arial" w:cs="Arial"/>
          <w:sz w:val="24"/>
          <w:szCs w:val="24"/>
        </w:rPr>
        <w:t xml:space="preserve"> a barrier that protects the</w:t>
      </w:r>
      <w:r w:rsidR="00FF2039" w:rsidRPr="0071546E">
        <w:rPr>
          <w:rFonts w:ascii="Arial" w:hAnsi="Arial" w:cs="Arial"/>
          <w:sz w:val="24"/>
          <w:szCs w:val="24"/>
        </w:rPr>
        <w:t xml:space="preserve"> inner structures of the</w:t>
      </w:r>
      <w:r w:rsidRPr="0071546E">
        <w:rPr>
          <w:rFonts w:ascii="Arial" w:hAnsi="Arial" w:cs="Arial"/>
          <w:sz w:val="24"/>
          <w:szCs w:val="24"/>
        </w:rPr>
        <w:t xml:space="preserve"> eye </w:t>
      </w:r>
      <w:r w:rsidR="00FF2039" w:rsidRPr="0071546E">
        <w:rPr>
          <w:rFonts w:ascii="Arial" w:hAnsi="Arial" w:cs="Arial"/>
          <w:sz w:val="24"/>
          <w:szCs w:val="24"/>
        </w:rPr>
        <w:t xml:space="preserve">like the Iris and the Pupil </w:t>
      </w:r>
      <w:r w:rsidRPr="0071546E">
        <w:rPr>
          <w:rFonts w:ascii="Arial" w:hAnsi="Arial" w:cs="Arial"/>
          <w:sz w:val="24"/>
          <w:szCs w:val="24"/>
        </w:rPr>
        <w:t>and</w:t>
      </w:r>
      <w:r w:rsidR="00FF2039" w:rsidRPr="0071546E">
        <w:rPr>
          <w:rFonts w:ascii="Arial" w:hAnsi="Arial" w:cs="Arial"/>
          <w:sz w:val="24"/>
          <w:szCs w:val="24"/>
        </w:rPr>
        <w:t xml:space="preserve"> also</w:t>
      </w:r>
      <w:r w:rsidRPr="0071546E">
        <w:rPr>
          <w:rFonts w:ascii="Arial" w:hAnsi="Arial" w:cs="Arial"/>
          <w:sz w:val="24"/>
          <w:szCs w:val="24"/>
        </w:rPr>
        <w:t xml:space="preserve"> prevents </w:t>
      </w:r>
      <w:r w:rsidR="004A57D4" w:rsidRPr="0071546E">
        <w:rPr>
          <w:rFonts w:ascii="Arial" w:hAnsi="Arial" w:cs="Arial"/>
          <w:sz w:val="24"/>
          <w:szCs w:val="24"/>
        </w:rPr>
        <w:t xml:space="preserve">the </w:t>
      </w:r>
      <w:r w:rsidRPr="0071546E">
        <w:rPr>
          <w:rFonts w:ascii="Arial" w:hAnsi="Arial" w:cs="Arial"/>
          <w:sz w:val="24"/>
          <w:szCs w:val="24"/>
        </w:rPr>
        <w:t>invasion of</w:t>
      </w:r>
      <w:r w:rsidR="00FF2039" w:rsidRPr="0071546E">
        <w:rPr>
          <w:rFonts w:ascii="Arial" w:hAnsi="Arial" w:cs="Arial"/>
          <w:sz w:val="24"/>
          <w:szCs w:val="24"/>
        </w:rPr>
        <w:t xml:space="preserve"> the eye by</w:t>
      </w:r>
      <w:r w:rsidRPr="0071546E">
        <w:rPr>
          <w:rFonts w:ascii="Arial" w:hAnsi="Arial" w:cs="Arial"/>
          <w:sz w:val="24"/>
          <w:szCs w:val="24"/>
        </w:rPr>
        <w:t xml:space="preserve"> pathogenic microbes. </w:t>
      </w:r>
      <w:r w:rsidR="00FF2039" w:rsidRPr="0071546E">
        <w:rPr>
          <w:rFonts w:ascii="Arial" w:hAnsi="Arial" w:cs="Arial"/>
          <w:sz w:val="24"/>
          <w:szCs w:val="24"/>
        </w:rPr>
        <w:t>In humans, the diameter of the cornea is approximately 11.5 mm with a thickness of about 0.5-0.6 mm in the centre and 0.6-0.8 mm at the edge. The diameter of the cornea determined using the ORBSCAN II system showed that the mean diameter of the cornea is 11.72 ± 0.47mm (Chen and Xia, 2016). There are five layers in the cornea: the epithelium which is the outermost layer, followed by the Bowmans membrane. The third layer of the cornea is the Descemet's membrane and finally, the endothelium. The most important part is the outermost layer (Epithelium) which absorbs nutrients and oxygen from tears and transports it to the other parts of the cornea.</w:t>
      </w:r>
    </w:p>
    <w:p w:rsidR="00725033" w:rsidRPr="0071546E" w:rsidRDefault="00725033" w:rsidP="00CF13FE">
      <w:pPr>
        <w:spacing w:line="240" w:lineRule="atLeast"/>
        <w:ind w:left="1021" w:right="454"/>
        <w:jc w:val="both"/>
        <w:rPr>
          <w:rFonts w:ascii="Arial" w:hAnsi="Arial" w:cs="Arial"/>
          <w:noProof/>
          <w:sz w:val="24"/>
          <w:szCs w:val="24"/>
          <w:lang w:eastAsia="en-GB"/>
        </w:rPr>
      </w:pPr>
      <w:r w:rsidRPr="0071546E">
        <w:rPr>
          <w:rFonts w:ascii="Arial" w:hAnsi="Arial" w:cs="Arial"/>
          <w:noProof/>
          <w:sz w:val="24"/>
          <w:szCs w:val="24"/>
          <w:lang w:eastAsia="en-GB"/>
        </w:rPr>
        <w:drawing>
          <wp:inline distT="0" distB="0" distL="0" distR="0" wp14:anchorId="7F91F099" wp14:editId="1CC814A5">
            <wp:extent cx="4622242" cy="5576570"/>
            <wp:effectExtent l="0" t="0" r="6985" b="5080"/>
            <wp:docPr id="1202" name="Picture 1202" descr="https://www.researchgate.net/profile/Anne_Huhtala/publication/228971270/figure/fig1/AS:393850330861581@1470912644932/Anatomy-of-the-eye-and-the-cornea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esearchgate.net/profile/Anne_Huhtala/publication/228971270/figure/fig1/AS:393850330861581@1470912644932/Anatomy-of-the-eye-and-the-cornea_W6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6805" cy="5980208"/>
                    </a:xfrm>
                    <a:prstGeom prst="rect">
                      <a:avLst/>
                    </a:prstGeom>
                    <a:noFill/>
                    <a:ln>
                      <a:noFill/>
                    </a:ln>
                  </pic:spPr>
                </pic:pic>
              </a:graphicData>
            </a:graphic>
          </wp:inline>
        </w:drawing>
      </w:r>
    </w:p>
    <w:p w:rsidR="00C06D01" w:rsidRPr="0071546E" w:rsidRDefault="00725033" w:rsidP="00CF13FE">
      <w:pPr>
        <w:spacing w:line="240" w:lineRule="atLeast"/>
        <w:ind w:left="1021" w:right="454"/>
        <w:jc w:val="both"/>
        <w:rPr>
          <w:rFonts w:ascii="Arial" w:hAnsi="Arial" w:cs="Arial"/>
          <w:noProof/>
          <w:sz w:val="20"/>
          <w:szCs w:val="20"/>
          <w:lang w:eastAsia="en-GB"/>
        </w:rPr>
      </w:pPr>
      <w:r w:rsidRPr="0071546E">
        <w:rPr>
          <w:rFonts w:ascii="Arial" w:hAnsi="Arial" w:cs="Arial"/>
          <w:noProof/>
          <w:sz w:val="20"/>
          <w:szCs w:val="20"/>
          <w:lang w:eastAsia="en-GB"/>
        </w:rPr>
        <w:t xml:space="preserve">Fig 1.5. Anatomy of the cornea. The outermost layer of the cornea is epithelium </w:t>
      </w:r>
      <w:r w:rsidR="00FF2039" w:rsidRPr="0071546E">
        <w:rPr>
          <w:rFonts w:ascii="Arial" w:hAnsi="Arial" w:cs="Arial"/>
          <w:noProof/>
          <w:sz w:val="20"/>
          <w:szCs w:val="20"/>
          <w:lang w:eastAsia="en-GB"/>
        </w:rPr>
        <w:t>which</w:t>
      </w:r>
      <w:r w:rsidRPr="0071546E">
        <w:rPr>
          <w:rFonts w:ascii="Arial" w:hAnsi="Arial" w:cs="Arial"/>
          <w:noProof/>
          <w:sz w:val="20"/>
          <w:szCs w:val="20"/>
          <w:lang w:eastAsia="en-GB"/>
        </w:rPr>
        <w:t xml:space="preserve"> measure</w:t>
      </w:r>
      <w:r w:rsidR="00FF2039" w:rsidRPr="0071546E">
        <w:rPr>
          <w:rFonts w:ascii="Arial" w:hAnsi="Arial" w:cs="Arial"/>
          <w:noProof/>
          <w:sz w:val="20"/>
          <w:szCs w:val="20"/>
          <w:lang w:eastAsia="en-GB"/>
        </w:rPr>
        <w:t>s</w:t>
      </w:r>
      <w:r w:rsidRPr="0071546E">
        <w:rPr>
          <w:rFonts w:ascii="Arial" w:hAnsi="Arial" w:cs="Arial"/>
          <w:noProof/>
          <w:sz w:val="20"/>
          <w:szCs w:val="20"/>
          <w:lang w:eastAsia="en-GB"/>
        </w:rPr>
        <w:t xml:space="preserve"> about 50 μm in thickness. The Bowmans membrane follows and is situated between the epithelium and the stroma. The </w:t>
      </w:r>
      <w:r w:rsidR="004A57D4" w:rsidRPr="0071546E">
        <w:rPr>
          <w:rFonts w:ascii="Arial" w:hAnsi="Arial" w:cs="Arial"/>
          <w:noProof/>
          <w:sz w:val="20"/>
          <w:szCs w:val="20"/>
          <w:lang w:eastAsia="en-GB"/>
        </w:rPr>
        <w:t>B</w:t>
      </w:r>
      <w:r w:rsidRPr="0071546E">
        <w:rPr>
          <w:rFonts w:ascii="Arial" w:hAnsi="Arial" w:cs="Arial"/>
          <w:noProof/>
          <w:sz w:val="20"/>
          <w:szCs w:val="20"/>
          <w:lang w:eastAsia="en-GB"/>
        </w:rPr>
        <w:t>owma</w:t>
      </w:r>
      <w:r w:rsidR="004A57D4" w:rsidRPr="0071546E">
        <w:rPr>
          <w:rFonts w:ascii="Arial" w:hAnsi="Arial" w:cs="Arial"/>
          <w:noProof/>
          <w:sz w:val="20"/>
          <w:szCs w:val="20"/>
          <w:lang w:eastAsia="en-GB"/>
        </w:rPr>
        <w:t>n</w:t>
      </w:r>
      <w:r w:rsidRPr="0071546E">
        <w:rPr>
          <w:rFonts w:ascii="Arial" w:hAnsi="Arial" w:cs="Arial"/>
          <w:noProof/>
          <w:sz w:val="20"/>
          <w:szCs w:val="20"/>
          <w:lang w:eastAsia="en-GB"/>
        </w:rPr>
        <w:t xml:space="preserve"> membrane is thi</w:t>
      </w:r>
      <w:r w:rsidR="004A57D4" w:rsidRPr="0071546E">
        <w:rPr>
          <w:rFonts w:ascii="Arial" w:hAnsi="Arial" w:cs="Arial"/>
          <w:noProof/>
          <w:sz w:val="20"/>
          <w:szCs w:val="20"/>
          <w:lang w:eastAsia="en-GB"/>
        </w:rPr>
        <w:t>n</w:t>
      </w:r>
      <w:r w:rsidRPr="0071546E">
        <w:rPr>
          <w:rFonts w:ascii="Arial" w:hAnsi="Arial" w:cs="Arial"/>
          <w:noProof/>
          <w:sz w:val="20"/>
          <w:szCs w:val="20"/>
          <w:lang w:eastAsia="en-GB"/>
        </w:rPr>
        <w:t xml:space="preserve">ner than the epithelium and </w:t>
      </w:r>
      <w:r w:rsidR="00FF2039" w:rsidRPr="0071546E">
        <w:rPr>
          <w:rFonts w:ascii="Arial" w:hAnsi="Arial" w:cs="Arial"/>
          <w:noProof/>
          <w:sz w:val="20"/>
          <w:szCs w:val="20"/>
          <w:lang w:eastAsia="en-GB"/>
        </w:rPr>
        <w:t>varies</w:t>
      </w:r>
      <w:r w:rsidRPr="0071546E">
        <w:rPr>
          <w:rFonts w:ascii="Arial" w:hAnsi="Arial" w:cs="Arial"/>
          <w:noProof/>
          <w:sz w:val="20"/>
          <w:szCs w:val="20"/>
          <w:lang w:eastAsia="en-GB"/>
        </w:rPr>
        <w:t xml:space="preserve"> in size </w:t>
      </w:r>
      <w:r w:rsidR="00FF2039" w:rsidRPr="0071546E">
        <w:rPr>
          <w:rFonts w:ascii="Arial" w:hAnsi="Arial" w:cs="Arial"/>
          <w:noProof/>
          <w:sz w:val="20"/>
          <w:szCs w:val="20"/>
          <w:lang w:eastAsia="en-GB"/>
        </w:rPr>
        <w:t>(</w:t>
      </w:r>
      <w:r w:rsidRPr="0071546E">
        <w:rPr>
          <w:rFonts w:ascii="Arial" w:hAnsi="Arial" w:cs="Arial"/>
          <w:noProof/>
          <w:sz w:val="20"/>
          <w:szCs w:val="20"/>
          <w:lang w:eastAsia="en-GB"/>
        </w:rPr>
        <w:t>between 18-22 nm in diameter</w:t>
      </w:r>
      <w:r w:rsidR="00FF2039" w:rsidRPr="0071546E">
        <w:rPr>
          <w:rFonts w:ascii="Arial" w:hAnsi="Arial" w:cs="Arial"/>
          <w:noProof/>
          <w:sz w:val="20"/>
          <w:szCs w:val="20"/>
          <w:lang w:eastAsia="en-GB"/>
        </w:rPr>
        <w:t>)</w:t>
      </w:r>
      <w:r w:rsidRPr="0071546E">
        <w:rPr>
          <w:rFonts w:ascii="Arial" w:hAnsi="Arial" w:cs="Arial"/>
          <w:noProof/>
          <w:sz w:val="20"/>
          <w:szCs w:val="20"/>
          <w:lang w:eastAsia="en-GB"/>
        </w:rPr>
        <w:t>. The stroma is the middle layer of the cornea an is about 500 microns thick and constitutes about 90% of the overall cornea size.</w:t>
      </w:r>
      <w:r w:rsidR="004A57D4" w:rsidRPr="0071546E">
        <w:rPr>
          <w:rFonts w:ascii="Arial" w:hAnsi="Arial" w:cs="Arial"/>
          <w:noProof/>
          <w:sz w:val="20"/>
          <w:szCs w:val="20"/>
          <w:lang w:eastAsia="en-GB"/>
        </w:rPr>
        <w:t xml:space="preserve"> </w:t>
      </w:r>
      <w:r w:rsidR="00FF2039" w:rsidRPr="0071546E">
        <w:rPr>
          <w:rFonts w:ascii="Arial" w:hAnsi="Arial" w:cs="Arial"/>
          <w:noProof/>
          <w:sz w:val="20"/>
          <w:szCs w:val="20"/>
          <w:lang w:eastAsia="en-GB"/>
        </w:rPr>
        <w:t>T</w:t>
      </w:r>
      <w:r w:rsidRPr="0071546E">
        <w:rPr>
          <w:rFonts w:ascii="Arial" w:hAnsi="Arial" w:cs="Arial"/>
          <w:noProof/>
          <w:sz w:val="20"/>
          <w:szCs w:val="20"/>
          <w:lang w:eastAsia="en-GB"/>
        </w:rPr>
        <w:t>he final layer before the endothel</w:t>
      </w:r>
      <w:r w:rsidR="004A57D4" w:rsidRPr="0071546E">
        <w:rPr>
          <w:rFonts w:ascii="Arial" w:hAnsi="Arial" w:cs="Arial"/>
          <w:noProof/>
          <w:sz w:val="20"/>
          <w:szCs w:val="20"/>
          <w:lang w:eastAsia="en-GB"/>
        </w:rPr>
        <w:t>iu</w:t>
      </w:r>
      <w:r w:rsidRPr="0071546E">
        <w:rPr>
          <w:rFonts w:ascii="Arial" w:hAnsi="Arial" w:cs="Arial"/>
          <w:noProof/>
          <w:sz w:val="20"/>
          <w:szCs w:val="20"/>
          <w:lang w:eastAsia="en-GB"/>
        </w:rPr>
        <w:t>m is the Descemet</w:t>
      </w:r>
      <w:r w:rsidR="004A57D4" w:rsidRPr="0071546E">
        <w:rPr>
          <w:rFonts w:ascii="Arial" w:hAnsi="Arial" w:cs="Arial"/>
          <w:noProof/>
          <w:sz w:val="20"/>
          <w:szCs w:val="20"/>
          <w:lang w:eastAsia="en-GB"/>
        </w:rPr>
        <w:t>'</w:t>
      </w:r>
      <w:r w:rsidRPr="0071546E">
        <w:rPr>
          <w:rFonts w:ascii="Arial" w:hAnsi="Arial" w:cs="Arial"/>
          <w:noProof/>
          <w:sz w:val="20"/>
          <w:szCs w:val="20"/>
          <w:lang w:eastAsia="en-GB"/>
        </w:rPr>
        <w:t>s membra</w:t>
      </w:r>
      <w:r w:rsidR="004A57D4" w:rsidRPr="0071546E">
        <w:rPr>
          <w:rFonts w:ascii="Arial" w:hAnsi="Arial" w:cs="Arial"/>
          <w:noProof/>
          <w:sz w:val="20"/>
          <w:szCs w:val="20"/>
          <w:lang w:eastAsia="en-GB"/>
        </w:rPr>
        <w:t>n</w:t>
      </w:r>
      <w:r w:rsidRPr="0071546E">
        <w:rPr>
          <w:rFonts w:ascii="Arial" w:hAnsi="Arial" w:cs="Arial"/>
          <w:noProof/>
          <w:sz w:val="20"/>
          <w:szCs w:val="20"/>
          <w:lang w:eastAsia="en-GB"/>
        </w:rPr>
        <w:t>e s</w:t>
      </w:r>
      <w:r w:rsidR="004A57D4" w:rsidRPr="0071546E">
        <w:rPr>
          <w:rFonts w:ascii="Arial" w:hAnsi="Arial" w:cs="Arial"/>
          <w:noProof/>
          <w:sz w:val="20"/>
          <w:szCs w:val="20"/>
          <w:lang w:eastAsia="en-GB"/>
        </w:rPr>
        <w:t>andwic</w:t>
      </w:r>
      <w:r w:rsidRPr="0071546E">
        <w:rPr>
          <w:rFonts w:ascii="Arial" w:hAnsi="Arial" w:cs="Arial"/>
          <w:noProof/>
          <w:sz w:val="20"/>
          <w:szCs w:val="20"/>
          <w:lang w:eastAsia="en-GB"/>
        </w:rPr>
        <w:t>hed by the stroma and the cornea</w:t>
      </w:r>
      <w:r w:rsidR="004A57D4" w:rsidRPr="0071546E">
        <w:rPr>
          <w:rFonts w:ascii="Arial" w:hAnsi="Arial" w:cs="Arial"/>
          <w:noProof/>
          <w:sz w:val="20"/>
          <w:szCs w:val="20"/>
          <w:lang w:eastAsia="en-GB"/>
        </w:rPr>
        <w:t>l</w:t>
      </w:r>
      <w:r w:rsidRPr="0071546E">
        <w:rPr>
          <w:rFonts w:ascii="Arial" w:hAnsi="Arial" w:cs="Arial"/>
          <w:noProof/>
          <w:sz w:val="20"/>
          <w:szCs w:val="20"/>
          <w:lang w:eastAsia="en-GB"/>
        </w:rPr>
        <w:t xml:space="preserve"> endothelium, the </w:t>
      </w:r>
      <w:r w:rsidR="004A57D4" w:rsidRPr="0071546E">
        <w:rPr>
          <w:rFonts w:ascii="Arial" w:hAnsi="Arial" w:cs="Arial"/>
          <w:noProof/>
          <w:sz w:val="20"/>
          <w:szCs w:val="20"/>
          <w:lang w:eastAsia="en-GB"/>
        </w:rPr>
        <w:t>De</w:t>
      </w:r>
      <w:r w:rsidR="00486E52" w:rsidRPr="0071546E">
        <w:rPr>
          <w:rFonts w:ascii="Arial" w:hAnsi="Arial" w:cs="Arial"/>
          <w:noProof/>
          <w:sz w:val="20"/>
          <w:szCs w:val="20"/>
          <w:lang w:eastAsia="en-GB"/>
        </w:rPr>
        <w:t>s</w:t>
      </w:r>
      <w:r w:rsidR="004A57D4" w:rsidRPr="0071546E">
        <w:rPr>
          <w:rFonts w:ascii="Arial" w:hAnsi="Arial" w:cs="Arial"/>
          <w:noProof/>
          <w:sz w:val="20"/>
          <w:szCs w:val="20"/>
          <w:lang w:eastAsia="en-GB"/>
        </w:rPr>
        <w:t>cemet”s</w:t>
      </w:r>
      <w:r w:rsidRPr="0071546E">
        <w:rPr>
          <w:rFonts w:ascii="Arial" w:hAnsi="Arial" w:cs="Arial"/>
          <w:noProof/>
          <w:sz w:val="20"/>
          <w:szCs w:val="20"/>
          <w:lang w:eastAsia="en-GB"/>
        </w:rPr>
        <w:t xml:space="preserve"> membrane controls </w:t>
      </w:r>
      <w:r w:rsidR="004A57D4" w:rsidRPr="0071546E">
        <w:rPr>
          <w:rFonts w:ascii="Arial" w:hAnsi="Arial" w:cs="Arial"/>
          <w:noProof/>
          <w:sz w:val="20"/>
          <w:szCs w:val="20"/>
          <w:lang w:eastAsia="en-GB"/>
        </w:rPr>
        <w:t xml:space="preserve">the </w:t>
      </w:r>
      <w:r w:rsidRPr="0071546E">
        <w:rPr>
          <w:rFonts w:ascii="Arial" w:hAnsi="Arial" w:cs="Arial"/>
          <w:noProof/>
          <w:sz w:val="20"/>
          <w:szCs w:val="20"/>
          <w:lang w:eastAsia="en-GB"/>
        </w:rPr>
        <w:t xml:space="preserve">permeability of substances through the cornea. </w:t>
      </w:r>
      <w:r w:rsidR="00432D1D" w:rsidRPr="0071546E">
        <w:rPr>
          <w:rFonts w:ascii="Arial" w:hAnsi="Arial" w:cs="Arial"/>
          <w:noProof/>
          <w:sz w:val="20"/>
          <w:szCs w:val="20"/>
          <w:lang w:eastAsia="en-GB"/>
        </w:rPr>
        <w:t>Acanthamoeba</w:t>
      </w:r>
      <w:r w:rsidRPr="0071546E">
        <w:rPr>
          <w:rFonts w:ascii="Arial" w:hAnsi="Arial" w:cs="Arial"/>
          <w:noProof/>
          <w:sz w:val="20"/>
          <w:szCs w:val="20"/>
          <w:lang w:eastAsia="en-GB"/>
        </w:rPr>
        <w:t xml:space="preserve"> infection do</w:t>
      </w:r>
      <w:r w:rsidR="004A57D4" w:rsidRPr="0071546E">
        <w:rPr>
          <w:rFonts w:ascii="Arial" w:hAnsi="Arial" w:cs="Arial"/>
          <w:noProof/>
          <w:sz w:val="20"/>
          <w:szCs w:val="20"/>
          <w:lang w:eastAsia="en-GB"/>
        </w:rPr>
        <w:t>es</w:t>
      </w:r>
      <w:r w:rsidRPr="0071546E">
        <w:rPr>
          <w:rFonts w:ascii="Arial" w:hAnsi="Arial" w:cs="Arial"/>
          <w:noProof/>
          <w:sz w:val="20"/>
          <w:szCs w:val="20"/>
          <w:lang w:eastAsia="en-GB"/>
        </w:rPr>
        <w:t xml:space="preserve"> not progress past the </w:t>
      </w:r>
      <w:r w:rsidR="004A57D4" w:rsidRPr="0071546E">
        <w:rPr>
          <w:rFonts w:ascii="Arial" w:hAnsi="Arial" w:cs="Arial"/>
          <w:noProof/>
          <w:sz w:val="20"/>
          <w:szCs w:val="20"/>
          <w:lang w:eastAsia="en-GB"/>
        </w:rPr>
        <w:t>Descemet'</w:t>
      </w:r>
      <w:r w:rsidRPr="0071546E">
        <w:rPr>
          <w:rFonts w:ascii="Arial" w:hAnsi="Arial" w:cs="Arial"/>
          <w:noProof/>
          <w:sz w:val="20"/>
          <w:szCs w:val="20"/>
          <w:lang w:eastAsia="en-GB"/>
        </w:rPr>
        <w:t>s membrane. Image Adapted from (Huhtala et al., 2008).</w:t>
      </w:r>
    </w:p>
    <w:p w:rsidR="005D7EDD" w:rsidRPr="0071546E" w:rsidRDefault="005D7EDD" w:rsidP="00CF13FE">
      <w:pPr>
        <w:pStyle w:val="Heading2"/>
        <w:ind w:left="1021" w:right="454"/>
      </w:pPr>
    </w:p>
    <w:p w:rsidR="00AF2E3D" w:rsidRPr="0071546E" w:rsidRDefault="00AF2E3D" w:rsidP="00AF2E3D">
      <w:pPr>
        <w:rPr>
          <w:lang w:eastAsia="en-GB"/>
        </w:rPr>
      </w:pPr>
    </w:p>
    <w:p w:rsidR="00EF02EC" w:rsidRPr="0071546E" w:rsidRDefault="00EF02EC" w:rsidP="00AF2E3D">
      <w:pPr>
        <w:rPr>
          <w:lang w:eastAsia="en-GB"/>
        </w:rPr>
      </w:pPr>
    </w:p>
    <w:p w:rsidR="00B24288" w:rsidRPr="0071546E" w:rsidRDefault="00B24288" w:rsidP="00B24288">
      <w:pPr>
        <w:rPr>
          <w:lang w:eastAsia="en-GB"/>
        </w:rPr>
      </w:pPr>
    </w:p>
    <w:p w:rsidR="00725033" w:rsidRPr="0071546E" w:rsidRDefault="00725033" w:rsidP="00CF13FE">
      <w:pPr>
        <w:pStyle w:val="Heading2"/>
        <w:ind w:left="1021" w:right="454"/>
      </w:pPr>
      <w:bookmarkStart w:id="15" w:name="_Toc14711384"/>
      <w:r w:rsidRPr="0071546E">
        <w:t xml:space="preserve">1.3 Pathogenesis of </w:t>
      </w:r>
      <w:r w:rsidR="00432D1D" w:rsidRPr="0071546E">
        <w:t>Acanthamoeba</w:t>
      </w:r>
      <w:r w:rsidRPr="0071546E">
        <w:t xml:space="preserve"> keratitis.</w:t>
      </w:r>
      <w:bookmarkEnd w:id="15"/>
    </w:p>
    <w:p w:rsidR="00725033" w:rsidRPr="0071546E" w:rsidRDefault="00725033" w:rsidP="00CF13FE">
      <w:pPr>
        <w:spacing w:line="480" w:lineRule="auto"/>
        <w:ind w:left="1021" w:right="454"/>
        <w:jc w:val="both"/>
        <w:rPr>
          <w:rFonts w:ascii="Arial" w:hAnsi="Arial" w:cs="Arial"/>
          <w:sz w:val="24"/>
          <w:szCs w:val="24"/>
        </w:rPr>
      </w:pPr>
      <w:r w:rsidRPr="0071546E">
        <w:rPr>
          <w:rFonts w:ascii="Arial" w:hAnsi="Arial" w:cs="Arial"/>
          <w:sz w:val="24"/>
          <w:szCs w:val="24"/>
        </w:rPr>
        <w:t xml:space="preserve">The pathogenesis of </w:t>
      </w:r>
      <w:r w:rsidR="00432D1D" w:rsidRPr="0071546E">
        <w:rPr>
          <w:rFonts w:ascii="Arial" w:hAnsi="Arial" w:cs="Arial"/>
          <w:i/>
          <w:sz w:val="24"/>
          <w:szCs w:val="24"/>
        </w:rPr>
        <w:t>Acanthamoeba</w:t>
      </w:r>
      <w:r w:rsidRPr="0071546E">
        <w:rPr>
          <w:rFonts w:ascii="Arial" w:hAnsi="Arial" w:cs="Arial"/>
          <w:sz w:val="24"/>
          <w:szCs w:val="24"/>
        </w:rPr>
        <w:t xml:space="preserve"> is dependent on three factors: the host, the amoeba and the environmental conditions. </w:t>
      </w:r>
      <w:r w:rsidR="00FF2039" w:rsidRPr="0071546E">
        <w:rPr>
          <w:rFonts w:ascii="Arial" w:hAnsi="Arial" w:cs="Arial"/>
          <w:sz w:val="24"/>
          <w:szCs w:val="24"/>
        </w:rPr>
        <w:t>T</w:t>
      </w:r>
      <w:r w:rsidRPr="0071546E">
        <w:rPr>
          <w:rFonts w:ascii="Arial" w:hAnsi="Arial" w:cs="Arial"/>
          <w:sz w:val="24"/>
          <w:szCs w:val="24"/>
        </w:rPr>
        <w:t xml:space="preserve">he pathogenesis of </w:t>
      </w:r>
      <w:r w:rsidR="00432D1D" w:rsidRPr="0071546E">
        <w:rPr>
          <w:rFonts w:ascii="Arial" w:hAnsi="Arial" w:cs="Arial"/>
          <w:i/>
          <w:sz w:val="24"/>
          <w:szCs w:val="24"/>
        </w:rPr>
        <w:t>Acanthamoeba</w:t>
      </w:r>
      <w:r w:rsidRPr="0071546E">
        <w:rPr>
          <w:rFonts w:ascii="Arial" w:hAnsi="Arial" w:cs="Arial"/>
          <w:sz w:val="24"/>
          <w:szCs w:val="24"/>
        </w:rPr>
        <w:t xml:space="preserve"> starts with the adhesion of Amoeba to the host cell, discharge of extracellular proteases and </w:t>
      </w:r>
      <w:r w:rsidR="00FF2039" w:rsidRPr="0071546E">
        <w:rPr>
          <w:rFonts w:ascii="Arial" w:hAnsi="Arial" w:cs="Arial"/>
          <w:sz w:val="24"/>
          <w:szCs w:val="24"/>
        </w:rPr>
        <w:t xml:space="preserve">host </w:t>
      </w:r>
      <w:r w:rsidRPr="0071546E">
        <w:rPr>
          <w:rFonts w:ascii="Arial" w:hAnsi="Arial" w:cs="Arial"/>
          <w:sz w:val="24"/>
          <w:szCs w:val="24"/>
        </w:rPr>
        <w:t xml:space="preserve">cell death usually by Apoptosis. Typically, </w:t>
      </w:r>
      <w:r w:rsidR="00FF2039" w:rsidRPr="0071546E">
        <w:rPr>
          <w:rFonts w:ascii="Arial" w:hAnsi="Arial" w:cs="Arial"/>
          <w:sz w:val="24"/>
          <w:szCs w:val="24"/>
        </w:rPr>
        <w:t xml:space="preserve">a cell lysing mannose-specific protein (MIP-133), which helps in the degradation of the corneal layers and subsequent invasion of the cornea is secreted by the trophozoites (Panjwani, 2010) Fig 1.6. the first line of defence by a host to cornea invasion is the infiltration of inflammatory cells like macrophages and neutrophils (Alizadeh, Neelam and Niederkorn, 2007). Infiltration of the inflammatory cells plays an important role in the clearance of </w:t>
      </w:r>
      <w:r w:rsidR="00FF2039" w:rsidRPr="0071546E">
        <w:rPr>
          <w:rFonts w:ascii="Arial" w:hAnsi="Arial" w:cs="Arial"/>
          <w:i/>
          <w:iCs/>
          <w:sz w:val="24"/>
          <w:szCs w:val="24"/>
        </w:rPr>
        <w:t>Acanthamoeba</w:t>
      </w:r>
      <w:r w:rsidR="00FF2039" w:rsidRPr="0071546E">
        <w:rPr>
          <w:rFonts w:ascii="Arial" w:hAnsi="Arial" w:cs="Arial"/>
          <w:sz w:val="24"/>
          <w:szCs w:val="24"/>
        </w:rPr>
        <w:t xml:space="preserve"> trophozoites</w:t>
      </w:r>
      <w:r w:rsidR="00FF2039" w:rsidRPr="0071546E">
        <w:rPr>
          <w:color w:val="000000"/>
        </w:rPr>
        <w:t xml:space="preserve"> </w:t>
      </w:r>
      <w:r w:rsidR="00FF2039" w:rsidRPr="0071546E">
        <w:rPr>
          <w:rFonts w:ascii="Arial" w:hAnsi="Arial" w:cs="Arial"/>
          <w:sz w:val="24"/>
          <w:szCs w:val="24"/>
        </w:rPr>
        <w:t>(Alizadeh et al., 2014). The initial attachment and release of the MIP133 protein promote secondary events like phagocytosis and toxin production resulting in host cell death via phosph</w:t>
      </w:r>
      <w:r w:rsidR="00EF02EC" w:rsidRPr="0071546E">
        <w:rPr>
          <w:rFonts w:ascii="Arial" w:hAnsi="Arial" w:cs="Arial"/>
          <w:sz w:val="24"/>
          <w:szCs w:val="24"/>
        </w:rPr>
        <w:t>a</w:t>
      </w:r>
      <w:r w:rsidR="00FF2039" w:rsidRPr="0071546E">
        <w:rPr>
          <w:rFonts w:ascii="Arial" w:hAnsi="Arial" w:cs="Arial"/>
          <w:sz w:val="24"/>
          <w:szCs w:val="24"/>
        </w:rPr>
        <w:t>tidylinositol 3-kinase</w:t>
      </w:r>
      <w:r w:rsidR="00EF02EC" w:rsidRPr="0071546E">
        <w:rPr>
          <w:rFonts w:ascii="Arial" w:hAnsi="Arial" w:cs="Arial"/>
          <w:sz w:val="24"/>
          <w:szCs w:val="24"/>
        </w:rPr>
        <w:t>-</w:t>
      </w:r>
      <w:r w:rsidR="00FF2039" w:rsidRPr="0071546E">
        <w:rPr>
          <w:rFonts w:ascii="Arial" w:hAnsi="Arial" w:cs="Arial"/>
          <w:sz w:val="24"/>
          <w:szCs w:val="24"/>
        </w:rPr>
        <w:t>dependent (PI3K) dependent pathways</w:t>
      </w:r>
      <w:r w:rsidR="00FF2039" w:rsidRPr="0071546E">
        <w:rPr>
          <w:color w:val="000000"/>
        </w:rPr>
        <w:t xml:space="preserve"> </w:t>
      </w:r>
      <w:r w:rsidR="00FF2039" w:rsidRPr="0071546E">
        <w:rPr>
          <w:rFonts w:ascii="Arial" w:hAnsi="Arial" w:cs="Arial"/>
          <w:sz w:val="24"/>
          <w:szCs w:val="24"/>
        </w:rPr>
        <w:t>(Sissons et al., 2005).</w:t>
      </w:r>
      <w:r w:rsidR="00EF02EC" w:rsidRPr="0071546E">
        <w:rPr>
          <w:rFonts w:ascii="Arial" w:hAnsi="Arial" w:cs="Arial"/>
          <w:sz w:val="24"/>
          <w:szCs w:val="24"/>
        </w:rPr>
        <w:t xml:space="preserve"> Production of P13K causes activation of proapoptotic molecules such as Bak and Bax, deactivation of mitochondrial membrane potential, production cytochrome </w:t>
      </w:r>
      <w:r w:rsidR="00EF02EC" w:rsidRPr="0071546E">
        <w:rPr>
          <w:rFonts w:ascii="Arial" w:hAnsi="Arial" w:cs="Arial"/>
          <w:i/>
          <w:iCs/>
          <w:sz w:val="24"/>
          <w:szCs w:val="24"/>
        </w:rPr>
        <w:t>C</w:t>
      </w:r>
      <w:r w:rsidR="00EF02EC" w:rsidRPr="0071546E">
        <w:rPr>
          <w:rFonts w:ascii="Arial" w:hAnsi="Arial" w:cs="Arial"/>
          <w:sz w:val="24"/>
          <w:szCs w:val="24"/>
        </w:rPr>
        <w:t>, and activation of caspases all events leading to apoptosis.</w:t>
      </w:r>
    </w:p>
    <w:p w:rsidR="00FF2039" w:rsidRPr="0071546E" w:rsidRDefault="00FF2039" w:rsidP="00CF13FE">
      <w:pPr>
        <w:spacing w:line="480" w:lineRule="auto"/>
        <w:ind w:left="1021" w:right="454"/>
        <w:jc w:val="both"/>
        <w:rPr>
          <w:rFonts w:ascii="Arial" w:hAnsi="Arial" w:cs="Arial"/>
          <w:sz w:val="24"/>
          <w:szCs w:val="24"/>
        </w:rPr>
      </w:pPr>
    </w:p>
    <w:p w:rsidR="00FF2039" w:rsidRPr="0071546E" w:rsidRDefault="00FF2039" w:rsidP="00CF13FE">
      <w:pPr>
        <w:spacing w:line="480" w:lineRule="auto"/>
        <w:ind w:left="1021" w:right="454"/>
        <w:jc w:val="both"/>
        <w:rPr>
          <w:rFonts w:ascii="Arial" w:hAnsi="Arial" w:cs="Arial"/>
          <w:sz w:val="24"/>
          <w:szCs w:val="24"/>
        </w:rPr>
      </w:pPr>
    </w:p>
    <w:p w:rsidR="00FF2039" w:rsidRPr="0071546E" w:rsidRDefault="00FF2039" w:rsidP="00EF02EC">
      <w:pPr>
        <w:spacing w:line="480" w:lineRule="auto"/>
        <w:ind w:right="454"/>
        <w:jc w:val="both"/>
        <w:rPr>
          <w:rFonts w:ascii="Arial" w:hAnsi="Arial" w:cs="Arial"/>
          <w:sz w:val="24"/>
          <w:szCs w:val="24"/>
        </w:rPr>
      </w:pPr>
    </w:p>
    <w:p w:rsidR="00FF2039" w:rsidRPr="0071546E" w:rsidRDefault="00FF2039" w:rsidP="00CF13FE">
      <w:pPr>
        <w:spacing w:line="480" w:lineRule="auto"/>
        <w:ind w:left="1021" w:right="454"/>
        <w:jc w:val="both"/>
        <w:rPr>
          <w:rFonts w:ascii="Arial" w:hAnsi="Arial" w:cs="Arial"/>
          <w:sz w:val="24"/>
          <w:szCs w:val="24"/>
        </w:rPr>
      </w:pPr>
    </w:p>
    <w:p w:rsidR="00725033" w:rsidRPr="0071546E" w:rsidRDefault="00725033" w:rsidP="00CF13FE">
      <w:pPr>
        <w:pStyle w:val="Heading2"/>
        <w:ind w:left="1021" w:right="454"/>
      </w:pPr>
      <w:bookmarkStart w:id="16" w:name="_Toc14711385"/>
      <w:r w:rsidRPr="0071546E">
        <w:t xml:space="preserve">1.3.1 Adhesion of </w:t>
      </w:r>
      <w:r w:rsidR="00432D1D" w:rsidRPr="0071546E">
        <w:rPr>
          <w:i/>
        </w:rPr>
        <w:t>Acanthamoeba</w:t>
      </w:r>
      <w:r w:rsidRPr="0071546E">
        <w:t xml:space="preserve"> to host cell</w:t>
      </w:r>
      <w:bookmarkEnd w:id="16"/>
    </w:p>
    <w:p w:rsidR="00725033" w:rsidRPr="0071546E" w:rsidRDefault="00725033" w:rsidP="00647DBC">
      <w:pPr>
        <w:spacing w:line="480" w:lineRule="auto"/>
        <w:ind w:left="1021" w:right="454"/>
        <w:jc w:val="both"/>
        <w:rPr>
          <w:rFonts w:ascii="Arial" w:hAnsi="Arial" w:cs="Arial"/>
          <w:sz w:val="24"/>
          <w:szCs w:val="24"/>
        </w:rPr>
      </w:pPr>
      <w:r w:rsidRPr="0071546E">
        <w:rPr>
          <w:rFonts w:ascii="Arial" w:hAnsi="Arial" w:cs="Arial"/>
          <w:sz w:val="24"/>
          <w:szCs w:val="24"/>
        </w:rPr>
        <w:t xml:space="preserve">The ability of amoeba to attach itself to the corneal epithelial cells is </w:t>
      </w:r>
      <w:r w:rsidR="00A00C33" w:rsidRPr="0071546E">
        <w:rPr>
          <w:rFonts w:ascii="Arial" w:hAnsi="Arial" w:cs="Arial"/>
          <w:sz w:val="24"/>
          <w:szCs w:val="24"/>
        </w:rPr>
        <w:t>associated with</w:t>
      </w:r>
      <w:r w:rsidRPr="0071546E">
        <w:rPr>
          <w:rFonts w:ascii="Arial" w:hAnsi="Arial" w:cs="Arial"/>
          <w:sz w:val="24"/>
          <w:szCs w:val="24"/>
        </w:rPr>
        <w:t xml:space="preserve"> the degree of pathogenicity of different isolates (Serrano-Luna et al., 2013). Two characteristics of amoeba that fa</w:t>
      </w:r>
      <w:r w:rsidR="005D7EDD" w:rsidRPr="0071546E">
        <w:rPr>
          <w:rFonts w:ascii="Arial" w:hAnsi="Arial" w:cs="Arial"/>
          <w:sz w:val="24"/>
          <w:szCs w:val="24"/>
        </w:rPr>
        <w:t>cilitates its pathogenicity are the</w:t>
      </w:r>
      <w:r w:rsidRPr="0071546E">
        <w:rPr>
          <w:rFonts w:ascii="Arial" w:hAnsi="Arial" w:cs="Arial"/>
          <w:sz w:val="24"/>
          <w:szCs w:val="24"/>
        </w:rPr>
        <w:t xml:space="preserve"> presence of acanth</w:t>
      </w:r>
      <w:r w:rsidR="004A57D4" w:rsidRPr="0071546E">
        <w:rPr>
          <w:rFonts w:ascii="Arial" w:hAnsi="Arial" w:cs="Arial"/>
          <w:sz w:val="24"/>
          <w:szCs w:val="24"/>
        </w:rPr>
        <w:t>o</w:t>
      </w:r>
      <w:r w:rsidRPr="0071546E">
        <w:rPr>
          <w:rFonts w:ascii="Arial" w:hAnsi="Arial" w:cs="Arial"/>
          <w:sz w:val="24"/>
          <w:szCs w:val="24"/>
        </w:rPr>
        <w:t>podia</w:t>
      </w:r>
      <w:r w:rsidR="00A00C33" w:rsidRPr="0071546E">
        <w:rPr>
          <w:rFonts w:ascii="Arial" w:hAnsi="Arial" w:cs="Arial"/>
          <w:sz w:val="24"/>
          <w:szCs w:val="24"/>
        </w:rPr>
        <w:t>,</w:t>
      </w:r>
      <w:r w:rsidRPr="0071546E">
        <w:rPr>
          <w:rFonts w:ascii="Arial" w:hAnsi="Arial" w:cs="Arial"/>
          <w:sz w:val="24"/>
          <w:szCs w:val="24"/>
        </w:rPr>
        <w:t xml:space="preserve"> and a surface adhesion</w:t>
      </w:r>
      <w:r w:rsidR="00A00C33" w:rsidRPr="0071546E">
        <w:rPr>
          <w:rFonts w:ascii="Arial" w:hAnsi="Arial" w:cs="Arial"/>
          <w:sz w:val="24"/>
          <w:szCs w:val="24"/>
        </w:rPr>
        <w:t xml:space="preserve"> protein</w:t>
      </w:r>
      <w:r w:rsidRPr="0071546E">
        <w:rPr>
          <w:rFonts w:ascii="Arial" w:hAnsi="Arial" w:cs="Arial"/>
          <w:sz w:val="24"/>
          <w:szCs w:val="24"/>
        </w:rPr>
        <w:t xml:space="preserve"> called mannose-binding protein (MBP). These two elements are vital as non-pathogenic amoeba shows very low adhesion capacity to host cell</w:t>
      </w:r>
      <w:r w:rsidR="00DC1B78" w:rsidRPr="0071546E">
        <w:rPr>
          <w:rFonts w:ascii="Arial" w:hAnsi="Arial" w:cs="Arial"/>
          <w:sz w:val="24"/>
          <w:szCs w:val="24"/>
        </w:rPr>
        <w:t>.</w:t>
      </w:r>
      <w:r w:rsidRPr="0071546E">
        <w:rPr>
          <w:rFonts w:ascii="Arial" w:hAnsi="Arial" w:cs="Arial"/>
          <w:color w:val="000000"/>
          <w:sz w:val="24"/>
          <w:szCs w:val="24"/>
        </w:rPr>
        <w:t xml:space="preserve"> </w:t>
      </w:r>
      <w:r w:rsidRPr="0071546E">
        <w:rPr>
          <w:rFonts w:ascii="Arial" w:hAnsi="Arial" w:cs="Arial"/>
          <w:sz w:val="24"/>
          <w:szCs w:val="24"/>
        </w:rPr>
        <w:t>The number of acanth</w:t>
      </w:r>
      <w:r w:rsidR="004A57D4" w:rsidRPr="0071546E">
        <w:rPr>
          <w:rFonts w:ascii="Arial" w:hAnsi="Arial" w:cs="Arial"/>
          <w:sz w:val="24"/>
          <w:szCs w:val="24"/>
        </w:rPr>
        <w:t>o</w:t>
      </w:r>
      <w:r w:rsidRPr="0071546E">
        <w:rPr>
          <w:rFonts w:ascii="Arial" w:hAnsi="Arial" w:cs="Arial"/>
          <w:sz w:val="24"/>
          <w:szCs w:val="24"/>
        </w:rPr>
        <w:t xml:space="preserve">podia is partially </w:t>
      </w:r>
      <w:r w:rsidR="00B24288" w:rsidRPr="0071546E">
        <w:rPr>
          <w:rFonts w:ascii="Arial" w:hAnsi="Arial" w:cs="Arial"/>
          <w:sz w:val="24"/>
          <w:szCs w:val="24"/>
        </w:rPr>
        <w:t>related to the rate of adhesion</w:t>
      </w:r>
      <w:r w:rsidR="00A00C33" w:rsidRPr="0071546E">
        <w:rPr>
          <w:rFonts w:ascii="Arial" w:hAnsi="Arial" w:cs="Arial"/>
          <w:sz w:val="24"/>
          <w:szCs w:val="24"/>
        </w:rPr>
        <w:t>;</w:t>
      </w:r>
      <w:r w:rsidRPr="0071546E">
        <w:rPr>
          <w:rFonts w:ascii="Arial" w:hAnsi="Arial" w:cs="Arial"/>
          <w:sz w:val="24"/>
          <w:szCs w:val="24"/>
        </w:rPr>
        <w:t xml:space="preserve"> non-pathogenic strains have </w:t>
      </w:r>
      <w:r w:rsidR="004A57D4" w:rsidRPr="0071546E">
        <w:rPr>
          <w:rFonts w:ascii="Arial" w:hAnsi="Arial" w:cs="Arial"/>
          <w:sz w:val="24"/>
          <w:szCs w:val="24"/>
        </w:rPr>
        <w:t>fewer</w:t>
      </w:r>
      <w:r w:rsidRPr="0071546E">
        <w:rPr>
          <w:rFonts w:ascii="Arial" w:hAnsi="Arial" w:cs="Arial"/>
          <w:sz w:val="24"/>
          <w:szCs w:val="24"/>
        </w:rPr>
        <w:t xml:space="preserve"> acanth</w:t>
      </w:r>
      <w:r w:rsidR="004A57D4" w:rsidRPr="0071546E">
        <w:rPr>
          <w:rFonts w:ascii="Arial" w:hAnsi="Arial" w:cs="Arial"/>
          <w:sz w:val="24"/>
          <w:szCs w:val="24"/>
        </w:rPr>
        <w:t>o</w:t>
      </w:r>
      <w:r w:rsidRPr="0071546E">
        <w:rPr>
          <w:rFonts w:ascii="Arial" w:hAnsi="Arial" w:cs="Arial"/>
          <w:sz w:val="24"/>
          <w:szCs w:val="24"/>
        </w:rPr>
        <w:t>podia</w:t>
      </w:r>
      <w:r w:rsidR="00A00C33" w:rsidRPr="0071546E">
        <w:rPr>
          <w:rFonts w:ascii="Arial" w:hAnsi="Arial" w:cs="Arial"/>
          <w:sz w:val="24"/>
          <w:szCs w:val="24"/>
        </w:rPr>
        <w:t xml:space="preserve"> and MBP</w:t>
      </w:r>
      <w:r w:rsidRPr="0071546E">
        <w:rPr>
          <w:rFonts w:ascii="Arial" w:hAnsi="Arial" w:cs="Arial"/>
          <w:sz w:val="24"/>
          <w:szCs w:val="24"/>
        </w:rPr>
        <w:t xml:space="preserve"> compared to the pathogenic strains</w:t>
      </w:r>
      <w:r w:rsidRPr="0071546E">
        <w:rPr>
          <w:rFonts w:ascii="Arial" w:hAnsi="Arial" w:cs="Arial"/>
          <w:color w:val="000000"/>
          <w:sz w:val="24"/>
          <w:szCs w:val="24"/>
        </w:rPr>
        <w:t xml:space="preserve"> </w:t>
      </w:r>
      <w:r w:rsidRPr="0071546E">
        <w:rPr>
          <w:rFonts w:ascii="Arial" w:hAnsi="Arial" w:cs="Arial"/>
          <w:sz w:val="24"/>
          <w:szCs w:val="24"/>
        </w:rPr>
        <w:t>(Hurt et al., 2003).</w:t>
      </w:r>
      <w:r w:rsidR="00A00C33" w:rsidRPr="0071546E">
        <w:rPr>
          <w:rFonts w:ascii="Arial" w:hAnsi="Arial" w:cs="Arial"/>
          <w:sz w:val="24"/>
          <w:szCs w:val="24"/>
        </w:rPr>
        <w:t xml:space="preserve"> The mannose-binding protein (MBP) is a 400-kDa protein containing several 130-kDa subunits. The MBP is specific to mannose, but not to a number of other similar saccharides, like manosamine and mannitol. Experiments designed to inhibit mannose resulted in reduced adhesion of </w:t>
      </w:r>
      <w:r w:rsidR="00A00C33" w:rsidRPr="0071546E">
        <w:rPr>
          <w:rFonts w:ascii="Arial" w:hAnsi="Arial" w:cs="Arial"/>
          <w:i/>
          <w:iCs/>
          <w:sz w:val="24"/>
          <w:szCs w:val="24"/>
        </w:rPr>
        <w:t>Acanthamoeba</w:t>
      </w:r>
      <w:r w:rsidR="00A00C33" w:rsidRPr="0071546E">
        <w:rPr>
          <w:rFonts w:ascii="Arial" w:hAnsi="Arial" w:cs="Arial"/>
          <w:sz w:val="24"/>
          <w:szCs w:val="24"/>
        </w:rPr>
        <w:t xml:space="preserve"> to target cells and reduced cytotoxicity; so far no molecule has shown a similar effect</w:t>
      </w:r>
      <w:r w:rsidR="00A00C33" w:rsidRPr="0071546E">
        <w:rPr>
          <w:color w:val="000000"/>
        </w:rPr>
        <w:t xml:space="preserve"> </w:t>
      </w:r>
      <w:r w:rsidR="00A00C33" w:rsidRPr="0071546E">
        <w:rPr>
          <w:rFonts w:ascii="Arial" w:hAnsi="Arial" w:cs="Arial"/>
          <w:sz w:val="24"/>
          <w:szCs w:val="24"/>
        </w:rPr>
        <w:t>(Yoo and Jung, 2012;</w:t>
      </w:r>
      <w:r w:rsidR="00A00C33" w:rsidRPr="0071546E">
        <w:rPr>
          <w:color w:val="000000"/>
        </w:rPr>
        <w:t xml:space="preserve"> </w:t>
      </w:r>
      <w:r w:rsidR="00A00C33" w:rsidRPr="0071546E">
        <w:rPr>
          <w:rFonts w:ascii="Arial" w:hAnsi="Arial" w:cs="Arial"/>
          <w:sz w:val="24"/>
          <w:szCs w:val="24"/>
        </w:rPr>
        <w:t xml:space="preserve">Kim et al., 2012). Additionally, abrasions in the epithelial barrier have been shown to promote </w:t>
      </w:r>
      <w:r w:rsidR="00A00C33" w:rsidRPr="0071546E">
        <w:rPr>
          <w:rFonts w:ascii="Arial" w:hAnsi="Arial" w:cs="Arial"/>
          <w:i/>
          <w:iCs/>
          <w:sz w:val="24"/>
          <w:szCs w:val="24"/>
        </w:rPr>
        <w:t>Acanthamoeba</w:t>
      </w:r>
      <w:r w:rsidR="00A00C33" w:rsidRPr="0071546E">
        <w:rPr>
          <w:rFonts w:ascii="Arial" w:hAnsi="Arial" w:cs="Arial"/>
          <w:sz w:val="24"/>
          <w:szCs w:val="24"/>
        </w:rPr>
        <w:t xml:space="preserve"> infection, even in non-contact lens users.</w:t>
      </w:r>
      <w:r w:rsidR="00647DBC" w:rsidRPr="0071546E">
        <w:rPr>
          <w:rFonts w:ascii="Arial" w:hAnsi="Arial" w:cs="Arial"/>
          <w:sz w:val="24"/>
          <w:szCs w:val="24"/>
        </w:rPr>
        <w:t xml:space="preserve"> Though these reports indirectly show that the adhesion of </w:t>
      </w:r>
      <w:r w:rsidR="00647DBC" w:rsidRPr="0071546E">
        <w:rPr>
          <w:rFonts w:ascii="Arial" w:hAnsi="Arial" w:cs="Arial"/>
          <w:i/>
          <w:iCs/>
          <w:sz w:val="24"/>
          <w:szCs w:val="24"/>
        </w:rPr>
        <w:t>Acanthamoeba</w:t>
      </w:r>
      <w:r w:rsidR="00647DBC" w:rsidRPr="0071546E">
        <w:rPr>
          <w:rFonts w:ascii="Arial" w:hAnsi="Arial" w:cs="Arial"/>
          <w:sz w:val="24"/>
          <w:szCs w:val="24"/>
        </w:rPr>
        <w:t xml:space="preserve"> trophozoites to the corneal surface is facilitated by interactions between Manose-specific lectin on the surface of amoeba trophozoites and the mannose active site of glycoproteins of the corneal epithelial cells, direct evidence showing that the MBP is a virulence protein is not clearly established.</w:t>
      </w:r>
      <w:r w:rsidRPr="0071546E">
        <w:rPr>
          <w:rFonts w:ascii="Arial" w:hAnsi="Arial" w:cs="Arial"/>
          <w:sz w:val="24"/>
          <w:szCs w:val="24"/>
        </w:rPr>
        <w:t xml:space="preserve">                                                                                                                 </w:t>
      </w:r>
    </w:p>
    <w:p w:rsidR="00725033" w:rsidRPr="0071546E" w:rsidRDefault="00725033" w:rsidP="00CF13FE">
      <w:pPr>
        <w:pStyle w:val="Heading2"/>
        <w:ind w:left="1021" w:right="454"/>
      </w:pPr>
      <w:bookmarkStart w:id="17" w:name="_Toc14711386"/>
      <w:r w:rsidRPr="0071546E">
        <w:t>1.3.2 Extracellular proteases</w:t>
      </w:r>
      <w:bookmarkEnd w:id="17"/>
    </w:p>
    <w:p w:rsidR="00725033" w:rsidRPr="0071546E" w:rsidRDefault="00725033" w:rsidP="00F14C01">
      <w:pPr>
        <w:pStyle w:val="NormalWeb"/>
        <w:spacing w:line="480" w:lineRule="auto"/>
        <w:ind w:left="1021" w:right="454"/>
        <w:jc w:val="both"/>
        <w:rPr>
          <w:rFonts w:ascii="Arial" w:hAnsi="Arial" w:cs="Arial"/>
        </w:rPr>
      </w:pPr>
      <w:r w:rsidRPr="0071546E">
        <w:rPr>
          <w:rFonts w:ascii="Arial" w:hAnsi="Arial" w:cs="Arial"/>
        </w:rPr>
        <w:t xml:space="preserve">Enzymes that have the ability to metabolise different protein substrates play </w:t>
      </w:r>
      <w:r w:rsidR="004A57D4" w:rsidRPr="0071546E">
        <w:rPr>
          <w:rFonts w:ascii="Arial" w:hAnsi="Arial" w:cs="Arial"/>
        </w:rPr>
        <w:t xml:space="preserve">an </w:t>
      </w:r>
      <w:r w:rsidRPr="0071546E">
        <w:rPr>
          <w:rFonts w:ascii="Arial" w:hAnsi="Arial" w:cs="Arial"/>
        </w:rPr>
        <w:t>important role in various infections of bacterial, viral and protozoan origin</w:t>
      </w:r>
      <w:r w:rsidR="007D636E" w:rsidRPr="0071546E">
        <w:rPr>
          <w:rFonts w:asciiTheme="minorHAnsi" w:eastAsiaTheme="minorHAnsi" w:hAnsiTheme="minorHAnsi" w:cstheme="minorBidi"/>
          <w:color w:val="000000"/>
          <w:sz w:val="22"/>
          <w:szCs w:val="22"/>
          <w:lang w:eastAsia="en-US"/>
        </w:rPr>
        <w:t xml:space="preserve"> </w:t>
      </w:r>
      <w:r w:rsidR="007D636E" w:rsidRPr="0071546E">
        <w:rPr>
          <w:rFonts w:ascii="Arial" w:hAnsi="Arial" w:cs="Arial"/>
        </w:rPr>
        <w:t>(Lindsay, Oates and Bourdillon, 2017)</w:t>
      </w:r>
      <w:r w:rsidRPr="0071546E">
        <w:rPr>
          <w:rFonts w:ascii="Arial" w:hAnsi="Arial" w:cs="Arial"/>
        </w:rPr>
        <w:t xml:space="preserve">. </w:t>
      </w:r>
      <w:r w:rsidR="00432D1D" w:rsidRPr="0071546E">
        <w:rPr>
          <w:rFonts w:ascii="Arial" w:hAnsi="Arial" w:cs="Arial"/>
          <w:i/>
        </w:rPr>
        <w:t>Acanthamoeba</w:t>
      </w:r>
      <w:r w:rsidRPr="0071546E">
        <w:rPr>
          <w:rFonts w:ascii="Arial" w:hAnsi="Arial" w:cs="Arial"/>
        </w:rPr>
        <w:t xml:space="preserve"> produces </w:t>
      </w:r>
      <w:r w:rsidR="00337C04" w:rsidRPr="0071546E">
        <w:rPr>
          <w:rFonts w:ascii="Arial" w:hAnsi="Arial" w:cs="Arial"/>
        </w:rPr>
        <w:t>several</w:t>
      </w:r>
      <w:r w:rsidRPr="0071546E">
        <w:rPr>
          <w:rFonts w:ascii="Arial" w:hAnsi="Arial" w:cs="Arial"/>
        </w:rPr>
        <w:t xml:space="preserve"> types of </w:t>
      </w:r>
      <w:r w:rsidR="00E25D84" w:rsidRPr="0071546E">
        <w:rPr>
          <w:rFonts w:ascii="Arial" w:hAnsi="Arial" w:cs="Arial"/>
        </w:rPr>
        <w:t>proteases</w:t>
      </w:r>
      <w:r w:rsidRPr="0071546E">
        <w:rPr>
          <w:rFonts w:ascii="Arial" w:hAnsi="Arial" w:cs="Arial"/>
        </w:rPr>
        <w:t>: serine proteases,</w:t>
      </w:r>
      <w:r w:rsidR="00337C04" w:rsidRPr="0071546E">
        <w:rPr>
          <w:rFonts w:ascii="Arial" w:hAnsi="Arial" w:cs="Arial"/>
        </w:rPr>
        <w:t xml:space="preserve"> elastases</w:t>
      </w:r>
      <w:r w:rsidRPr="0071546E">
        <w:rPr>
          <w:rFonts w:ascii="Arial" w:hAnsi="Arial" w:cs="Arial"/>
        </w:rPr>
        <w:t xml:space="preserve"> cysteine pro</w:t>
      </w:r>
      <w:r w:rsidR="00B24288" w:rsidRPr="0071546E">
        <w:rPr>
          <w:rFonts w:ascii="Arial" w:hAnsi="Arial" w:cs="Arial"/>
        </w:rPr>
        <w:t>teases and metalloproteases.</w:t>
      </w:r>
      <w:r w:rsidRPr="0071546E">
        <w:rPr>
          <w:rFonts w:ascii="Arial" w:hAnsi="Arial" w:cs="Arial"/>
        </w:rPr>
        <w:t xml:space="preserve"> </w:t>
      </w:r>
      <w:r w:rsidR="00E25D84" w:rsidRPr="0071546E">
        <w:rPr>
          <w:rFonts w:ascii="Arial" w:hAnsi="Arial" w:cs="Arial"/>
        </w:rPr>
        <w:t>S</w:t>
      </w:r>
      <w:r w:rsidRPr="0071546E">
        <w:rPr>
          <w:rFonts w:ascii="Arial" w:hAnsi="Arial" w:cs="Arial"/>
        </w:rPr>
        <w:t xml:space="preserve">erine protease </w:t>
      </w:r>
      <w:r w:rsidR="004A57D4" w:rsidRPr="0071546E">
        <w:rPr>
          <w:rFonts w:ascii="Arial" w:hAnsi="Arial" w:cs="Arial"/>
        </w:rPr>
        <w:t>is</w:t>
      </w:r>
      <w:r w:rsidRPr="0071546E">
        <w:rPr>
          <w:rFonts w:ascii="Arial" w:hAnsi="Arial" w:cs="Arial"/>
        </w:rPr>
        <w:t xml:space="preserve"> the most important enzymes associated with host cell degradation. The role of the serine proteases was shown when amoebae w</w:t>
      </w:r>
      <w:r w:rsidR="004A57D4" w:rsidRPr="0071546E">
        <w:rPr>
          <w:rFonts w:ascii="Arial" w:hAnsi="Arial" w:cs="Arial"/>
        </w:rPr>
        <w:t>ere</w:t>
      </w:r>
      <w:r w:rsidRPr="0071546E">
        <w:rPr>
          <w:rFonts w:ascii="Arial" w:hAnsi="Arial" w:cs="Arial"/>
        </w:rPr>
        <w:t xml:space="preserve"> incubated with phenyl methyl sulfonyl fluoride (PMSF) a known inhibitor of serine proteases</w:t>
      </w:r>
      <w:r w:rsidRPr="0071546E">
        <w:rPr>
          <w:rFonts w:ascii="Arial" w:eastAsiaTheme="minorHAnsi" w:hAnsi="Arial" w:cs="Arial"/>
          <w:color w:val="000000"/>
          <w:lang w:eastAsia="en-US"/>
        </w:rPr>
        <w:t xml:space="preserve"> </w:t>
      </w:r>
      <w:r w:rsidRPr="0071546E">
        <w:rPr>
          <w:rFonts w:ascii="Arial" w:hAnsi="Arial" w:cs="Arial"/>
        </w:rPr>
        <w:t xml:space="preserve">(Sissons et al., 2006). </w:t>
      </w:r>
      <w:r w:rsidR="00F14C01" w:rsidRPr="0071546E">
        <w:rPr>
          <w:rFonts w:ascii="Arial" w:hAnsi="Arial" w:cs="Arial"/>
        </w:rPr>
        <w:t xml:space="preserve">Results from experiments presented by Sissons and co-scientists suggested higher levels of extracellular protease in pathogenic </w:t>
      </w:r>
      <w:r w:rsidR="00F14C01" w:rsidRPr="0071546E">
        <w:rPr>
          <w:rFonts w:ascii="Arial" w:hAnsi="Arial" w:cs="Arial"/>
          <w:i/>
          <w:iCs/>
        </w:rPr>
        <w:t>Acanthamoeba</w:t>
      </w:r>
      <w:r w:rsidR="00F14C01" w:rsidRPr="0071546E">
        <w:rPr>
          <w:rFonts w:ascii="Arial" w:hAnsi="Arial" w:cs="Arial"/>
        </w:rPr>
        <w:t xml:space="preserve"> compared to non-pathogenic strains and inhibition with PMSF reduced cytopathic activities of these proteases. </w:t>
      </w:r>
      <w:r w:rsidRPr="0071546E">
        <w:rPr>
          <w:rFonts w:ascii="Arial" w:hAnsi="Arial" w:cs="Arial"/>
        </w:rPr>
        <w:t xml:space="preserve">The serine proteases can degrade collagen, fibronectin, laminin, secretory immunoglobulin A (sIgA), immunoglobulin G, fibrinogen, bovine serum albumin (BSA), haemoglobin (Na et al., 2002). </w:t>
      </w:r>
      <w:r w:rsidR="00F14C01" w:rsidRPr="0071546E">
        <w:rPr>
          <w:rFonts w:ascii="Arial" w:hAnsi="Arial" w:cs="Arial"/>
        </w:rPr>
        <w:t>I</w:t>
      </w:r>
      <w:r w:rsidRPr="0071546E">
        <w:rPr>
          <w:rFonts w:ascii="Arial" w:hAnsi="Arial" w:cs="Arial"/>
        </w:rPr>
        <w:t>nteresting</w:t>
      </w:r>
      <w:r w:rsidR="00F14C01" w:rsidRPr="0071546E">
        <w:rPr>
          <w:rFonts w:ascii="Arial" w:hAnsi="Arial" w:cs="Arial"/>
        </w:rPr>
        <w:t>ly</w:t>
      </w:r>
      <w:r w:rsidRPr="0071546E">
        <w:rPr>
          <w:rFonts w:ascii="Arial" w:hAnsi="Arial" w:cs="Arial"/>
        </w:rPr>
        <w:t xml:space="preserve">, Type 1 collagen is a constituent in the corneal stroma and is associated with the maintenance of the cellular integrity of the cornea. </w:t>
      </w:r>
      <w:r w:rsidR="00F14C01" w:rsidRPr="0071546E">
        <w:rPr>
          <w:rFonts w:ascii="Arial" w:hAnsi="Arial" w:cs="Arial"/>
        </w:rPr>
        <w:t>I</w:t>
      </w:r>
      <w:r w:rsidRPr="0071546E">
        <w:rPr>
          <w:rFonts w:ascii="Arial" w:hAnsi="Arial" w:cs="Arial"/>
        </w:rPr>
        <w:t>mmunoglobulins in humoral immunity inh</w:t>
      </w:r>
      <w:r w:rsidR="00477FEA" w:rsidRPr="0071546E">
        <w:rPr>
          <w:rFonts w:ascii="Arial" w:hAnsi="Arial" w:cs="Arial"/>
        </w:rPr>
        <w:t xml:space="preserve">ibit </w:t>
      </w:r>
      <w:r w:rsidR="00F14C01" w:rsidRPr="0071546E">
        <w:rPr>
          <w:rFonts w:ascii="Arial" w:hAnsi="Arial" w:cs="Arial"/>
        </w:rPr>
        <w:t xml:space="preserve">the </w:t>
      </w:r>
      <w:r w:rsidR="00477FEA" w:rsidRPr="0071546E">
        <w:rPr>
          <w:rFonts w:ascii="Arial" w:hAnsi="Arial" w:cs="Arial"/>
        </w:rPr>
        <w:t>adhesion of microorganisms and</w:t>
      </w:r>
      <w:r w:rsidRPr="0071546E">
        <w:rPr>
          <w:rFonts w:ascii="Arial" w:hAnsi="Arial" w:cs="Arial"/>
        </w:rPr>
        <w:t xml:space="preserve"> prevent the invasion of pathogenic microbes (Teng et al., 2017). In fact, immunoglobulins act as an immediate barrier against these pathogenic microorganisms. </w:t>
      </w:r>
    </w:p>
    <w:p w:rsidR="00725033" w:rsidRPr="0071546E" w:rsidRDefault="005B4963" w:rsidP="00CF13FE">
      <w:pPr>
        <w:pStyle w:val="NormalWeb"/>
        <w:spacing w:line="240" w:lineRule="atLeast"/>
        <w:ind w:left="1021" w:right="454"/>
        <w:jc w:val="both"/>
        <w:rPr>
          <w:rFonts w:ascii="Arial" w:hAnsi="Arial" w:cs="Arial"/>
        </w:rPr>
      </w:pPr>
      <w:r w:rsidRPr="0071546E">
        <w:rPr>
          <w:noProof/>
        </w:rPr>
        <w:drawing>
          <wp:inline distT="0" distB="0" distL="0" distR="0" wp14:anchorId="2341F177" wp14:editId="01307239">
            <wp:extent cx="4754880" cy="4498848"/>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4285" cy="4507747"/>
                    </a:xfrm>
                    <a:prstGeom prst="rect">
                      <a:avLst/>
                    </a:prstGeom>
                  </pic:spPr>
                </pic:pic>
              </a:graphicData>
            </a:graphic>
          </wp:inline>
        </w:drawing>
      </w:r>
    </w:p>
    <w:p w:rsidR="00725033" w:rsidRPr="0071546E" w:rsidRDefault="00725033" w:rsidP="00CF13FE">
      <w:pPr>
        <w:pStyle w:val="NormalWeb"/>
        <w:spacing w:line="240" w:lineRule="atLeast"/>
        <w:ind w:left="1021" w:right="454"/>
        <w:jc w:val="both"/>
        <w:rPr>
          <w:rFonts w:ascii="Arial" w:hAnsi="Arial" w:cs="Arial"/>
          <w:sz w:val="20"/>
          <w:szCs w:val="20"/>
        </w:rPr>
      </w:pPr>
      <w:r w:rsidRPr="0071546E">
        <w:rPr>
          <w:rFonts w:ascii="Arial" w:hAnsi="Arial" w:cs="Arial"/>
          <w:sz w:val="20"/>
          <w:szCs w:val="20"/>
        </w:rPr>
        <w:t xml:space="preserve">Fig 1.6. The pathogenic cascade of </w:t>
      </w:r>
      <w:r w:rsidR="00432D1D" w:rsidRPr="0071546E">
        <w:rPr>
          <w:rFonts w:ascii="Arial" w:hAnsi="Arial" w:cs="Arial"/>
          <w:sz w:val="20"/>
          <w:szCs w:val="20"/>
        </w:rPr>
        <w:t>Acanthamoeba</w:t>
      </w:r>
      <w:r w:rsidRPr="0071546E">
        <w:rPr>
          <w:rFonts w:ascii="Arial" w:hAnsi="Arial" w:cs="Arial"/>
          <w:sz w:val="20"/>
          <w:szCs w:val="20"/>
        </w:rPr>
        <w:t xml:space="preserve"> keratitis. </w:t>
      </w:r>
      <w:r w:rsidR="00FA3FAC" w:rsidRPr="0071546E">
        <w:rPr>
          <w:rFonts w:ascii="Arial" w:hAnsi="Arial" w:cs="Arial"/>
          <w:sz w:val="20"/>
          <w:szCs w:val="20"/>
        </w:rPr>
        <w:t>In stage 1,</w:t>
      </w:r>
      <w:r w:rsidRPr="0071546E">
        <w:rPr>
          <w:rFonts w:ascii="Arial" w:hAnsi="Arial" w:cs="Arial"/>
          <w:sz w:val="20"/>
          <w:szCs w:val="20"/>
        </w:rPr>
        <w:t xml:space="preserve"> </w:t>
      </w:r>
      <w:r w:rsidR="00432D1D" w:rsidRPr="0071546E">
        <w:rPr>
          <w:rFonts w:ascii="Arial" w:hAnsi="Arial" w:cs="Arial"/>
          <w:i/>
          <w:sz w:val="20"/>
          <w:szCs w:val="20"/>
        </w:rPr>
        <w:t>Acanthamoeba</w:t>
      </w:r>
      <w:r w:rsidRPr="0071546E">
        <w:rPr>
          <w:rFonts w:ascii="Arial" w:hAnsi="Arial" w:cs="Arial"/>
          <w:i/>
          <w:sz w:val="20"/>
          <w:szCs w:val="20"/>
        </w:rPr>
        <w:t xml:space="preserve"> </w:t>
      </w:r>
      <w:r w:rsidRPr="0071546E">
        <w:rPr>
          <w:rFonts w:ascii="Arial" w:hAnsi="Arial" w:cs="Arial"/>
          <w:sz w:val="20"/>
          <w:szCs w:val="20"/>
        </w:rPr>
        <w:t>trophozoites attach to the surface of the cornea epithelium a process facilitated by corneal trauma.</w:t>
      </w:r>
      <w:r w:rsidR="00FA3FAC" w:rsidRPr="0071546E">
        <w:rPr>
          <w:rFonts w:ascii="Arial" w:eastAsiaTheme="minorHAnsi" w:hAnsi="Arial" w:cs="Arial"/>
          <w:sz w:val="20"/>
          <w:szCs w:val="20"/>
          <w:lang w:eastAsia="en-US"/>
        </w:rPr>
        <w:t xml:space="preserve"> </w:t>
      </w:r>
      <w:r w:rsidRPr="0071546E">
        <w:rPr>
          <w:rFonts w:ascii="Arial" w:hAnsi="Arial" w:cs="Arial"/>
          <w:sz w:val="20"/>
          <w:szCs w:val="20"/>
        </w:rPr>
        <w:t>On binding to the cornea</w:t>
      </w:r>
      <w:r w:rsidR="004A57D4" w:rsidRPr="0071546E">
        <w:rPr>
          <w:rFonts w:ascii="Arial" w:hAnsi="Arial" w:cs="Arial"/>
          <w:sz w:val="20"/>
          <w:szCs w:val="20"/>
        </w:rPr>
        <w:t>l</w:t>
      </w:r>
      <w:r w:rsidRPr="0071546E">
        <w:rPr>
          <w:rFonts w:ascii="Arial" w:hAnsi="Arial" w:cs="Arial"/>
          <w:sz w:val="20"/>
          <w:szCs w:val="20"/>
        </w:rPr>
        <w:t xml:space="preserve"> epithelial cell </w:t>
      </w:r>
      <w:r w:rsidR="00432D1D" w:rsidRPr="0071546E">
        <w:rPr>
          <w:rFonts w:ascii="Arial" w:hAnsi="Arial" w:cs="Arial"/>
          <w:i/>
          <w:sz w:val="20"/>
          <w:szCs w:val="20"/>
        </w:rPr>
        <w:t>Acanthamoeba</w:t>
      </w:r>
      <w:r w:rsidRPr="0071546E">
        <w:rPr>
          <w:rFonts w:ascii="Arial" w:hAnsi="Arial" w:cs="Arial"/>
          <w:i/>
          <w:sz w:val="20"/>
          <w:szCs w:val="20"/>
        </w:rPr>
        <w:t>,</w:t>
      </w:r>
      <w:r w:rsidRPr="0071546E">
        <w:rPr>
          <w:rFonts w:ascii="Arial" w:hAnsi="Arial" w:cs="Arial"/>
          <w:sz w:val="20"/>
          <w:szCs w:val="20"/>
        </w:rPr>
        <w:t xml:space="preserve"> trophozoites release cytol</w:t>
      </w:r>
      <w:r w:rsidR="004A57D4" w:rsidRPr="0071546E">
        <w:rPr>
          <w:rFonts w:ascii="Arial" w:hAnsi="Arial" w:cs="Arial"/>
          <w:sz w:val="20"/>
          <w:szCs w:val="20"/>
        </w:rPr>
        <w:t>y</w:t>
      </w:r>
      <w:r w:rsidRPr="0071546E">
        <w:rPr>
          <w:rFonts w:ascii="Arial" w:hAnsi="Arial" w:cs="Arial"/>
          <w:sz w:val="20"/>
          <w:szCs w:val="20"/>
        </w:rPr>
        <w:t>tic enzyme MIP133 that degrades the cornea</w:t>
      </w:r>
      <w:r w:rsidR="004A57D4" w:rsidRPr="0071546E">
        <w:rPr>
          <w:rFonts w:ascii="Arial" w:hAnsi="Arial" w:cs="Arial"/>
          <w:sz w:val="20"/>
          <w:szCs w:val="20"/>
        </w:rPr>
        <w:t>l</w:t>
      </w:r>
      <w:r w:rsidRPr="0071546E">
        <w:rPr>
          <w:rFonts w:ascii="Arial" w:hAnsi="Arial" w:cs="Arial"/>
          <w:sz w:val="20"/>
          <w:szCs w:val="20"/>
        </w:rPr>
        <w:t xml:space="preserve"> epithelial </w:t>
      </w:r>
      <w:r w:rsidR="00FA3FAC" w:rsidRPr="0071546E">
        <w:rPr>
          <w:rFonts w:ascii="Arial" w:hAnsi="Arial" w:cs="Arial"/>
          <w:sz w:val="20"/>
          <w:szCs w:val="20"/>
        </w:rPr>
        <w:t>c</w:t>
      </w:r>
      <w:r w:rsidRPr="0071546E">
        <w:rPr>
          <w:rFonts w:ascii="Arial" w:hAnsi="Arial" w:cs="Arial"/>
          <w:sz w:val="20"/>
          <w:szCs w:val="20"/>
        </w:rPr>
        <w:t>ell allowing the trophozoites to enter the Bowman’s membrane.</w:t>
      </w:r>
      <w:r w:rsidR="00FA3FAC" w:rsidRPr="0071546E">
        <w:rPr>
          <w:rFonts w:ascii="Arial" w:hAnsi="Arial" w:cs="Arial"/>
          <w:sz w:val="20"/>
          <w:szCs w:val="20"/>
        </w:rPr>
        <w:t xml:space="preserve"> In stage 2, Trophozoites produce several proteases like the mannose induced protein 113 (MIP113) and Collagenase, which affect the degradation and sub</w:t>
      </w:r>
      <w:r w:rsidR="001469EE" w:rsidRPr="0071546E">
        <w:rPr>
          <w:rFonts w:ascii="Arial" w:hAnsi="Arial" w:cs="Arial"/>
          <w:sz w:val="20"/>
          <w:szCs w:val="20"/>
        </w:rPr>
        <w:t>s</w:t>
      </w:r>
      <w:r w:rsidR="00FA3FAC" w:rsidRPr="0071546E">
        <w:rPr>
          <w:rFonts w:ascii="Arial" w:hAnsi="Arial" w:cs="Arial"/>
          <w:sz w:val="20"/>
          <w:szCs w:val="20"/>
        </w:rPr>
        <w:t xml:space="preserve">equent invasion of the stroma </w:t>
      </w:r>
      <w:r w:rsidRPr="0071546E">
        <w:rPr>
          <w:rFonts w:ascii="Arial" w:hAnsi="Arial" w:cs="Arial"/>
          <w:sz w:val="20"/>
          <w:szCs w:val="20"/>
        </w:rPr>
        <w:t>Trophozoites cluster around the cornea nerves causing radial keratoneutritis and extreme pain and possibly form cysts, as they do not move further into Descemet’s membrane.</w:t>
      </w:r>
    </w:p>
    <w:p w:rsidR="00FA3FAC" w:rsidRPr="0071546E" w:rsidRDefault="00FA3FAC" w:rsidP="00CF13FE">
      <w:pPr>
        <w:pStyle w:val="NormalWeb"/>
        <w:spacing w:line="240" w:lineRule="atLeast"/>
        <w:ind w:left="1021" w:right="454"/>
        <w:jc w:val="both"/>
        <w:rPr>
          <w:rFonts w:ascii="Arial" w:hAnsi="Arial" w:cs="Arial"/>
          <w:sz w:val="20"/>
          <w:szCs w:val="20"/>
        </w:rPr>
      </w:pPr>
    </w:p>
    <w:p w:rsidR="00FA3FAC" w:rsidRPr="0071546E" w:rsidRDefault="00FA3FAC" w:rsidP="00CF13FE">
      <w:pPr>
        <w:pStyle w:val="NormalWeb"/>
        <w:spacing w:line="240" w:lineRule="atLeast"/>
        <w:ind w:left="1021" w:right="454"/>
        <w:jc w:val="both"/>
        <w:rPr>
          <w:rFonts w:ascii="Arial" w:hAnsi="Arial" w:cs="Arial"/>
          <w:sz w:val="20"/>
          <w:szCs w:val="20"/>
        </w:rPr>
      </w:pPr>
    </w:p>
    <w:p w:rsidR="00FA3FAC" w:rsidRPr="0071546E" w:rsidRDefault="00FA3FAC" w:rsidP="00CF13FE">
      <w:pPr>
        <w:pStyle w:val="NormalWeb"/>
        <w:spacing w:line="240" w:lineRule="atLeast"/>
        <w:ind w:left="1021" w:right="454"/>
        <w:jc w:val="both"/>
        <w:rPr>
          <w:rFonts w:ascii="Arial" w:hAnsi="Arial" w:cs="Arial"/>
          <w:sz w:val="20"/>
          <w:szCs w:val="20"/>
        </w:rPr>
      </w:pPr>
    </w:p>
    <w:p w:rsidR="00FA3FAC" w:rsidRPr="0071546E" w:rsidRDefault="00FA3FAC" w:rsidP="00CF13FE">
      <w:pPr>
        <w:pStyle w:val="NormalWeb"/>
        <w:spacing w:line="240" w:lineRule="atLeast"/>
        <w:ind w:left="1021" w:right="454"/>
        <w:jc w:val="both"/>
        <w:rPr>
          <w:rFonts w:ascii="Arial" w:hAnsi="Arial" w:cs="Arial"/>
          <w:sz w:val="20"/>
          <w:szCs w:val="20"/>
        </w:rPr>
      </w:pPr>
    </w:p>
    <w:p w:rsidR="00FA3FAC" w:rsidRPr="0071546E" w:rsidRDefault="00FA3FAC" w:rsidP="00CF13FE">
      <w:pPr>
        <w:pStyle w:val="NormalWeb"/>
        <w:spacing w:line="240" w:lineRule="atLeast"/>
        <w:ind w:left="1021" w:right="454"/>
        <w:jc w:val="both"/>
        <w:rPr>
          <w:rFonts w:ascii="Arial" w:hAnsi="Arial" w:cs="Arial"/>
          <w:sz w:val="20"/>
          <w:szCs w:val="20"/>
        </w:rPr>
      </w:pPr>
    </w:p>
    <w:p w:rsidR="005B4963" w:rsidRPr="0071546E" w:rsidRDefault="005B4963" w:rsidP="00CF13FE">
      <w:pPr>
        <w:pStyle w:val="NormalWeb"/>
        <w:spacing w:line="240" w:lineRule="atLeast"/>
        <w:ind w:left="1021" w:right="454"/>
        <w:jc w:val="both"/>
        <w:rPr>
          <w:rFonts w:ascii="Arial" w:hAnsi="Arial" w:cs="Arial"/>
          <w:sz w:val="20"/>
          <w:szCs w:val="20"/>
        </w:rPr>
      </w:pPr>
    </w:p>
    <w:p w:rsidR="007D636E" w:rsidRPr="0071546E" w:rsidRDefault="007D636E" w:rsidP="00CF13FE">
      <w:pPr>
        <w:pStyle w:val="Heading2"/>
        <w:ind w:right="454"/>
      </w:pPr>
    </w:p>
    <w:p w:rsidR="00725033" w:rsidRPr="0071546E" w:rsidRDefault="00725033" w:rsidP="00CF13FE">
      <w:pPr>
        <w:pStyle w:val="Heading2"/>
        <w:ind w:left="1021" w:right="454"/>
      </w:pPr>
      <w:bookmarkStart w:id="18" w:name="_Toc14711387"/>
      <w:r w:rsidRPr="0071546E">
        <w:t xml:space="preserve">1.3.3 Diagnosis of </w:t>
      </w:r>
      <w:r w:rsidR="00432D1D" w:rsidRPr="0071546E">
        <w:t>Acanthamoeba</w:t>
      </w:r>
      <w:r w:rsidRPr="0071546E">
        <w:t xml:space="preserve"> keratitis.</w:t>
      </w:r>
      <w:bookmarkEnd w:id="18"/>
    </w:p>
    <w:p w:rsidR="001469EE" w:rsidRPr="0071546E" w:rsidRDefault="00432D1D" w:rsidP="001469EE">
      <w:pPr>
        <w:pStyle w:val="NormalWeb"/>
        <w:spacing w:line="480" w:lineRule="auto"/>
        <w:ind w:left="1021" w:right="454"/>
        <w:jc w:val="both"/>
        <w:rPr>
          <w:rFonts w:ascii="Arial" w:hAnsi="Arial" w:cs="Arial"/>
        </w:rPr>
      </w:pPr>
      <w:r w:rsidRPr="0071546E">
        <w:rPr>
          <w:rFonts w:ascii="Arial" w:hAnsi="Arial" w:cs="Arial"/>
        </w:rPr>
        <w:t>Acanthamoeba</w:t>
      </w:r>
      <w:r w:rsidR="00725033" w:rsidRPr="0071546E">
        <w:rPr>
          <w:rFonts w:ascii="Arial" w:hAnsi="Arial" w:cs="Arial"/>
        </w:rPr>
        <w:t xml:space="preserve"> keratitis remains </w:t>
      </w:r>
      <w:r w:rsidR="007D636E" w:rsidRPr="0071546E">
        <w:rPr>
          <w:rFonts w:ascii="Arial" w:hAnsi="Arial" w:cs="Arial"/>
        </w:rPr>
        <w:t xml:space="preserve">one </w:t>
      </w:r>
      <w:r w:rsidR="002D0857" w:rsidRPr="0071546E">
        <w:rPr>
          <w:rFonts w:ascii="Arial" w:hAnsi="Arial" w:cs="Arial"/>
        </w:rPr>
        <w:t>of the</w:t>
      </w:r>
      <w:r w:rsidR="00725033" w:rsidRPr="0071546E">
        <w:rPr>
          <w:rFonts w:ascii="Arial" w:hAnsi="Arial" w:cs="Arial"/>
        </w:rPr>
        <w:t xml:space="preserve"> most difficult clinical entity to diagnose (Page and Mathers, 2013). Since it has </w:t>
      </w:r>
      <w:r w:rsidR="002D0857" w:rsidRPr="0071546E">
        <w:rPr>
          <w:rFonts w:ascii="Arial" w:hAnsi="Arial" w:cs="Arial"/>
        </w:rPr>
        <w:t>related</w:t>
      </w:r>
      <w:r w:rsidR="00725033" w:rsidRPr="0071546E">
        <w:rPr>
          <w:rFonts w:ascii="Arial" w:hAnsi="Arial" w:cs="Arial"/>
        </w:rPr>
        <w:t xml:space="preserve"> symptoms with keratitis caused by other pathogens like bacteria, fungi and viruses</w:t>
      </w:r>
      <w:r w:rsidR="00725033" w:rsidRPr="0071546E">
        <w:rPr>
          <w:rFonts w:ascii="Arial" w:eastAsiaTheme="minorHAnsi" w:hAnsi="Arial" w:cs="Arial"/>
          <w:lang w:eastAsia="en-US"/>
        </w:rPr>
        <w:t xml:space="preserve"> </w:t>
      </w:r>
      <w:r w:rsidR="00725033" w:rsidRPr="0071546E">
        <w:rPr>
          <w:rFonts w:ascii="Arial" w:hAnsi="Arial" w:cs="Arial"/>
        </w:rPr>
        <w:t>it is easily misdiagnosed</w:t>
      </w:r>
      <w:r w:rsidR="00725033" w:rsidRPr="0071546E">
        <w:rPr>
          <w:rFonts w:ascii="Arial" w:eastAsiaTheme="minorHAnsi" w:hAnsi="Arial" w:cs="Arial"/>
          <w:color w:val="000000"/>
          <w:lang w:eastAsia="en-US"/>
        </w:rPr>
        <w:t xml:space="preserve"> </w:t>
      </w:r>
      <w:r w:rsidR="00725033" w:rsidRPr="0071546E">
        <w:rPr>
          <w:rFonts w:ascii="Arial" w:hAnsi="Arial" w:cs="Arial"/>
        </w:rPr>
        <w:t xml:space="preserve">(Garg, Kalra and Joseph, 2017). A decent prognosis depends on early diagnoses and access to appropriate medical therapy. Prognosis worsens if </w:t>
      </w:r>
      <w:r w:rsidR="004A57D4" w:rsidRPr="0071546E">
        <w:rPr>
          <w:rFonts w:ascii="Arial" w:hAnsi="Arial" w:cs="Arial"/>
        </w:rPr>
        <w:t xml:space="preserve">the </w:t>
      </w:r>
      <w:r w:rsidR="00725033" w:rsidRPr="0071546E">
        <w:rPr>
          <w:rFonts w:ascii="Arial" w:hAnsi="Arial" w:cs="Arial"/>
        </w:rPr>
        <w:t>diagnosis is delayed for more than three weeks, (Alkharashi et al., 2015). To avoid this situation,</w:t>
      </w:r>
      <w:r w:rsidR="00725033" w:rsidRPr="0071546E">
        <w:rPr>
          <w:rFonts w:ascii="Arial" w:eastAsiaTheme="minorHAnsi" w:hAnsi="Arial" w:cs="Arial"/>
          <w:i/>
          <w:lang w:eastAsia="en-US"/>
        </w:rPr>
        <w:t xml:space="preserve"> </w:t>
      </w:r>
      <w:r w:rsidRPr="0071546E">
        <w:rPr>
          <w:rFonts w:ascii="Arial" w:hAnsi="Arial" w:cs="Arial"/>
          <w:i/>
        </w:rPr>
        <w:t>Acanthamoeba</w:t>
      </w:r>
      <w:r w:rsidR="00725033" w:rsidRPr="0071546E">
        <w:rPr>
          <w:rFonts w:ascii="Arial" w:hAnsi="Arial" w:cs="Arial"/>
        </w:rPr>
        <w:t xml:space="preserve"> should be suspected whenever there is corneal trauma associated with contact lens wear, contaminated water or soil. </w:t>
      </w:r>
      <w:r w:rsidRPr="0071546E">
        <w:rPr>
          <w:rFonts w:ascii="Arial" w:hAnsi="Arial" w:cs="Arial"/>
          <w:i/>
        </w:rPr>
        <w:t>Acanthamoeba</w:t>
      </w:r>
      <w:r w:rsidR="00725033" w:rsidRPr="0071546E">
        <w:rPr>
          <w:rFonts w:ascii="Arial" w:hAnsi="Arial" w:cs="Arial"/>
        </w:rPr>
        <w:t xml:space="preserve"> keratitis should also be considered when there is resistance to first-line therapy for keratitis caused by bacteria or fungi or simplex virus. The commonly used diagn</w:t>
      </w:r>
      <w:r w:rsidR="002D0857" w:rsidRPr="0071546E">
        <w:rPr>
          <w:rFonts w:ascii="Arial" w:hAnsi="Arial" w:cs="Arial"/>
        </w:rPr>
        <w:t>ostic method for Acanth</w:t>
      </w:r>
      <w:r w:rsidR="00291AF1" w:rsidRPr="0071546E">
        <w:rPr>
          <w:rFonts w:ascii="Arial" w:hAnsi="Arial" w:cs="Arial"/>
        </w:rPr>
        <w:t>a</w:t>
      </w:r>
      <w:r w:rsidR="002D0857" w:rsidRPr="0071546E">
        <w:rPr>
          <w:rFonts w:ascii="Arial" w:hAnsi="Arial" w:cs="Arial"/>
        </w:rPr>
        <w:t>moeba keratitis is confocal</w:t>
      </w:r>
      <w:r w:rsidR="00725033" w:rsidRPr="0071546E">
        <w:rPr>
          <w:rFonts w:ascii="Arial" w:hAnsi="Arial" w:cs="Arial"/>
        </w:rPr>
        <w:t xml:space="preserve"> microscopy (CFM), which show specificity and sensitivity up to 90% (De Craene</w:t>
      </w:r>
      <w:r w:rsidR="002D0857" w:rsidRPr="0071546E">
        <w:rPr>
          <w:rFonts w:ascii="Arial" w:hAnsi="Arial" w:cs="Arial"/>
        </w:rPr>
        <w:t xml:space="preserve"> et al., 2018). </w:t>
      </w:r>
      <w:r w:rsidRPr="0071546E">
        <w:rPr>
          <w:rFonts w:ascii="Arial" w:hAnsi="Arial" w:cs="Arial"/>
          <w:i/>
        </w:rPr>
        <w:t>Acanthamoeba</w:t>
      </w:r>
      <w:r w:rsidR="00CF6CF5" w:rsidRPr="0071546E">
        <w:rPr>
          <w:rFonts w:ascii="Arial" w:hAnsi="Arial" w:cs="Arial"/>
        </w:rPr>
        <w:t xml:space="preserve"> is present in </w:t>
      </w:r>
      <w:r w:rsidR="00DD6702" w:rsidRPr="0071546E">
        <w:rPr>
          <w:rFonts w:ascii="Arial" w:hAnsi="Arial" w:cs="Arial"/>
        </w:rPr>
        <w:t xml:space="preserve">the </w:t>
      </w:r>
      <w:r w:rsidR="00CF6CF5" w:rsidRPr="0071546E">
        <w:rPr>
          <w:rFonts w:ascii="Arial" w:hAnsi="Arial" w:cs="Arial"/>
        </w:rPr>
        <w:t>sample,</w:t>
      </w:r>
      <w:r w:rsidR="00725033" w:rsidRPr="0071546E">
        <w:rPr>
          <w:rFonts w:ascii="Arial" w:hAnsi="Arial" w:cs="Arial"/>
        </w:rPr>
        <w:t xml:space="preserve"> if highly reflective round structures (10-25</w:t>
      </w:r>
      <w:r w:rsidR="00CF6CF5" w:rsidRPr="0071546E">
        <w:rPr>
          <w:rFonts w:ascii="Arial" w:hAnsi="Arial" w:cs="Arial"/>
        </w:rPr>
        <w:t xml:space="preserve"> </w:t>
      </w:r>
      <w:r w:rsidR="00725033" w:rsidRPr="0071546E">
        <w:rPr>
          <w:rFonts w:ascii="Arial" w:hAnsi="Arial" w:cs="Arial"/>
        </w:rPr>
        <w:t>µm) are seen, or if double</w:t>
      </w:r>
      <w:r w:rsidR="00563D9A" w:rsidRPr="0071546E">
        <w:rPr>
          <w:rFonts w:ascii="Arial" w:hAnsi="Arial" w:cs="Arial"/>
        </w:rPr>
        <w:t>-</w:t>
      </w:r>
      <w:r w:rsidR="00725033" w:rsidRPr="0071546E">
        <w:rPr>
          <w:rFonts w:ascii="Arial" w:hAnsi="Arial" w:cs="Arial"/>
        </w:rPr>
        <w:t>walled structures consiste</w:t>
      </w:r>
      <w:r w:rsidR="002D0857" w:rsidRPr="0071546E">
        <w:rPr>
          <w:rFonts w:ascii="Arial" w:hAnsi="Arial" w:cs="Arial"/>
        </w:rPr>
        <w:t xml:space="preserve">nt with cysts are seen. </w:t>
      </w:r>
      <w:r w:rsidR="001469EE" w:rsidRPr="0071546E">
        <w:rPr>
          <w:rFonts w:ascii="Arial" w:hAnsi="Arial" w:cs="Arial"/>
        </w:rPr>
        <w:t xml:space="preserve">However confocal microscopy lacks enough resolution to be the sole diagnostic tool, it is useful in predictive diagnosis, while </w:t>
      </w:r>
      <w:r w:rsidR="00725033" w:rsidRPr="0071546E">
        <w:rPr>
          <w:rFonts w:ascii="Arial" w:hAnsi="Arial" w:cs="Arial"/>
        </w:rPr>
        <w:t xml:space="preserve">a final diagnosis of AK can only be by culture or histology, or by DNA assay using polymerase chain reaction (PCR) which shows 84% sensitivity and 100% </w:t>
      </w:r>
      <w:r w:rsidR="002D0857" w:rsidRPr="0071546E">
        <w:rPr>
          <w:rFonts w:ascii="Arial" w:hAnsi="Arial" w:cs="Arial"/>
        </w:rPr>
        <w:t xml:space="preserve">specificity </w:t>
      </w:r>
      <w:r w:rsidR="002D0857" w:rsidRPr="0071546E">
        <w:rPr>
          <w:rFonts w:ascii="Arial" w:eastAsiaTheme="minorHAnsi" w:hAnsi="Arial" w:cs="Arial"/>
          <w:color w:val="000000"/>
          <w:lang w:eastAsia="en-US"/>
        </w:rPr>
        <w:t>(</w:t>
      </w:r>
      <w:r w:rsidR="00725033" w:rsidRPr="0071546E">
        <w:rPr>
          <w:rFonts w:ascii="Arial" w:hAnsi="Arial" w:cs="Arial"/>
        </w:rPr>
        <w:t xml:space="preserve">Tu et al., 2008). </w:t>
      </w:r>
    </w:p>
    <w:p w:rsidR="001469EE" w:rsidRPr="0071546E" w:rsidRDefault="001469EE" w:rsidP="001469EE">
      <w:pPr>
        <w:pStyle w:val="NormalWeb"/>
        <w:spacing w:line="480" w:lineRule="auto"/>
        <w:ind w:left="1021" w:right="454"/>
        <w:jc w:val="both"/>
        <w:rPr>
          <w:rFonts w:ascii="Arial" w:hAnsi="Arial" w:cs="Arial"/>
        </w:rPr>
      </w:pPr>
    </w:p>
    <w:p w:rsidR="001469EE" w:rsidRPr="0071546E" w:rsidRDefault="00725033" w:rsidP="005B4963">
      <w:pPr>
        <w:pStyle w:val="NormalWeb"/>
        <w:spacing w:line="480" w:lineRule="auto"/>
        <w:ind w:left="1021" w:right="454"/>
        <w:jc w:val="both"/>
        <w:rPr>
          <w:rFonts w:ascii="Arial" w:hAnsi="Arial" w:cs="Arial"/>
        </w:rPr>
      </w:pPr>
      <w:r w:rsidRPr="0071546E">
        <w:rPr>
          <w:rFonts w:ascii="Arial" w:hAnsi="Arial" w:cs="Arial"/>
        </w:rPr>
        <w:t xml:space="preserve">Identification using culture technique can be either by inoculation on nutrient agar plate supplemented with </w:t>
      </w:r>
      <w:r w:rsidRPr="0071546E">
        <w:rPr>
          <w:rFonts w:ascii="Arial" w:hAnsi="Arial" w:cs="Arial"/>
          <w:i/>
        </w:rPr>
        <w:t>Escherichia coli</w:t>
      </w:r>
      <w:r w:rsidRPr="0071546E">
        <w:rPr>
          <w:rFonts w:ascii="Arial" w:hAnsi="Arial" w:cs="Arial"/>
        </w:rPr>
        <w:t xml:space="preserve"> or by axenic culture using </w:t>
      </w:r>
      <w:r w:rsidR="00432D1D" w:rsidRPr="0071546E">
        <w:rPr>
          <w:rFonts w:ascii="Arial" w:hAnsi="Arial" w:cs="Arial"/>
          <w:i/>
        </w:rPr>
        <w:t>Acanthamoeba</w:t>
      </w:r>
      <w:r w:rsidRPr="0071546E">
        <w:rPr>
          <w:rFonts w:ascii="Arial" w:hAnsi="Arial" w:cs="Arial"/>
        </w:rPr>
        <w:t xml:space="preserve"> growth media, which was maintained at 30 °C for about 6 to seven days (Khan, 2006). Smears (immunostaining) with </w:t>
      </w:r>
      <w:r w:rsidR="00C807CE" w:rsidRPr="0071546E">
        <w:rPr>
          <w:rFonts w:ascii="Arial" w:hAnsi="Arial" w:cs="Arial"/>
        </w:rPr>
        <w:t>immunoperoxidase a</w:t>
      </w:r>
      <w:r w:rsidRPr="0071546E">
        <w:rPr>
          <w:rFonts w:ascii="Arial" w:hAnsi="Arial" w:cs="Arial"/>
        </w:rPr>
        <w:t xml:space="preserve"> polyclonal antibody for </w:t>
      </w:r>
      <w:r w:rsidR="00432D1D" w:rsidRPr="0071546E">
        <w:rPr>
          <w:rFonts w:ascii="Arial" w:hAnsi="Arial" w:cs="Arial"/>
          <w:i/>
        </w:rPr>
        <w:t>Acanthamoeba</w:t>
      </w:r>
      <w:r w:rsidRPr="0071546E">
        <w:rPr>
          <w:rFonts w:ascii="Arial" w:hAnsi="Arial" w:cs="Arial"/>
        </w:rPr>
        <w:t xml:space="preserve"> is proposed as a useful diagnostic tool, however</w:t>
      </w:r>
      <w:r w:rsidR="004A57D4" w:rsidRPr="0071546E">
        <w:rPr>
          <w:rFonts w:ascii="Arial" w:hAnsi="Arial" w:cs="Arial"/>
        </w:rPr>
        <w:t>,</w:t>
      </w:r>
      <w:r w:rsidRPr="0071546E">
        <w:rPr>
          <w:rFonts w:ascii="Arial" w:hAnsi="Arial" w:cs="Arial"/>
        </w:rPr>
        <w:t xml:space="preserve"> the antibody is not available c</w:t>
      </w:r>
      <w:r w:rsidR="00C807CE" w:rsidRPr="0071546E">
        <w:rPr>
          <w:rFonts w:ascii="Arial" w:hAnsi="Arial" w:cs="Arial"/>
        </w:rPr>
        <w:t>ommercially. Novel promising approaches are being developed. For example</w:t>
      </w:r>
      <w:r w:rsidR="00291AF1" w:rsidRPr="0071546E">
        <w:rPr>
          <w:rFonts w:ascii="Arial" w:hAnsi="Arial" w:cs="Arial"/>
        </w:rPr>
        <w:t>,</w:t>
      </w:r>
      <w:r w:rsidRPr="0071546E">
        <w:rPr>
          <w:rFonts w:ascii="Arial" w:hAnsi="Arial" w:cs="Arial"/>
        </w:rPr>
        <w:t xml:space="preserve"> the use of Matrix laser desorption ionization time-of-flight (MALDI-TOF MS) profiling has emerged as a quick, economic and HTS for identification of all microbial species and has found it</w:t>
      </w:r>
      <w:r w:rsidR="004A57D4" w:rsidRPr="0071546E">
        <w:rPr>
          <w:rFonts w:ascii="Arial" w:hAnsi="Arial" w:cs="Arial"/>
        </w:rPr>
        <w:t>s</w:t>
      </w:r>
      <w:r w:rsidRPr="0071546E">
        <w:rPr>
          <w:rFonts w:ascii="Arial" w:hAnsi="Arial" w:cs="Arial"/>
        </w:rPr>
        <w:t xml:space="preserve"> application for diagnosis of </w:t>
      </w:r>
      <w:r w:rsidR="00432D1D" w:rsidRPr="0071546E">
        <w:rPr>
          <w:rFonts w:ascii="Arial" w:hAnsi="Arial" w:cs="Arial"/>
        </w:rPr>
        <w:t>Acanthamoeba</w:t>
      </w:r>
      <w:r w:rsidRPr="0071546E">
        <w:rPr>
          <w:rFonts w:ascii="Arial" w:hAnsi="Arial" w:cs="Arial"/>
        </w:rPr>
        <w:t xml:space="preserve"> </w:t>
      </w:r>
      <w:r w:rsidR="00CF6CF5" w:rsidRPr="0071546E">
        <w:rPr>
          <w:rFonts w:ascii="Arial" w:hAnsi="Arial" w:cs="Arial"/>
        </w:rPr>
        <w:t xml:space="preserve">keratitis </w:t>
      </w:r>
      <w:r w:rsidR="00477FEA" w:rsidRPr="0071546E">
        <w:rPr>
          <w:rFonts w:ascii="Arial" w:eastAsiaTheme="minorHAnsi" w:hAnsi="Arial" w:cs="Arial"/>
          <w:color w:val="000000"/>
          <w:lang w:eastAsia="en-US"/>
        </w:rPr>
        <w:t xml:space="preserve">(Kostrzewa and Nagy, 2016; </w:t>
      </w:r>
      <w:r w:rsidRPr="0071546E">
        <w:rPr>
          <w:rFonts w:ascii="Arial" w:hAnsi="Arial" w:cs="Arial"/>
        </w:rPr>
        <w:t>Megha et al., 2018</w:t>
      </w:r>
      <w:r w:rsidR="00477FEA" w:rsidRPr="0071546E">
        <w:rPr>
          <w:rFonts w:ascii="Arial" w:hAnsi="Arial" w:cs="Arial"/>
        </w:rPr>
        <w:t>;</w:t>
      </w:r>
      <w:r w:rsidR="00477FEA" w:rsidRPr="0071546E">
        <w:rPr>
          <w:rFonts w:asciiTheme="minorHAnsi" w:eastAsiaTheme="minorHAnsi" w:hAnsiTheme="minorHAnsi" w:cstheme="minorBidi"/>
          <w:color w:val="000000"/>
          <w:sz w:val="22"/>
          <w:szCs w:val="22"/>
          <w:lang w:eastAsia="en-US"/>
        </w:rPr>
        <w:t xml:space="preserve"> </w:t>
      </w:r>
      <w:r w:rsidR="00477FEA" w:rsidRPr="0071546E">
        <w:rPr>
          <w:rFonts w:ascii="Arial" w:hAnsi="Arial" w:cs="Arial"/>
        </w:rPr>
        <w:t>Saeedi, 2018; Patel, 2019)</w:t>
      </w:r>
      <w:r w:rsidRPr="0071546E">
        <w:rPr>
          <w:rFonts w:ascii="Arial" w:hAnsi="Arial" w:cs="Arial"/>
        </w:rPr>
        <w:t>.</w:t>
      </w:r>
      <w:r w:rsidR="005B4963" w:rsidRPr="0071546E">
        <w:rPr>
          <w:rFonts w:ascii="Arial" w:hAnsi="Arial" w:cs="Arial"/>
        </w:rPr>
        <w:t xml:space="preserve"> In MALDI-TOF MS, the sample to be analysed is prepared is mixed with an energy-absorbant organic compound known as the matrix. The sample crystalises with the matrix when dried. When ionised with a laser beam, singly charged ions are generated, which travel through a  flight tube from where they are separated. In MALTI-TOF analysis, the m/z ration of an ion is determined by measuring the time it takes the ion to travel through the flight tube (time of flight- TOF). The TOF data generates a spectrum called the mass fingerprint (PMF) which is distinctive for a particular sample. To identify and differentiate microbes on a specie level, a typical mass range of 2- 20kDa is used as it covers the range of masses for ribosomal proteins which are targets used to differentiate microbes on a specie level.</w:t>
      </w:r>
    </w:p>
    <w:p w:rsidR="001469EE" w:rsidRPr="0071546E" w:rsidRDefault="001469EE" w:rsidP="001469EE">
      <w:pPr>
        <w:pStyle w:val="NormalWeb"/>
        <w:spacing w:line="480" w:lineRule="auto"/>
        <w:ind w:left="1021" w:right="454"/>
        <w:jc w:val="both"/>
        <w:rPr>
          <w:rFonts w:ascii="Arial" w:hAnsi="Arial" w:cs="Arial"/>
        </w:rPr>
      </w:pPr>
    </w:p>
    <w:p w:rsidR="00725033" w:rsidRPr="0071546E" w:rsidRDefault="00725033" w:rsidP="00CF13FE">
      <w:pPr>
        <w:pStyle w:val="Heading2"/>
        <w:ind w:left="1021" w:right="454"/>
      </w:pPr>
      <w:bookmarkStart w:id="19" w:name="_Toc14711388"/>
      <w:r w:rsidRPr="0071546E">
        <w:t xml:space="preserve">1.3.4 Treatment of </w:t>
      </w:r>
      <w:r w:rsidR="00432D1D" w:rsidRPr="0071546E">
        <w:t>Acanthamoeba</w:t>
      </w:r>
      <w:r w:rsidRPr="0071546E">
        <w:t xml:space="preserve"> keratitis</w:t>
      </w:r>
      <w:bookmarkEnd w:id="19"/>
    </w:p>
    <w:p w:rsidR="001469EE" w:rsidRPr="0071546E" w:rsidRDefault="00725033" w:rsidP="001469EE">
      <w:pPr>
        <w:pStyle w:val="NormalWeb"/>
        <w:spacing w:line="480" w:lineRule="auto"/>
        <w:ind w:left="1021" w:right="454"/>
        <w:jc w:val="both"/>
        <w:rPr>
          <w:rFonts w:ascii="Arial" w:eastAsia="Arial Unicode MS" w:hAnsi="Arial" w:cs="Arial"/>
        </w:rPr>
      </w:pPr>
      <w:r w:rsidRPr="0071546E">
        <w:rPr>
          <w:rFonts w:ascii="Arial" w:eastAsia="Arial Unicode MS" w:hAnsi="Arial" w:cs="Arial"/>
        </w:rPr>
        <w:t>No commercially available drugs ha</w:t>
      </w:r>
      <w:r w:rsidR="004A57D4" w:rsidRPr="0071546E">
        <w:rPr>
          <w:rFonts w:ascii="Arial" w:eastAsia="Arial Unicode MS" w:hAnsi="Arial" w:cs="Arial"/>
        </w:rPr>
        <w:t>ve</w:t>
      </w:r>
      <w:r w:rsidRPr="0071546E">
        <w:rPr>
          <w:rFonts w:ascii="Arial" w:eastAsia="Arial Unicode MS" w:hAnsi="Arial" w:cs="Arial"/>
        </w:rPr>
        <w:t xml:space="preserve"> been licenced to treat </w:t>
      </w:r>
      <w:r w:rsidR="00432D1D" w:rsidRPr="0071546E">
        <w:rPr>
          <w:rFonts w:ascii="Arial" w:eastAsia="Arial Unicode MS" w:hAnsi="Arial" w:cs="Arial"/>
          <w:i/>
        </w:rPr>
        <w:t>Acanthamoeba</w:t>
      </w:r>
      <w:r w:rsidRPr="0071546E">
        <w:rPr>
          <w:rFonts w:ascii="Arial" w:eastAsia="Arial Unicode MS" w:hAnsi="Arial" w:cs="Arial"/>
        </w:rPr>
        <w:t xml:space="preserve"> Keratitis</w:t>
      </w:r>
      <w:r w:rsidR="00C807CE" w:rsidRPr="0071546E">
        <w:rPr>
          <w:rFonts w:ascii="Arial" w:eastAsia="Arial Unicode MS" w:hAnsi="Arial" w:cs="Arial"/>
        </w:rPr>
        <w:t xml:space="preserve"> in the United Kingdom</w:t>
      </w:r>
      <w:r w:rsidR="00783BD7" w:rsidRPr="0071546E">
        <w:rPr>
          <w:rFonts w:asciiTheme="minorHAnsi" w:eastAsiaTheme="minorHAnsi" w:hAnsiTheme="minorHAnsi" w:cstheme="minorBidi"/>
          <w:color w:val="000000"/>
          <w:sz w:val="22"/>
          <w:szCs w:val="22"/>
          <w:lang w:eastAsia="en-US"/>
        </w:rPr>
        <w:t xml:space="preserve"> </w:t>
      </w:r>
      <w:r w:rsidR="00783BD7" w:rsidRPr="0071546E">
        <w:rPr>
          <w:rFonts w:ascii="Arial" w:eastAsia="Arial Unicode MS" w:hAnsi="Arial" w:cs="Arial"/>
        </w:rPr>
        <w:t>(Alkharashi et al., 2015)</w:t>
      </w:r>
      <w:r w:rsidRPr="0071546E">
        <w:rPr>
          <w:rFonts w:ascii="Arial" w:eastAsia="Arial Unicode MS" w:hAnsi="Arial" w:cs="Arial"/>
        </w:rPr>
        <w:t>.</w:t>
      </w:r>
      <w:r w:rsidR="001469EE" w:rsidRPr="0071546E">
        <w:rPr>
          <w:rFonts w:ascii="Arial" w:eastAsia="Arial Unicode MS" w:hAnsi="Arial" w:cs="Arial"/>
        </w:rPr>
        <w:t xml:space="preserve"> In 2017 the United States certified the use of miltefosine for treatment of Acanthamoeba keratitis. </w:t>
      </w:r>
      <w:r w:rsidRPr="0071546E">
        <w:rPr>
          <w:rFonts w:ascii="Arial" w:eastAsia="Arial Unicode MS" w:hAnsi="Arial" w:cs="Arial"/>
        </w:rPr>
        <w:t xml:space="preserve"> First-line therapies include the use of biocides usually biguanide derivatives</w:t>
      </w:r>
      <w:r w:rsidRPr="0071546E">
        <w:rPr>
          <w:rStyle w:val="selectable"/>
          <w:rFonts w:ascii="Arial" w:eastAsia="Arial Unicode MS" w:hAnsi="Arial" w:cs="Arial"/>
        </w:rPr>
        <w:t xml:space="preserve"> </w:t>
      </w:r>
      <w:r w:rsidRPr="0071546E">
        <w:rPr>
          <w:rFonts w:ascii="Arial" w:eastAsia="Arial Unicode MS" w:hAnsi="Arial" w:cs="Arial"/>
        </w:rPr>
        <w:t>polyhexamethylene biguanide and chlorhexidine gluconate or acetate, diamidine derivatives like hexamidine isethionate and pentamidine isethionate</w:t>
      </w:r>
      <w:r w:rsidRPr="0071546E">
        <w:rPr>
          <w:rStyle w:val="selectable"/>
          <w:rFonts w:ascii="Arial" w:eastAsia="Arial Unicode MS" w:hAnsi="Arial" w:cs="Arial"/>
        </w:rPr>
        <w:t xml:space="preserve"> (Carrijo-Carvalho </w:t>
      </w:r>
      <w:r w:rsidRPr="0071546E">
        <w:rPr>
          <w:rStyle w:val="selectable"/>
          <w:rFonts w:ascii="Arial" w:eastAsia="Arial Unicode MS" w:hAnsi="Arial" w:cs="Arial"/>
          <w:i/>
        </w:rPr>
        <w:t>et al.,</w:t>
      </w:r>
      <w:r w:rsidRPr="0071546E">
        <w:rPr>
          <w:rStyle w:val="selectable"/>
          <w:rFonts w:ascii="Arial" w:eastAsia="Arial Unicode MS" w:hAnsi="Arial" w:cs="Arial"/>
        </w:rPr>
        <w:t xml:space="preserve"> 2017)</w:t>
      </w:r>
      <w:r w:rsidRPr="0071546E">
        <w:rPr>
          <w:rFonts w:ascii="Arial" w:eastAsia="Arial Unicode MS" w:hAnsi="Arial" w:cs="Arial"/>
        </w:rPr>
        <w:t xml:space="preserve">. </w:t>
      </w:r>
      <w:r w:rsidR="00D162FB" w:rsidRPr="0071546E">
        <w:rPr>
          <w:rFonts w:ascii="Arial" w:eastAsia="Arial Unicode MS" w:hAnsi="Arial" w:cs="Arial"/>
        </w:rPr>
        <w:t>Concentrations of</w:t>
      </w:r>
      <w:r w:rsidRPr="0071546E">
        <w:rPr>
          <w:rFonts w:ascii="Arial" w:eastAsia="Arial Unicode MS" w:hAnsi="Arial" w:cs="Arial"/>
        </w:rPr>
        <w:t xml:space="preserve"> biocides </w:t>
      </w:r>
      <w:r w:rsidR="00D162FB" w:rsidRPr="0071546E">
        <w:rPr>
          <w:rFonts w:ascii="Arial" w:eastAsia="Arial Unicode MS" w:hAnsi="Arial" w:cs="Arial"/>
        </w:rPr>
        <w:t>used for treatment is</w:t>
      </w:r>
      <w:r w:rsidRPr="0071546E">
        <w:rPr>
          <w:rFonts w:ascii="Arial" w:eastAsia="Arial Unicode MS" w:hAnsi="Arial" w:cs="Arial"/>
        </w:rPr>
        <w:t xml:space="preserve"> based on clinical reports and laboratory analyses. These biocides are formulated as an eye drop solution of 0.02% of either PHMB or CLX and 0.1% of diamidines. Although</w:t>
      </w:r>
      <w:r w:rsidR="009B3E7C" w:rsidRPr="0071546E">
        <w:rPr>
          <w:rFonts w:ascii="Arial" w:eastAsia="Arial Unicode MS" w:hAnsi="Arial" w:cs="Arial"/>
        </w:rPr>
        <w:t xml:space="preserve"> when</w:t>
      </w:r>
      <w:r w:rsidRPr="0071546E">
        <w:rPr>
          <w:rFonts w:ascii="Arial" w:eastAsia="Arial Unicode MS" w:hAnsi="Arial" w:cs="Arial"/>
        </w:rPr>
        <w:t xml:space="preserve"> biguanide</w:t>
      </w:r>
      <w:r w:rsidR="009B3E7C" w:rsidRPr="0071546E">
        <w:rPr>
          <w:rFonts w:ascii="Arial" w:eastAsia="Arial Unicode MS" w:hAnsi="Arial" w:cs="Arial"/>
        </w:rPr>
        <w:t>s</w:t>
      </w:r>
      <w:r w:rsidRPr="0071546E">
        <w:rPr>
          <w:rFonts w:ascii="Arial" w:eastAsia="Arial Unicode MS" w:hAnsi="Arial" w:cs="Arial"/>
        </w:rPr>
        <w:t xml:space="preserve"> </w:t>
      </w:r>
      <w:r w:rsidR="009B3E7C" w:rsidRPr="0071546E">
        <w:rPr>
          <w:rFonts w:ascii="Arial" w:eastAsia="Arial Unicode MS" w:hAnsi="Arial" w:cs="Arial"/>
        </w:rPr>
        <w:t>are</w:t>
      </w:r>
      <w:r w:rsidR="00C807CE" w:rsidRPr="0071546E">
        <w:rPr>
          <w:rFonts w:ascii="Arial" w:eastAsia="Arial Unicode MS" w:hAnsi="Arial" w:cs="Arial"/>
        </w:rPr>
        <w:t xml:space="preserve"> used in </w:t>
      </w:r>
      <w:r w:rsidR="009B3E7C" w:rsidRPr="0071546E">
        <w:rPr>
          <w:rFonts w:ascii="Arial" w:eastAsia="Arial Unicode MS" w:hAnsi="Arial" w:cs="Arial"/>
        </w:rPr>
        <w:t>combination therapy with</w:t>
      </w:r>
      <w:r w:rsidR="00C807CE" w:rsidRPr="0071546E">
        <w:rPr>
          <w:rFonts w:ascii="Arial" w:eastAsia="Arial Unicode MS" w:hAnsi="Arial" w:cs="Arial"/>
        </w:rPr>
        <w:t xml:space="preserve"> </w:t>
      </w:r>
      <w:r w:rsidR="009B3E7C" w:rsidRPr="0071546E">
        <w:rPr>
          <w:rFonts w:ascii="Arial" w:eastAsia="Arial Unicode MS" w:hAnsi="Arial" w:cs="Arial"/>
        </w:rPr>
        <w:t xml:space="preserve">chlorhexidine and polyhexamethylene, they </w:t>
      </w:r>
      <w:r w:rsidR="00C807CE" w:rsidRPr="0071546E">
        <w:rPr>
          <w:rFonts w:ascii="Arial" w:eastAsia="Arial Unicode MS" w:hAnsi="Arial" w:cs="Arial"/>
        </w:rPr>
        <w:t>improved treatment outcome (Ferrari, Matuska and Rama, 2011)</w:t>
      </w:r>
      <w:r w:rsidR="009B3E7C" w:rsidRPr="0071546E">
        <w:rPr>
          <w:rFonts w:ascii="Arial" w:eastAsia="Arial Unicode MS" w:hAnsi="Arial" w:cs="Arial"/>
        </w:rPr>
        <w:t xml:space="preserve">. However, </w:t>
      </w:r>
      <w:r w:rsidRPr="0071546E">
        <w:rPr>
          <w:rFonts w:ascii="Arial" w:eastAsia="Arial Unicode MS" w:hAnsi="Arial" w:cs="Arial"/>
        </w:rPr>
        <w:t xml:space="preserve"> the side effects associated with its use in several reported cases has caused severe post-therapeutic outcomes like cataract, iris atrophy and corneal ulceration</w:t>
      </w:r>
      <w:r w:rsidRPr="0071546E">
        <w:rPr>
          <w:rFonts w:ascii="Arial" w:eastAsiaTheme="minorHAnsi" w:hAnsi="Arial" w:cs="Arial"/>
          <w:color w:val="000000"/>
          <w:lang w:eastAsia="en-US"/>
        </w:rPr>
        <w:t xml:space="preserve"> </w:t>
      </w:r>
      <w:r w:rsidRPr="0071546E">
        <w:rPr>
          <w:rFonts w:ascii="Arial" w:eastAsia="Arial Unicode MS" w:hAnsi="Arial" w:cs="Arial"/>
        </w:rPr>
        <w:t>(Mur</w:t>
      </w:r>
      <w:r w:rsidR="00C807CE" w:rsidRPr="0071546E">
        <w:rPr>
          <w:rFonts w:ascii="Arial" w:eastAsia="Arial Unicode MS" w:hAnsi="Arial" w:cs="Arial"/>
        </w:rPr>
        <w:t>thy, Hawksworth and Cree, 2002)</w:t>
      </w:r>
      <w:r w:rsidRPr="0071546E">
        <w:rPr>
          <w:rFonts w:ascii="Arial" w:eastAsia="Arial Unicode MS" w:hAnsi="Arial" w:cs="Arial"/>
        </w:rPr>
        <w:t xml:space="preserve">. </w:t>
      </w:r>
      <w:r w:rsidR="00C807CE" w:rsidRPr="0071546E">
        <w:rPr>
          <w:rFonts w:ascii="Arial" w:eastAsia="Arial Unicode MS" w:hAnsi="Arial" w:cs="Arial"/>
        </w:rPr>
        <w:t xml:space="preserve">There </w:t>
      </w:r>
      <w:r w:rsidR="00D169D6" w:rsidRPr="0071546E">
        <w:rPr>
          <w:rFonts w:ascii="Arial" w:eastAsia="Arial Unicode MS" w:hAnsi="Arial" w:cs="Arial"/>
        </w:rPr>
        <w:t>are other</w:t>
      </w:r>
      <w:r w:rsidR="00C807CE" w:rsidRPr="0071546E">
        <w:rPr>
          <w:rFonts w:ascii="Arial" w:eastAsia="Arial Unicode MS" w:hAnsi="Arial" w:cs="Arial"/>
        </w:rPr>
        <w:t xml:space="preserve"> chemotherapeutic approach</w:t>
      </w:r>
      <w:r w:rsidR="001469EE" w:rsidRPr="0071546E">
        <w:rPr>
          <w:rFonts w:ascii="Arial" w:eastAsia="Arial Unicode MS" w:hAnsi="Arial" w:cs="Arial"/>
        </w:rPr>
        <w:t>es</w:t>
      </w:r>
      <w:r w:rsidR="00C807CE" w:rsidRPr="0071546E">
        <w:rPr>
          <w:rFonts w:ascii="Arial" w:eastAsia="Arial Unicode MS" w:hAnsi="Arial" w:cs="Arial"/>
        </w:rPr>
        <w:t xml:space="preserve"> like the use of</w:t>
      </w:r>
      <w:r w:rsidRPr="0071546E">
        <w:rPr>
          <w:rFonts w:ascii="Arial" w:eastAsia="Arial Unicode MS" w:hAnsi="Arial" w:cs="Arial"/>
        </w:rPr>
        <w:t xml:space="preserve">, topical or oral voriconazole </w:t>
      </w:r>
      <w:r w:rsidR="00C807CE" w:rsidRPr="0071546E">
        <w:rPr>
          <w:rFonts w:ascii="Arial" w:eastAsia="Arial Unicode MS" w:hAnsi="Arial" w:cs="Arial"/>
        </w:rPr>
        <w:t>which is considered</w:t>
      </w:r>
      <w:r w:rsidRPr="0071546E">
        <w:rPr>
          <w:rFonts w:ascii="Arial" w:eastAsia="Arial Unicode MS" w:hAnsi="Arial" w:cs="Arial"/>
        </w:rPr>
        <w:t xml:space="preserve"> a second</w:t>
      </w:r>
      <w:r w:rsidR="00291AF1" w:rsidRPr="0071546E">
        <w:rPr>
          <w:rFonts w:ascii="Arial" w:eastAsia="Arial Unicode MS" w:hAnsi="Arial" w:cs="Arial"/>
        </w:rPr>
        <w:t>-</w:t>
      </w:r>
      <w:r w:rsidRPr="0071546E">
        <w:rPr>
          <w:rFonts w:ascii="Arial" w:eastAsia="Arial Unicode MS" w:hAnsi="Arial" w:cs="Arial"/>
        </w:rPr>
        <w:t>line therapy in patients that are unresponsive to conventional approaches and requires constant supervision for side effects</w:t>
      </w:r>
      <w:r w:rsidRPr="0071546E">
        <w:rPr>
          <w:rFonts w:ascii="Arial" w:eastAsiaTheme="minorHAnsi" w:hAnsi="Arial" w:cs="Arial"/>
          <w:color w:val="000000"/>
          <w:lang w:eastAsia="en-US"/>
        </w:rPr>
        <w:t xml:space="preserve"> </w:t>
      </w:r>
      <w:r w:rsidRPr="0071546E">
        <w:rPr>
          <w:rFonts w:ascii="Arial" w:eastAsia="Arial Unicode MS" w:hAnsi="Arial" w:cs="Arial"/>
        </w:rPr>
        <w:t xml:space="preserve">(Cabello-Vílchez et al., 2013). </w:t>
      </w:r>
    </w:p>
    <w:p w:rsidR="001469EE" w:rsidRPr="0071546E" w:rsidRDefault="001469EE" w:rsidP="001469EE">
      <w:pPr>
        <w:pStyle w:val="NormalWeb"/>
        <w:spacing w:line="480" w:lineRule="auto"/>
        <w:ind w:left="1021" w:right="454"/>
        <w:jc w:val="both"/>
        <w:rPr>
          <w:rFonts w:ascii="Arial" w:eastAsia="Arial Unicode MS" w:hAnsi="Arial" w:cs="Arial"/>
        </w:rPr>
      </w:pPr>
    </w:p>
    <w:p w:rsidR="001469EE" w:rsidRPr="0071546E" w:rsidRDefault="001469EE" w:rsidP="001469EE">
      <w:pPr>
        <w:pStyle w:val="NormalWeb"/>
        <w:spacing w:line="480" w:lineRule="auto"/>
        <w:ind w:left="1021" w:right="454"/>
        <w:jc w:val="both"/>
        <w:rPr>
          <w:rFonts w:ascii="Arial" w:eastAsia="Arial Unicode MS" w:hAnsi="Arial" w:cs="Arial"/>
        </w:rPr>
      </w:pPr>
    </w:p>
    <w:p w:rsidR="001469EE" w:rsidRPr="0071546E" w:rsidRDefault="00725033" w:rsidP="001469EE">
      <w:pPr>
        <w:pStyle w:val="NormalWeb"/>
        <w:spacing w:line="480" w:lineRule="auto"/>
        <w:ind w:left="1021" w:right="454"/>
        <w:jc w:val="both"/>
        <w:rPr>
          <w:rFonts w:ascii="Arial" w:eastAsia="Arial Unicode MS" w:hAnsi="Arial" w:cs="Arial"/>
        </w:rPr>
      </w:pPr>
      <w:r w:rsidRPr="0071546E">
        <w:rPr>
          <w:rFonts w:ascii="Arial" w:eastAsia="Arial Unicode MS" w:hAnsi="Arial" w:cs="Arial"/>
        </w:rPr>
        <w:t xml:space="preserve">In view of the systemic side effects, topical use of voriconazole is </w:t>
      </w:r>
      <w:r w:rsidR="00840356" w:rsidRPr="0071546E">
        <w:rPr>
          <w:rFonts w:ascii="Arial" w:eastAsia="Arial Unicode MS" w:hAnsi="Arial" w:cs="Arial"/>
        </w:rPr>
        <w:t>favoured;</w:t>
      </w:r>
      <w:r w:rsidRPr="0071546E">
        <w:rPr>
          <w:rFonts w:ascii="Arial" w:eastAsia="Arial Unicode MS" w:hAnsi="Arial" w:cs="Arial"/>
        </w:rPr>
        <w:t xml:space="preserve"> </w:t>
      </w:r>
      <w:r w:rsidR="00840356" w:rsidRPr="0071546E">
        <w:rPr>
          <w:rFonts w:ascii="Arial" w:eastAsia="Arial Unicode MS" w:hAnsi="Arial" w:cs="Arial"/>
        </w:rPr>
        <w:t>however,</w:t>
      </w:r>
      <w:r w:rsidRPr="0071546E">
        <w:rPr>
          <w:rFonts w:ascii="Arial" w:eastAsia="Arial Unicode MS" w:hAnsi="Arial" w:cs="Arial"/>
        </w:rPr>
        <w:t xml:space="preserve"> additional studies </w:t>
      </w:r>
      <w:r w:rsidR="004A57D4" w:rsidRPr="0071546E">
        <w:rPr>
          <w:rFonts w:ascii="Arial" w:eastAsia="Arial Unicode MS" w:hAnsi="Arial" w:cs="Arial"/>
        </w:rPr>
        <w:t>are</w:t>
      </w:r>
      <w:r w:rsidRPr="0071546E">
        <w:rPr>
          <w:rFonts w:ascii="Arial" w:eastAsia="Arial Unicode MS" w:hAnsi="Arial" w:cs="Arial"/>
        </w:rPr>
        <w:t xml:space="preserve"> needed to support voriconazole use as a monotherapy or in combination with biguanide and diamidines. Although a published study has shown evidence of clinical improvement with voriconazole in patients with AK, only a few cases were evaluated with limited therapeutic relevance for the cysts</w:t>
      </w:r>
      <w:r w:rsidRPr="0071546E">
        <w:rPr>
          <w:rFonts w:ascii="Arial" w:eastAsiaTheme="minorHAnsi" w:hAnsi="Arial" w:cs="Arial"/>
          <w:color w:val="000000"/>
          <w:lang w:eastAsia="en-US"/>
        </w:rPr>
        <w:t xml:space="preserve"> </w:t>
      </w:r>
      <w:r w:rsidRPr="0071546E">
        <w:rPr>
          <w:rFonts w:ascii="Arial" w:eastAsia="Arial Unicode MS" w:hAnsi="Arial" w:cs="Arial"/>
        </w:rPr>
        <w:t>(Gueudry et al., 2018). The use of steroidal anti-inflammatory drugs to treat AK remains contentious and a very serious issue in clinical practise</w:t>
      </w:r>
      <w:r w:rsidRPr="0071546E">
        <w:rPr>
          <w:rStyle w:val="selectable"/>
          <w:rFonts w:ascii="Arial" w:eastAsia="Arial Unicode MS" w:hAnsi="Arial" w:cs="Arial"/>
          <w:color w:val="000000"/>
          <w:lang w:val="en"/>
        </w:rPr>
        <w:t xml:space="preserve"> </w:t>
      </w:r>
      <w:r w:rsidRPr="0071546E">
        <w:rPr>
          <w:rFonts w:ascii="Arial" w:eastAsia="Arial Unicode MS" w:hAnsi="Arial" w:cs="Arial"/>
          <w:color w:val="000000"/>
        </w:rPr>
        <w:t>(Chomicz et al., 2016)</w:t>
      </w:r>
      <w:r w:rsidR="001469EE" w:rsidRPr="0071546E">
        <w:rPr>
          <w:rFonts w:ascii="Arial" w:eastAsia="Arial Unicode MS" w:hAnsi="Arial" w:cs="Arial"/>
          <w:color w:val="000000"/>
          <w:lang w:val="en"/>
        </w:rPr>
        <w:t xml:space="preserve">. </w:t>
      </w:r>
      <w:r w:rsidRPr="0071546E">
        <w:rPr>
          <w:rFonts w:ascii="Arial" w:eastAsia="Arial Unicode MS" w:hAnsi="Arial" w:cs="Arial"/>
        </w:rPr>
        <w:t xml:space="preserve">Several complications </w:t>
      </w:r>
      <w:r w:rsidR="00570F51" w:rsidRPr="0071546E">
        <w:rPr>
          <w:rFonts w:ascii="Arial" w:eastAsia="Arial Unicode MS" w:hAnsi="Arial" w:cs="Arial"/>
        </w:rPr>
        <w:t>based on</w:t>
      </w:r>
      <w:r w:rsidRPr="0071546E">
        <w:rPr>
          <w:rFonts w:ascii="Arial" w:eastAsia="Arial Unicode MS" w:hAnsi="Arial" w:cs="Arial"/>
        </w:rPr>
        <w:t xml:space="preserve"> clinical investigations into the effects of topical steroids on the metabolism of the protozoan and in the inflammatory cascade of the patient ha</w:t>
      </w:r>
      <w:r w:rsidR="004A57D4" w:rsidRPr="0071546E">
        <w:rPr>
          <w:rFonts w:ascii="Arial" w:eastAsia="Arial Unicode MS" w:hAnsi="Arial" w:cs="Arial"/>
        </w:rPr>
        <w:t>ve</w:t>
      </w:r>
      <w:r w:rsidRPr="0071546E">
        <w:rPr>
          <w:rFonts w:ascii="Arial" w:eastAsia="Arial Unicode MS" w:hAnsi="Arial" w:cs="Arial"/>
        </w:rPr>
        <w:t xml:space="preserve"> been previously reported (Liesegang, 2002</w:t>
      </w:r>
      <w:r w:rsidRPr="0071546E">
        <w:rPr>
          <w:rStyle w:val="selectable"/>
          <w:rFonts w:ascii="Arial" w:eastAsia="Arial Unicode MS" w:hAnsi="Arial" w:cs="Arial"/>
        </w:rPr>
        <w:t>)</w:t>
      </w:r>
      <w:r w:rsidRPr="0071546E">
        <w:rPr>
          <w:rFonts w:ascii="Arial" w:eastAsia="Arial Unicode MS" w:hAnsi="Arial" w:cs="Arial"/>
        </w:rPr>
        <w:t>. Available synthetic steroids in ophthalmology used to manage severe inflammation caused by AK are prednisolone, hydrocortisone, dexamethasone and fluorometholone</w:t>
      </w:r>
      <w:r w:rsidRPr="0071546E">
        <w:rPr>
          <w:rStyle w:val="selectable"/>
          <w:rFonts w:ascii="Arial" w:eastAsia="Arial Unicode MS" w:hAnsi="Arial" w:cs="Arial"/>
          <w:color w:val="000000"/>
          <w:lang w:val="en"/>
        </w:rPr>
        <w:t xml:space="preserve"> </w:t>
      </w:r>
      <w:r w:rsidRPr="0071546E">
        <w:rPr>
          <w:rFonts w:ascii="Arial" w:eastAsia="Arial Unicode MS" w:hAnsi="Arial" w:cs="Arial"/>
          <w:color w:val="000000"/>
        </w:rPr>
        <w:t>(Carnt et al., 2016)</w:t>
      </w:r>
      <w:r w:rsidRPr="0071546E">
        <w:rPr>
          <w:rFonts w:ascii="Arial" w:eastAsia="Arial Unicode MS" w:hAnsi="Arial" w:cs="Arial"/>
        </w:rPr>
        <w:t>.  A study has reported the use of prednisolone acetate to treat AK</w:t>
      </w:r>
      <w:r w:rsidR="00C807CE" w:rsidRPr="0071546E">
        <w:rPr>
          <w:rFonts w:ascii="Arial" w:eastAsia="Arial Unicode MS" w:hAnsi="Arial" w:cs="Arial"/>
        </w:rPr>
        <w:t xml:space="preserve"> (Liesegang, 2002).</w:t>
      </w:r>
      <w:r w:rsidRPr="0071546E">
        <w:rPr>
          <w:rFonts w:ascii="Arial" w:eastAsia="Arial Unicode MS" w:hAnsi="Arial" w:cs="Arial"/>
          <w:color w:val="000000"/>
          <w:lang w:val="en"/>
        </w:rPr>
        <w:t xml:space="preserve"> </w:t>
      </w:r>
      <w:r w:rsidRPr="0071546E">
        <w:rPr>
          <w:rFonts w:ascii="Arial" w:eastAsia="Arial Unicode MS" w:hAnsi="Arial" w:cs="Arial"/>
        </w:rPr>
        <w:t xml:space="preserve">The use of these steroids to minimize inflammation caused by AK infection is controversial as it might increase </w:t>
      </w:r>
      <w:r w:rsidR="00432D1D" w:rsidRPr="0071546E">
        <w:rPr>
          <w:rFonts w:ascii="Arial" w:eastAsia="Arial Unicode MS" w:hAnsi="Arial" w:cs="Arial"/>
          <w:i/>
        </w:rPr>
        <w:t>Acanthamoeba</w:t>
      </w:r>
      <w:r w:rsidRPr="0071546E">
        <w:rPr>
          <w:rFonts w:ascii="Arial" w:eastAsia="Arial Unicode MS" w:hAnsi="Arial" w:cs="Arial"/>
        </w:rPr>
        <w:t xml:space="preserve"> pathogenicity, and be associated with worse disease </w:t>
      </w:r>
      <w:r w:rsidR="00C807CE" w:rsidRPr="0071546E">
        <w:rPr>
          <w:rFonts w:ascii="Arial" w:eastAsia="Arial Unicode MS" w:hAnsi="Arial" w:cs="Arial"/>
        </w:rPr>
        <w:t xml:space="preserve">outcome. </w:t>
      </w:r>
      <w:r w:rsidRPr="0071546E">
        <w:rPr>
          <w:rFonts w:ascii="Arial" w:eastAsia="Arial Unicode MS" w:hAnsi="Arial" w:cs="Arial"/>
        </w:rPr>
        <w:t xml:space="preserve">Considering the current knowledge about the safety and efficacy of the available therapeutic compounds for the treatment of </w:t>
      </w:r>
      <w:r w:rsidR="00432D1D" w:rsidRPr="0071546E">
        <w:rPr>
          <w:rFonts w:ascii="Arial" w:eastAsia="Arial Unicode MS" w:hAnsi="Arial" w:cs="Arial"/>
        </w:rPr>
        <w:t>Acanthamoeba</w:t>
      </w:r>
      <w:r w:rsidRPr="0071546E">
        <w:rPr>
          <w:rFonts w:ascii="Arial" w:eastAsia="Arial Unicode MS" w:hAnsi="Arial" w:cs="Arial"/>
        </w:rPr>
        <w:t xml:space="preserve"> keratitis, the biguanides are still the first option; although the benefit of choosing between the two most used biguanide</w:t>
      </w:r>
      <w:r w:rsidR="00142CBD" w:rsidRPr="0071546E">
        <w:rPr>
          <w:rFonts w:ascii="Arial" w:eastAsia="Arial Unicode MS" w:hAnsi="Arial" w:cs="Arial"/>
        </w:rPr>
        <w:t>( poly hexamethylene and chlorhexidine),</w:t>
      </w:r>
      <w:r w:rsidRPr="0071546E">
        <w:rPr>
          <w:rFonts w:ascii="Arial" w:eastAsia="Arial Unicode MS" w:hAnsi="Arial" w:cs="Arial"/>
        </w:rPr>
        <w:t xml:space="preserve"> remain</w:t>
      </w:r>
      <w:r w:rsidR="00142CBD" w:rsidRPr="0071546E">
        <w:rPr>
          <w:rFonts w:ascii="Arial" w:eastAsia="Arial Unicode MS" w:hAnsi="Arial" w:cs="Arial"/>
        </w:rPr>
        <w:t>s</w:t>
      </w:r>
      <w:r w:rsidRPr="0071546E">
        <w:rPr>
          <w:rFonts w:ascii="Arial" w:eastAsia="Arial Unicode MS" w:hAnsi="Arial" w:cs="Arial"/>
        </w:rPr>
        <w:t xml:space="preserve"> unclear.</w:t>
      </w:r>
    </w:p>
    <w:p w:rsidR="001469EE" w:rsidRPr="0071546E" w:rsidRDefault="001469EE" w:rsidP="001469EE">
      <w:pPr>
        <w:pStyle w:val="NormalWeb"/>
        <w:spacing w:line="480" w:lineRule="auto"/>
        <w:ind w:left="1021" w:right="454"/>
        <w:jc w:val="both"/>
        <w:rPr>
          <w:rFonts w:ascii="Arial" w:eastAsia="Arial Unicode MS" w:hAnsi="Arial" w:cs="Arial"/>
        </w:rPr>
      </w:pPr>
    </w:p>
    <w:p w:rsidR="001469EE" w:rsidRPr="0071546E" w:rsidRDefault="00725033" w:rsidP="001469EE">
      <w:pPr>
        <w:pStyle w:val="NormalWeb"/>
        <w:spacing w:line="480" w:lineRule="auto"/>
        <w:ind w:left="1021" w:right="454"/>
        <w:jc w:val="both"/>
        <w:rPr>
          <w:rFonts w:ascii="Arial" w:eastAsia="Arial Unicode MS" w:hAnsi="Arial" w:cs="Arial"/>
        </w:rPr>
      </w:pPr>
      <w:r w:rsidRPr="0071546E">
        <w:rPr>
          <w:rFonts w:ascii="Arial" w:eastAsia="Arial Unicode MS" w:hAnsi="Arial" w:cs="Arial"/>
        </w:rPr>
        <w:t xml:space="preserve"> The </w:t>
      </w:r>
      <w:r w:rsidR="00D169D6" w:rsidRPr="0071546E">
        <w:rPr>
          <w:rFonts w:ascii="Arial" w:eastAsia="Arial Unicode MS" w:hAnsi="Arial" w:cs="Arial"/>
        </w:rPr>
        <w:t>biguanides</w:t>
      </w:r>
      <w:r w:rsidRPr="0071546E">
        <w:rPr>
          <w:rFonts w:ascii="Arial" w:eastAsia="Arial Unicode MS" w:hAnsi="Arial" w:cs="Arial"/>
        </w:rPr>
        <w:t xml:space="preserve"> molecular weight affects permeability through the cornea, which explains better clinical outcome using chlorhexidine.  Shown in Table 1.1 are drugs and antimicrobial compounds that have shown </w:t>
      </w:r>
      <w:r w:rsidR="004A57D4" w:rsidRPr="0071546E">
        <w:rPr>
          <w:rFonts w:ascii="Arial" w:eastAsia="Arial Unicode MS" w:hAnsi="Arial" w:cs="Arial"/>
        </w:rPr>
        <w:t xml:space="preserve">the </w:t>
      </w:r>
      <w:r w:rsidRPr="0071546E">
        <w:rPr>
          <w:rFonts w:ascii="Arial" w:eastAsia="Arial Unicode MS" w:hAnsi="Arial" w:cs="Arial"/>
        </w:rPr>
        <w:t xml:space="preserve">significant therapeutic effect on </w:t>
      </w:r>
      <w:r w:rsidR="00432D1D" w:rsidRPr="0071546E">
        <w:rPr>
          <w:rFonts w:ascii="Arial" w:eastAsia="Arial Unicode MS" w:hAnsi="Arial" w:cs="Arial"/>
          <w:i/>
        </w:rPr>
        <w:t>Acanthamoeba</w:t>
      </w:r>
      <w:r w:rsidRPr="0071546E">
        <w:rPr>
          <w:rFonts w:ascii="Arial" w:eastAsia="Arial Unicode MS" w:hAnsi="Arial" w:cs="Arial"/>
        </w:rPr>
        <w:t xml:space="preserve"> and their minimal inhibitory concentrations. Among them is Miltefosine a drug originally formulated as an anti-parasitic drug but now have gained orphan drug profile for </w:t>
      </w:r>
      <w:r w:rsidR="004A57D4" w:rsidRPr="0071546E">
        <w:rPr>
          <w:rFonts w:ascii="Arial" w:eastAsia="Arial Unicode MS" w:hAnsi="Arial" w:cs="Arial"/>
        </w:rPr>
        <w:t xml:space="preserve">the </w:t>
      </w:r>
      <w:r w:rsidRPr="0071546E">
        <w:rPr>
          <w:rFonts w:ascii="Arial" w:eastAsia="Arial Unicode MS" w:hAnsi="Arial" w:cs="Arial"/>
        </w:rPr>
        <w:t xml:space="preserve">treatment of </w:t>
      </w:r>
      <w:r w:rsidR="00432D1D" w:rsidRPr="0071546E">
        <w:rPr>
          <w:rFonts w:ascii="Arial" w:eastAsia="Arial Unicode MS" w:hAnsi="Arial" w:cs="Arial"/>
          <w:i/>
        </w:rPr>
        <w:t>Acanthamoeba</w:t>
      </w:r>
      <w:r w:rsidRPr="0071546E">
        <w:rPr>
          <w:rFonts w:ascii="Arial" w:eastAsia="Arial Unicode MS" w:hAnsi="Arial" w:cs="Arial"/>
        </w:rPr>
        <w:t xml:space="preserve"> infections in the</w:t>
      </w:r>
      <w:r w:rsidR="004A57D4" w:rsidRPr="0071546E">
        <w:rPr>
          <w:rFonts w:ascii="Arial" w:eastAsia="Arial Unicode MS" w:hAnsi="Arial" w:cs="Arial"/>
        </w:rPr>
        <w:t xml:space="preserve"> United </w:t>
      </w:r>
      <w:r w:rsidR="00486E52" w:rsidRPr="0071546E">
        <w:rPr>
          <w:rFonts w:ascii="Arial" w:eastAsia="Arial Unicode MS" w:hAnsi="Arial" w:cs="Arial"/>
        </w:rPr>
        <w:t>S</w:t>
      </w:r>
      <w:r w:rsidR="004A57D4" w:rsidRPr="0071546E">
        <w:rPr>
          <w:rFonts w:ascii="Arial" w:eastAsia="Arial Unicode MS" w:hAnsi="Arial" w:cs="Arial"/>
        </w:rPr>
        <w:t>tates.</w:t>
      </w:r>
    </w:p>
    <w:p w:rsidR="001469EE" w:rsidRPr="0071546E" w:rsidRDefault="001469EE" w:rsidP="001469EE">
      <w:pPr>
        <w:pStyle w:val="NormalWeb"/>
        <w:ind w:left="1021" w:right="454"/>
        <w:jc w:val="both"/>
        <w:rPr>
          <w:rFonts w:ascii="Arial" w:eastAsiaTheme="minorEastAsia" w:hAnsi="Arial" w:cs="Arial"/>
          <w:color w:val="000000" w:themeColor="text1"/>
          <w:kern w:val="24"/>
          <w:sz w:val="20"/>
          <w:szCs w:val="20"/>
        </w:rPr>
      </w:pPr>
      <w:r w:rsidRPr="0071546E">
        <w:rPr>
          <w:rFonts w:ascii="Arial" w:hAnsi="Arial" w:cs="Arial"/>
          <w:sz w:val="20"/>
          <w:szCs w:val="20"/>
        </w:rPr>
        <w:t>Table 1.1 Minimal amoebicidal concentrations of compounds investigated against cysts and trophozoite of Acanthamoeba spp. (nd) means no data. The US FDA in 2017 accepted Miltefosine for treatment of AK in 2016 and has</w:t>
      </w:r>
      <w:r w:rsidRPr="0071546E">
        <w:rPr>
          <w:rFonts w:ascii="Arial" w:eastAsiaTheme="minorEastAsia" w:hAnsi="Arial" w:cs="Arial"/>
          <w:color w:val="000000" w:themeColor="text1"/>
          <w:kern w:val="24"/>
          <w:sz w:val="20"/>
          <w:szCs w:val="20"/>
        </w:rPr>
        <w:t xml:space="preserve"> to treat a resistant case of keratitis in England in 2017</w:t>
      </w:r>
    </w:p>
    <w:p w:rsidR="001469EE" w:rsidRPr="0071546E" w:rsidRDefault="001469EE" w:rsidP="001469EE">
      <w:pPr>
        <w:pStyle w:val="NormalWeb"/>
        <w:ind w:left="1021" w:right="454"/>
        <w:jc w:val="both"/>
        <w:rPr>
          <w:rFonts w:ascii="Arial" w:eastAsia="Arial Unicode MS" w:hAnsi="Arial" w:cs="Arial"/>
          <w:color w:val="000000"/>
          <w:lang w:val="en"/>
        </w:rPr>
      </w:pPr>
      <w:r w:rsidRPr="0071546E">
        <w:rPr>
          <w:noProof/>
        </w:rPr>
        <w:drawing>
          <wp:inline distT="0" distB="0" distL="0" distR="0" wp14:anchorId="2DCFD175" wp14:editId="73D19A0C">
            <wp:extent cx="4801870" cy="407212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6908" cy="4118802"/>
                    </a:xfrm>
                    <a:prstGeom prst="rect">
                      <a:avLst/>
                    </a:prstGeom>
                  </pic:spPr>
                </pic:pic>
              </a:graphicData>
            </a:graphic>
          </wp:inline>
        </w:drawing>
      </w:r>
    </w:p>
    <w:p w:rsidR="001469EE" w:rsidRPr="0071546E" w:rsidRDefault="001469EE" w:rsidP="001469EE">
      <w:pPr>
        <w:pStyle w:val="Heading2"/>
        <w:ind w:right="454"/>
      </w:pPr>
      <w:bookmarkStart w:id="20" w:name="_Toc14711389"/>
    </w:p>
    <w:p w:rsidR="00142CBD" w:rsidRPr="0071546E" w:rsidRDefault="00142CBD" w:rsidP="00142CBD">
      <w:pPr>
        <w:rPr>
          <w:lang w:eastAsia="en-GB"/>
        </w:rPr>
      </w:pPr>
    </w:p>
    <w:p w:rsidR="00725033" w:rsidRPr="0071546E" w:rsidRDefault="001469EE" w:rsidP="001469EE">
      <w:pPr>
        <w:pStyle w:val="Heading2"/>
        <w:ind w:right="454"/>
      </w:pPr>
      <w:r w:rsidRPr="0071546E">
        <w:t xml:space="preserve">              </w:t>
      </w:r>
      <w:r w:rsidR="00725033" w:rsidRPr="0071546E">
        <w:t>1.4 Photodynamic therapy</w:t>
      </w:r>
      <w:r w:rsidR="00C532C0" w:rsidRPr="0071546E">
        <w:t xml:space="preserve"> (PDT)</w:t>
      </w:r>
      <w:bookmarkEnd w:id="20"/>
    </w:p>
    <w:p w:rsidR="00DE5FDE" w:rsidRPr="0071546E" w:rsidRDefault="00382E65" w:rsidP="00382E65">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Photodynamic therapy (PDT) uses the combination of a photoactive compound, in the presence of a sufficient amount of oxygen and light of appropriate wavelength to cause targeted damage to a specific tissue or microorganism.  </w:t>
      </w:r>
      <w:r w:rsidR="00725033" w:rsidRPr="0071546E">
        <w:rPr>
          <w:rFonts w:ascii="Arial" w:eastAsia="Times New Roman" w:hAnsi="Arial" w:cs="Arial"/>
          <w:sz w:val="24"/>
          <w:szCs w:val="24"/>
          <w:lang w:eastAsia="en-GB"/>
        </w:rPr>
        <w:t xml:space="preserve">Early experiments by Oscar Raab stirred the interest in photodynamic therapy as a therapeutic modality. </w:t>
      </w:r>
      <w:r w:rsidR="00C532C0" w:rsidRPr="0071546E">
        <w:rPr>
          <w:rFonts w:ascii="Arial" w:eastAsia="Times New Roman" w:hAnsi="Arial" w:cs="Arial"/>
          <w:sz w:val="24"/>
          <w:szCs w:val="24"/>
          <w:lang w:eastAsia="en-GB"/>
        </w:rPr>
        <w:t>Alt</w:t>
      </w:r>
      <w:r w:rsidR="00725033" w:rsidRPr="0071546E">
        <w:rPr>
          <w:rFonts w:ascii="Arial" w:eastAsia="Times New Roman" w:hAnsi="Arial" w:cs="Arial"/>
          <w:sz w:val="24"/>
          <w:szCs w:val="24"/>
          <w:lang w:eastAsia="en-GB"/>
        </w:rPr>
        <w:t xml:space="preserve">hough there are several reports of the use of photosensitisation reactions by Chinese, Indian and Egyptian scientists 30 centuries ago, </w:t>
      </w:r>
      <w:r w:rsidR="00C532C0" w:rsidRPr="0071546E">
        <w:rPr>
          <w:rFonts w:ascii="Arial" w:eastAsia="Times New Roman" w:hAnsi="Arial" w:cs="Arial"/>
          <w:sz w:val="24"/>
          <w:szCs w:val="24"/>
          <w:lang w:eastAsia="en-GB"/>
        </w:rPr>
        <w:t xml:space="preserve">the use of PDT in </w:t>
      </w:r>
      <w:r w:rsidR="00725033" w:rsidRPr="0071546E">
        <w:rPr>
          <w:rFonts w:ascii="Arial" w:eastAsia="Times New Roman" w:hAnsi="Arial" w:cs="Arial"/>
          <w:sz w:val="24"/>
          <w:szCs w:val="24"/>
          <w:lang w:eastAsia="en-GB"/>
        </w:rPr>
        <w:t>the contemporary period has been recognised to start 1900 (Sorbellini, Rucco and Rinaldi, 2018). Oscar Raab studied medicine under the supervision of Hermann von Tappeiner at the Ludwig-Maximillian University in Munich. Raa</w:t>
      </w:r>
      <w:r w:rsidR="00C532C0" w:rsidRPr="0071546E">
        <w:rPr>
          <w:rFonts w:ascii="Arial" w:eastAsia="Times New Roman" w:hAnsi="Arial" w:cs="Arial"/>
          <w:sz w:val="24"/>
          <w:szCs w:val="24"/>
          <w:lang w:eastAsia="en-GB"/>
        </w:rPr>
        <w:t>b while</w:t>
      </w:r>
      <w:r w:rsidR="00725033" w:rsidRPr="0071546E">
        <w:rPr>
          <w:rFonts w:ascii="Arial" w:eastAsia="Times New Roman" w:hAnsi="Arial" w:cs="Arial"/>
          <w:sz w:val="24"/>
          <w:szCs w:val="24"/>
          <w:lang w:eastAsia="en-GB"/>
        </w:rPr>
        <w:t xml:space="preserve"> investigating the toxicit</w:t>
      </w:r>
      <w:r w:rsidR="00C532C0" w:rsidRPr="0071546E">
        <w:rPr>
          <w:rFonts w:ascii="Arial" w:eastAsia="Times New Roman" w:hAnsi="Arial" w:cs="Arial"/>
          <w:sz w:val="24"/>
          <w:szCs w:val="24"/>
          <w:lang w:eastAsia="en-GB"/>
        </w:rPr>
        <w:t>y of acridine on paramecia,</w:t>
      </w:r>
      <w:r w:rsidR="00725033" w:rsidRPr="0071546E">
        <w:rPr>
          <w:rFonts w:ascii="Arial" w:eastAsia="Times New Roman" w:hAnsi="Arial" w:cs="Arial"/>
          <w:sz w:val="24"/>
          <w:szCs w:val="24"/>
          <w:lang w:eastAsia="en-GB"/>
        </w:rPr>
        <w:t xml:space="preserve"> discovered that the response of paramecia to acridine differs depending on the time of the day. The toxicity around midday was greatest. Raab noticed that the amount of light entering the laboratory where he worked</w:t>
      </w:r>
      <w:r w:rsidR="00C532C0" w:rsidRPr="0071546E">
        <w:rPr>
          <w:rFonts w:ascii="Arial" w:eastAsia="Times New Roman" w:hAnsi="Arial" w:cs="Arial"/>
          <w:sz w:val="24"/>
          <w:szCs w:val="24"/>
          <w:lang w:eastAsia="en-GB"/>
        </w:rPr>
        <w:t xml:space="preserve"> as an important variable. He</w:t>
      </w:r>
      <w:r w:rsidR="00725033" w:rsidRPr="0071546E">
        <w:rPr>
          <w:rFonts w:ascii="Arial" w:eastAsia="Times New Roman" w:hAnsi="Arial" w:cs="Arial"/>
          <w:sz w:val="24"/>
          <w:szCs w:val="24"/>
          <w:lang w:eastAsia="en-GB"/>
        </w:rPr>
        <w:t xml:space="preserve"> subsequently demonstrated that the paramecium</w:t>
      </w:r>
      <w:r w:rsidR="004A57D4" w:rsidRPr="0071546E">
        <w:rPr>
          <w:rFonts w:ascii="Arial" w:eastAsia="Times New Roman" w:hAnsi="Arial" w:cs="Arial"/>
          <w:sz w:val="24"/>
          <w:szCs w:val="24"/>
          <w:lang w:eastAsia="en-GB"/>
        </w:rPr>
        <w:t>, when incubated with acridine solution,</w:t>
      </w:r>
      <w:r w:rsidR="00725033" w:rsidRPr="0071546E">
        <w:rPr>
          <w:rFonts w:ascii="Arial" w:eastAsia="Times New Roman" w:hAnsi="Arial" w:cs="Arial"/>
          <w:sz w:val="24"/>
          <w:szCs w:val="24"/>
          <w:lang w:eastAsia="en-GB"/>
        </w:rPr>
        <w:t xml:space="preserve"> were inactivated more efficiently when exposed to light than when in the dark. This result was published in 1900, giving rise to increased interest in photochemistry as a possible therapeutic modality.</w:t>
      </w:r>
    </w:p>
    <w:p w:rsidR="00725033" w:rsidRPr="0071546E" w:rsidRDefault="00725033"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The interaction between light and the photosensitiser (PS) generates reactive oxygen species (ROS), e.g. singlet oxygen (</w:t>
      </w:r>
      <w:r w:rsidRPr="0071546E">
        <w:rPr>
          <w:rFonts w:ascii="Arial" w:eastAsia="Times New Roman" w:hAnsi="Arial" w:cs="Arial"/>
          <w:sz w:val="24"/>
          <w:szCs w:val="24"/>
          <w:vertAlign w:val="superscript"/>
          <w:lang w:eastAsia="en-GB"/>
        </w:rPr>
        <w:t>1</w:t>
      </w:r>
      <w:r w:rsidRPr="0071546E">
        <w:rPr>
          <w:rFonts w:ascii="Arial" w:eastAsia="Times New Roman" w:hAnsi="Arial" w:cs="Arial"/>
          <w:sz w:val="24"/>
          <w:szCs w:val="24"/>
          <w:lang w:eastAsia="en-GB"/>
        </w:rPr>
        <w:t>O</w:t>
      </w:r>
      <w:r w:rsidRPr="0071546E">
        <w:rPr>
          <w:rFonts w:ascii="Arial" w:eastAsia="Times New Roman" w:hAnsi="Arial" w:cs="Arial"/>
          <w:sz w:val="24"/>
          <w:szCs w:val="24"/>
          <w:vertAlign w:val="subscript"/>
          <w:lang w:eastAsia="en-GB"/>
        </w:rPr>
        <w:t>2</w:t>
      </w:r>
      <w:r w:rsidRPr="0071546E">
        <w:rPr>
          <w:rFonts w:ascii="Arial" w:eastAsia="Times New Roman" w:hAnsi="Arial" w:cs="Arial"/>
          <w:sz w:val="24"/>
          <w:szCs w:val="24"/>
          <w:lang w:eastAsia="en-GB"/>
        </w:rPr>
        <w:t>).</w:t>
      </w:r>
    </w:p>
    <w:p w:rsidR="00382E65" w:rsidRPr="0071546E" w:rsidRDefault="00382E65" w:rsidP="00CF13FE">
      <w:pPr>
        <w:spacing w:after="0" w:line="480" w:lineRule="auto"/>
        <w:ind w:left="1021" w:right="454"/>
        <w:jc w:val="both"/>
        <w:rPr>
          <w:rFonts w:ascii="Arial" w:eastAsia="Times New Roman" w:hAnsi="Arial" w:cs="Arial"/>
          <w:sz w:val="24"/>
          <w:szCs w:val="24"/>
          <w:lang w:eastAsia="en-GB"/>
        </w:rPr>
      </w:pPr>
    </w:p>
    <w:p w:rsidR="00382E65" w:rsidRPr="0071546E" w:rsidRDefault="00382E65" w:rsidP="00CF13FE">
      <w:pPr>
        <w:spacing w:after="0" w:line="480" w:lineRule="auto"/>
        <w:ind w:left="1021" w:right="454"/>
        <w:jc w:val="both"/>
        <w:rPr>
          <w:rFonts w:ascii="Arial" w:eastAsia="Times New Roman" w:hAnsi="Arial" w:cs="Arial"/>
          <w:sz w:val="24"/>
          <w:szCs w:val="24"/>
          <w:lang w:eastAsia="en-GB"/>
        </w:rPr>
      </w:pPr>
    </w:p>
    <w:p w:rsidR="00725033" w:rsidRPr="0071546E" w:rsidRDefault="00725033"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Photodynamic therapy has been accepted as a therapeutic method of management of several kinds of cancers</w:t>
      </w:r>
      <w:r w:rsidRPr="0071546E">
        <w:rPr>
          <w:rFonts w:ascii="Arial" w:hAnsi="Arial" w:cs="Arial"/>
          <w:color w:val="000000"/>
          <w:sz w:val="24"/>
          <w:szCs w:val="24"/>
        </w:rPr>
        <w:t xml:space="preserve"> </w:t>
      </w:r>
      <w:r w:rsidRPr="0071546E">
        <w:rPr>
          <w:rFonts w:ascii="Arial" w:eastAsia="Times New Roman" w:hAnsi="Arial" w:cs="Arial"/>
          <w:sz w:val="24"/>
          <w:szCs w:val="24"/>
          <w:lang w:eastAsia="en-GB"/>
        </w:rPr>
        <w:t>(Akimoto et al., 2019). The use of PDT as a treatment for cancer is particularly interesting because of its specificity and selectivity. This is because the PS usually concentrates on the malignant tissue</w:t>
      </w:r>
      <w:r w:rsidR="00382E65" w:rsidRPr="0071546E">
        <w:rPr>
          <w:rFonts w:ascii="Arial" w:eastAsia="Times New Roman" w:hAnsi="Arial" w:cs="Arial"/>
          <w:sz w:val="24"/>
          <w:szCs w:val="24"/>
          <w:lang w:eastAsia="en-GB"/>
        </w:rPr>
        <w:t xml:space="preserve"> (cellular mechanisms which remove foreign materials from malignant cells are not functional).</w:t>
      </w:r>
      <w:r w:rsidRPr="0071546E">
        <w:rPr>
          <w:rFonts w:ascii="Arial" w:eastAsia="Times New Roman" w:hAnsi="Arial" w:cs="Arial"/>
          <w:sz w:val="24"/>
          <w:szCs w:val="24"/>
          <w:lang w:eastAsia="en-GB"/>
        </w:rPr>
        <w:t xml:space="preserve"> and when illuminated, there is </w:t>
      </w:r>
      <w:r w:rsidR="00A87A14"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 xml:space="preserve">selective destruction of cells limiting adverse effects due to damage to normal cells. For this reason, PDT has become </w:t>
      </w:r>
      <w:r w:rsidR="001469EE" w:rsidRPr="0071546E">
        <w:rPr>
          <w:rFonts w:ascii="Arial" w:eastAsia="Times New Roman" w:hAnsi="Arial" w:cs="Arial"/>
          <w:sz w:val="24"/>
          <w:szCs w:val="24"/>
          <w:lang w:eastAsia="en-GB"/>
        </w:rPr>
        <w:t xml:space="preserve">a </w:t>
      </w:r>
      <w:r w:rsidRPr="0071546E">
        <w:rPr>
          <w:rFonts w:ascii="Arial" w:eastAsia="Times New Roman" w:hAnsi="Arial" w:cs="Arial"/>
          <w:sz w:val="24"/>
          <w:szCs w:val="24"/>
          <w:lang w:eastAsia="en-GB"/>
        </w:rPr>
        <w:t>subject of intense investigation as a potential treatment for localised infections of microbial origin</w:t>
      </w:r>
      <w:r w:rsidR="00D169D6" w:rsidRPr="0071546E">
        <w:rPr>
          <w:rFonts w:ascii="Arial" w:eastAsia="Times New Roman" w:hAnsi="Arial" w:cs="Arial"/>
          <w:sz w:val="24"/>
          <w:szCs w:val="24"/>
          <w:lang w:eastAsia="en-GB"/>
        </w:rPr>
        <w:t>.</w:t>
      </w:r>
    </w:p>
    <w:p w:rsidR="00725033" w:rsidRPr="0071546E" w:rsidRDefault="00725033" w:rsidP="00CF13FE">
      <w:pPr>
        <w:pStyle w:val="Heading2"/>
        <w:ind w:left="1021" w:right="454"/>
      </w:pPr>
      <w:bookmarkStart w:id="21" w:name="_Toc14711390"/>
      <w:r w:rsidRPr="0071546E">
        <w:t xml:space="preserve">1.4.1 Photochemistry and </w:t>
      </w:r>
      <w:r w:rsidR="00570F51" w:rsidRPr="0071546E">
        <w:t>photophysics</w:t>
      </w:r>
      <w:r w:rsidRPr="0071546E">
        <w:t xml:space="preserve"> of PDT</w:t>
      </w:r>
      <w:bookmarkEnd w:id="21"/>
    </w:p>
    <w:p w:rsidR="00DE5FDE" w:rsidRPr="0071546E" w:rsidRDefault="00725033" w:rsidP="005742B8">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The two most important aspects of PDT </w:t>
      </w:r>
      <w:r w:rsidR="00713C05" w:rsidRPr="0071546E">
        <w:rPr>
          <w:rFonts w:ascii="Arial" w:eastAsia="Times New Roman" w:hAnsi="Arial" w:cs="Arial"/>
          <w:sz w:val="24"/>
          <w:szCs w:val="24"/>
          <w:lang w:eastAsia="en-GB"/>
        </w:rPr>
        <w:t>are</w:t>
      </w:r>
      <w:r w:rsidRPr="0071546E">
        <w:rPr>
          <w:rFonts w:ascii="Arial" w:eastAsia="Times New Roman" w:hAnsi="Arial" w:cs="Arial"/>
          <w:sz w:val="24"/>
          <w:szCs w:val="24"/>
          <w:lang w:eastAsia="en-GB"/>
        </w:rPr>
        <w:t xml:space="preserve"> the mechanism of light absor</w:t>
      </w:r>
      <w:r w:rsidR="00713C05" w:rsidRPr="0071546E">
        <w:rPr>
          <w:rFonts w:ascii="Arial" w:eastAsia="Times New Roman" w:hAnsi="Arial" w:cs="Arial"/>
          <w:sz w:val="24"/>
          <w:szCs w:val="24"/>
          <w:lang w:eastAsia="en-GB"/>
        </w:rPr>
        <w:t>ption a</w:t>
      </w:r>
      <w:r w:rsidR="005742B8" w:rsidRPr="0071546E">
        <w:rPr>
          <w:rFonts w:ascii="Arial" w:eastAsia="Times New Roman" w:hAnsi="Arial" w:cs="Arial"/>
          <w:sz w:val="24"/>
          <w:szCs w:val="24"/>
          <w:lang w:eastAsia="en-GB"/>
        </w:rPr>
        <w:t>nd energy transfer see Fig 1.8</w:t>
      </w:r>
      <w:r w:rsidRPr="0071546E">
        <w:rPr>
          <w:rFonts w:ascii="Arial" w:eastAsia="Times New Roman" w:hAnsi="Arial" w:cs="Arial"/>
          <w:sz w:val="24"/>
          <w:szCs w:val="24"/>
          <w:lang w:eastAsia="en-GB"/>
        </w:rPr>
        <w:t xml:space="preserve">. A photosensitizer in its ground state has two electrons with </w:t>
      </w:r>
      <w:r w:rsidR="004A57D4" w:rsidRPr="0071546E">
        <w:rPr>
          <w:rFonts w:ascii="Arial" w:eastAsia="Times New Roman" w:hAnsi="Arial" w:cs="Arial"/>
          <w:sz w:val="24"/>
          <w:szCs w:val="24"/>
          <w:lang w:eastAsia="en-GB"/>
        </w:rPr>
        <w:t xml:space="preserve">an </w:t>
      </w:r>
      <w:r w:rsidRPr="0071546E">
        <w:rPr>
          <w:rFonts w:ascii="Arial" w:eastAsia="Times New Roman" w:hAnsi="Arial" w:cs="Arial"/>
          <w:sz w:val="24"/>
          <w:szCs w:val="24"/>
          <w:lang w:eastAsia="en-GB"/>
        </w:rPr>
        <w:t xml:space="preserve">opposite spin in a low energy molecular orbit; this is called the singlet state. Following the absorption of light energy (photons), one of the electron pairs is elevated to a high –energy orbit while maintaining its spin from the singlet state. This singlet-excited state is transitory and loses its energy by fluorescence emission or </w:t>
      </w:r>
      <w:r w:rsidR="005742B8" w:rsidRPr="0071546E">
        <w:rPr>
          <w:rFonts w:ascii="Arial" w:eastAsia="Times New Roman" w:hAnsi="Arial" w:cs="Arial"/>
          <w:sz w:val="24"/>
          <w:szCs w:val="24"/>
          <w:lang w:eastAsia="en-GB"/>
        </w:rPr>
        <w:t>by internal conversion to heat.</w:t>
      </w:r>
    </w:p>
    <w:p w:rsidR="00725033" w:rsidRPr="0071546E" w:rsidRDefault="00725033"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This excited singlet state photosensitiser can also experience what is known as intersystem crossing where the spin of the excited electron reverses to give rise to a long-lived triplet excited state with electrons that spin in the same </w:t>
      </w:r>
      <w:r w:rsidR="00FE1B4E" w:rsidRPr="0071546E">
        <w:rPr>
          <w:rFonts w:ascii="Arial" w:eastAsia="Times New Roman" w:hAnsi="Arial" w:cs="Arial"/>
          <w:sz w:val="24"/>
          <w:szCs w:val="24"/>
          <w:lang w:eastAsia="en-GB"/>
        </w:rPr>
        <w:t>direction (</w:t>
      </w:r>
      <w:r w:rsidR="005742B8" w:rsidRPr="0071546E">
        <w:rPr>
          <w:rFonts w:ascii="Arial" w:eastAsia="Times New Roman" w:hAnsi="Arial" w:cs="Arial"/>
          <w:sz w:val="24"/>
          <w:szCs w:val="24"/>
          <w:lang w:eastAsia="en-GB"/>
        </w:rPr>
        <w:t>Fig 1.</w:t>
      </w:r>
      <w:r w:rsidR="00382E65" w:rsidRPr="0071546E">
        <w:rPr>
          <w:rFonts w:ascii="Arial" w:eastAsia="Times New Roman" w:hAnsi="Arial" w:cs="Arial"/>
          <w:sz w:val="24"/>
          <w:szCs w:val="24"/>
          <w:lang w:eastAsia="en-GB"/>
        </w:rPr>
        <w:t>7</w:t>
      </w:r>
      <w:r w:rsidRPr="0071546E">
        <w:rPr>
          <w:rFonts w:ascii="Arial" w:eastAsia="Times New Roman" w:hAnsi="Arial" w:cs="Arial"/>
          <w:sz w:val="24"/>
          <w:szCs w:val="24"/>
          <w:lang w:eastAsia="en-GB"/>
        </w:rPr>
        <w:t>)</w:t>
      </w:r>
    </w:p>
    <w:p w:rsidR="00725033" w:rsidRPr="0071546E" w:rsidRDefault="00725033" w:rsidP="00CF13FE">
      <w:pPr>
        <w:spacing w:after="0" w:line="480" w:lineRule="auto"/>
        <w:ind w:left="1021" w:right="454"/>
        <w:rPr>
          <w:rFonts w:ascii="Arial" w:eastAsia="Times New Roman" w:hAnsi="Arial" w:cs="Arial"/>
          <w:sz w:val="24"/>
          <w:szCs w:val="24"/>
          <w:lang w:eastAsia="en-GB"/>
        </w:rPr>
      </w:pPr>
      <w:r w:rsidRPr="0071546E">
        <w:rPr>
          <w:rFonts w:ascii="Arial" w:hAnsi="Arial" w:cs="Arial"/>
          <w:noProof/>
          <w:sz w:val="24"/>
          <w:szCs w:val="24"/>
          <w:lang w:eastAsia="en-GB"/>
        </w:rPr>
        <w:drawing>
          <wp:inline distT="0" distB="0" distL="0" distR="0" wp14:anchorId="11EE09AF" wp14:editId="73F62BFA">
            <wp:extent cx="3246634"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2693" cy="2118496"/>
                    </a:xfrm>
                    <a:prstGeom prst="rect">
                      <a:avLst/>
                    </a:prstGeom>
                  </pic:spPr>
                </pic:pic>
              </a:graphicData>
            </a:graphic>
          </wp:inline>
        </w:drawing>
      </w:r>
    </w:p>
    <w:p w:rsidR="00725033" w:rsidRPr="0071546E" w:rsidRDefault="00725033" w:rsidP="00CF13FE">
      <w:pPr>
        <w:spacing w:after="0" w:line="240" w:lineRule="auto"/>
        <w:ind w:left="1021" w:right="454"/>
        <w:jc w:val="both"/>
        <w:rPr>
          <w:rFonts w:ascii="Arial" w:eastAsia="Times New Roman" w:hAnsi="Arial" w:cs="Arial"/>
          <w:sz w:val="20"/>
          <w:szCs w:val="20"/>
          <w:lang w:eastAsia="en-GB"/>
        </w:rPr>
      </w:pPr>
      <w:r w:rsidRPr="0071546E">
        <w:rPr>
          <w:rFonts w:ascii="Arial" w:eastAsia="Times New Roman" w:hAnsi="Arial" w:cs="Arial"/>
          <w:sz w:val="20"/>
          <w:szCs w:val="20"/>
          <w:lang w:eastAsia="en-GB"/>
        </w:rPr>
        <w:t xml:space="preserve">Fig 1.7 Spin direction of electrons from </w:t>
      </w:r>
      <w:r w:rsidR="004A57D4" w:rsidRPr="0071546E">
        <w:rPr>
          <w:rFonts w:ascii="Arial" w:eastAsia="Times New Roman" w:hAnsi="Arial" w:cs="Arial"/>
          <w:sz w:val="20"/>
          <w:szCs w:val="20"/>
          <w:lang w:eastAsia="en-GB"/>
        </w:rPr>
        <w:t xml:space="preserve">the </w:t>
      </w:r>
      <w:r w:rsidRPr="0071546E">
        <w:rPr>
          <w:rFonts w:ascii="Arial" w:eastAsia="Times New Roman" w:hAnsi="Arial" w:cs="Arial"/>
          <w:sz w:val="20"/>
          <w:szCs w:val="20"/>
          <w:lang w:eastAsia="en-GB"/>
        </w:rPr>
        <w:t xml:space="preserve">ground state to singlet excited state then to the </w:t>
      </w:r>
      <w:r w:rsidR="00D60CFF" w:rsidRPr="0071546E">
        <w:rPr>
          <w:rFonts w:ascii="Arial" w:eastAsia="Times New Roman" w:hAnsi="Arial" w:cs="Arial"/>
          <w:sz w:val="20"/>
          <w:szCs w:val="20"/>
          <w:lang w:eastAsia="en-GB"/>
        </w:rPr>
        <w:t>triplet-excited</w:t>
      </w:r>
      <w:r w:rsidRPr="0071546E">
        <w:rPr>
          <w:rFonts w:ascii="Arial" w:eastAsia="Times New Roman" w:hAnsi="Arial" w:cs="Arial"/>
          <w:sz w:val="20"/>
          <w:szCs w:val="20"/>
          <w:lang w:eastAsia="en-GB"/>
        </w:rPr>
        <w:t xml:space="preserve"> state.</w:t>
      </w:r>
    </w:p>
    <w:p w:rsidR="00725033" w:rsidRPr="0071546E" w:rsidRDefault="00725033" w:rsidP="00CF13FE">
      <w:pPr>
        <w:spacing w:after="0" w:line="480" w:lineRule="auto"/>
        <w:ind w:left="1021" w:right="454"/>
        <w:jc w:val="both"/>
        <w:rPr>
          <w:rFonts w:ascii="Arial" w:eastAsia="Times New Roman" w:hAnsi="Arial" w:cs="Arial"/>
          <w:sz w:val="24"/>
          <w:szCs w:val="24"/>
          <w:lang w:eastAsia="en-GB"/>
        </w:rPr>
      </w:pPr>
    </w:p>
    <w:p w:rsidR="00DE5FDE" w:rsidRPr="0071546E" w:rsidRDefault="00FE1B4E" w:rsidP="005742B8">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    </w:t>
      </w:r>
      <w:r w:rsidR="00725033" w:rsidRPr="0071546E">
        <w:rPr>
          <w:rFonts w:ascii="Arial" w:eastAsia="Times New Roman" w:hAnsi="Arial" w:cs="Arial"/>
          <w:sz w:val="24"/>
          <w:szCs w:val="24"/>
          <w:lang w:eastAsia="en-GB"/>
        </w:rPr>
        <w:t>The triplet-excited state can undergo two different rea</w:t>
      </w:r>
      <w:r w:rsidR="005742B8" w:rsidRPr="0071546E">
        <w:rPr>
          <w:rFonts w:ascii="Arial" w:eastAsia="Times New Roman" w:hAnsi="Arial" w:cs="Arial"/>
          <w:sz w:val="24"/>
          <w:szCs w:val="24"/>
          <w:lang w:eastAsia="en-GB"/>
        </w:rPr>
        <w:t>ctions as shown in fig (1.8</w:t>
      </w:r>
      <w:r w:rsidRPr="0071546E">
        <w:rPr>
          <w:rFonts w:ascii="Arial" w:eastAsia="Times New Roman" w:hAnsi="Arial" w:cs="Arial"/>
          <w:sz w:val="24"/>
          <w:szCs w:val="24"/>
          <w:lang w:eastAsia="en-GB"/>
        </w:rPr>
        <w:t>)</w:t>
      </w:r>
      <w:r w:rsidR="00725033" w:rsidRPr="0071546E">
        <w:rPr>
          <w:rFonts w:ascii="Arial" w:eastAsia="Times New Roman" w:hAnsi="Arial" w:cs="Arial"/>
          <w:sz w:val="24"/>
          <w:szCs w:val="24"/>
          <w:lang w:eastAsia="en-GB"/>
        </w:rPr>
        <w:t xml:space="preserve">. Firstly, in a reaction known as the type I rxn, the triplet state PS can react directly with a substrate like </w:t>
      </w:r>
      <w:r w:rsidR="004A57D4" w:rsidRPr="0071546E">
        <w:rPr>
          <w:rFonts w:ascii="Arial" w:eastAsia="Times New Roman" w:hAnsi="Arial" w:cs="Arial"/>
          <w:sz w:val="24"/>
          <w:szCs w:val="24"/>
          <w:lang w:eastAsia="en-GB"/>
        </w:rPr>
        <w:t>a</w:t>
      </w:r>
      <w:r w:rsidR="00725033" w:rsidRPr="0071546E">
        <w:rPr>
          <w:rFonts w:ascii="Arial" w:eastAsia="Times New Roman" w:hAnsi="Arial" w:cs="Arial"/>
          <w:sz w:val="24"/>
          <w:szCs w:val="24"/>
          <w:lang w:eastAsia="en-GB"/>
        </w:rPr>
        <w:t xml:space="preserve"> cell membrane or a molecule by transferring a proton or electron to form a radical anion or cation</w:t>
      </w:r>
      <w:r w:rsidR="00725033" w:rsidRPr="0071546E">
        <w:rPr>
          <w:rFonts w:ascii="Arial" w:hAnsi="Arial" w:cs="Arial"/>
          <w:color w:val="000000"/>
          <w:sz w:val="24"/>
          <w:szCs w:val="24"/>
        </w:rPr>
        <w:t xml:space="preserve"> </w:t>
      </w:r>
      <w:r w:rsidR="00725033" w:rsidRPr="0071546E">
        <w:rPr>
          <w:rFonts w:ascii="Arial" w:eastAsia="Times New Roman" w:hAnsi="Arial" w:cs="Arial"/>
          <w:sz w:val="24"/>
          <w:szCs w:val="24"/>
          <w:lang w:eastAsia="en-GB"/>
        </w:rPr>
        <w:t>(Martinez De Pinillos Bayona et al., 2017). These radicals can then react with oxygen</w:t>
      </w:r>
      <w:r w:rsidR="00382E65" w:rsidRPr="0071546E">
        <w:rPr>
          <w:rFonts w:ascii="Arial" w:eastAsia="Times New Roman" w:hAnsi="Arial" w:cs="Arial"/>
          <w:sz w:val="24"/>
          <w:szCs w:val="24"/>
          <w:lang w:eastAsia="en-GB"/>
        </w:rPr>
        <w:t>-</w:t>
      </w:r>
      <w:r w:rsidR="00D169D6" w:rsidRPr="0071546E">
        <w:rPr>
          <w:rFonts w:ascii="Arial" w:eastAsia="Times New Roman" w:hAnsi="Arial" w:cs="Arial"/>
          <w:sz w:val="24"/>
          <w:szCs w:val="24"/>
          <w:lang w:eastAsia="en-GB"/>
        </w:rPr>
        <w:t>generating</w:t>
      </w:r>
      <w:r w:rsidR="00725033" w:rsidRPr="0071546E">
        <w:rPr>
          <w:rFonts w:ascii="Arial" w:eastAsia="Times New Roman" w:hAnsi="Arial" w:cs="Arial"/>
          <w:sz w:val="24"/>
          <w:szCs w:val="24"/>
          <w:lang w:eastAsia="en-GB"/>
        </w:rPr>
        <w:t xml:space="preserve"> reactive oxygen species (ROS)</w:t>
      </w:r>
      <w:r w:rsidR="00725033" w:rsidRPr="0071546E">
        <w:rPr>
          <w:rFonts w:ascii="Arial" w:hAnsi="Arial" w:cs="Arial"/>
          <w:color w:val="000000"/>
          <w:sz w:val="24"/>
          <w:szCs w:val="24"/>
        </w:rPr>
        <w:t xml:space="preserve"> </w:t>
      </w:r>
      <w:r w:rsidR="00725033" w:rsidRPr="0071546E">
        <w:rPr>
          <w:rFonts w:ascii="Arial" w:eastAsia="Times New Roman" w:hAnsi="Arial" w:cs="Arial"/>
          <w:sz w:val="24"/>
          <w:szCs w:val="24"/>
          <w:lang w:eastAsia="en-GB"/>
        </w:rPr>
        <w:t>(Zorov, Juhaszova and Sollott, 2014). Alternatively, in the type II rxn, the triplet s</w:t>
      </w:r>
      <w:r w:rsidR="004A57D4" w:rsidRPr="0071546E">
        <w:rPr>
          <w:rFonts w:ascii="Arial" w:eastAsia="Times New Roman" w:hAnsi="Arial" w:cs="Arial"/>
          <w:sz w:val="24"/>
          <w:szCs w:val="24"/>
          <w:lang w:eastAsia="en-GB"/>
        </w:rPr>
        <w:t>t</w:t>
      </w:r>
      <w:r w:rsidR="00725033" w:rsidRPr="0071546E">
        <w:rPr>
          <w:rFonts w:ascii="Arial" w:eastAsia="Times New Roman" w:hAnsi="Arial" w:cs="Arial"/>
          <w:sz w:val="24"/>
          <w:szCs w:val="24"/>
          <w:lang w:eastAsia="en-GB"/>
        </w:rPr>
        <w:t>ate PS can transfer its energy to molecular oxygen to produce an excited state singlet oxygen</w:t>
      </w:r>
      <w:r w:rsidR="00382E65" w:rsidRPr="0071546E">
        <w:rPr>
          <w:rFonts w:ascii="Arial" w:eastAsia="Times New Roman" w:hAnsi="Arial" w:cs="Arial"/>
          <w:sz w:val="24"/>
          <w:szCs w:val="24"/>
          <w:lang w:eastAsia="en-GB"/>
        </w:rPr>
        <w:t xml:space="preserve"> see fig 1.8</w:t>
      </w:r>
      <w:r w:rsidR="00725033" w:rsidRPr="0071546E">
        <w:rPr>
          <w:rFonts w:ascii="Arial" w:eastAsia="Times New Roman" w:hAnsi="Arial" w:cs="Arial"/>
          <w:sz w:val="24"/>
          <w:szCs w:val="24"/>
          <w:lang w:eastAsia="en-GB"/>
        </w:rPr>
        <w:t xml:space="preserve">. Both the type I and the type II reaction can happen at the same time and the ration between the two depends on the type of PS used </w:t>
      </w:r>
      <w:r w:rsidR="004A57D4" w:rsidRPr="0071546E">
        <w:rPr>
          <w:rFonts w:ascii="Arial" w:eastAsia="Times New Roman" w:hAnsi="Arial" w:cs="Arial"/>
          <w:sz w:val="24"/>
          <w:szCs w:val="24"/>
          <w:lang w:eastAsia="en-GB"/>
        </w:rPr>
        <w:t xml:space="preserve">the </w:t>
      </w:r>
      <w:r w:rsidR="00725033" w:rsidRPr="0071546E">
        <w:rPr>
          <w:rFonts w:ascii="Arial" w:eastAsia="Times New Roman" w:hAnsi="Arial" w:cs="Arial"/>
          <w:sz w:val="24"/>
          <w:szCs w:val="24"/>
          <w:lang w:eastAsia="en-GB"/>
        </w:rPr>
        <w:t xml:space="preserve">concentration of substrate and amount of oxygen involved (Huang et al., 2012). </w:t>
      </w:r>
    </w:p>
    <w:p w:rsidR="005742B8" w:rsidRPr="0071546E" w:rsidRDefault="00725033"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Singlet oxygen, are highly reactive and can react with membranes or any biomolecule to induce cell death through o</w:t>
      </w:r>
      <w:r w:rsidR="005742B8" w:rsidRPr="0071546E">
        <w:rPr>
          <w:rFonts w:ascii="Arial" w:eastAsia="Times New Roman" w:hAnsi="Arial" w:cs="Arial"/>
          <w:sz w:val="24"/>
          <w:szCs w:val="24"/>
          <w:lang w:eastAsia="en-GB"/>
        </w:rPr>
        <w:t xml:space="preserve">xidative damage. </w:t>
      </w:r>
    </w:p>
    <w:p w:rsidR="005742B8" w:rsidRPr="0071546E" w:rsidRDefault="005742B8" w:rsidP="00CF13FE">
      <w:pPr>
        <w:spacing w:after="0" w:line="480" w:lineRule="auto"/>
        <w:ind w:left="1021" w:right="454"/>
        <w:jc w:val="both"/>
        <w:rPr>
          <w:rFonts w:ascii="Arial" w:eastAsia="Times New Roman" w:hAnsi="Arial" w:cs="Arial"/>
          <w:sz w:val="24"/>
          <w:szCs w:val="24"/>
          <w:lang w:eastAsia="en-GB"/>
        </w:rPr>
      </w:pPr>
    </w:p>
    <w:p w:rsidR="005742B8" w:rsidRPr="0071546E" w:rsidRDefault="005742B8" w:rsidP="00CF13FE">
      <w:pPr>
        <w:spacing w:after="0" w:line="480" w:lineRule="auto"/>
        <w:ind w:left="1021" w:right="454"/>
        <w:jc w:val="both"/>
        <w:rPr>
          <w:rFonts w:ascii="Arial" w:eastAsia="Times New Roman" w:hAnsi="Arial" w:cs="Arial"/>
          <w:sz w:val="24"/>
          <w:szCs w:val="24"/>
          <w:lang w:eastAsia="en-GB"/>
        </w:rPr>
      </w:pPr>
    </w:p>
    <w:p w:rsidR="00725033" w:rsidRPr="0071546E" w:rsidRDefault="005742B8"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Generally</w:t>
      </w:r>
      <w:r w:rsidR="00725033" w:rsidRPr="0071546E">
        <w:rPr>
          <w:rFonts w:ascii="Arial" w:eastAsia="Times New Roman" w:hAnsi="Arial" w:cs="Arial"/>
          <w:sz w:val="24"/>
          <w:szCs w:val="24"/>
          <w:lang w:eastAsia="en-GB"/>
        </w:rPr>
        <w:t xml:space="preserve">, an ideal PS used in aPDT should have the following features; High </w:t>
      </w:r>
      <w:r w:rsidR="00725033" w:rsidRPr="0071546E">
        <w:rPr>
          <w:rFonts w:ascii="Arial" w:eastAsia="Times New Roman" w:hAnsi="Arial" w:cs="Arial"/>
          <w:sz w:val="24"/>
          <w:szCs w:val="24"/>
          <w:vertAlign w:val="superscript"/>
          <w:lang w:eastAsia="en-GB"/>
        </w:rPr>
        <w:t>1</w:t>
      </w:r>
      <w:r w:rsidR="00725033" w:rsidRPr="0071546E">
        <w:rPr>
          <w:rFonts w:ascii="Arial" w:eastAsia="Times New Roman" w:hAnsi="Arial" w:cs="Arial"/>
          <w:sz w:val="24"/>
          <w:szCs w:val="24"/>
          <w:lang w:eastAsia="en-GB"/>
        </w:rPr>
        <w:t>O</w:t>
      </w:r>
      <w:r w:rsidR="00725033" w:rsidRPr="0071546E">
        <w:rPr>
          <w:rFonts w:ascii="Arial" w:eastAsia="Times New Roman" w:hAnsi="Arial" w:cs="Arial"/>
          <w:sz w:val="24"/>
          <w:szCs w:val="24"/>
          <w:vertAlign w:val="subscript"/>
          <w:lang w:eastAsia="en-GB"/>
        </w:rPr>
        <w:t>2</w:t>
      </w:r>
      <w:r w:rsidR="00725033" w:rsidRPr="0071546E">
        <w:rPr>
          <w:rFonts w:ascii="Arial" w:eastAsia="Times New Roman" w:hAnsi="Arial" w:cs="Arial"/>
          <w:sz w:val="24"/>
          <w:szCs w:val="24"/>
          <w:lang w:eastAsia="en-GB"/>
        </w:rPr>
        <w:t xml:space="preserve"> quantum yield</w:t>
      </w:r>
      <w:r w:rsidR="00725033" w:rsidRPr="0071546E">
        <w:rPr>
          <w:rFonts w:ascii="Arial" w:hAnsi="Arial" w:cs="Arial"/>
          <w:color w:val="000000"/>
          <w:sz w:val="24"/>
          <w:szCs w:val="24"/>
        </w:rPr>
        <w:t xml:space="preserve"> </w:t>
      </w:r>
      <w:r w:rsidR="00725033" w:rsidRPr="0071546E">
        <w:rPr>
          <w:rFonts w:ascii="Arial" w:eastAsia="Times New Roman" w:hAnsi="Arial" w:cs="Arial"/>
          <w:sz w:val="24"/>
          <w:szCs w:val="24"/>
          <w:lang w:eastAsia="en-GB"/>
        </w:rPr>
        <w:t xml:space="preserve">(Zhang et al., 2018), high binding affinity for target microbial cell </w:t>
      </w:r>
      <w:r w:rsidR="00713C05" w:rsidRPr="0071546E">
        <w:rPr>
          <w:rFonts w:ascii="Arial" w:eastAsia="Times New Roman" w:hAnsi="Arial" w:cs="Arial"/>
          <w:sz w:val="24"/>
          <w:szCs w:val="24"/>
          <w:lang w:eastAsia="en-GB"/>
        </w:rPr>
        <w:t>wall,</w:t>
      </w:r>
      <w:r w:rsidR="00725033" w:rsidRPr="0071546E">
        <w:rPr>
          <w:rFonts w:ascii="Arial" w:eastAsia="Times New Roman" w:hAnsi="Arial" w:cs="Arial"/>
          <w:sz w:val="24"/>
          <w:szCs w:val="24"/>
          <w:lang w:eastAsia="en-GB"/>
        </w:rPr>
        <w:t xml:space="preserve"> low binding affinity to mammalian cells (Rovaldi et al., 2000) and low chemical toxicity and mutagenicity (Castano, Demidova and Hamblin, 2004)</w:t>
      </w:r>
    </w:p>
    <w:p w:rsidR="00725033" w:rsidRPr="0071546E" w:rsidRDefault="00725033" w:rsidP="00CF13FE">
      <w:pPr>
        <w:spacing w:after="0" w:line="480" w:lineRule="auto"/>
        <w:ind w:left="1021" w:right="454"/>
        <w:jc w:val="both"/>
        <w:rPr>
          <w:rFonts w:ascii="Arial" w:eastAsia="Times New Roman" w:hAnsi="Arial" w:cs="Arial"/>
          <w:sz w:val="24"/>
          <w:szCs w:val="24"/>
          <w:lang w:eastAsia="en-GB"/>
        </w:rPr>
      </w:pPr>
      <w:r w:rsidRPr="0071546E">
        <w:rPr>
          <w:rFonts w:ascii="Arial" w:hAnsi="Arial" w:cs="Arial"/>
          <w:noProof/>
          <w:sz w:val="24"/>
          <w:szCs w:val="24"/>
          <w:lang w:eastAsia="en-GB"/>
        </w:rPr>
        <w:t xml:space="preserve">   </w:t>
      </w:r>
      <w:r w:rsidRPr="0071546E">
        <w:rPr>
          <w:rFonts w:ascii="Arial" w:hAnsi="Arial" w:cs="Arial"/>
          <w:noProof/>
          <w:sz w:val="24"/>
          <w:szCs w:val="24"/>
          <w:lang w:eastAsia="en-GB"/>
        </w:rPr>
        <w:drawing>
          <wp:inline distT="0" distB="0" distL="0" distR="0" wp14:anchorId="460218DF" wp14:editId="5980F103">
            <wp:extent cx="4627984" cy="333629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0261" cy="3467693"/>
                    </a:xfrm>
                    <a:prstGeom prst="rect">
                      <a:avLst/>
                    </a:prstGeom>
                  </pic:spPr>
                </pic:pic>
              </a:graphicData>
            </a:graphic>
          </wp:inline>
        </w:drawing>
      </w:r>
    </w:p>
    <w:p w:rsidR="00957515" w:rsidRPr="0071546E" w:rsidRDefault="00725033" w:rsidP="00CF13FE">
      <w:pPr>
        <w:spacing w:after="0" w:line="240" w:lineRule="auto"/>
        <w:ind w:left="1021" w:right="454"/>
        <w:jc w:val="both"/>
        <w:rPr>
          <w:rFonts w:ascii="Arial" w:eastAsia="Times New Roman" w:hAnsi="Arial" w:cs="Arial"/>
          <w:sz w:val="20"/>
          <w:szCs w:val="20"/>
          <w:lang w:eastAsia="en-GB"/>
        </w:rPr>
      </w:pPr>
      <w:r w:rsidRPr="0071546E">
        <w:rPr>
          <w:rFonts w:ascii="Arial" w:eastAsia="Times New Roman" w:hAnsi="Arial" w:cs="Arial"/>
          <w:sz w:val="20"/>
          <w:szCs w:val="20"/>
          <w:lang w:eastAsia="en-GB"/>
        </w:rPr>
        <w:t xml:space="preserve">Fig (1.8) The Type I and Type II processes of photodynamic therapy. Visible light of </w:t>
      </w:r>
      <w:r w:rsidR="004A57D4" w:rsidRPr="0071546E">
        <w:rPr>
          <w:rFonts w:ascii="Arial" w:eastAsia="Times New Roman" w:hAnsi="Arial" w:cs="Arial"/>
          <w:sz w:val="20"/>
          <w:szCs w:val="20"/>
          <w:lang w:eastAsia="en-GB"/>
        </w:rPr>
        <w:t xml:space="preserve">the </w:t>
      </w:r>
      <w:r w:rsidRPr="0071546E">
        <w:rPr>
          <w:rFonts w:ascii="Arial" w:eastAsia="Times New Roman" w:hAnsi="Arial" w:cs="Arial"/>
          <w:sz w:val="20"/>
          <w:szCs w:val="20"/>
          <w:lang w:eastAsia="en-GB"/>
        </w:rPr>
        <w:t>required wavelength is absorbed by the PS molecule, causing the molecule to change from its ground state (S</w:t>
      </w:r>
      <w:r w:rsidRPr="0071546E">
        <w:rPr>
          <w:rFonts w:ascii="Arial" w:eastAsia="Times New Roman" w:hAnsi="Arial" w:cs="Arial"/>
          <w:sz w:val="20"/>
          <w:szCs w:val="20"/>
          <w:vertAlign w:val="subscript"/>
          <w:lang w:eastAsia="en-GB"/>
        </w:rPr>
        <w:t>O</w:t>
      </w:r>
      <w:r w:rsidR="00563D9A" w:rsidRPr="0071546E">
        <w:rPr>
          <w:rFonts w:ascii="Arial" w:eastAsia="Times New Roman" w:hAnsi="Arial" w:cs="Arial"/>
          <w:sz w:val="20"/>
          <w:szCs w:val="20"/>
          <w:lang w:eastAsia="en-GB"/>
        </w:rPr>
        <w:t>) to an energetically e</w:t>
      </w:r>
      <w:r w:rsidRPr="0071546E">
        <w:rPr>
          <w:rFonts w:ascii="Arial" w:eastAsia="Times New Roman" w:hAnsi="Arial" w:cs="Arial"/>
          <w:sz w:val="20"/>
          <w:szCs w:val="20"/>
          <w:lang w:eastAsia="en-GB"/>
        </w:rPr>
        <w:t>xcited</w:t>
      </w:r>
      <w:r w:rsidR="00563D9A" w:rsidRPr="0071546E">
        <w:rPr>
          <w:rFonts w:ascii="Arial" w:eastAsia="Times New Roman" w:hAnsi="Arial" w:cs="Arial"/>
          <w:sz w:val="20"/>
          <w:szCs w:val="20"/>
          <w:lang w:eastAsia="en-GB"/>
        </w:rPr>
        <w:t>-</w:t>
      </w:r>
      <w:r w:rsidRPr="0071546E">
        <w:rPr>
          <w:rFonts w:ascii="Arial" w:eastAsia="Times New Roman" w:hAnsi="Arial" w:cs="Arial"/>
          <w:sz w:val="20"/>
          <w:szCs w:val="20"/>
          <w:lang w:eastAsia="en-GB"/>
        </w:rPr>
        <w:t>state (S</w:t>
      </w:r>
      <w:r w:rsidRPr="0071546E">
        <w:rPr>
          <w:rFonts w:ascii="Arial" w:eastAsia="Times New Roman" w:hAnsi="Arial" w:cs="Arial"/>
          <w:sz w:val="20"/>
          <w:szCs w:val="20"/>
          <w:vertAlign w:val="subscript"/>
          <w:lang w:eastAsia="en-GB"/>
        </w:rPr>
        <w:t>1</w:t>
      </w:r>
      <w:r w:rsidRPr="0071546E">
        <w:rPr>
          <w:rFonts w:ascii="Arial" w:eastAsia="Times New Roman" w:hAnsi="Arial" w:cs="Arial"/>
          <w:sz w:val="20"/>
          <w:szCs w:val="20"/>
          <w:lang w:eastAsia="en-GB"/>
        </w:rPr>
        <w:t xml:space="preserve">). Here the Ps is able </w:t>
      </w:r>
      <w:r w:rsidR="004A57D4" w:rsidRPr="0071546E">
        <w:rPr>
          <w:rFonts w:ascii="Arial" w:eastAsia="Times New Roman" w:hAnsi="Arial" w:cs="Arial"/>
          <w:sz w:val="20"/>
          <w:szCs w:val="20"/>
          <w:lang w:eastAsia="en-GB"/>
        </w:rPr>
        <w:t xml:space="preserve">to </w:t>
      </w:r>
      <w:r w:rsidRPr="0071546E">
        <w:rPr>
          <w:rFonts w:ascii="Arial" w:eastAsia="Times New Roman" w:hAnsi="Arial" w:cs="Arial"/>
          <w:sz w:val="20"/>
          <w:szCs w:val="20"/>
          <w:lang w:eastAsia="en-GB"/>
        </w:rPr>
        <w:t>transform from a singlet</w:t>
      </w:r>
      <w:r w:rsidR="00563D9A" w:rsidRPr="0071546E">
        <w:rPr>
          <w:rFonts w:ascii="Arial" w:eastAsia="Times New Roman" w:hAnsi="Arial" w:cs="Arial"/>
          <w:sz w:val="20"/>
          <w:szCs w:val="20"/>
          <w:lang w:eastAsia="en-GB"/>
        </w:rPr>
        <w:t xml:space="preserve"> </w:t>
      </w:r>
      <w:r w:rsidRPr="0071546E">
        <w:rPr>
          <w:rFonts w:ascii="Arial" w:eastAsia="Times New Roman" w:hAnsi="Arial" w:cs="Arial"/>
          <w:sz w:val="20"/>
          <w:szCs w:val="20"/>
          <w:lang w:eastAsia="en-GB"/>
        </w:rPr>
        <w:t>excited state to a triplet state (T</w:t>
      </w:r>
      <w:r w:rsidRPr="0071546E">
        <w:rPr>
          <w:rFonts w:ascii="Arial" w:eastAsia="Times New Roman" w:hAnsi="Arial" w:cs="Arial"/>
          <w:sz w:val="20"/>
          <w:szCs w:val="20"/>
          <w:vertAlign w:val="subscript"/>
          <w:lang w:eastAsia="en-GB"/>
        </w:rPr>
        <w:t>1</w:t>
      </w:r>
      <w:r w:rsidRPr="0071546E">
        <w:rPr>
          <w:rFonts w:ascii="Arial" w:eastAsia="Times New Roman" w:hAnsi="Arial" w:cs="Arial"/>
          <w:sz w:val="20"/>
          <w:szCs w:val="20"/>
          <w:lang w:eastAsia="en-GB"/>
        </w:rPr>
        <w:t>) (ISC). This T</w:t>
      </w:r>
      <w:r w:rsidRPr="0071546E">
        <w:rPr>
          <w:rFonts w:ascii="Arial" w:eastAsia="Times New Roman" w:hAnsi="Arial" w:cs="Arial"/>
          <w:sz w:val="20"/>
          <w:szCs w:val="20"/>
          <w:vertAlign w:val="subscript"/>
          <w:lang w:eastAsia="en-GB"/>
        </w:rPr>
        <w:t>1</w:t>
      </w:r>
      <w:r w:rsidRPr="0071546E">
        <w:rPr>
          <w:rFonts w:ascii="Arial" w:eastAsia="Times New Roman" w:hAnsi="Arial" w:cs="Arial"/>
          <w:sz w:val="20"/>
          <w:szCs w:val="20"/>
          <w:lang w:eastAsia="en-GB"/>
        </w:rPr>
        <w:t xml:space="preserve"> is long-lived and can transfer energy (type II) or transfer charge (type I) to surrounding molecules like oxygen radicals or singlet oxygen.</w:t>
      </w:r>
      <w:r w:rsidR="00957515" w:rsidRPr="0071546E">
        <w:rPr>
          <w:rFonts w:ascii="Arial" w:eastAsia="Times New Roman" w:hAnsi="Arial" w:cs="Arial"/>
          <w:b/>
          <w:color w:val="000000" w:themeColor="text1"/>
          <w:sz w:val="24"/>
          <w:szCs w:val="24"/>
          <w:lang w:eastAsia="en-GB"/>
        </w:rPr>
        <w:br w:type="page"/>
      </w:r>
    </w:p>
    <w:p w:rsidR="00725033" w:rsidRPr="0071546E" w:rsidRDefault="00725033" w:rsidP="00CF13FE">
      <w:pPr>
        <w:pStyle w:val="Heading2"/>
        <w:ind w:left="1021" w:right="454"/>
      </w:pPr>
      <w:bookmarkStart w:id="22" w:name="_Toc14711391"/>
      <w:r w:rsidRPr="0071546E">
        <w:t>1.4.2 A Dual pathway of Photosensitization.</w:t>
      </w:r>
      <w:bookmarkEnd w:id="22"/>
    </w:p>
    <w:p w:rsidR="00725033" w:rsidRPr="0071546E" w:rsidRDefault="00725033"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As stated earlier, the PDT process occurs by two competitive pathways, both of which require the long-lived excited triplet oxygen state of the PS molecule as the reactive intermediate (3PS). The type I pathway includes an electron transfer step between the triplet PS molecule and a surrounding substrate (Sub), by </w:t>
      </w:r>
      <w:r w:rsidR="004A57D4"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generation of radical oxygen species, the substrates react with ground s</w:t>
      </w:r>
      <w:r w:rsidR="004A57D4" w:rsidRPr="0071546E">
        <w:rPr>
          <w:rFonts w:ascii="Arial" w:eastAsia="Times New Roman" w:hAnsi="Arial" w:cs="Arial"/>
          <w:color w:val="000000" w:themeColor="text1"/>
          <w:sz w:val="24"/>
          <w:szCs w:val="24"/>
          <w:lang w:eastAsia="en-GB"/>
        </w:rPr>
        <w:t>t</w:t>
      </w:r>
      <w:r w:rsidRPr="0071546E">
        <w:rPr>
          <w:rFonts w:ascii="Arial" w:eastAsia="Times New Roman" w:hAnsi="Arial" w:cs="Arial"/>
          <w:color w:val="000000" w:themeColor="text1"/>
          <w:sz w:val="24"/>
          <w:szCs w:val="24"/>
          <w:lang w:eastAsia="en-GB"/>
        </w:rPr>
        <w:t xml:space="preserve">ate oxygen giving out oxidised </w:t>
      </w:r>
      <w:r w:rsidR="000C0887" w:rsidRPr="0071546E">
        <w:rPr>
          <w:rFonts w:ascii="Arial" w:eastAsia="Times New Roman" w:hAnsi="Arial" w:cs="Arial"/>
          <w:color w:val="000000" w:themeColor="text1"/>
          <w:sz w:val="24"/>
          <w:szCs w:val="24"/>
          <w:lang w:eastAsia="en-GB"/>
        </w:rPr>
        <w:t>products (</w:t>
      </w:r>
      <w:r w:rsidR="00713C05" w:rsidRPr="0071546E">
        <w:rPr>
          <w:rFonts w:ascii="Arial" w:eastAsia="Times New Roman" w:hAnsi="Arial" w:cs="Arial"/>
          <w:color w:val="000000" w:themeColor="text1"/>
          <w:sz w:val="24"/>
          <w:szCs w:val="24"/>
          <w:lang w:eastAsia="en-GB"/>
        </w:rPr>
        <w:t>Ding et al., 2011)</w:t>
      </w:r>
      <w:r w:rsidRPr="0071546E">
        <w:rPr>
          <w:rFonts w:ascii="Arial" w:eastAsia="Times New Roman" w:hAnsi="Arial" w:cs="Arial"/>
          <w:color w:val="000000" w:themeColor="text1"/>
          <w:sz w:val="24"/>
          <w:szCs w:val="24"/>
          <w:lang w:eastAsia="en-GB"/>
        </w:rPr>
        <w:t>. Below is a typical representation of a type I reaction in PDT</w:t>
      </w:r>
    </w:p>
    <w:p w:rsidR="00382E65" w:rsidRPr="0071546E" w:rsidRDefault="00382E65"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Type I reaction</w:t>
      </w:r>
    </w:p>
    <w:p w:rsidR="00725033" w:rsidRPr="0071546E" w:rsidRDefault="00DE5FDE" w:rsidP="00DE5FDE">
      <w:pPr>
        <w:spacing w:after="0" w:line="480" w:lineRule="auto"/>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vertAlign w:val="superscript"/>
          <w:lang w:eastAsia="en-GB"/>
        </w:rPr>
        <w:t xml:space="preserve">                      </w:t>
      </w:r>
      <w:r w:rsidR="00B24EF3" w:rsidRPr="0071546E">
        <w:rPr>
          <w:noProof/>
          <w:lang w:eastAsia="en-GB"/>
        </w:rPr>
        <w:drawing>
          <wp:inline distT="0" distB="0" distL="0" distR="0" wp14:anchorId="75298D6A" wp14:editId="2800ECD7">
            <wp:extent cx="3892732" cy="308265"/>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28098" cy="311066"/>
                    </a:xfrm>
                    <a:prstGeom prst="rect">
                      <a:avLst/>
                    </a:prstGeom>
                  </pic:spPr>
                </pic:pic>
              </a:graphicData>
            </a:graphic>
          </wp:inline>
        </w:drawing>
      </w:r>
    </w:p>
    <w:p w:rsidR="00725033" w:rsidRPr="0071546E" w:rsidRDefault="00725033"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However, the direction of the electron </w:t>
      </w:r>
      <w:r w:rsidR="00713C05" w:rsidRPr="0071546E">
        <w:rPr>
          <w:rFonts w:ascii="Arial" w:eastAsia="Times New Roman" w:hAnsi="Arial" w:cs="Arial"/>
          <w:color w:val="000000" w:themeColor="text1"/>
          <w:sz w:val="24"/>
          <w:szCs w:val="24"/>
          <w:lang w:eastAsia="en-GB"/>
        </w:rPr>
        <w:t>transfers</w:t>
      </w:r>
      <w:r w:rsidRPr="0071546E">
        <w:rPr>
          <w:rFonts w:ascii="Arial" w:eastAsia="Times New Roman" w:hAnsi="Arial" w:cs="Arial"/>
          <w:color w:val="000000" w:themeColor="text1"/>
          <w:sz w:val="24"/>
          <w:szCs w:val="24"/>
          <w:lang w:eastAsia="en-GB"/>
        </w:rPr>
        <w:t xml:space="preserve"> between the PS and the substrate regulated by the redox potentials between the PS and the substrate. This means that the forward reaction is affected by the equil</w:t>
      </w:r>
      <w:r w:rsidR="00713C05" w:rsidRPr="0071546E">
        <w:rPr>
          <w:rFonts w:ascii="Arial" w:eastAsia="Times New Roman" w:hAnsi="Arial" w:cs="Arial"/>
          <w:color w:val="000000" w:themeColor="text1"/>
          <w:sz w:val="24"/>
          <w:szCs w:val="24"/>
          <w:lang w:eastAsia="en-GB"/>
        </w:rPr>
        <w:t>ibrium of the reacting pair</w:t>
      </w:r>
      <w:r w:rsidRPr="0071546E">
        <w:rPr>
          <w:rFonts w:ascii="Arial" w:eastAsia="Times New Roman" w:hAnsi="Arial" w:cs="Arial"/>
          <w:color w:val="000000" w:themeColor="text1"/>
          <w:sz w:val="24"/>
          <w:szCs w:val="24"/>
          <w:lang w:eastAsia="en-GB"/>
        </w:rPr>
        <w:t xml:space="preserve">. </w:t>
      </w:r>
    </w:p>
    <w:p w:rsidR="00382E65" w:rsidRPr="0071546E" w:rsidRDefault="00725033"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Alternatively, in the second pathway the type II reaction, there is energy transfer from the PS directly to any suitable acceptor, which is often ground state oxygen which will then be excited to the most reactive triplet excited state (1O2), which can attack surrounding </w:t>
      </w:r>
      <w:r w:rsidR="000C0887" w:rsidRPr="0071546E">
        <w:rPr>
          <w:rFonts w:ascii="Arial" w:eastAsia="Times New Roman" w:hAnsi="Arial" w:cs="Arial"/>
          <w:color w:val="000000" w:themeColor="text1"/>
          <w:sz w:val="24"/>
          <w:szCs w:val="24"/>
          <w:lang w:eastAsia="en-GB"/>
        </w:rPr>
        <w:t>biomolecules (Baptista et al., 2017)</w:t>
      </w:r>
      <w:r w:rsidRPr="0071546E">
        <w:rPr>
          <w:rFonts w:ascii="Arial" w:eastAsia="Times New Roman" w:hAnsi="Arial" w:cs="Arial"/>
          <w:color w:val="000000" w:themeColor="text1"/>
          <w:sz w:val="24"/>
          <w:szCs w:val="24"/>
          <w:lang w:eastAsia="en-GB"/>
        </w:rPr>
        <w:t>.</w:t>
      </w:r>
    </w:p>
    <w:p w:rsidR="00725033" w:rsidRPr="0071546E" w:rsidRDefault="00382E65"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Type II reaction</w:t>
      </w:r>
      <w:r w:rsidR="002C33CC" w:rsidRPr="0071546E">
        <w:rPr>
          <w:noProof/>
          <w:lang w:eastAsia="en-GB"/>
        </w:rPr>
        <w:t xml:space="preserve"> </w:t>
      </w:r>
    </w:p>
    <w:p w:rsidR="00725033" w:rsidRPr="0071546E" w:rsidRDefault="00725033" w:rsidP="00DE5FDE">
      <w:pPr>
        <w:spacing w:after="0" w:line="480" w:lineRule="auto"/>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 </w:t>
      </w:r>
      <w:r w:rsidR="00DE5FDE" w:rsidRPr="0071546E">
        <w:rPr>
          <w:rFonts w:ascii="Arial" w:eastAsia="Times New Roman" w:hAnsi="Arial" w:cs="Arial"/>
          <w:color w:val="000000" w:themeColor="text1"/>
          <w:sz w:val="24"/>
          <w:szCs w:val="24"/>
          <w:lang w:eastAsia="en-GB"/>
        </w:rPr>
        <w:t xml:space="preserve">             </w:t>
      </w:r>
      <w:r w:rsidRPr="0071546E">
        <w:rPr>
          <w:rFonts w:ascii="Arial" w:eastAsia="Times New Roman" w:hAnsi="Arial" w:cs="Arial"/>
          <w:color w:val="000000" w:themeColor="text1"/>
          <w:sz w:val="24"/>
          <w:szCs w:val="24"/>
          <w:lang w:eastAsia="en-GB"/>
        </w:rPr>
        <w:t xml:space="preserve">  </w:t>
      </w:r>
      <w:r w:rsidR="002C33CC" w:rsidRPr="0071546E">
        <w:rPr>
          <w:noProof/>
          <w:lang w:eastAsia="en-GB"/>
        </w:rPr>
        <w:drawing>
          <wp:inline distT="0" distB="0" distL="0" distR="0" wp14:anchorId="47553431" wp14:editId="25F1276A">
            <wp:extent cx="3162300" cy="381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2300" cy="381000"/>
                    </a:xfrm>
                    <a:prstGeom prst="rect">
                      <a:avLst/>
                    </a:prstGeom>
                  </pic:spPr>
                </pic:pic>
              </a:graphicData>
            </a:graphic>
          </wp:inline>
        </w:drawing>
      </w:r>
    </w:p>
    <w:p w:rsidR="00DE5FDE" w:rsidRPr="0071546E" w:rsidRDefault="00725033" w:rsidP="00DE5FD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In any of the pathways, the phot oxidation process is of electrophilic nature and is specific to biomolecules like lipids, amino acid proteins and DNA as discussed earlier. It is a general belie</w:t>
      </w:r>
      <w:r w:rsidR="004A57D4" w:rsidRPr="0071546E">
        <w:rPr>
          <w:rFonts w:ascii="Arial" w:eastAsia="Times New Roman" w:hAnsi="Arial" w:cs="Arial"/>
          <w:color w:val="000000" w:themeColor="text1"/>
          <w:sz w:val="24"/>
          <w:szCs w:val="24"/>
          <w:lang w:eastAsia="en-GB"/>
        </w:rPr>
        <w:t>f</w:t>
      </w:r>
      <w:r w:rsidRPr="0071546E">
        <w:rPr>
          <w:rFonts w:ascii="Arial" w:eastAsia="Times New Roman" w:hAnsi="Arial" w:cs="Arial"/>
          <w:color w:val="000000" w:themeColor="text1"/>
          <w:sz w:val="24"/>
          <w:szCs w:val="24"/>
          <w:lang w:eastAsia="en-GB"/>
        </w:rPr>
        <w:t xml:space="preserve"> that porphyrin and phenothiazine</w:t>
      </w:r>
      <w:r w:rsidR="00382E65" w:rsidRPr="0071546E">
        <w:rPr>
          <w:rFonts w:ascii="Arial" w:eastAsia="Times New Roman" w:hAnsi="Arial" w:cs="Arial"/>
          <w:color w:val="000000" w:themeColor="text1"/>
          <w:sz w:val="24"/>
          <w:szCs w:val="24"/>
          <w:lang w:eastAsia="en-GB"/>
        </w:rPr>
        <w:t>-based</w:t>
      </w:r>
      <w:r w:rsidRPr="0071546E">
        <w:rPr>
          <w:rFonts w:ascii="Arial" w:eastAsia="Times New Roman" w:hAnsi="Arial" w:cs="Arial"/>
          <w:color w:val="000000" w:themeColor="text1"/>
          <w:sz w:val="24"/>
          <w:szCs w:val="24"/>
          <w:lang w:eastAsia="en-GB"/>
        </w:rPr>
        <w:t xml:space="preserve"> PS operates via the type II pathway which is the predominantly the common process of photosensitization. </w:t>
      </w:r>
    </w:p>
    <w:p w:rsidR="00382E65" w:rsidRPr="0071546E" w:rsidRDefault="00382E65" w:rsidP="00DE5FDE">
      <w:pPr>
        <w:spacing w:after="0" w:line="48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DE5FDE">
      <w:pPr>
        <w:spacing w:after="0" w:line="480" w:lineRule="auto"/>
        <w:ind w:left="1021" w:right="454"/>
        <w:jc w:val="both"/>
        <w:rPr>
          <w:rFonts w:ascii="Arial" w:eastAsia="Times New Roman" w:hAnsi="Arial" w:cs="Arial"/>
          <w:b/>
          <w:color w:val="000000" w:themeColor="text1"/>
          <w:sz w:val="28"/>
          <w:szCs w:val="24"/>
          <w:lang w:eastAsia="en-GB"/>
        </w:rPr>
      </w:pPr>
      <w:r w:rsidRPr="0071546E">
        <w:rPr>
          <w:rFonts w:ascii="Arial" w:hAnsi="Arial" w:cs="Arial"/>
          <w:b/>
          <w:sz w:val="24"/>
        </w:rPr>
        <w:t>1.4.3 Reactive oxygen species</w:t>
      </w:r>
    </w:p>
    <w:p w:rsidR="00DE5FDE" w:rsidRPr="0071546E" w:rsidRDefault="00725033"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A radical usually called a free radical is an atom or group of atoms that contains one or more unpaired </w:t>
      </w:r>
      <w:r w:rsidR="000C0887" w:rsidRPr="0071546E">
        <w:rPr>
          <w:rFonts w:ascii="Arial" w:eastAsia="Times New Roman" w:hAnsi="Arial" w:cs="Arial"/>
          <w:color w:val="000000" w:themeColor="text1"/>
          <w:sz w:val="24"/>
          <w:szCs w:val="24"/>
          <w:lang w:eastAsia="en-GB"/>
        </w:rPr>
        <w:t>electrons (Lobo et al., 2010)</w:t>
      </w:r>
      <w:r w:rsidRPr="0071546E">
        <w:rPr>
          <w:rFonts w:ascii="Arial" w:eastAsia="Times New Roman" w:hAnsi="Arial" w:cs="Arial"/>
          <w:color w:val="000000" w:themeColor="text1"/>
          <w:sz w:val="24"/>
          <w:szCs w:val="24"/>
          <w:lang w:eastAsia="en-GB"/>
        </w:rPr>
        <w:t>. Radicals can be negatively</w:t>
      </w:r>
      <w:r w:rsidR="00382E65" w:rsidRPr="0071546E">
        <w:rPr>
          <w:rFonts w:ascii="Arial" w:eastAsia="Times New Roman" w:hAnsi="Arial" w:cs="Arial"/>
          <w:color w:val="000000" w:themeColor="text1"/>
          <w:sz w:val="24"/>
          <w:szCs w:val="24"/>
          <w:lang w:eastAsia="en-GB"/>
        </w:rPr>
        <w:t xml:space="preserve"> or</w:t>
      </w:r>
      <w:r w:rsidRPr="0071546E">
        <w:rPr>
          <w:rFonts w:ascii="Arial" w:eastAsia="Times New Roman" w:hAnsi="Arial" w:cs="Arial"/>
          <w:color w:val="000000" w:themeColor="text1"/>
          <w:sz w:val="24"/>
          <w:szCs w:val="24"/>
          <w:lang w:eastAsia="en-GB"/>
        </w:rPr>
        <w:t xml:space="preserve"> positively</w:t>
      </w:r>
      <w:r w:rsidR="00382E65" w:rsidRPr="0071546E">
        <w:rPr>
          <w:rFonts w:ascii="Arial" w:eastAsia="Times New Roman" w:hAnsi="Arial" w:cs="Arial"/>
          <w:color w:val="000000" w:themeColor="text1"/>
          <w:sz w:val="24"/>
          <w:szCs w:val="24"/>
          <w:lang w:eastAsia="en-GB"/>
        </w:rPr>
        <w:t xml:space="preserve"> charged or</w:t>
      </w:r>
      <w:r w:rsidRPr="0071546E">
        <w:rPr>
          <w:rFonts w:ascii="Arial" w:eastAsia="Times New Roman" w:hAnsi="Arial" w:cs="Arial"/>
          <w:color w:val="000000" w:themeColor="text1"/>
          <w:sz w:val="24"/>
          <w:szCs w:val="24"/>
          <w:lang w:eastAsia="en-GB"/>
        </w:rPr>
        <w:t xml:space="preserve"> have a neutral charge. </w:t>
      </w:r>
      <w:r w:rsidR="0004784F" w:rsidRPr="0071546E">
        <w:rPr>
          <w:rFonts w:ascii="Arial" w:eastAsia="Times New Roman" w:hAnsi="Arial" w:cs="Arial"/>
          <w:color w:val="000000" w:themeColor="text1"/>
          <w:sz w:val="24"/>
          <w:szCs w:val="24"/>
          <w:lang w:eastAsia="en-GB"/>
        </w:rPr>
        <w:t>The valence electrons in the orbit make free radicals very reactive, this is because they must pair with surrounding molecules to be in the most stable state (octet state)</w:t>
      </w:r>
      <w:r w:rsidRPr="0071546E">
        <w:rPr>
          <w:rFonts w:ascii="Arial" w:eastAsia="Times New Roman" w:hAnsi="Arial" w:cs="Arial"/>
          <w:color w:val="000000" w:themeColor="text1"/>
          <w:sz w:val="24"/>
          <w:szCs w:val="24"/>
          <w:lang w:eastAsia="en-GB"/>
        </w:rPr>
        <w:t xml:space="preserve">. They are intermediates in different biochemical reactions, but when </w:t>
      </w:r>
      <w:r w:rsidR="0004784F" w:rsidRPr="0071546E">
        <w:rPr>
          <w:rFonts w:ascii="Arial" w:eastAsia="Times New Roman" w:hAnsi="Arial" w:cs="Arial"/>
          <w:color w:val="000000" w:themeColor="text1"/>
          <w:sz w:val="24"/>
          <w:szCs w:val="24"/>
          <w:lang w:eastAsia="en-GB"/>
        </w:rPr>
        <w:t>the production is</w:t>
      </w:r>
      <w:r w:rsidRPr="0071546E">
        <w:rPr>
          <w:rFonts w:ascii="Arial" w:eastAsia="Times New Roman" w:hAnsi="Arial" w:cs="Arial"/>
          <w:color w:val="000000" w:themeColor="text1"/>
          <w:sz w:val="24"/>
          <w:szCs w:val="24"/>
          <w:lang w:eastAsia="en-GB"/>
        </w:rPr>
        <w:t xml:space="preserve"> not optimised in a biological system, radicals can cause damage to cells or microorganism</w:t>
      </w:r>
      <w:r w:rsidRPr="0071546E">
        <w:rPr>
          <w:rFonts w:ascii="Arial" w:hAnsi="Arial" w:cs="Arial"/>
          <w:color w:val="000000"/>
          <w:sz w:val="24"/>
          <w:szCs w:val="24"/>
        </w:rPr>
        <w:t xml:space="preserve"> </w:t>
      </w:r>
      <w:r w:rsidRPr="0071546E">
        <w:rPr>
          <w:rFonts w:ascii="Arial" w:eastAsia="Times New Roman" w:hAnsi="Arial" w:cs="Arial"/>
          <w:color w:val="000000" w:themeColor="text1"/>
          <w:sz w:val="24"/>
          <w:szCs w:val="24"/>
          <w:lang w:eastAsia="en-GB"/>
        </w:rPr>
        <w:t>(Oberkampf et al., 2018). There are different types of radical; however, those usually studied are those from oxygen (oxygen free radicals). Oxygen has two unpaired electrons in two different orbitals in the outermost shell</w:t>
      </w:r>
      <w:r w:rsidR="0004784F" w:rsidRPr="0071546E">
        <w:rPr>
          <w:rFonts w:ascii="Arial" w:eastAsia="Times New Roman" w:hAnsi="Arial" w:cs="Arial"/>
          <w:color w:val="000000" w:themeColor="text1"/>
          <w:sz w:val="24"/>
          <w:szCs w:val="24"/>
          <w:lang w:eastAsia="en-GB"/>
        </w:rPr>
        <w:t xml:space="preserve"> see fig 1.9</w:t>
      </w:r>
      <w:r w:rsidRPr="0071546E">
        <w:rPr>
          <w:rFonts w:ascii="Arial" w:eastAsia="Times New Roman" w:hAnsi="Arial" w:cs="Arial"/>
          <w:color w:val="000000" w:themeColor="text1"/>
          <w:sz w:val="24"/>
          <w:szCs w:val="24"/>
          <w:lang w:eastAsia="en-GB"/>
        </w:rPr>
        <w:t>. This give</w:t>
      </w:r>
      <w:r w:rsidR="004A57D4" w:rsidRPr="0071546E">
        <w:rPr>
          <w:rFonts w:ascii="Arial" w:eastAsia="Times New Roman" w:hAnsi="Arial" w:cs="Arial"/>
          <w:color w:val="000000" w:themeColor="text1"/>
          <w:sz w:val="24"/>
          <w:szCs w:val="24"/>
          <w:lang w:eastAsia="en-GB"/>
        </w:rPr>
        <w:t>s</w:t>
      </w:r>
      <w:r w:rsidRPr="0071546E">
        <w:rPr>
          <w:rFonts w:ascii="Arial" w:eastAsia="Times New Roman" w:hAnsi="Arial" w:cs="Arial"/>
          <w:color w:val="000000" w:themeColor="text1"/>
          <w:sz w:val="24"/>
          <w:szCs w:val="24"/>
          <w:lang w:eastAsia="en-GB"/>
        </w:rPr>
        <w:t xml:space="preserve"> oxygen a higher potential to form radicals. Sequential reduction of molecular oxygen causes </w:t>
      </w:r>
      <w:r w:rsidR="004A57D4"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 xml:space="preserve">production of </w:t>
      </w:r>
      <w:r w:rsidR="004A57D4" w:rsidRPr="0071546E">
        <w:rPr>
          <w:rFonts w:ascii="Arial" w:eastAsia="Times New Roman" w:hAnsi="Arial" w:cs="Arial"/>
          <w:color w:val="000000" w:themeColor="text1"/>
          <w:sz w:val="24"/>
          <w:szCs w:val="24"/>
          <w:lang w:eastAsia="en-GB"/>
        </w:rPr>
        <w:t xml:space="preserve">a </w:t>
      </w:r>
      <w:r w:rsidRPr="0071546E">
        <w:rPr>
          <w:rFonts w:ascii="Arial" w:eastAsia="Times New Roman" w:hAnsi="Arial" w:cs="Arial"/>
          <w:color w:val="000000" w:themeColor="text1"/>
          <w:sz w:val="24"/>
          <w:szCs w:val="24"/>
          <w:lang w:eastAsia="en-GB"/>
        </w:rPr>
        <w:t xml:space="preserve">group of reactive oxygen species: superoxide anion, peroxide (hydrogen peroxide) and hydroxyl radical. </w:t>
      </w:r>
      <w:r w:rsidR="00382E65" w:rsidRPr="0071546E">
        <w:rPr>
          <w:rFonts w:ascii="Arial" w:eastAsia="Times New Roman" w:hAnsi="Arial" w:cs="Arial"/>
          <w:color w:val="000000" w:themeColor="text1"/>
          <w:sz w:val="24"/>
          <w:szCs w:val="24"/>
          <w:lang w:eastAsia="en-GB"/>
        </w:rPr>
        <w:t>The</w:t>
      </w:r>
      <w:r w:rsidR="004A57D4" w:rsidRPr="0071546E">
        <w:rPr>
          <w:rFonts w:ascii="Arial" w:eastAsia="Times New Roman" w:hAnsi="Arial" w:cs="Arial"/>
          <w:color w:val="000000" w:themeColor="text1"/>
          <w:sz w:val="24"/>
          <w:szCs w:val="24"/>
          <w:lang w:eastAsia="en-GB"/>
        </w:rPr>
        <w:t xml:space="preserve"> m</w:t>
      </w:r>
      <w:r w:rsidRPr="0071546E">
        <w:rPr>
          <w:rFonts w:ascii="Arial" w:eastAsia="Times New Roman" w:hAnsi="Arial" w:cs="Arial"/>
          <w:color w:val="000000" w:themeColor="text1"/>
          <w:sz w:val="24"/>
          <w:szCs w:val="24"/>
          <w:lang w:eastAsia="en-GB"/>
        </w:rPr>
        <w:t xml:space="preserve">ost important form of oxygen radical in photodynamic therapy is singlet oxygen.  Singlet oxygen is the lowest excited state of molecular oxygen; it is an interesting specie in many ways. Its chemical behaviour is different from its ground state triplet oxygen. Singlet oxygen can travel through cellular environments and can cause serious damage to biomolecules (Koh and Fluhr, 2016). </w:t>
      </w:r>
    </w:p>
    <w:p w:rsidR="00DE5FDE" w:rsidRPr="0071546E" w:rsidRDefault="00DE5FDE" w:rsidP="00CF13FE">
      <w:pPr>
        <w:spacing w:after="0" w:line="48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In biomolecules, the lifespan of singlet oxygen varies and this is because of the presence of antioxidants and quenchers. In human plasma, which contains a lot of antioxidant</w:t>
      </w:r>
      <w:r w:rsidR="004A57D4" w:rsidRPr="0071546E">
        <w:rPr>
          <w:rFonts w:ascii="Arial" w:eastAsia="Times New Roman" w:hAnsi="Arial" w:cs="Arial"/>
          <w:color w:val="000000" w:themeColor="text1"/>
          <w:sz w:val="24"/>
          <w:szCs w:val="24"/>
          <w:lang w:eastAsia="en-GB"/>
        </w:rPr>
        <w:t>s</w:t>
      </w:r>
      <w:r w:rsidRPr="0071546E">
        <w:rPr>
          <w:rFonts w:ascii="Arial" w:eastAsia="Times New Roman" w:hAnsi="Arial" w:cs="Arial"/>
          <w:color w:val="000000" w:themeColor="text1"/>
          <w:sz w:val="24"/>
          <w:szCs w:val="24"/>
          <w:lang w:eastAsia="en-GB"/>
        </w:rPr>
        <w:t>, the lifetime of singlet oxygen is about 1µs</w:t>
      </w:r>
      <w:r w:rsidRPr="0071546E">
        <w:rPr>
          <w:rFonts w:ascii="Arial" w:hAnsi="Arial" w:cs="Arial"/>
          <w:color w:val="000000"/>
          <w:sz w:val="24"/>
          <w:szCs w:val="24"/>
        </w:rPr>
        <w:t xml:space="preserve"> </w:t>
      </w:r>
      <w:r w:rsidRPr="0071546E">
        <w:rPr>
          <w:rFonts w:ascii="Arial" w:eastAsia="Times New Roman" w:hAnsi="Arial" w:cs="Arial"/>
          <w:color w:val="000000" w:themeColor="text1"/>
          <w:sz w:val="24"/>
          <w:szCs w:val="24"/>
          <w:lang w:eastAsia="en-GB"/>
        </w:rPr>
        <w:t xml:space="preserve">(Sharma et al., 2012). Singlet oxygen acts </w:t>
      </w:r>
      <w:r w:rsidR="004A57D4" w:rsidRPr="0071546E">
        <w:rPr>
          <w:rFonts w:ascii="Arial" w:eastAsia="Times New Roman" w:hAnsi="Arial" w:cs="Arial"/>
          <w:color w:val="000000" w:themeColor="text1"/>
          <w:sz w:val="24"/>
          <w:szCs w:val="24"/>
          <w:lang w:eastAsia="en-GB"/>
        </w:rPr>
        <w:t>as</w:t>
      </w:r>
      <w:r w:rsidRPr="0071546E">
        <w:rPr>
          <w:rFonts w:ascii="Arial" w:eastAsia="Times New Roman" w:hAnsi="Arial" w:cs="Arial"/>
          <w:color w:val="000000" w:themeColor="text1"/>
          <w:sz w:val="24"/>
          <w:szCs w:val="24"/>
          <w:lang w:eastAsia="en-GB"/>
        </w:rPr>
        <w:t xml:space="preserve"> an electrophile in solution and reacts with biomolecules having regions of high electron densi</w:t>
      </w:r>
      <w:r w:rsidR="0004784F" w:rsidRPr="0071546E">
        <w:rPr>
          <w:rFonts w:ascii="Arial" w:eastAsia="Times New Roman" w:hAnsi="Arial" w:cs="Arial"/>
          <w:color w:val="000000" w:themeColor="text1"/>
          <w:sz w:val="24"/>
          <w:szCs w:val="24"/>
          <w:lang w:eastAsia="en-GB"/>
        </w:rPr>
        <w:t>ty example guanine in DNA</w:t>
      </w:r>
      <w:r w:rsidR="0004784F" w:rsidRPr="0071546E">
        <w:rPr>
          <w:color w:val="000000"/>
        </w:rPr>
        <w:t xml:space="preserve"> </w:t>
      </w:r>
      <w:r w:rsidR="0004784F" w:rsidRPr="0071546E">
        <w:rPr>
          <w:rFonts w:ascii="Arial" w:eastAsia="Times New Roman" w:hAnsi="Arial" w:cs="Arial"/>
          <w:color w:val="000000" w:themeColor="text1"/>
          <w:sz w:val="24"/>
          <w:szCs w:val="24"/>
          <w:lang w:eastAsia="en-GB"/>
        </w:rPr>
        <w:t>(Petrou et al., 2018)</w:t>
      </w:r>
      <w:r w:rsidRPr="0071546E">
        <w:rPr>
          <w:rFonts w:ascii="Arial" w:eastAsia="Times New Roman" w:hAnsi="Arial" w:cs="Arial"/>
          <w:color w:val="000000" w:themeColor="text1"/>
          <w:sz w:val="24"/>
          <w:szCs w:val="24"/>
          <w:lang w:eastAsia="en-GB"/>
        </w:rPr>
        <w:t>.</w:t>
      </w:r>
    </w:p>
    <w:p w:rsidR="00725033" w:rsidRPr="0071546E" w:rsidRDefault="00725033" w:rsidP="00CF13FE">
      <w:pPr>
        <w:spacing w:after="0" w:line="480" w:lineRule="auto"/>
        <w:ind w:left="1021" w:right="454"/>
        <w:jc w:val="both"/>
        <w:rPr>
          <w:rFonts w:ascii="Arial" w:eastAsia="Times New Roman" w:hAnsi="Arial" w:cs="Arial"/>
          <w:b/>
          <w:color w:val="000000" w:themeColor="text1"/>
          <w:sz w:val="24"/>
          <w:szCs w:val="24"/>
          <w:lang w:eastAsia="en-GB"/>
        </w:rPr>
      </w:pPr>
      <w:r w:rsidRPr="0071546E">
        <w:rPr>
          <w:rFonts w:ascii="Arial" w:hAnsi="Arial" w:cs="Arial"/>
          <w:noProof/>
          <w:sz w:val="24"/>
          <w:szCs w:val="24"/>
          <w:lang w:eastAsia="en-GB"/>
        </w:rPr>
        <w:drawing>
          <wp:inline distT="0" distB="0" distL="0" distR="0" wp14:anchorId="59A49978" wp14:editId="1AA069C3">
            <wp:extent cx="4770120" cy="3407229"/>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92754" cy="3423396"/>
                    </a:xfrm>
                    <a:prstGeom prst="rect">
                      <a:avLst/>
                    </a:prstGeom>
                  </pic:spPr>
                </pic:pic>
              </a:graphicData>
            </a:graphic>
          </wp:inline>
        </w:drawing>
      </w:r>
    </w:p>
    <w:p w:rsidR="00DE5FDE" w:rsidRPr="0071546E" w:rsidRDefault="00725033" w:rsidP="00382E65">
      <w:pPr>
        <w:spacing w:after="0" w:line="240" w:lineRule="auto"/>
        <w:ind w:left="1021" w:right="454"/>
        <w:jc w:val="both"/>
        <w:rPr>
          <w:rFonts w:ascii="Arial" w:eastAsia="Times New Roman" w:hAnsi="Arial" w:cs="Arial"/>
          <w:bCs/>
          <w:color w:val="000000" w:themeColor="text1"/>
          <w:sz w:val="20"/>
          <w:szCs w:val="20"/>
          <w:lang w:eastAsia="en-GB"/>
        </w:rPr>
      </w:pPr>
      <w:r w:rsidRPr="0071546E">
        <w:rPr>
          <w:rFonts w:ascii="Arial" w:eastAsia="Times New Roman" w:hAnsi="Arial" w:cs="Arial"/>
          <w:bCs/>
          <w:color w:val="000000" w:themeColor="text1"/>
          <w:sz w:val="20"/>
          <w:szCs w:val="20"/>
          <w:lang w:eastAsia="en-GB"/>
        </w:rPr>
        <w:t xml:space="preserve">Fig 1.9 Molecular representation of (a) stable molecular oxygen (b) oxygen free radical with the unpaired electron shown as X and (c) antioxidants which are characteristically electron donors. </w:t>
      </w:r>
    </w:p>
    <w:p w:rsidR="00DE5FDE" w:rsidRPr="0071546E" w:rsidRDefault="00DE5FDE" w:rsidP="00CF13FE">
      <w:pPr>
        <w:spacing w:after="0" w:line="276" w:lineRule="auto"/>
        <w:ind w:left="1021" w:right="454"/>
        <w:jc w:val="both"/>
        <w:rPr>
          <w:rFonts w:ascii="Arial" w:eastAsia="Times New Roman" w:hAnsi="Arial" w:cs="Arial"/>
          <w:bCs/>
          <w:color w:val="000000" w:themeColor="text1"/>
          <w:sz w:val="24"/>
          <w:szCs w:val="24"/>
          <w:lang w:eastAsia="en-GB"/>
        </w:rPr>
      </w:pPr>
    </w:p>
    <w:p w:rsidR="00DE5FDE" w:rsidRPr="0071546E" w:rsidRDefault="00DE5FDE" w:rsidP="00CF13FE">
      <w:pPr>
        <w:spacing w:after="0" w:line="276" w:lineRule="auto"/>
        <w:ind w:left="1021" w:right="454"/>
        <w:jc w:val="both"/>
        <w:rPr>
          <w:rFonts w:ascii="Arial" w:eastAsia="Times New Roman" w:hAnsi="Arial" w:cs="Arial"/>
          <w:bCs/>
          <w:color w:val="000000" w:themeColor="text1"/>
          <w:sz w:val="24"/>
          <w:szCs w:val="24"/>
          <w:lang w:eastAsia="en-GB"/>
        </w:rPr>
      </w:pPr>
    </w:p>
    <w:p w:rsidR="00DE5FDE" w:rsidRPr="0071546E" w:rsidRDefault="00DE5FDE" w:rsidP="00CF13FE">
      <w:pPr>
        <w:spacing w:after="0" w:line="276" w:lineRule="auto"/>
        <w:ind w:left="1021" w:right="454"/>
        <w:jc w:val="both"/>
        <w:rPr>
          <w:rFonts w:ascii="Arial" w:eastAsia="Times New Roman" w:hAnsi="Arial" w:cs="Arial"/>
          <w:bCs/>
          <w:color w:val="000000" w:themeColor="text1"/>
          <w:sz w:val="24"/>
          <w:szCs w:val="24"/>
          <w:lang w:eastAsia="en-GB"/>
        </w:rPr>
      </w:pPr>
    </w:p>
    <w:p w:rsidR="00DE5FDE" w:rsidRPr="0071546E" w:rsidRDefault="00DE5FDE" w:rsidP="00B24EF3">
      <w:pPr>
        <w:spacing w:after="0" w:line="276" w:lineRule="auto"/>
        <w:ind w:right="454"/>
        <w:jc w:val="both"/>
        <w:rPr>
          <w:rFonts w:ascii="Arial" w:eastAsia="Times New Roman" w:hAnsi="Arial" w:cs="Arial"/>
          <w:bCs/>
          <w:color w:val="000000" w:themeColor="text1"/>
          <w:sz w:val="24"/>
          <w:szCs w:val="24"/>
          <w:lang w:eastAsia="en-GB"/>
        </w:rPr>
      </w:pPr>
    </w:p>
    <w:p w:rsidR="00382E65" w:rsidRPr="0071546E" w:rsidRDefault="00382E65" w:rsidP="00B24EF3">
      <w:pPr>
        <w:spacing w:after="0" w:line="276" w:lineRule="auto"/>
        <w:ind w:right="454"/>
        <w:jc w:val="both"/>
        <w:rPr>
          <w:rFonts w:ascii="Arial" w:eastAsia="Times New Roman" w:hAnsi="Arial" w:cs="Arial"/>
          <w:bCs/>
          <w:color w:val="000000" w:themeColor="text1"/>
          <w:sz w:val="24"/>
          <w:szCs w:val="24"/>
          <w:lang w:eastAsia="en-GB"/>
        </w:rPr>
      </w:pPr>
    </w:p>
    <w:p w:rsidR="00382E65" w:rsidRPr="0071546E" w:rsidRDefault="00382E65" w:rsidP="00B24EF3">
      <w:pPr>
        <w:spacing w:after="0" w:line="276" w:lineRule="auto"/>
        <w:ind w:right="454"/>
        <w:jc w:val="both"/>
        <w:rPr>
          <w:rFonts w:ascii="Arial" w:eastAsia="Times New Roman" w:hAnsi="Arial" w:cs="Arial"/>
          <w:bCs/>
          <w:color w:val="000000" w:themeColor="text1"/>
          <w:sz w:val="24"/>
          <w:szCs w:val="24"/>
          <w:lang w:eastAsia="en-GB"/>
        </w:rPr>
      </w:pPr>
    </w:p>
    <w:p w:rsidR="00225130" w:rsidRPr="0071546E" w:rsidRDefault="00225130" w:rsidP="00382E65">
      <w:pPr>
        <w:ind w:right="454"/>
        <w:rPr>
          <w:lang w:eastAsia="en-GB"/>
        </w:rPr>
      </w:pPr>
    </w:p>
    <w:p w:rsidR="00725033" w:rsidRPr="0071546E" w:rsidRDefault="00725033" w:rsidP="00CF13FE">
      <w:pPr>
        <w:pStyle w:val="Heading2"/>
        <w:ind w:left="1021" w:right="454"/>
      </w:pPr>
      <w:bookmarkStart w:id="23" w:name="_Toc14711393"/>
      <w:r w:rsidRPr="0071546E">
        <w:t>1.4.</w:t>
      </w:r>
      <w:r w:rsidR="00382E65" w:rsidRPr="0071546E">
        <w:t>4</w:t>
      </w:r>
      <w:r w:rsidRPr="0071546E">
        <w:t xml:space="preserve"> Biological effects of free radical and reactive oxygen species.</w:t>
      </w:r>
      <w:bookmarkEnd w:id="23"/>
    </w:p>
    <w:p w:rsidR="00725033" w:rsidRPr="0071546E" w:rsidRDefault="00725033"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Oxygen</w:t>
      </w:r>
      <w:r w:rsidR="00563D9A"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 xml:space="preserve">free radicals are produced in a number of reaction important in life, </w:t>
      </w:r>
      <w:r w:rsidR="00382E65" w:rsidRPr="0071546E">
        <w:rPr>
          <w:rFonts w:ascii="Arial" w:eastAsia="Times New Roman" w:hAnsi="Arial" w:cs="Arial"/>
          <w:color w:val="000000" w:themeColor="text1"/>
          <w:sz w:val="24"/>
          <w:szCs w:val="24"/>
          <w:lang w:eastAsia="en-GB"/>
        </w:rPr>
        <w:t>including in the production of</w:t>
      </w:r>
      <w:r w:rsidRPr="0071546E">
        <w:rPr>
          <w:rFonts w:ascii="Arial" w:eastAsia="Times New Roman" w:hAnsi="Arial" w:cs="Arial"/>
          <w:color w:val="000000" w:themeColor="text1"/>
          <w:sz w:val="24"/>
          <w:szCs w:val="24"/>
          <w:lang w:eastAsia="en-GB"/>
        </w:rPr>
        <w:t xml:space="preserve"> ATP.  They are also produced during </w:t>
      </w:r>
      <w:r w:rsidR="004A57D4"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 xml:space="preserve">controlled destruction of antigens; phagocytic cells generate radicals that enable them </w:t>
      </w:r>
      <w:r w:rsidR="004A57D4" w:rsidRPr="0071546E">
        <w:rPr>
          <w:rFonts w:ascii="Arial" w:eastAsia="Times New Roman" w:hAnsi="Arial" w:cs="Arial"/>
          <w:color w:val="000000" w:themeColor="text1"/>
          <w:sz w:val="24"/>
          <w:szCs w:val="24"/>
          <w:lang w:eastAsia="en-GB"/>
        </w:rPr>
        <w:t xml:space="preserve">to </w:t>
      </w:r>
      <w:r w:rsidRPr="0071546E">
        <w:rPr>
          <w:rFonts w:ascii="Arial" w:eastAsia="Times New Roman" w:hAnsi="Arial" w:cs="Arial"/>
          <w:color w:val="000000" w:themeColor="text1"/>
          <w:sz w:val="24"/>
          <w:szCs w:val="24"/>
          <w:lang w:eastAsia="en-GB"/>
        </w:rPr>
        <w:t>mop up invading pathogens (R</w:t>
      </w:r>
      <w:r w:rsidR="00AD0E79" w:rsidRPr="0071546E">
        <w:rPr>
          <w:rFonts w:ascii="Arial" w:eastAsia="Times New Roman" w:hAnsi="Arial" w:cs="Arial"/>
          <w:color w:val="000000" w:themeColor="text1"/>
          <w:sz w:val="24"/>
          <w:szCs w:val="24"/>
          <w:lang w:eastAsia="en-GB"/>
        </w:rPr>
        <w:t xml:space="preserve">ea et al., 2018). </w:t>
      </w:r>
      <w:r w:rsidR="00382E65" w:rsidRPr="0071546E">
        <w:rPr>
          <w:rFonts w:ascii="Arial" w:eastAsia="Times New Roman" w:hAnsi="Arial" w:cs="Arial"/>
          <w:color w:val="000000" w:themeColor="text1"/>
          <w:sz w:val="24"/>
          <w:szCs w:val="24"/>
          <w:lang w:eastAsia="en-GB"/>
        </w:rPr>
        <w:t>R</w:t>
      </w:r>
      <w:r w:rsidRPr="0071546E">
        <w:rPr>
          <w:rFonts w:ascii="Arial" w:eastAsia="Times New Roman" w:hAnsi="Arial" w:cs="Arial"/>
          <w:color w:val="000000" w:themeColor="text1"/>
          <w:sz w:val="24"/>
          <w:szCs w:val="24"/>
          <w:lang w:eastAsia="en-GB"/>
        </w:rPr>
        <w:t>adicals are key players in intracellular and intercellular signalling</w:t>
      </w:r>
      <w:r w:rsidRPr="0071546E">
        <w:rPr>
          <w:rFonts w:ascii="Arial" w:hAnsi="Arial" w:cs="Arial"/>
          <w:color w:val="000000"/>
          <w:sz w:val="24"/>
          <w:szCs w:val="24"/>
        </w:rPr>
        <w:t xml:space="preserve"> </w:t>
      </w:r>
      <w:r w:rsidRPr="0071546E">
        <w:rPr>
          <w:rFonts w:ascii="Arial" w:eastAsia="Times New Roman" w:hAnsi="Arial" w:cs="Arial"/>
          <w:color w:val="000000" w:themeColor="text1"/>
          <w:sz w:val="24"/>
          <w:szCs w:val="24"/>
          <w:lang w:eastAsia="en-GB"/>
        </w:rPr>
        <w:t xml:space="preserve">(Ray, Huang and Tsuji, 2012). For example, </w:t>
      </w:r>
      <w:r w:rsidR="004A57D4"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 xml:space="preserve">introduction of superoxide or peroxide to some cultured cells stimulates </w:t>
      </w:r>
      <w:r w:rsidR="004A57D4"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elevated rate of DNA replication and cell proliferation- in other words</w:t>
      </w:r>
      <w:r w:rsidR="004A57D4"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 xml:space="preserve"> these radicals are important mitogens</w:t>
      </w:r>
      <w:r w:rsidRPr="0071546E">
        <w:rPr>
          <w:rFonts w:ascii="Arial" w:hAnsi="Arial" w:cs="Arial"/>
          <w:color w:val="000000"/>
          <w:sz w:val="24"/>
          <w:szCs w:val="24"/>
        </w:rPr>
        <w:t xml:space="preserve"> </w:t>
      </w:r>
      <w:r w:rsidRPr="0071546E">
        <w:rPr>
          <w:rFonts w:ascii="Arial" w:eastAsia="Times New Roman" w:hAnsi="Arial" w:cs="Arial"/>
          <w:color w:val="000000" w:themeColor="text1"/>
          <w:sz w:val="24"/>
          <w:szCs w:val="24"/>
          <w:lang w:eastAsia="en-GB"/>
        </w:rPr>
        <w:t>(Hishikawa et al., 1997). Regardless of these important biochemical functions of radicals, they can be toxic to cells. As show</w:t>
      </w:r>
      <w:r w:rsidR="00CE494E" w:rsidRPr="0071546E">
        <w:rPr>
          <w:rFonts w:ascii="Arial" w:eastAsia="Times New Roman" w:hAnsi="Arial" w:cs="Arial"/>
          <w:color w:val="000000" w:themeColor="text1"/>
          <w:sz w:val="24"/>
          <w:szCs w:val="24"/>
          <w:lang w:eastAsia="en-GB"/>
        </w:rPr>
        <w:t>n in fig (1.9</w:t>
      </w:r>
      <w:r w:rsidRPr="0071546E">
        <w:rPr>
          <w:rFonts w:ascii="Arial" w:eastAsia="Times New Roman" w:hAnsi="Arial" w:cs="Arial"/>
          <w:color w:val="000000" w:themeColor="text1"/>
          <w:sz w:val="24"/>
          <w:szCs w:val="24"/>
          <w:lang w:eastAsia="en-GB"/>
        </w:rPr>
        <w:t>) the unpaired electrons in the outermost shell of the radicals make them highly reactive to almo</w:t>
      </w:r>
      <w:r w:rsidR="004A57D4" w:rsidRPr="0071546E">
        <w:rPr>
          <w:rFonts w:ascii="Arial" w:eastAsia="Times New Roman" w:hAnsi="Arial" w:cs="Arial"/>
          <w:color w:val="000000" w:themeColor="text1"/>
          <w:sz w:val="24"/>
          <w:szCs w:val="24"/>
          <w:lang w:eastAsia="en-GB"/>
        </w:rPr>
        <w:t xml:space="preserve">st every biomolecule. They have a </w:t>
      </w:r>
      <w:r w:rsidRPr="0071546E">
        <w:rPr>
          <w:rFonts w:ascii="Arial" w:eastAsia="Times New Roman" w:hAnsi="Arial" w:cs="Arial"/>
          <w:color w:val="000000" w:themeColor="text1"/>
          <w:sz w:val="24"/>
          <w:szCs w:val="24"/>
          <w:lang w:eastAsia="en-GB"/>
        </w:rPr>
        <w:t>very strong affinity to lipids, proteins and nucleic acids (Koh et al., 2016). One of the most common toxic effects of these radicals to cellular membranes is lipid peroxidation</w:t>
      </w:r>
      <w:r w:rsidRPr="0071546E">
        <w:rPr>
          <w:rFonts w:ascii="Arial" w:hAnsi="Arial" w:cs="Arial"/>
          <w:color w:val="000000"/>
          <w:sz w:val="24"/>
          <w:szCs w:val="24"/>
        </w:rPr>
        <w:t xml:space="preserve"> </w:t>
      </w:r>
      <w:r w:rsidRPr="0071546E">
        <w:rPr>
          <w:rFonts w:ascii="Arial" w:eastAsia="Times New Roman" w:hAnsi="Arial" w:cs="Arial"/>
          <w:color w:val="000000" w:themeColor="text1"/>
          <w:sz w:val="24"/>
          <w:szCs w:val="24"/>
          <w:lang w:eastAsia="en-GB"/>
        </w:rPr>
        <w:t xml:space="preserve">(Yin, Xu and Porter, 2011). </w:t>
      </w:r>
    </w:p>
    <w:p w:rsidR="00DE5FDE" w:rsidRPr="0071546E" w:rsidRDefault="00DE5FDE" w:rsidP="00CF13FE">
      <w:pPr>
        <w:spacing w:after="0" w:line="480" w:lineRule="auto"/>
        <w:ind w:left="1021" w:right="454"/>
        <w:jc w:val="both"/>
        <w:rPr>
          <w:rFonts w:ascii="Arial" w:eastAsia="Times New Roman" w:hAnsi="Arial" w:cs="Arial"/>
          <w:color w:val="000000" w:themeColor="text1"/>
          <w:sz w:val="24"/>
          <w:szCs w:val="24"/>
          <w:lang w:eastAsia="en-GB"/>
        </w:rPr>
      </w:pPr>
    </w:p>
    <w:p w:rsidR="00DE5FDE" w:rsidRPr="0071546E" w:rsidRDefault="00DE5FDE" w:rsidP="00CF13FE">
      <w:pPr>
        <w:spacing w:after="0" w:line="480" w:lineRule="auto"/>
        <w:ind w:left="1021" w:right="454"/>
        <w:jc w:val="both"/>
        <w:rPr>
          <w:rFonts w:ascii="Arial" w:eastAsia="Times New Roman" w:hAnsi="Arial" w:cs="Arial"/>
          <w:color w:val="000000" w:themeColor="text1"/>
          <w:sz w:val="24"/>
          <w:szCs w:val="24"/>
          <w:lang w:eastAsia="en-GB"/>
        </w:rPr>
      </w:pPr>
    </w:p>
    <w:p w:rsidR="00DE5FDE" w:rsidRPr="0071546E" w:rsidRDefault="00DE5FDE" w:rsidP="003333B5">
      <w:pPr>
        <w:spacing w:after="0" w:line="480" w:lineRule="auto"/>
        <w:ind w:right="454"/>
        <w:jc w:val="both"/>
        <w:rPr>
          <w:rFonts w:ascii="Arial" w:eastAsia="Times New Roman" w:hAnsi="Arial" w:cs="Arial"/>
          <w:color w:val="000000" w:themeColor="text1"/>
          <w:sz w:val="24"/>
          <w:szCs w:val="24"/>
          <w:lang w:eastAsia="en-GB"/>
        </w:rPr>
      </w:pPr>
    </w:p>
    <w:p w:rsidR="00382E65" w:rsidRPr="0071546E" w:rsidRDefault="00382E65" w:rsidP="003333B5">
      <w:pPr>
        <w:spacing w:after="0" w:line="480" w:lineRule="auto"/>
        <w:ind w:right="454"/>
        <w:jc w:val="both"/>
        <w:rPr>
          <w:rFonts w:ascii="Arial" w:eastAsia="Times New Roman" w:hAnsi="Arial" w:cs="Arial"/>
          <w:color w:val="000000" w:themeColor="text1"/>
          <w:sz w:val="24"/>
          <w:szCs w:val="24"/>
          <w:lang w:eastAsia="en-GB"/>
        </w:rPr>
      </w:pPr>
    </w:p>
    <w:p w:rsidR="00225130" w:rsidRPr="0071546E" w:rsidRDefault="00225130" w:rsidP="003333B5">
      <w:pPr>
        <w:spacing w:after="0" w:line="480" w:lineRule="auto"/>
        <w:ind w:right="454"/>
        <w:jc w:val="both"/>
        <w:rPr>
          <w:rFonts w:ascii="Arial" w:eastAsia="Times New Roman" w:hAnsi="Arial" w:cs="Arial"/>
          <w:color w:val="000000" w:themeColor="text1"/>
          <w:sz w:val="24"/>
          <w:szCs w:val="24"/>
          <w:lang w:eastAsia="en-GB"/>
        </w:rPr>
      </w:pPr>
    </w:p>
    <w:p w:rsidR="00382E65" w:rsidRPr="0071546E" w:rsidRDefault="00382E65" w:rsidP="003333B5">
      <w:pPr>
        <w:spacing w:after="0" w:line="480" w:lineRule="auto"/>
        <w:ind w:right="454"/>
        <w:jc w:val="both"/>
        <w:rPr>
          <w:rFonts w:ascii="Arial" w:eastAsia="Times New Roman" w:hAnsi="Arial" w:cs="Arial"/>
          <w:color w:val="000000" w:themeColor="text1"/>
          <w:sz w:val="24"/>
          <w:szCs w:val="24"/>
          <w:lang w:eastAsia="en-GB"/>
        </w:rPr>
      </w:pPr>
    </w:p>
    <w:p w:rsidR="00382E65" w:rsidRPr="0071546E" w:rsidRDefault="00382E65" w:rsidP="003333B5">
      <w:pPr>
        <w:spacing w:after="0" w:line="480" w:lineRule="auto"/>
        <w:ind w:right="454"/>
        <w:jc w:val="both"/>
        <w:rPr>
          <w:rFonts w:ascii="Arial" w:eastAsia="Times New Roman" w:hAnsi="Arial" w:cs="Arial"/>
          <w:color w:val="000000" w:themeColor="text1"/>
          <w:sz w:val="24"/>
          <w:szCs w:val="24"/>
          <w:lang w:eastAsia="en-GB"/>
        </w:rPr>
      </w:pPr>
    </w:p>
    <w:p w:rsidR="00DB4711" w:rsidRPr="0071546E" w:rsidRDefault="00DB4711" w:rsidP="003333B5">
      <w:pPr>
        <w:spacing w:after="0" w:line="480" w:lineRule="auto"/>
        <w:ind w:right="454"/>
        <w:jc w:val="both"/>
        <w:rPr>
          <w:rFonts w:ascii="Arial" w:eastAsia="Times New Roman" w:hAnsi="Arial" w:cs="Arial"/>
          <w:color w:val="000000" w:themeColor="text1"/>
          <w:sz w:val="24"/>
          <w:szCs w:val="24"/>
          <w:lang w:eastAsia="en-GB"/>
        </w:rPr>
      </w:pPr>
    </w:p>
    <w:p w:rsidR="00725033" w:rsidRPr="0071546E" w:rsidRDefault="00725033" w:rsidP="00CF13FE">
      <w:pPr>
        <w:pStyle w:val="Heading2"/>
        <w:ind w:left="1021" w:right="454"/>
      </w:pPr>
      <w:bookmarkStart w:id="24" w:name="_Toc14711394"/>
      <w:r w:rsidRPr="0071546E">
        <w:t>1.4.</w:t>
      </w:r>
      <w:r w:rsidR="00382E65" w:rsidRPr="0071546E">
        <w:t>5</w:t>
      </w:r>
      <w:r w:rsidRPr="0071546E">
        <w:t xml:space="preserve"> Lipid peroxidation</w:t>
      </w:r>
      <w:bookmarkEnd w:id="24"/>
    </w:p>
    <w:p w:rsidR="00DE5FDE" w:rsidRPr="0071546E" w:rsidRDefault="00725033" w:rsidP="00382E65">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The main target for peroxidation is unsaturated fatty acids seen in membrane phospholipids. When there is </w:t>
      </w:r>
      <w:r w:rsidR="004A57D4" w:rsidRPr="0071546E">
        <w:rPr>
          <w:rFonts w:ascii="Arial" w:eastAsia="Times New Roman" w:hAnsi="Arial" w:cs="Arial"/>
          <w:color w:val="000000" w:themeColor="text1"/>
          <w:sz w:val="24"/>
          <w:szCs w:val="24"/>
          <w:lang w:eastAsia="en-GB"/>
        </w:rPr>
        <w:t xml:space="preserve">an </w:t>
      </w:r>
      <w:r w:rsidRPr="0071546E">
        <w:rPr>
          <w:rFonts w:ascii="Arial" w:eastAsia="Times New Roman" w:hAnsi="Arial" w:cs="Arial"/>
          <w:color w:val="000000" w:themeColor="text1"/>
          <w:sz w:val="24"/>
          <w:szCs w:val="24"/>
          <w:lang w:eastAsia="en-GB"/>
        </w:rPr>
        <w:t>elevated level of ROS in the cell beyond the cells antioxidant capacity, lipid peroxidation occurs</w:t>
      </w:r>
      <w:r w:rsidR="00CD5372" w:rsidRPr="0071546E">
        <w:rPr>
          <w:color w:val="000000"/>
        </w:rPr>
        <w:t xml:space="preserve"> </w:t>
      </w:r>
      <w:r w:rsidR="00CD5372" w:rsidRPr="0071546E">
        <w:rPr>
          <w:rFonts w:ascii="Arial" w:eastAsia="Times New Roman" w:hAnsi="Arial" w:cs="Arial"/>
          <w:color w:val="000000" w:themeColor="text1"/>
          <w:sz w:val="24"/>
          <w:szCs w:val="24"/>
          <w:lang w:eastAsia="en-GB"/>
        </w:rPr>
        <w:t>(Ayala, Muñoz and Argüelles, 2014)</w:t>
      </w:r>
      <w:r w:rsidRPr="0071546E">
        <w:rPr>
          <w:rFonts w:ascii="Arial" w:eastAsia="Times New Roman" w:hAnsi="Arial" w:cs="Arial"/>
          <w:color w:val="000000" w:themeColor="text1"/>
          <w:sz w:val="24"/>
          <w:szCs w:val="24"/>
          <w:lang w:eastAsia="en-GB"/>
        </w:rPr>
        <w:t xml:space="preserve">. Lipid peroxidation intensifies oxidative stress by the production of lipid-derived radicals, which have </w:t>
      </w:r>
      <w:r w:rsidR="004A57D4" w:rsidRPr="0071546E">
        <w:rPr>
          <w:rFonts w:ascii="Arial" w:eastAsia="Times New Roman" w:hAnsi="Arial" w:cs="Arial"/>
          <w:color w:val="000000" w:themeColor="text1"/>
          <w:sz w:val="24"/>
          <w:szCs w:val="24"/>
          <w:lang w:eastAsia="en-GB"/>
        </w:rPr>
        <w:t xml:space="preserve">a </w:t>
      </w:r>
      <w:r w:rsidRPr="0071546E">
        <w:rPr>
          <w:rFonts w:ascii="Arial" w:eastAsia="Times New Roman" w:hAnsi="Arial" w:cs="Arial"/>
          <w:color w:val="000000" w:themeColor="text1"/>
          <w:sz w:val="24"/>
          <w:szCs w:val="24"/>
          <w:lang w:eastAsia="en-GB"/>
        </w:rPr>
        <w:t>strong affinity to proteins and DNA. Quantification of peroxidation in cells undergoing oxidative stress can be used to detect ROS in these cells</w:t>
      </w:r>
      <w:r w:rsidRPr="0071546E">
        <w:rPr>
          <w:rFonts w:ascii="Arial" w:hAnsi="Arial" w:cs="Arial"/>
          <w:color w:val="000000"/>
          <w:sz w:val="24"/>
          <w:szCs w:val="24"/>
        </w:rPr>
        <w:t xml:space="preserve"> </w:t>
      </w:r>
      <w:r w:rsidRPr="0071546E">
        <w:rPr>
          <w:rFonts w:ascii="Arial" w:eastAsia="Times New Roman" w:hAnsi="Arial" w:cs="Arial"/>
          <w:color w:val="000000" w:themeColor="text1"/>
          <w:sz w:val="24"/>
          <w:szCs w:val="24"/>
          <w:lang w:eastAsia="en-GB"/>
        </w:rPr>
        <w:t>(Niki, 2008; Griendling et al., 2016). Increased peroxidation under stress conditions is proportional to increased production of ROS. The two most common specific sites to ROS on the phospholipid molecule are the ester linkage between glycerol and fatty acid and the unsaturated bond between carbon atoms</w:t>
      </w:r>
      <w:r w:rsidRPr="0071546E">
        <w:rPr>
          <w:rFonts w:ascii="Arial" w:hAnsi="Arial" w:cs="Arial"/>
          <w:color w:val="000000"/>
          <w:sz w:val="24"/>
          <w:szCs w:val="24"/>
        </w:rPr>
        <w:t xml:space="preserve"> </w:t>
      </w:r>
      <w:r w:rsidR="001C7F97" w:rsidRPr="0071546E">
        <w:rPr>
          <w:rFonts w:ascii="Arial" w:hAnsi="Arial" w:cs="Arial"/>
          <w:color w:val="000000"/>
          <w:sz w:val="24"/>
          <w:szCs w:val="24"/>
        </w:rPr>
        <w:t xml:space="preserve">fig 1.10 </w:t>
      </w:r>
      <w:r w:rsidRPr="0071546E">
        <w:rPr>
          <w:rFonts w:ascii="Arial" w:eastAsia="Times New Roman" w:hAnsi="Arial" w:cs="Arial"/>
          <w:color w:val="000000" w:themeColor="text1"/>
          <w:sz w:val="24"/>
          <w:szCs w:val="24"/>
          <w:lang w:eastAsia="en-GB"/>
        </w:rPr>
        <w:t>(Saravanakumar, Kim and Kim, 2016). Polyunsaturated fatty acids in cell membranes are the principal target of ROS</w:t>
      </w:r>
      <w:r w:rsidRPr="0071546E">
        <w:rPr>
          <w:rFonts w:ascii="Arial" w:hAnsi="Arial" w:cs="Arial"/>
          <w:color w:val="000000"/>
          <w:sz w:val="24"/>
          <w:szCs w:val="24"/>
        </w:rPr>
        <w:t xml:space="preserve"> </w:t>
      </w:r>
      <w:r w:rsidRPr="0071546E">
        <w:rPr>
          <w:rFonts w:ascii="Arial" w:eastAsia="Times New Roman" w:hAnsi="Arial" w:cs="Arial"/>
          <w:color w:val="000000" w:themeColor="text1"/>
          <w:sz w:val="24"/>
          <w:szCs w:val="24"/>
          <w:lang w:eastAsia="en-GB"/>
        </w:rPr>
        <w:t xml:space="preserve">(Das and Roychoudhury, 2014). A single hydroxyl radical (•OH) can cause the peroxidation of several polyunsaturated fatty acids as the reaction involved is </w:t>
      </w:r>
      <w:r w:rsidR="004A57D4" w:rsidRPr="0071546E">
        <w:rPr>
          <w:rFonts w:ascii="Arial" w:eastAsia="Times New Roman" w:hAnsi="Arial" w:cs="Arial"/>
          <w:color w:val="000000" w:themeColor="text1"/>
          <w:sz w:val="24"/>
          <w:szCs w:val="24"/>
          <w:lang w:eastAsia="en-GB"/>
        </w:rPr>
        <w:t xml:space="preserve">a </w:t>
      </w:r>
      <w:r w:rsidRPr="0071546E">
        <w:rPr>
          <w:rFonts w:ascii="Arial" w:eastAsia="Times New Roman" w:hAnsi="Arial" w:cs="Arial"/>
          <w:color w:val="000000" w:themeColor="text1"/>
          <w:sz w:val="24"/>
          <w:szCs w:val="24"/>
          <w:lang w:eastAsia="en-GB"/>
        </w:rPr>
        <w:t>cyclic chain reaction. Peroxidation of membrane lipids significantly alters the lipid bilayers, particularly distorting lipid-lipid interactions, ion gradients, membrane fluidity and permeability</w:t>
      </w:r>
      <w:r w:rsidR="00024033" w:rsidRPr="0071546E">
        <w:rPr>
          <w:rFonts w:ascii="Arial" w:eastAsia="Times New Roman" w:hAnsi="Arial" w:cs="Arial"/>
          <w:color w:val="000000" w:themeColor="text1"/>
          <w:sz w:val="24"/>
          <w:szCs w:val="24"/>
          <w:lang w:eastAsia="en-GB"/>
        </w:rPr>
        <w:t xml:space="preserve"> leading to cell death</w:t>
      </w:r>
      <w:r w:rsidRPr="0071546E">
        <w:rPr>
          <w:rFonts w:ascii="Arial" w:eastAsia="Times New Roman" w:hAnsi="Arial" w:cs="Arial"/>
          <w:color w:val="000000" w:themeColor="text1"/>
          <w:sz w:val="24"/>
          <w:szCs w:val="24"/>
          <w:lang w:eastAsia="en-GB"/>
        </w:rPr>
        <w:t xml:space="preserve"> (Wong-ekkabut et al., 2007). Modelled molecular dynamics showed that peroxidised phospholipids rearranged themselves in a bilayer such that the oxidised chain moved toward the water/lipid interphase, decreasing membrane thickness and strength (Lis et al., 2011). </w:t>
      </w:r>
    </w:p>
    <w:p w:rsidR="00382E65" w:rsidRPr="0071546E" w:rsidRDefault="00382E65" w:rsidP="00CF13FE">
      <w:pPr>
        <w:spacing w:after="0" w:line="480" w:lineRule="auto"/>
        <w:ind w:left="1021" w:right="454"/>
        <w:jc w:val="both"/>
        <w:rPr>
          <w:rFonts w:ascii="Arial" w:eastAsia="Times New Roman" w:hAnsi="Arial" w:cs="Arial"/>
          <w:color w:val="000000" w:themeColor="text1"/>
          <w:sz w:val="24"/>
          <w:szCs w:val="24"/>
          <w:lang w:eastAsia="en-GB"/>
        </w:rPr>
      </w:pPr>
    </w:p>
    <w:p w:rsidR="00002A23" w:rsidRPr="0071546E" w:rsidRDefault="00725033" w:rsidP="00CF13FE">
      <w:pPr>
        <w:spacing w:after="0" w:line="480" w:lineRule="auto"/>
        <w:ind w:left="1021" w:right="454"/>
        <w:jc w:val="both"/>
        <w:rPr>
          <w:noProof/>
        </w:rPr>
      </w:pPr>
      <w:r w:rsidRPr="0071546E">
        <w:rPr>
          <w:rFonts w:ascii="Arial" w:eastAsia="Times New Roman" w:hAnsi="Arial" w:cs="Arial"/>
          <w:color w:val="000000" w:themeColor="text1"/>
          <w:sz w:val="24"/>
          <w:szCs w:val="24"/>
          <w:lang w:eastAsia="en-GB"/>
        </w:rPr>
        <w:t>Subsequent evidence showed that the entire oxidized chain could float unto the aqueous phase, becoming targets for macrophages (Remmerie and Scott, 2018). Lipid peroxides produce metabolites that exhibit additional toxicity. For example, ferrous iron can react with lipid peroxide to produce a corresponding alkoxy radical, which potentially stimulates new peroxidation reactions. Furthermore, products like 4-HNE</w:t>
      </w:r>
      <w:r w:rsidR="00AC4671" w:rsidRPr="0071546E">
        <w:rPr>
          <w:rFonts w:ascii="Arial" w:eastAsia="Times New Roman" w:hAnsi="Arial" w:cs="Arial"/>
          <w:color w:val="000000" w:themeColor="text1"/>
          <w:sz w:val="24"/>
          <w:szCs w:val="24"/>
          <w:lang w:eastAsia="en-GB"/>
        </w:rPr>
        <w:t xml:space="preserve"> (4- Hydroxylnonenal) </w:t>
      </w:r>
      <w:r w:rsidRPr="0071546E">
        <w:rPr>
          <w:rFonts w:ascii="Arial" w:eastAsia="Times New Roman" w:hAnsi="Arial" w:cs="Arial"/>
          <w:color w:val="000000" w:themeColor="text1"/>
          <w:sz w:val="24"/>
          <w:szCs w:val="24"/>
          <w:lang w:eastAsia="en-GB"/>
        </w:rPr>
        <w:t xml:space="preserve"> and</w:t>
      </w:r>
      <w:r w:rsidRPr="0071546E">
        <w:rPr>
          <w:rFonts w:ascii="Arial" w:hAnsi="Arial" w:cs="Arial"/>
          <w:sz w:val="24"/>
          <w:szCs w:val="24"/>
        </w:rPr>
        <w:t xml:space="preserve"> </w:t>
      </w:r>
      <w:hyperlink r:id="rId24" w:tooltip="Learn more about Malonaldehyde" w:history="1">
        <w:r w:rsidRPr="0071546E">
          <w:rPr>
            <w:rStyle w:val="Hyperlink"/>
            <w:rFonts w:ascii="Arial" w:eastAsia="Times New Roman" w:hAnsi="Arial" w:cs="Arial"/>
            <w:color w:val="auto"/>
            <w:sz w:val="24"/>
            <w:szCs w:val="24"/>
            <w:u w:val="none"/>
            <w:lang w:eastAsia="en-GB"/>
          </w:rPr>
          <w:t>Malonaldehyde</w:t>
        </w:r>
      </w:hyperlink>
      <w:r w:rsidRPr="0071546E">
        <w:rPr>
          <w:rFonts w:ascii="Arial" w:eastAsia="Times New Roman" w:hAnsi="Arial" w:cs="Arial"/>
          <w:color w:val="000000" w:themeColor="text1"/>
          <w:sz w:val="24"/>
          <w:szCs w:val="24"/>
          <w:lang w:eastAsia="en-GB"/>
        </w:rPr>
        <w:t xml:space="preserve"> (MDA), formed by the degradation of aldehydes are toxic to cells. MDA is a dialdehyde capable of crosslinking primary amines and proteins. Similarly, 4-</w:t>
      </w:r>
      <w:r w:rsidR="00AC4671" w:rsidRPr="0071546E">
        <w:rPr>
          <w:rFonts w:ascii="Arial" w:eastAsia="Times New Roman" w:hAnsi="Arial" w:cs="Arial"/>
          <w:color w:val="000000" w:themeColor="text1"/>
          <w:sz w:val="24"/>
          <w:szCs w:val="24"/>
          <w:lang w:eastAsia="en-GB"/>
        </w:rPr>
        <w:t>HNE is</w:t>
      </w:r>
      <w:r w:rsidRPr="0071546E">
        <w:rPr>
          <w:rFonts w:ascii="Arial" w:eastAsia="Times New Roman" w:hAnsi="Arial" w:cs="Arial"/>
          <w:color w:val="000000" w:themeColor="text1"/>
          <w:sz w:val="24"/>
          <w:szCs w:val="24"/>
          <w:lang w:eastAsia="en-GB"/>
        </w:rPr>
        <w:t xml:space="preserve"> also a Michael acceptor and can attach to the side chains of nucleophilic amino acids</w:t>
      </w:r>
      <w:r w:rsidR="00AC4671" w:rsidRPr="0071546E">
        <w:rPr>
          <w:color w:val="000000"/>
        </w:rPr>
        <w:t xml:space="preserve"> </w:t>
      </w:r>
      <w:r w:rsidR="00AC4671" w:rsidRPr="0071546E">
        <w:rPr>
          <w:rFonts w:ascii="Arial" w:eastAsia="Times New Roman" w:hAnsi="Arial" w:cs="Arial"/>
          <w:color w:val="000000" w:themeColor="text1"/>
          <w:sz w:val="24"/>
          <w:szCs w:val="24"/>
          <w:lang w:eastAsia="en-GB"/>
        </w:rPr>
        <w:t>(Pizzimenti et al., 2013)</w:t>
      </w:r>
      <w:r w:rsidRPr="0071546E">
        <w:rPr>
          <w:rFonts w:ascii="Arial" w:eastAsia="Times New Roman" w:hAnsi="Arial" w:cs="Arial"/>
          <w:color w:val="000000" w:themeColor="text1"/>
          <w:sz w:val="24"/>
          <w:szCs w:val="24"/>
          <w:lang w:eastAsia="en-GB"/>
        </w:rPr>
        <w:t>. These covalent modifications carried out by these secondary by-products of lipid peroxidation modify the functions, structure of proteins and nucleic acids, and are responsible for the cytotoxic effect seen by free radical</w:t>
      </w:r>
      <w:r w:rsidR="004A57D4"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induced damage</w:t>
      </w:r>
      <w:r w:rsidR="00002A23" w:rsidRPr="0071546E">
        <w:rPr>
          <w:rFonts w:ascii="Arial" w:eastAsia="Times New Roman" w:hAnsi="Arial" w:cs="Arial"/>
          <w:color w:val="000000" w:themeColor="text1"/>
          <w:sz w:val="24"/>
          <w:szCs w:val="24"/>
          <w:lang w:eastAsia="en-GB"/>
        </w:rPr>
        <w:t xml:space="preserve"> (Gaschler and Stockwell, 2017)</w:t>
      </w:r>
      <w:r w:rsidRPr="0071546E">
        <w:rPr>
          <w:rFonts w:ascii="Arial" w:eastAsia="Times New Roman" w:hAnsi="Arial" w:cs="Arial"/>
          <w:color w:val="000000" w:themeColor="text1"/>
          <w:sz w:val="24"/>
          <w:szCs w:val="24"/>
          <w:lang w:eastAsia="en-GB"/>
        </w:rPr>
        <w:t>.</w:t>
      </w:r>
      <w:r w:rsidR="001C7F97" w:rsidRPr="0071546E">
        <w:rPr>
          <w:noProof/>
        </w:rPr>
        <w:t xml:space="preserve"> </w:t>
      </w:r>
    </w:p>
    <w:p w:rsidR="00EF3A6D" w:rsidRPr="0071546E" w:rsidRDefault="001C7F97" w:rsidP="00CF13FE">
      <w:pPr>
        <w:spacing w:after="0" w:line="480" w:lineRule="auto"/>
        <w:ind w:left="1021" w:right="454"/>
        <w:jc w:val="both"/>
        <w:rPr>
          <w:noProof/>
        </w:rPr>
      </w:pPr>
      <w:r w:rsidRPr="0071546E">
        <w:rPr>
          <w:noProof/>
          <w:lang w:eastAsia="en-GB"/>
        </w:rPr>
        <w:drawing>
          <wp:inline distT="0" distB="0" distL="0" distR="0" wp14:anchorId="3BE81547" wp14:editId="4D3B46B1">
            <wp:extent cx="4714240" cy="2755075"/>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26601" cy="2762299"/>
                    </a:xfrm>
                    <a:prstGeom prst="rect">
                      <a:avLst/>
                    </a:prstGeom>
                  </pic:spPr>
                </pic:pic>
              </a:graphicData>
            </a:graphic>
          </wp:inline>
        </w:drawing>
      </w:r>
    </w:p>
    <w:p w:rsidR="001C7F97" w:rsidRPr="0071546E" w:rsidRDefault="001C7F97" w:rsidP="001C7F97">
      <w:pPr>
        <w:spacing w:after="0" w:line="240" w:lineRule="auto"/>
        <w:ind w:left="1021" w:right="454"/>
        <w:jc w:val="both"/>
        <w:rPr>
          <w:rFonts w:ascii="Arial" w:eastAsia="Times New Roman" w:hAnsi="Arial" w:cs="Arial"/>
          <w:color w:val="000000" w:themeColor="text1"/>
          <w:lang w:eastAsia="en-GB"/>
        </w:rPr>
      </w:pPr>
      <w:r w:rsidRPr="0071546E">
        <w:rPr>
          <w:rFonts w:ascii="Arial" w:hAnsi="Arial" w:cs="Arial"/>
          <w:noProof/>
          <w:sz w:val="20"/>
          <w:szCs w:val="20"/>
        </w:rPr>
        <w:t>Fig 1.10 Lipid molecule showing ester linkages (red rings) which is the main target of reactive oxygen species.</w:t>
      </w:r>
    </w:p>
    <w:p w:rsidR="00AC4671" w:rsidRPr="0071546E" w:rsidRDefault="00AC4671" w:rsidP="00AC4671">
      <w:pPr>
        <w:ind w:right="454"/>
        <w:rPr>
          <w:rFonts w:ascii="Arial" w:eastAsia="Times New Roman" w:hAnsi="Arial" w:cs="Arial"/>
          <w:color w:val="000000" w:themeColor="text1"/>
          <w:sz w:val="24"/>
          <w:szCs w:val="24"/>
          <w:lang w:eastAsia="en-GB"/>
        </w:rPr>
      </w:pPr>
    </w:p>
    <w:p w:rsidR="00725033" w:rsidRPr="0071546E" w:rsidRDefault="00725033" w:rsidP="00CF13FE">
      <w:pPr>
        <w:pStyle w:val="Heading2"/>
        <w:ind w:left="1021" w:right="454"/>
      </w:pPr>
      <w:bookmarkStart w:id="25" w:name="_Toc14711395"/>
      <w:r w:rsidRPr="0071546E">
        <w:t>1.4.</w:t>
      </w:r>
      <w:r w:rsidR="00382E65" w:rsidRPr="0071546E">
        <w:t>6</w:t>
      </w:r>
      <w:r w:rsidRPr="0071546E">
        <w:t xml:space="preserve"> Free radical </w:t>
      </w:r>
      <w:r w:rsidR="00B20031" w:rsidRPr="0071546E">
        <w:t>interaction with</w:t>
      </w:r>
      <w:r w:rsidRPr="0071546E">
        <w:t xml:space="preserve"> proteins.</w:t>
      </w:r>
      <w:bookmarkEnd w:id="25"/>
    </w:p>
    <w:p w:rsidR="00725033" w:rsidRPr="0071546E" w:rsidRDefault="00725033"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Free radical attack on proteins results in the modification of proteins, and this can occur in a direct or indirect manner. Direct modification of a protein includes modulation of the </w:t>
      </w:r>
      <w:r w:rsidR="004A57D4" w:rsidRPr="0071546E">
        <w:rPr>
          <w:rFonts w:ascii="Arial" w:eastAsia="Times New Roman" w:hAnsi="Arial" w:cs="Arial"/>
          <w:color w:val="000000" w:themeColor="text1"/>
          <w:sz w:val="24"/>
          <w:szCs w:val="24"/>
          <w:lang w:eastAsia="en-GB"/>
        </w:rPr>
        <w:t>activity of the protein</w:t>
      </w:r>
      <w:r w:rsidRPr="0071546E">
        <w:rPr>
          <w:rFonts w:ascii="Arial" w:eastAsia="Times New Roman" w:hAnsi="Arial" w:cs="Arial"/>
          <w:color w:val="000000" w:themeColor="text1"/>
          <w:sz w:val="24"/>
          <w:szCs w:val="24"/>
          <w:lang w:eastAsia="en-GB"/>
        </w:rPr>
        <w:t xml:space="preserve"> through nitrosylation, carbonylation, </w:t>
      </w:r>
      <w:r w:rsidR="004A57D4"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 xml:space="preserve">formation of disulphide bonds and glutathionylation. Protein </w:t>
      </w:r>
      <w:r w:rsidR="004A57D4" w:rsidRPr="0071546E">
        <w:rPr>
          <w:rFonts w:ascii="Arial" w:eastAsia="Times New Roman" w:hAnsi="Arial" w:cs="Arial"/>
          <w:color w:val="000000" w:themeColor="text1"/>
          <w:sz w:val="24"/>
          <w:szCs w:val="24"/>
          <w:lang w:eastAsia="en-GB"/>
        </w:rPr>
        <w:t>is</w:t>
      </w:r>
      <w:r w:rsidRPr="0071546E">
        <w:rPr>
          <w:rFonts w:ascii="Arial" w:eastAsia="Times New Roman" w:hAnsi="Arial" w:cs="Arial"/>
          <w:color w:val="000000" w:themeColor="text1"/>
          <w:sz w:val="24"/>
          <w:szCs w:val="24"/>
          <w:lang w:eastAsia="en-GB"/>
        </w:rPr>
        <w:t xml:space="preserve"> also modified indirectly through conjugation with by-product</w:t>
      </w:r>
      <w:r w:rsidR="00CD5372" w:rsidRPr="0071546E">
        <w:rPr>
          <w:rFonts w:ascii="Arial" w:eastAsia="Times New Roman" w:hAnsi="Arial" w:cs="Arial"/>
          <w:color w:val="000000" w:themeColor="text1"/>
          <w:sz w:val="24"/>
          <w:szCs w:val="24"/>
          <w:lang w:eastAsia="en-GB"/>
        </w:rPr>
        <w:t>s of fatty acid peroxidation (Barrera, 2012).</w:t>
      </w:r>
    </w:p>
    <w:p w:rsidR="00DE5FDE" w:rsidRPr="0071546E" w:rsidRDefault="00725033"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As consequences of </w:t>
      </w:r>
      <w:r w:rsidR="004A57D4" w:rsidRPr="0071546E">
        <w:rPr>
          <w:rFonts w:ascii="Arial" w:eastAsia="Times New Roman" w:hAnsi="Arial" w:cs="Arial"/>
          <w:color w:val="000000" w:themeColor="text1"/>
          <w:sz w:val="24"/>
          <w:szCs w:val="24"/>
          <w:lang w:eastAsia="en-GB"/>
        </w:rPr>
        <w:t xml:space="preserve">an </w:t>
      </w:r>
      <w:r w:rsidRPr="0071546E">
        <w:rPr>
          <w:rFonts w:ascii="Arial" w:eastAsia="Times New Roman" w:hAnsi="Arial" w:cs="Arial"/>
          <w:color w:val="000000" w:themeColor="text1"/>
          <w:sz w:val="24"/>
          <w:szCs w:val="24"/>
          <w:lang w:eastAsia="en-GB"/>
        </w:rPr>
        <w:t xml:space="preserve">attack by ROS, site-specific modification of amino acid, </w:t>
      </w:r>
      <w:r w:rsidR="004A57D4"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break-up of the peptide chain, aggregation of cross-linked reaction products, changed electric charge and elevated susceptibility of protein to proteolysis occur</w:t>
      </w:r>
      <w:r w:rsidR="000149D2" w:rsidRPr="0071546E">
        <w:rPr>
          <w:color w:val="000000"/>
        </w:rPr>
        <w:t xml:space="preserve"> </w:t>
      </w:r>
      <w:r w:rsidR="000149D2" w:rsidRPr="0071546E">
        <w:rPr>
          <w:rFonts w:ascii="Arial" w:eastAsia="Times New Roman" w:hAnsi="Arial" w:cs="Arial"/>
          <w:color w:val="000000" w:themeColor="text1"/>
          <w:sz w:val="24"/>
          <w:szCs w:val="24"/>
          <w:lang w:eastAsia="en-GB"/>
        </w:rPr>
        <w:t>(Wall et al., 2012)</w:t>
      </w:r>
      <w:r w:rsidRPr="0071546E">
        <w:rPr>
          <w:rFonts w:ascii="Arial" w:eastAsia="Times New Roman" w:hAnsi="Arial" w:cs="Arial"/>
          <w:color w:val="000000" w:themeColor="text1"/>
          <w:sz w:val="24"/>
          <w:szCs w:val="24"/>
          <w:lang w:eastAsia="en-GB"/>
        </w:rPr>
        <w:t>. The reaction of singlet oxygen with proteins is more selective. Some amino acids are more reactive to singlet oxygen</w:t>
      </w:r>
      <w:r w:rsidR="004A57D4" w:rsidRPr="0071546E">
        <w:rPr>
          <w:rFonts w:ascii="Arial" w:eastAsia="Times New Roman" w:hAnsi="Arial" w:cs="Arial"/>
          <w:color w:val="000000" w:themeColor="text1"/>
          <w:sz w:val="24"/>
          <w:szCs w:val="24"/>
          <w:lang w:eastAsia="en-GB"/>
        </w:rPr>
        <w:t>, for example,</w:t>
      </w:r>
      <w:r w:rsidRPr="0071546E">
        <w:rPr>
          <w:rFonts w:ascii="Arial" w:eastAsia="Times New Roman" w:hAnsi="Arial" w:cs="Arial"/>
          <w:color w:val="000000" w:themeColor="text1"/>
          <w:sz w:val="24"/>
          <w:szCs w:val="24"/>
          <w:lang w:eastAsia="en-GB"/>
        </w:rPr>
        <w:t xml:space="preserve"> histidine, tryptophan, methionine and tyrosine (Klotz, Kröncke and Sies, 2003). Oxidation of these amino acids produces endoperoxides and </w:t>
      </w:r>
      <w:r w:rsidR="00B20031" w:rsidRPr="0071546E">
        <w:rPr>
          <w:rFonts w:ascii="Arial" w:eastAsia="Times New Roman" w:hAnsi="Arial" w:cs="Arial"/>
          <w:color w:val="000000" w:themeColor="text1"/>
          <w:sz w:val="24"/>
          <w:szCs w:val="24"/>
          <w:lang w:eastAsia="en-GB"/>
        </w:rPr>
        <w:t>sulphoxides, which</w:t>
      </w:r>
      <w:r w:rsidRPr="0071546E">
        <w:rPr>
          <w:rFonts w:ascii="Arial" w:eastAsia="Times New Roman" w:hAnsi="Arial" w:cs="Arial"/>
          <w:color w:val="000000" w:themeColor="text1"/>
          <w:sz w:val="24"/>
          <w:szCs w:val="24"/>
          <w:lang w:eastAsia="en-GB"/>
        </w:rPr>
        <w:t xml:space="preserve"> are toxic by-products. When singlet oxygen is released in solution, it sometimes causes non-specific or global protein damage, which can be estimated by evaluating protein carbonyl (Augustyniak </w:t>
      </w:r>
      <w:r w:rsidRPr="0071546E">
        <w:rPr>
          <w:rFonts w:ascii="Arial" w:eastAsia="Times New Roman" w:hAnsi="Arial" w:cs="Arial"/>
          <w:i/>
          <w:color w:val="000000" w:themeColor="text1"/>
          <w:sz w:val="24"/>
          <w:szCs w:val="24"/>
          <w:lang w:eastAsia="en-GB"/>
        </w:rPr>
        <w:t>et al</w:t>
      </w:r>
      <w:r w:rsidRPr="0071546E">
        <w:rPr>
          <w:rFonts w:ascii="Arial" w:eastAsia="Times New Roman" w:hAnsi="Arial" w:cs="Arial"/>
          <w:color w:val="000000" w:themeColor="text1"/>
          <w:sz w:val="24"/>
          <w:szCs w:val="24"/>
          <w:lang w:eastAsia="en-GB"/>
        </w:rPr>
        <w:t xml:space="preserve">., 2015). The oxidation of proteins is associated with the process of ageing and </w:t>
      </w:r>
      <w:r w:rsidR="004A57D4"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onset of certain diseases (Reeg and Grune, 2015).</w:t>
      </w:r>
    </w:p>
    <w:p w:rsidR="00DE5FDE" w:rsidRPr="0071546E" w:rsidRDefault="00DE5FDE" w:rsidP="00CF13FE">
      <w:pPr>
        <w:spacing w:after="0" w:line="480" w:lineRule="auto"/>
        <w:ind w:left="1021" w:right="454"/>
        <w:jc w:val="both"/>
        <w:rPr>
          <w:rFonts w:ascii="Arial" w:eastAsia="Times New Roman" w:hAnsi="Arial" w:cs="Arial"/>
          <w:color w:val="000000" w:themeColor="text1"/>
          <w:sz w:val="24"/>
          <w:szCs w:val="24"/>
          <w:lang w:eastAsia="en-GB"/>
        </w:rPr>
      </w:pPr>
    </w:p>
    <w:p w:rsidR="00DE5FDE" w:rsidRPr="0071546E" w:rsidRDefault="00DE5FDE" w:rsidP="00CF13FE">
      <w:pPr>
        <w:spacing w:after="0" w:line="480" w:lineRule="auto"/>
        <w:ind w:left="1021" w:right="454"/>
        <w:jc w:val="both"/>
        <w:rPr>
          <w:rFonts w:ascii="Arial" w:eastAsia="Times New Roman" w:hAnsi="Arial" w:cs="Arial"/>
          <w:color w:val="000000" w:themeColor="text1"/>
          <w:sz w:val="24"/>
          <w:szCs w:val="24"/>
          <w:lang w:eastAsia="en-GB"/>
        </w:rPr>
      </w:pPr>
    </w:p>
    <w:p w:rsidR="00DE5FDE" w:rsidRPr="0071546E" w:rsidRDefault="00DE5FDE" w:rsidP="00CF13FE">
      <w:pPr>
        <w:spacing w:after="0" w:line="48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 Lipofuscin, a by-product of peroxidised lipid and proteins, is found accumulated </w:t>
      </w:r>
      <w:r w:rsidR="00563D9A" w:rsidRPr="0071546E">
        <w:rPr>
          <w:rFonts w:ascii="Arial" w:eastAsia="Times New Roman" w:hAnsi="Arial" w:cs="Arial"/>
          <w:color w:val="000000" w:themeColor="text1"/>
          <w:sz w:val="24"/>
          <w:szCs w:val="24"/>
          <w:lang w:eastAsia="en-GB"/>
        </w:rPr>
        <w:t>i</w:t>
      </w:r>
      <w:r w:rsidRPr="0071546E">
        <w:rPr>
          <w:rFonts w:ascii="Arial" w:eastAsia="Times New Roman" w:hAnsi="Arial" w:cs="Arial"/>
          <w:color w:val="000000" w:themeColor="text1"/>
          <w:sz w:val="24"/>
          <w:szCs w:val="24"/>
          <w:lang w:eastAsia="en-GB"/>
        </w:rPr>
        <w:t xml:space="preserve">n the lysosomes, of aged cells and brain cells of patients with Alzheimer’s disease and found localised in iron-overloaded hepatocytes (Grimm et al., 2010).  The oxidative inhibition of several enzymes is associated with ageing and in </w:t>
      </w:r>
      <w:r w:rsidR="004A57D4"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onset of certain disease conditions like ischemia-reperfusion. Oxidation of cysteinyl residues by singlet oxygen causes inactivation of different enzyme</w:t>
      </w:r>
      <w:r w:rsidR="00563D9A"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 xml:space="preserve">like tyrosine phosphatases (Bheri and Pandey, 2018). Tyrosine phosphatases are enzymes that detach the phosphate group from phosphorylated tyrosine residues on </w:t>
      </w:r>
      <w:r w:rsidR="00964761" w:rsidRPr="0071546E">
        <w:rPr>
          <w:rFonts w:ascii="Arial" w:eastAsia="Times New Roman" w:hAnsi="Arial" w:cs="Arial"/>
          <w:color w:val="000000" w:themeColor="text1"/>
          <w:sz w:val="24"/>
          <w:szCs w:val="24"/>
          <w:lang w:eastAsia="en-GB"/>
        </w:rPr>
        <w:t xml:space="preserve">proteins (Elson, 2018). </w:t>
      </w:r>
      <w:r w:rsidRPr="0071546E">
        <w:rPr>
          <w:rFonts w:ascii="Arial" w:eastAsia="Times New Roman" w:hAnsi="Arial" w:cs="Arial"/>
          <w:color w:val="000000" w:themeColor="text1"/>
          <w:sz w:val="24"/>
          <w:szCs w:val="24"/>
          <w:lang w:eastAsia="en-GB"/>
        </w:rPr>
        <w:t xml:space="preserve">Phosphorylation is a post-translational modification that creates new recognisable modifications that allow for protein-protein interactions. When tyrosine phosphatases are inactivated, protein stability and enzyme activity </w:t>
      </w:r>
      <w:r w:rsidR="004A57D4" w:rsidRPr="0071546E">
        <w:rPr>
          <w:rFonts w:ascii="Arial" w:eastAsia="Times New Roman" w:hAnsi="Arial" w:cs="Arial"/>
          <w:color w:val="000000" w:themeColor="text1"/>
          <w:sz w:val="24"/>
          <w:szCs w:val="24"/>
          <w:lang w:eastAsia="en-GB"/>
        </w:rPr>
        <w:t>are</w:t>
      </w:r>
      <w:r w:rsidRPr="0071546E">
        <w:rPr>
          <w:rFonts w:ascii="Arial" w:eastAsia="Times New Roman" w:hAnsi="Arial" w:cs="Arial"/>
          <w:color w:val="000000" w:themeColor="text1"/>
          <w:sz w:val="24"/>
          <w:szCs w:val="24"/>
          <w:lang w:eastAsia="en-GB"/>
        </w:rPr>
        <w:t xml:space="preserve"> affected (Ardito et al., 2017); this</w:t>
      </w:r>
      <w:r w:rsidR="004A57D4" w:rsidRPr="0071546E">
        <w:rPr>
          <w:rFonts w:ascii="Arial" w:eastAsia="Times New Roman" w:hAnsi="Arial" w:cs="Arial"/>
          <w:color w:val="000000" w:themeColor="text1"/>
          <w:sz w:val="24"/>
          <w:szCs w:val="24"/>
          <w:lang w:eastAsia="en-GB"/>
        </w:rPr>
        <w:t>, in turn,</w:t>
      </w:r>
      <w:r w:rsidRPr="0071546E">
        <w:rPr>
          <w:rFonts w:ascii="Arial" w:eastAsia="Times New Roman" w:hAnsi="Arial" w:cs="Arial"/>
          <w:color w:val="000000" w:themeColor="text1"/>
          <w:sz w:val="24"/>
          <w:szCs w:val="24"/>
          <w:lang w:eastAsia="en-GB"/>
        </w:rPr>
        <w:t xml:space="preserve"> affects various metabolic processes like cell growth, differentiation, and transformation. Furthermore, oxidation of histidyl</w:t>
      </w:r>
      <w:r w:rsidRPr="0071546E">
        <w:rPr>
          <w:rFonts w:ascii="Arial" w:eastAsia="Times New Roman" w:hAnsi="Arial" w:cs="Arial"/>
          <w:b/>
          <w:color w:val="000000" w:themeColor="text1"/>
          <w:sz w:val="24"/>
          <w:szCs w:val="24"/>
          <w:lang w:eastAsia="en-GB"/>
        </w:rPr>
        <w:t xml:space="preserve"> </w:t>
      </w:r>
      <w:r w:rsidRPr="0071546E">
        <w:rPr>
          <w:rFonts w:ascii="Arial" w:eastAsia="Times New Roman" w:hAnsi="Arial" w:cs="Arial"/>
          <w:color w:val="000000" w:themeColor="text1"/>
          <w:sz w:val="24"/>
          <w:szCs w:val="24"/>
          <w:lang w:eastAsia="en-GB"/>
        </w:rPr>
        <w:t>by</w:t>
      </w:r>
      <w:r w:rsidRPr="0071546E">
        <w:rPr>
          <w:rFonts w:ascii="Arial" w:eastAsia="Times New Roman" w:hAnsi="Arial" w:cs="Arial"/>
          <w:b/>
          <w:color w:val="000000" w:themeColor="text1"/>
          <w:sz w:val="24"/>
          <w:szCs w:val="24"/>
          <w:lang w:eastAsia="en-GB"/>
        </w:rPr>
        <w:t xml:space="preserve"> </w:t>
      </w:r>
      <w:r w:rsidRPr="0071546E">
        <w:rPr>
          <w:rFonts w:ascii="Arial" w:eastAsia="Times New Roman" w:hAnsi="Arial" w:cs="Arial"/>
          <w:color w:val="000000" w:themeColor="text1"/>
          <w:sz w:val="24"/>
          <w:szCs w:val="24"/>
          <w:lang w:eastAsia="en-GB"/>
        </w:rPr>
        <w:t>singlet oxygen is believed to have stimulated the inactivation of mitochondrial permeability</w:t>
      </w:r>
      <w:r w:rsidRPr="0071546E">
        <w:rPr>
          <w:rFonts w:ascii="Arial" w:eastAsia="Times New Roman" w:hAnsi="Arial" w:cs="Arial"/>
          <w:b/>
          <w:color w:val="000000" w:themeColor="text1"/>
          <w:sz w:val="24"/>
          <w:szCs w:val="24"/>
          <w:lang w:eastAsia="en-GB"/>
        </w:rPr>
        <w:t xml:space="preserve"> </w:t>
      </w:r>
      <w:r w:rsidRPr="0071546E">
        <w:rPr>
          <w:rFonts w:ascii="Arial" w:eastAsia="Times New Roman" w:hAnsi="Arial" w:cs="Arial"/>
          <w:color w:val="000000" w:themeColor="text1"/>
          <w:sz w:val="24"/>
          <w:szCs w:val="24"/>
          <w:lang w:eastAsia="en-GB"/>
        </w:rPr>
        <w:t>transition pore. The mitochondrial permeability pore was shown to be unresponsive to Ca+ after photodynamic inactivation by hematoporphyrin (Ricchelli, Šileikytė and Bernardi, 2011). In summary, various signalling proteins are inactivated by singlet oxygen</w:t>
      </w:r>
      <w:r w:rsidR="004A57D4"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mediated oxidation of amino acid side chain.</w:t>
      </w:r>
    </w:p>
    <w:p w:rsidR="00DE5FDE" w:rsidRPr="0071546E" w:rsidRDefault="00DE5FDE" w:rsidP="00CF13FE">
      <w:pPr>
        <w:spacing w:after="0" w:line="480" w:lineRule="auto"/>
        <w:ind w:left="1021" w:right="454"/>
        <w:jc w:val="both"/>
        <w:rPr>
          <w:rFonts w:ascii="Arial" w:eastAsia="Times New Roman" w:hAnsi="Arial" w:cs="Arial"/>
          <w:color w:val="000000" w:themeColor="text1"/>
          <w:sz w:val="24"/>
          <w:szCs w:val="24"/>
          <w:lang w:eastAsia="en-GB"/>
        </w:rPr>
      </w:pPr>
    </w:p>
    <w:p w:rsidR="00DE5FDE" w:rsidRPr="0071546E" w:rsidRDefault="00DE5FDE" w:rsidP="00CF13FE">
      <w:pPr>
        <w:spacing w:after="0" w:line="480" w:lineRule="auto"/>
        <w:ind w:left="1021" w:right="454"/>
        <w:jc w:val="both"/>
        <w:rPr>
          <w:rFonts w:ascii="Arial" w:eastAsia="Times New Roman" w:hAnsi="Arial" w:cs="Arial"/>
          <w:color w:val="000000" w:themeColor="text1"/>
          <w:sz w:val="24"/>
          <w:szCs w:val="24"/>
          <w:lang w:eastAsia="en-GB"/>
        </w:rPr>
      </w:pPr>
    </w:p>
    <w:p w:rsidR="00DE5FDE" w:rsidRPr="0071546E" w:rsidRDefault="00DE5FDE" w:rsidP="00CF13FE">
      <w:pPr>
        <w:spacing w:after="0" w:line="480" w:lineRule="auto"/>
        <w:ind w:left="1021" w:right="454"/>
        <w:jc w:val="both"/>
        <w:rPr>
          <w:rFonts w:ascii="Arial" w:eastAsia="Times New Roman" w:hAnsi="Arial" w:cs="Arial"/>
          <w:color w:val="000000" w:themeColor="text1"/>
          <w:sz w:val="24"/>
          <w:szCs w:val="24"/>
          <w:lang w:eastAsia="en-GB"/>
        </w:rPr>
      </w:pPr>
    </w:p>
    <w:p w:rsidR="00DE5FDE" w:rsidRPr="0071546E" w:rsidRDefault="00DE5FDE" w:rsidP="00CF13FE">
      <w:pPr>
        <w:spacing w:after="0" w:line="48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CF13FE">
      <w:pPr>
        <w:pStyle w:val="Heading2"/>
        <w:ind w:left="1021" w:right="454"/>
      </w:pPr>
      <w:bookmarkStart w:id="26" w:name="_Toc14711396"/>
      <w:r w:rsidRPr="0071546E">
        <w:t>1.4.</w:t>
      </w:r>
      <w:r w:rsidR="00382E65" w:rsidRPr="0071546E">
        <w:t>7</w:t>
      </w:r>
      <w:r w:rsidRPr="0071546E">
        <w:t xml:space="preserve"> Free radical damage </w:t>
      </w:r>
      <w:r w:rsidR="00B20031" w:rsidRPr="0071546E">
        <w:t>to</w:t>
      </w:r>
      <w:r w:rsidRPr="0071546E">
        <w:t xml:space="preserve"> DNA</w:t>
      </w:r>
      <w:bookmarkEnd w:id="26"/>
    </w:p>
    <w:p w:rsidR="007C3A88" w:rsidRPr="0071546E" w:rsidRDefault="00725033" w:rsidP="007C3A88">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Reactive oxygen species are the </w:t>
      </w:r>
      <w:r w:rsidR="003C437A" w:rsidRPr="0071546E">
        <w:rPr>
          <w:rFonts w:ascii="Arial" w:eastAsia="Times New Roman" w:hAnsi="Arial" w:cs="Arial"/>
          <w:color w:val="000000" w:themeColor="text1"/>
          <w:sz w:val="24"/>
          <w:szCs w:val="24"/>
          <w:lang w:eastAsia="en-GB"/>
        </w:rPr>
        <w:t>main</w:t>
      </w:r>
      <w:r w:rsidRPr="0071546E">
        <w:rPr>
          <w:rFonts w:ascii="Arial" w:eastAsia="Times New Roman" w:hAnsi="Arial" w:cs="Arial"/>
          <w:color w:val="000000" w:themeColor="text1"/>
          <w:sz w:val="24"/>
          <w:szCs w:val="24"/>
          <w:lang w:eastAsia="en-GB"/>
        </w:rPr>
        <w:t xml:space="preserve"> </w:t>
      </w:r>
      <w:r w:rsidR="003C437A" w:rsidRPr="0071546E">
        <w:rPr>
          <w:rFonts w:ascii="Arial" w:eastAsia="Times New Roman" w:hAnsi="Arial" w:cs="Arial"/>
          <w:color w:val="000000" w:themeColor="text1"/>
          <w:sz w:val="24"/>
          <w:szCs w:val="24"/>
          <w:lang w:eastAsia="en-GB"/>
        </w:rPr>
        <w:t>initiators</w:t>
      </w:r>
      <w:r w:rsidRPr="0071546E">
        <w:rPr>
          <w:rFonts w:ascii="Arial" w:eastAsia="Times New Roman" w:hAnsi="Arial" w:cs="Arial"/>
          <w:color w:val="000000" w:themeColor="text1"/>
          <w:sz w:val="24"/>
          <w:szCs w:val="24"/>
          <w:lang w:eastAsia="en-GB"/>
        </w:rPr>
        <w:t xml:space="preserve"> of DNA damage </w:t>
      </w:r>
      <w:r w:rsidR="00F1485D" w:rsidRPr="0071546E">
        <w:rPr>
          <w:rFonts w:ascii="Arial" w:eastAsia="Times New Roman" w:hAnsi="Arial" w:cs="Arial"/>
          <w:color w:val="000000" w:themeColor="text1"/>
          <w:sz w:val="24"/>
          <w:szCs w:val="24"/>
          <w:lang w:eastAsia="en-GB"/>
        </w:rPr>
        <w:t>(Srinivas et al., 2018)</w:t>
      </w:r>
      <w:r w:rsidRPr="0071546E">
        <w:rPr>
          <w:rFonts w:ascii="Arial" w:eastAsia="Times New Roman" w:hAnsi="Arial" w:cs="Arial"/>
          <w:color w:val="000000" w:themeColor="text1"/>
          <w:sz w:val="24"/>
          <w:szCs w:val="24"/>
          <w:lang w:eastAsia="en-GB"/>
        </w:rPr>
        <w:t>.</w:t>
      </w:r>
      <w:r w:rsidR="00F1485D" w:rsidRPr="0071546E">
        <w:rPr>
          <w:rFonts w:ascii="Arial" w:eastAsia="Times New Roman" w:hAnsi="Arial" w:cs="Arial"/>
          <w:color w:val="000000" w:themeColor="text1"/>
          <w:sz w:val="24"/>
          <w:szCs w:val="24"/>
          <w:lang w:eastAsia="en-GB"/>
        </w:rPr>
        <w:t xml:space="preserve"> The</w:t>
      </w:r>
      <w:r w:rsidRPr="0071546E">
        <w:rPr>
          <w:rFonts w:ascii="Arial" w:eastAsia="Times New Roman" w:hAnsi="Arial" w:cs="Arial"/>
          <w:color w:val="000000" w:themeColor="text1"/>
          <w:sz w:val="24"/>
          <w:szCs w:val="24"/>
          <w:lang w:eastAsia="en-GB"/>
        </w:rPr>
        <w:t xml:space="preserve"> primary targets of ROS are intracellular organelles mostly mitochondria. DNA is the genetic material of the cell and any injury on the DNA will lead to changes of the encoded proteins, which will result </w:t>
      </w:r>
      <w:r w:rsidR="004A57D4" w:rsidRPr="0071546E">
        <w:rPr>
          <w:rFonts w:ascii="Arial" w:eastAsia="Times New Roman" w:hAnsi="Arial" w:cs="Arial"/>
          <w:color w:val="000000" w:themeColor="text1"/>
          <w:sz w:val="24"/>
          <w:szCs w:val="24"/>
          <w:lang w:eastAsia="en-GB"/>
        </w:rPr>
        <w:t>in</w:t>
      </w:r>
      <w:r w:rsidRPr="0071546E">
        <w:rPr>
          <w:rFonts w:ascii="Arial" w:eastAsia="Times New Roman" w:hAnsi="Arial" w:cs="Arial"/>
          <w:color w:val="000000" w:themeColor="text1"/>
          <w:sz w:val="24"/>
          <w:szCs w:val="24"/>
          <w:lang w:eastAsia="en-GB"/>
        </w:rPr>
        <w:t xml:space="preserve"> malfunction and inactivation of the encoded protein. Oxidative attack on the DNA effects deoxyribose oxidation, fragmentation of DNA strands, deletion of nucleotides, changes in the organic base of the nucleotides, and crosslinking of DNA</w:t>
      </w:r>
      <w:r w:rsidR="00F1485D" w:rsidRPr="0071546E">
        <w:rPr>
          <w:color w:val="000000"/>
        </w:rPr>
        <w:t xml:space="preserve"> </w:t>
      </w:r>
      <w:r w:rsidR="00F1485D" w:rsidRPr="0071546E">
        <w:rPr>
          <w:rFonts w:ascii="Arial" w:eastAsia="Times New Roman" w:hAnsi="Arial" w:cs="Arial"/>
          <w:color w:val="000000" w:themeColor="text1"/>
          <w:sz w:val="24"/>
          <w:szCs w:val="24"/>
          <w:lang w:eastAsia="en-GB"/>
        </w:rPr>
        <w:t>(Cadet and Wagner, 2013)</w:t>
      </w:r>
      <w:r w:rsidRPr="0071546E">
        <w:rPr>
          <w:rFonts w:ascii="Arial" w:eastAsia="Times New Roman" w:hAnsi="Arial" w:cs="Arial"/>
          <w:color w:val="000000" w:themeColor="text1"/>
          <w:sz w:val="24"/>
          <w:szCs w:val="24"/>
          <w:lang w:eastAsia="en-GB"/>
        </w:rPr>
        <w:t xml:space="preserve">. DNA mutation can occur especially when there </w:t>
      </w:r>
      <w:r w:rsidR="004A57D4" w:rsidRPr="0071546E">
        <w:rPr>
          <w:rFonts w:ascii="Arial" w:eastAsia="Times New Roman" w:hAnsi="Arial" w:cs="Arial"/>
          <w:color w:val="000000" w:themeColor="text1"/>
          <w:sz w:val="24"/>
          <w:szCs w:val="24"/>
          <w:lang w:eastAsia="en-GB"/>
        </w:rPr>
        <w:t>are</w:t>
      </w:r>
      <w:r w:rsidRPr="0071546E">
        <w:rPr>
          <w:rFonts w:ascii="Arial" w:eastAsia="Times New Roman" w:hAnsi="Arial" w:cs="Arial"/>
          <w:color w:val="000000" w:themeColor="text1"/>
          <w:sz w:val="24"/>
          <w:szCs w:val="24"/>
          <w:lang w:eastAsia="en-GB"/>
        </w:rPr>
        <w:t xml:space="preserve"> changes in the nucleotide of one strand, causing </w:t>
      </w:r>
      <w:r w:rsidR="004A57D4" w:rsidRPr="0071546E">
        <w:rPr>
          <w:rFonts w:ascii="Arial" w:eastAsia="Times New Roman" w:hAnsi="Arial" w:cs="Arial"/>
          <w:color w:val="000000" w:themeColor="text1"/>
          <w:sz w:val="24"/>
          <w:szCs w:val="24"/>
          <w:lang w:eastAsia="en-GB"/>
        </w:rPr>
        <w:t xml:space="preserve">a </w:t>
      </w:r>
      <w:r w:rsidRPr="0071546E">
        <w:rPr>
          <w:rFonts w:ascii="Arial" w:eastAsia="Times New Roman" w:hAnsi="Arial" w:cs="Arial"/>
          <w:color w:val="000000" w:themeColor="text1"/>
          <w:sz w:val="24"/>
          <w:szCs w:val="24"/>
          <w:lang w:eastAsia="en-GB"/>
        </w:rPr>
        <w:t>mismatch in the corresponding strand</w:t>
      </w:r>
      <w:r w:rsidR="000149D2" w:rsidRPr="0071546E">
        <w:rPr>
          <w:color w:val="000000"/>
        </w:rPr>
        <w:t xml:space="preserve"> </w:t>
      </w:r>
      <w:r w:rsidR="000149D2" w:rsidRPr="0071546E">
        <w:rPr>
          <w:rFonts w:ascii="Arial" w:eastAsia="Times New Roman" w:hAnsi="Arial" w:cs="Arial"/>
          <w:color w:val="000000" w:themeColor="text1"/>
          <w:sz w:val="24"/>
          <w:szCs w:val="24"/>
          <w:lang w:eastAsia="en-GB"/>
        </w:rPr>
        <w:t>(Liu et al., 2016)</w:t>
      </w:r>
      <w:r w:rsidRPr="0071546E">
        <w:rPr>
          <w:rFonts w:ascii="Arial" w:eastAsia="Times New Roman" w:hAnsi="Arial" w:cs="Arial"/>
          <w:color w:val="000000" w:themeColor="text1"/>
          <w:sz w:val="24"/>
          <w:szCs w:val="24"/>
          <w:lang w:eastAsia="en-GB"/>
        </w:rPr>
        <w:t xml:space="preserve">. Oxidative damage to DNA typically involves </w:t>
      </w:r>
      <w:r w:rsidR="004A57D4"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 xml:space="preserve">addition of hydroxyl radical to double bonds, while distortion of the DNA sugar base occurs from hydrogen abstraction from the deoxyribose </w:t>
      </w:r>
      <w:r w:rsidR="003C437A" w:rsidRPr="0071546E">
        <w:rPr>
          <w:rFonts w:ascii="Arial" w:eastAsia="Times New Roman" w:hAnsi="Arial" w:cs="Arial"/>
          <w:color w:val="000000" w:themeColor="text1"/>
          <w:sz w:val="24"/>
          <w:szCs w:val="24"/>
          <w:lang w:eastAsia="en-GB"/>
        </w:rPr>
        <w:t>(Markkanen, 2017)</w:t>
      </w:r>
      <w:r w:rsidRPr="0071546E">
        <w:rPr>
          <w:rFonts w:ascii="Arial" w:eastAsia="Times New Roman" w:hAnsi="Arial" w:cs="Arial"/>
          <w:color w:val="000000" w:themeColor="text1"/>
          <w:sz w:val="24"/>
          <w:szCs w:val="24"/>
          <w:lang w:eastAsia="en-GB"/>
        </w:rPr>
        <w:t>. The hydroxyl radical ha</w:t>
      </w:r>
      <w:r w:rsidR="004A57D4" w:rsidRPr="0071546E">
        <w:rPr>
          <w:rFonts w:ascii="Arial" w:eastAsia="Times New Roman" w:hAnsi="Arial" w:cs="Arial"/>
          <w:color w:val="000000" w:themeColor="text1"/>
          <w:sz w:val="24"/>
          <w:szCs w:val="24"/>
          <w:lang w:eastAsia="en-GB"/>
        </w:rPr>
        <w:t>s</w:t>
      </w:r>
      <w:r w:rsidRPr="0071546E">
        <w:rPr>
          <w:rFonts w:ascii="Arial" w:eastAsia="Times New Roman" w:hAnsi="Arial" w:cs="Arial"/>
          <w:color w:val="000000" w:themeColor="text1"/>
          <w:sz w:val="24"/>
          <w:szCs w:val="24"/>
          <w:lang w:eastAsia="en-GB"/>
        </w:rPr>
        <w:t xml:space="preserve"> the ability to react with all the purine and pyrimidine bases,</w:t>
      </w:r>
      <w:r w:rsidR="002D0E4F" w:rsidRPr="0071546E">
        <w:rPr>
          <w:rFonts w:ascii="Arial" w:eastAsia="Times New Roman" w:hAnsi="Arial" w:cs="Arial"/>
          <w:color w:val="000000" w:themeColor="text1"/>
          <w:sz w:val="24"/>
          <w:szCs w:val="24"/>
          <w:lang w:eastAsia="en-GB"/>
        </w:rPr>
        <w:t xml:space="preserve"> even the deoxyribose backbone (Terzidis et al., 2016). </w:t>
      </w:r>
      <w:r w:rsidRPr="0071546E">
        <w:rPr>
          <w:rFonts w:ascii="Arial" w:eastAsia="Times New Roman" w:hAnsi="Arial" w:cs="Arial"/>
          <w:color w:val="000000" w:themeColor="text1"/>
          <w:sz w:val="24"/>
          <w:szCs w:val="24"/>
          <w:lang w:eastAsia="en-GB"/>
        </w:rPr>
        <w:t xml:space="preserve">Attack by hydroxyl radical cause the formation of products like hydroxyl methyl urea, urea, thymine glycol and other saturated products </w:t>
      </w:r>
      <w:r w:rsidR="003C437A" w:rsidRPr="0071546E">
        <w:rPr>
          <w:rFonts w:ascii="Arial" w:eastAsia="Times New Roman" w:hAnsi="Arial" w:cs="Arial"/>
          <w:color w:val="000000" w:themeColor="text1"/>
          <w:sz w:val="24"/>
          <w:szCs w:val="24"/>
          <w:lang w:eastAsia="en-GB"/>
        </w:rPr>
        <w:t>(Evans, Dizdaroglu and Cooke, 2004)</w:t>
      </w:r>
      <w:r w:rsidRPr="0071546E">
        <w:rPr>
          <w:rFonts w:ascii="Arial" w:eastAsia="Times New Roman" w:hAnsi="Arial" w:cs="Arial"/>
          <w:color w:val="000000" w:themeColor="text1"/>
          <w:sz w:val="24"/>
          <w:szCs w:val="24"/>
          <w:lang w:eastAsia="en-GB"/>
        </w:rPr>
        <w:t xml:space="preserve">. ROS induced damage to DNA causes different mutagenic alterations </w:t>
      </w:r>
      <w:r w:rsidR="004A39F9" w:rsidRPr="0071546E">
        <w:rPr>
          <w:rFonts w:ascii="Arial" w:eastAsia="Times New Roman" w:hAnsi="Arial" w:cs="Arial"/>
          <w:color w:val="000000" w:themeColor="text1"/>
          <w:sz w:val="24"/>
          <w:szCs w:val="24"/>
          <w:lang w:eastAsia="en-GB"/>
        </w:rPr>
        <w:t xml:space="preserve">which can lead to </w:t>
      </w:r>
      <w:r w:rsidR="004A57D4" w:rsidRPr="0071546E">
        <w:rPr>
          <w:rFonts w:ascii="Arial" w:eastAsia="Times New Roman" w:hAnsi="Arial" w:cs="Arial"/>
          <w:color w:val="000000" w:themeColor="text1"/>
          <w:sz w:val="24"/>
          <w:szCs w:val="24"/>
          <w:lang w:eastAsia="en-GB"/>
        </w:rPr>
        <w:t xml:space="preserve">the </w:t>
      </w:r>
      <w:r w:rsidR="004A39F9" w:rsidRPr="0071546E">
        <w:rPr>
          <w:rFonts w:ascii="Arial" w:eastAsia="Times New Roman" w:hAnsi="Arial" w:cs="Arial"/>
          <w:color w:val="000000" w:themeColor="text1"/>
          <w:sz w:val="24"/>
          <w:szCs w:val="24"/>
          <w:lang w:eastAsia="en-GB"/>
        </w:rPr>
        <w:t>development of cancers</w:t>
      </w:r>
      <w:r w:rsidR="004A39F9" w:rsidRPr="0071546E">
        <w:rPr>
          <w:color w:val="000000"/>
        </w:rPr>
        <w:t xml:space="preserve"> </w:t>
      </w:r>
      <w:r w:rsidR="004A39F9" w:rsidRPr="0071546E">
        <w:rPr>
          <w:rFonts w:ascii="Arial" w:eastAsia="Times New Roman" w:hAnsi="Arial" w:cs="Arial"/>
          <w:color w:val="000000" w:themeColor="text1"/>
          <w:sz w:val="24"/>
          <w:szCs w:val="24"/>
          <w:lang w:eastAsia="en-GB"/>
        </w:rPr>
        <w:t>(Mu and Liu, 2017)</w:t>
      </w:r>
      <w:r w:rsidRPr="0071546E">
        <w:rPr>
          <w:rFonts w:ascii="Arial" w:eastAsia="Times New Roman" w:hAnsi="Arial" w:cs="Arial"/>
          <w:color w:val="000000" w:themeColor="text1"/>
          <w:sz w:val="24"/>
          <w:szCs w:val="24"/>
          <w:lang w:eastAsia="en-GB"/>
        </w:rPr>
        <w:t xml:space="preserve">. </w:t>
      </w:r>
    </w:p>
    <w:p w:rsidR="007C3A88" w:rsidRPr="0071546E" w:rsidRDefault="007C3A88" w:rsidP="007C3A88">
      <w:pPr>
        <w:spacing w:after="0" w:line="480" w:lineRule="auto"/>
        <w:ind w:left="1021" w:right="454"/>
        <w:jc w:val="both"/>
        <w:rPr>
          <w:rFonts w:ascii="Arial" w:eastAsia="Times New Roman" w:hAnsi="Arial" w:cs="Arial"/>
          <w:color w:val="000000" w:themeColor="text1"/>
          <w:sz w:val="24"/>
          <w:szCs w:val="24"/>
          <w:lang w:eastAsia="en-GB"/>
        </w:rPr>
      </w:pPr>
    </w:p>
    <w:p w:rsidR="007C3A88" w:rsidRPr="0071546E" w:rsidRDefault="007C3A88" w:rsidP="007C3A88">
      <w:pPr>
        <w:spacing w:after="0" w:line="480" w:lineRule="auto"/>
        <w:ind w:left="1021" w:right="454"/>
        <w:jc w:val="both"/>
        <w:rPr>
          <w:rFonts w:ascii="Arial" w:eastAsia="Times New Roman" w:hAnsi="Arial" w:cs="Arial"/>
          <w:color w:val="000000" w:themeColor="text1"/>
          <w:sz w:val="24"/>
          <w:szCs w:val="24"/>
          <w:lang w:eastAsia="en-GB"/>
        </w:rPr>
      </w:pPr>
    </w:p>
    <w:p w:rsidR="00C046AC" w:rsidRPr="0071546E" w:rsidRDefault="00725033" w:rsidP="007C3A88">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For example, </w:t>
      </w:r>
      <w:r w:rsidR="004A57D4"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 xml:space="preserve">mutation caused by the selective alteration of G: C sites, typically shows </w:t>
      </w:r>
      <w:r w:rsidR="00A87A14" w:rsidRPr="0071546E">
        <w:rPr>
          <w:rFonts w:ascii="Arial" w:eastAsia="Times New Roman" w:hAnsi="Arial" w:cs="Arial"/>
          <w:color w:val="000000" w:themeColor="text1"/>
          <w:sz w:val="24"/>
          <w:szCs w:val="24"/>
          <w:lang w:eastAsia="en-GB"/>
        </w:rPr>
        <w:t xml:space="preserve">an </w:t>
      </w:r>
      <w:r w:rsidRPr="0071546E">
        <w:rPr>
          <w:rFonts w:ascii="Arial" w:eastAsia="Times New Roman" w:hAnsi="Arial" w:cs="Arial"/>
          <w:color w:val="000000" w:themeColor="text1"/>
          <w:sz w:val="24"/>
          <w:szCs w:val="24"/>
          <w:lang w:eastAsia="en-GB"/>
        </w:rPr>
        <w:t xml:space="preserve">attack by reactive oxygen </w:t>
      </w:r>
      <w:r w:rsidRPr="0071546E">
        <w:rPr>
          <w:rFonts w:ascii="Arial" w:eastAsia="Times New Roman" w:hAnsi="Arial" w:cs="Arial"/>
          <w:sz w:val="24"/>
          <w:szCs w:val="24"/>
          <w:lang w:eastAsia="en-GB"/>
        </w:rPr>
        <w:t>species</w:t>
      </w:r>
      <w:r w:rsidR="004A39F9" w:rsidRPr="0071546E">
        <w:rPr>
          <w:rFonts w:ascii="Arial" w:eastAsia="Times New Roman" w:hAnsi="Arial" w:cs="Arial"/>
          <w:sz w:val="24"/>
          <w:szCs w:val="24"/>
          <w:lang w:eastAsia="en-GB"/>
        </w:rPr>
        <w:t xml:space="preserve"> (Bandyopadhyayet et al., 1999</w:t>
      </w:r>
      <w:r w:rsidR="004A39F9"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 xml:space="preserve">. </w:t>
      </w:r>
    </w:p>
    <w:p w:rsidR="00725033" w:rsidRPr="0071546E" w:rsidRDefault="000052C0"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Attack by reactive oxygen species to the sugar moiety of the DNA can result in </w:t>
      </w:r>
      <w:r w:rsidR="004A57D4" w:rsidRPr="0071546E">
        <w:rPr>
          <w:rFonts w:ascii="Arial" w:eastAsia="Times New Roman" w:hAnsi="Arial" w:cs="Arial"/>
          <w:color w:val="000000" w:themeColor="text1"/>
          <w:sz w:val="24"/>
          <w:szCs w:val="24"/>
          <w:lang w:eastAsia="en-GB"/>
        </w:rPr>
        <w:t xml:space="preserve">a </w:t>
      </w:r>
      <w:r w:rsidRPr="0071546E">
        <w:rPr>
          <w:rFonts w:ascii="Arial" w:eastAsia="Times New Roman" w:hAnsi="Arial" w:cs="Arial"/>
          <w:color w:val="000000" w:themeColor="text1"/>
          <w:sz w:val="24"/>
          <w:szCs w:val="24"/>
          <w:lang w:eastAsia="en-GB"/>
        </w:rPr>
        <w:t>broken DNA strand</w:t>
      </w:r>
      <w:r w:rsidRPr="0071546E">
        <w:rPr>
          <w:color w:val="000000"/>
        </w:rPr>
        <w:t xml:space="preserve"> </w:t>
      </w:r>
      <w:r w:rsidRPr="0071546E">
        <w:rPr>
          <w:rFonts w:ascii="Arial" w:eastAsia="Times New Roman" w:hAnsi="Arial" w:cs="Arial"/>
          <w:color w:val="000000" w:themeColor="text1"/>
          <w:sz w:val="24"/>
          <w:szCs w:val="24"/>
          <w:lang w:eastAsia="en-GB"/>
        </w:rPr>
        <w:t>(Caldecott, 2003)</w:t>
      </w:r>
      <w:r w:rsidR="00725033" w:rsidRPr="0071546E">
        <w:rPr>
          <w:rFonts w:ascii="Arial" w:eastAsia="Times New Roman" w:hAnsi="Arial" w:cs="Arial"/>
          <w:color w:val="000000" w:themeColor="text1"/>
          <w:sz w:val="24"/>
          <w:szCs w:val="24"/>
          <w:lang w:eastAsia="en-GB"/>
        </w:rPr>
        <w:t xml:space="preserve">. Mitochondrial DNA is susceptible to attack by ROS probably because of the fact that mitochondria already generates ROS via oxidative phosphorylation </w:t>
      </w:r>
      <w:r w:rsidR="005C6985" w:rsidRPr="0071546E">
        <w:rPr>
          <w:rFonts w:ascii="Arial" w:eastAsia="Times New Roman" w:hAnsi="Arial" w:cs="Arial"/>
          <w:color w:val="000000" w:themeColor="text1"/>
          <w:sz w:val="24"/>
          <w:szCs w:val="24"/>
          <w:lang w:eastAsia="en-GB"/>
        </w:rPr>
        <w:t>(Kalogeris, Bao and Korthuis, 2014)</w:t>
      </w:r>
      <w:r w:rsidR="00725033" w:rsidRPr="0071546E">
        <w:rPr>
          <w:rFonts w:ascii="Arial" w:eastAsia="Times New Roman" w:hAnsi="Arial" w:cs="Arial"/>
          <w:color w:val="000000" w:themeColor="text1"/>
          <w:sz w:val="24"/>
          <w:szCs w:val="24"/>
          <w:lang w:eastAsia="en-GB"/>
        </w:rPr>
        <w:t>. Although there are repair systems in place from damage DNA, too much alteration by ROS causes irreversible damage to DNA with possible detrimental effects on the cell</w:t>
      </w:r>
      <w:r w:rsidR="005C6985" w:rsidRPr="0071546E">
        <w:rPr>
          <w:color w:val="000000"/>
        </w:rPr>
        <w:t xml:space="preserve"> </w:t>
      </w:r>
      <w:r w:rsidR="005C6985" w:rsidRPr="0071546E">
        <w:rPr>
          <w:rFonts w:ascii="Arial" w:eastAsia="Times New Roman" w:hAnsi="Arial" w:cs="Arial"/>
          <w:color w:val="000000" w:themeColor="text1"/>
          <w:sz w:val="24"/>
          <w:szCs w:val="24"/>
          <w:lang w:eastAsia="en-GB"/>
        </w:rPr>
        <w:t>(Patel et al., 2018)</w:t>
      </w:r>
      <w:r w:rsidR="00725033" w:rsidRPr="0071546E">
        <w:rPr>
          <w:rFonts w:ascii="Arial" w:eastAsia="Times New Roman" w:hAnsi="Arial" w:cs="Arial"/>
          <w:color w:val="000000" w:themeColor="text1"/>
          <w:sz w:val="24"/>
          <w:szCs w:val="24"/>
          <w:lang w:eastAsia="en-GB"/>
        </w:rPr>
        <w:t>.</w:t>
      </w: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CF13FE">
      <w:pPr>
        <w:pStyle w:val="Heading2"/>
        <w:ind w:left="1021" w:right="454"/>
      </w:pPr>
      <w:bookmarkStart w:id="27" w:name="_Toc14711397"/>
      <w:r w:rsidRPr="0071546E">
        <w:t>1.5 Photodynamic inactivation of microbial cells: General Aspects</w:t>
      </w:r>
      <w:bookmarkEnd w:id="27"/>
      <w:r w:rsidRPr="0071546E">
        <w:t xml:space="preserve"> </w:t>
      </w:r>
    </w:p>
    <w:p w:rsidR="00962CFC" w:rsidRPr="0071546E" w:rsidRDefault="00725033"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Microbial cells display a huge </w:t>
      </w:r>
      <w:r w:rsidR="00C201B6" w:rsidRPr="0071546E">
        <w:rPr>
          <w:rFonts w:ascii="Arial" w:eastAsia="Times New Roman" w:hAnsi="Arial" w:cs="Arial"/>
          <w:color w:val="000000" w:themeColor="text1"/>
          <w:sz w:val="24"/>
          <w:szCs w:val="24"/>
          <w:lang w:eastAsia="en-GB"/>
        </w:rPr>
        <w:t>variation</w:t>
      </w:r>
      <w:r w:rsidRPr="0071546E">
        <w:rPr>
          <w:rFonts w:ascii="Arial" w:eastAsia="Times New Roman" w:hAnsi="Arial" w:cs="Arial"/>
          <w:color w:val="000000" w:themeColor="text1"/>
          <w:sz w:val="24"/>
          <w:szCs w:val="24"/>
          <w:lang w:eastAsia="en-GB"/>
        </w:rPr>
        <w:t xml:space="preserve"> in size, subcellular and biochemical </w:t>
      </w:r>
      <w:r w:rsidR="00C201B6" w:rsidRPr="0071546E">
        <w:rPr>
          <w:rFonts w:ascii="Arial" w:eastAsia="Times New Roman" w:hAnsi="Arial" w:cs="Arial"/>
          <w:color w:val="000000" w:themeColor="text1"/>
          <w:sz w:val="24"/>
          <w:szCs w:val="24"/>
          <w:lang w:eastAsia="en-GB"/>
        </w:rPr>
        <w:t>contents</w:t>
      </w:r>
      <w:r w:rsidRPr="0071546E">
        <w:rPr>
          <w:rFonts w:ascii="Arial" w:eastAsia="Times New Roman" w:hAnsi="Arial" w:cs="Arial"/>
          <w:color w:val="000000" w:themeColor="text1"/>
          <w:sz w:val="24"/>
          <w:szCs w:val="24"/>
          <w:lang w:eastAsia="en-GB"/>
        </w:rPr>
        <w:t xml:space="preserve"> </w:t>
      </w:r>
      <w:r w:rsidR="00F9284F" w:rsidRPr="0071546E">
        <w:rPr>
          <w:rFonts w:ascii="Arial" w:eastAsia="Times New Roman" w:hAnsi="Arial" w:cs="Arial"/>
          <w:color w:val="000000" w:themeColor="text1"/>
          <w:sz w:val="24"/>
          <w:szCs w:val="24"/>
          <w:lang w:eastAsia="en-GB"/>
        </w:rPr>
        <w:t>(Brehm-Stecher and Johnson, 2004)</w:t>
      </w:r>
      <w:r w:rsidRPr="0071546E">
        <w:rPr>
          <w:rFonts w:ascii="Arial" w:eastAsia="Times New Roman" w:hAnsi="Arial" w:cs="Arial"/>
          <w:color w:val="000000" w:themeColor="text1"/>
          <w:sz w:val="24"/>
          <w:szCs w:val="24"/>
          <w:lang w:eastAsia="en-GB"/>
        </w:rPr>
        <w:t>; a</w:t>
      </w:r>
      <w:r w:rsidR="00C201B6" w:rsidRPr="0071546E">
        <w:rPr>
          <w:rFonts w:ascii="Arial" w:eastAsia="Times New Roman" w:hAnsi="Arial" w:cs="Arial"/>
          <w:color w:val="000000" w:themeColor="text1"/>
          <w:sz w:val="24"/>
          <w:szCs w:val="24"/>
          <w:lang w:eastAsia="en-GB"/>
        </w:rPr>
        <w:t>s a</w:t>
      </w:r>
      <w:r w:rsidRPr="0071546E">
        <w:rPr>
          <w:rFonts w:ascii="Arial" w:eastAsia="Times New Roman" w:hAnsi="Arial" w:cs="Arial"/>
          <w:color w:val="000000" w:themeColor="text1"/>
          <w:sz w:val="24"/>
          <w:szCs w:val="24"/>
          <w:lang w:eastAsia="en-GB"/>
        </w:rPr>
        <w:t xml:space="preserve"> result</w:t>
      </w:r>
      <w:r w:rsidR="004A57D4"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 xml:space="preserve"> the susceptibility to photodynamic therapy can be hugely</w:t>
      </w:r>
      <w:r w:rsidR="00962CFC" w:rsidRPr="0071546E">
        <w:rPr>
          <w:rFonts w:ascii="Arial" w:eastAsia="Times New Roman" w:hAnsi="Arial" w:cs="Arial"/>
          <w:color w:val="000000" w:themeColor="text1"/>
          <w:sz w:val="24"/>
          <w:szCs w:val="24"/>
          <w:lang w:eastAsia="en-GB"/>
        </w:rPr>
        <w:t xml:space="preserve"> different for various types o</w:t>
      </w:r>
      <w:r w:rsidR="00110230" w:rsidRPr="0071546E">
        <w:rPr>
          <w:rFonts w:ascii="Arial" w:eastAsia="Times New Roman" w:hAnsi="Arial" w:cs="Arial"/>
          <w:color w:val="000000" w:themeColor="text1"/>
          <w:sz w:val="24"/>
          <w:szCs w:val="24"/>
          <w:lang w:eastAsia="en-GB"/>
        </w:rPr>
        <w:t>f</w:t>
      </w:r>
      <w:r w:rsidR="00962CFC" w:rsidRPr="0071546E">
        <w:rPr>
          <w:rFonts w:ascii="Arial" w:eastAsia="Times New Roman" w:hAnsi="Arial" w:cs="Arial"/>
          <w:color w:val="000000" w:themeColor="text1"/>
          <w:sz w:val="24"/>
          <w:szCs w:val="24"/>
          <w:lang w:eastAsia="en-GB"/>
        </w:rPr>
        <w:t xml:space="preserve"> organisms or forms of </w:t>
      </w:r>
      <w:r w:rsidR="00110230" w:rsidRPr="0071546E">
        <w:rPr>
          <w:rFonts w:ascii="Arial" w:eastAsia="Times New Roman" w:hAnsi="Arial" w:cs="Arial"/>
          <w:color w:val="000000" w:themeColor="text1"/>
          <w:sz w:val="24"/>
          <w:szCs w:val="24"/>
          <w:lang w:eastAsia="en-GB"/>
        </w:rPr>
        <w:t xml:space="preserve">a </w:t>
      </w:r>
      <w:r w:rsidR="00962CFC" w:rsidRPr="0071546E">
        <w:rPr>
          <w:rFonts w:ascii="Arial" w:eastAsia="Times New Roman" w:hAnsi="Arial" w:cs="Arial"/>
          <w:color w:val="000000" w:themeColor="text1"/>
          <w:sz w:val="24"/>
          <w:szCs w:val="24"/>
          <w:lang w:eastAsia="en-GB"/>
        </w:rPr>
        <w:t>cell.</w:t>
      </w:r>
      <w:r w:rsidRPr="0071546E">
        <w:rPr>
          <w:rFonts w:ascii="Arial" w:eastAsia="Times New Roman" w:hAnsi="Arial" w:cs="Arial"/>
          <w:color w:val="000000" w:themeColor="text1"/>
          <w:sz w:val="24"/>
          <w:szCs w:val="24"/>
          <w:lang w:eastAsia="en-GB"/>
        </w:rPr>
        <w:t xml:space="preserve"> </w:t>
      </w:r>
      <w:r w:rsidR="00CB57AC" w:rsidRPr="0071546E">
        <w:rPr>
          <w:rFonts w:ascii="Arial" w:eastAsia="Times New Roman" w:hAnsi="Arial" w:cs="Arial"/>
          <w:color w:val="000000" w:themeColor="text1"/>
          <w:sz w:val="24"/>
          <w:szCs w:val="24"/>
          <w:lang w:eastAsia="en-GB"/>
        </w:rPr>
        <w:t>Microbial cell walls</w:t>
      </w:r>
      <w:r w:rsidRPr="0071546E">
        <w:rPr>
          <w:rFonts w:ascii="Arial" w:eastAsia="Times New Roman" w:hAnsi="Arial" w:cs="Arial"/>
          <w:color w:val="000000" w:themeColor="text1"/>
          <w:sz w:val="24"/>
          <w:szCs w:val="24"/>
          <w:lang w:eastAsia="en-GB"/>
        </w:rPr>
        <w:t xml:space="preserve"> can be likened either to gram-positive characteristics or to a gram-negative type</w:t>
      </w:r>
      <w:r w:rsidR="00F9284F" w:rsidRPr="0071546E">
        <w:rPr>
          <w:color w:val="000000"/>
        </w:rPr>
        <w:t xml:space="preserve"> </w:t>
      </w:r>
      <w:r w:rsidR="00F9284F" w:rsidRPr="0071546E">
        <w:rPr>
          <w:rFonts w:ascii="Arial" w:eastAsia="Times New Roman" w:hAnsi="Arial" w:cs="Arial"/>
          <w:color w:val="000000" w:themeColor="text1"/>
          <w:sz w:val="24"/>
          <w:szCs w:val="24"/>
          <w:lang w:eastAsia="en-GB"/>
        </w:rPr>
        <w:t>(Mai-Prochnow et al., 2016)</w:t>
      </w:r>
      <w:r w:rsidRPr="0071546E">
        <w:rPr>
          <w:rFonts w:ascii="Arial" w:eastAsia="Times New Roman" w:hAnsi="Arial" w:cs="Arial"/>
          <w:color w:val="000000" w:themeColor="text1"/>
          <w:sz w:val="24"/>
          <w:szCs w:val="24"/>
          <w:lang w:eastAsia="en-GB"/>
        </w:rPr>
        <w:t xml:space="preserve">. </w:t>
      </w:r>
      <w:r w:rsidR="00CB57AC"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 xml:space="preserve">gram-positive cell wall is </w:t>
      </w:r>
      <w:r w:rsidR="00CB57AC" w:rsidRPr="0071546E">
        <w:rPr>
          <w:rFonts w:ascii="Arial" w:eastAsia="Times New Roman" w:hAnsi="Arial" w:cs="Arial"/>
          <w:color w:val="000000" w:themeColor="text1"/>
          <w:sz w:val="24"/>
          <w:szCs w:val="24"/>
          <w:lang w:eastAsia="en-GB"/>
        </w:rPr>
        <w:t xml:space="preserve">often </w:t>
      </w:r>
      <w:r w:rsidRPr="0071546E">
        <w:rPr>
          <w:rFonts w:ascii="Arial" w:eastAsia="Times New Roman" w:hAnsi="Arial" w:cs="Arial"/>
          <w:color w:val="000000" w:themeColor="text1"/>
          <w:sz w:val="24"/>
          <w:szCs w:val="24"/>
          <w:lang w:eastAsia="en-GB"/>
        </w:rPr>
        <w:t>surrounded by an external wall which is separated from the cell membrane by a periplasmic space</w:t>
      </w:r>
      <w:r w:rsidR="00962CFC"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 xml:space="preserve"> </w:t>
      </w:r>
      <w:r w:rsidR="007D59C1" w:rsidRPr="0071546E">
        <w:rPr>
          <w:rFonts w:ascii="Arial" w:eastAsia="Times New Roman" w:hAnsi="Arial" w:cs="Arial"/>
          <w:color w:val="000000" w:themeColor="text1"/>
          <w:sz w:val="24"/>
          <w:szCs w:val="24"/>
          <w:lang w:eastAsia="en-GB"/>
        </w:rPr>
        <w:t xml:space="preserve"> </w:t>
      </w:r>
      <w:r w:rsidR="00962CFC" w:rsidRPr="0071546E">
        <w:rPr>
          <w:rFonts w:ascii="Arial" w:eastAsia="Times New Roman" w:hAnsi="Arial" w:cs="Arial"/>
          <w:color w:val="000000" w:themeColor="text1"/>
          <w:sz w:val="24"/>
          <w:szCs w:val="24"/>
          <w:lang w:eastAsia="en-GB"/>
        </w:rPr>
        <w:t xml:space="preserve"> T</w:t>
      </w:r>
      <w:r w:rsidRPr="0071546E">
        <w:rPr>
          <w:rFonts w:ascii="Arial" w:eastAsia="Times New Roman" w:hAnsi="Arial" w:cs="Arial"/>
          <w:color w:val="000000" w:themeColor="text1"/>
          <w:sz w:val="24"/>
          <w:szCs w:val="24"/>
          <w:lang w:eastAsia="en-GB"/>
        </w:rPr>
        <w:t>his space typically ranging from 20</w:t>
      </w:r>
      <w:r w:rsidR="00962CFC" w:rsidRPr="0071546E">
        <w:rPr>
          <w:rFonts w:ascii="Arial" w:eastAsia="Times New Roman" w:hAnsi="Arial" w:cs="Arial"/>
          <w:color w:val="000000" w:themeColor="text1"/>
          <w:sz w:val="24"/>
          <w:szCs w:val="24"/>
          <w:lang w:eastAsia="en-GB"/>
        </w:rPr>
        <w:t xml:space="preserve"> </w:t>
      </w:r>
      <w:r w:rsidRPr="0071546E">
        <w:rPr>
          <w:rFonts w:ascii="Arial" w:eastAsia="Times New Roman" w:hAnsi="Arial" w:cs="Arial"/>
          <w:color w:val="000000" w:themeColor="text1"/>
          <w:sz w:val="24"/>
          <w:szCs w:val="24"/>
          <w:lang w:eastAsia="en-GB"/>
        </w:rPr>
        <w:t>nm</w:t>
      </w:r>
      <w:r w:rsidR="007D59C1" w:rsidRPr="0071546E">
        <w:rPr>
          <w:rFonts w:ascii="Arial" w:eastAsia="Times New Roman" w:hAnsi="Arial" w:cs="Arial"/>
          <w:color w:val="000000" w:themeColor="text1"/>
          <w:sz w:val="24"/>
          <w:szCs w:val="24"/>
          <w:lang w:eastAsia="en-GB"/>
        </w:rPr>
        <w:t xml:space="preserve"> </w:t>
      </w:r>
      <w:r w:rsidR="00962CFC" w:rsidRPr="0071546E">
        <w:rPr>
          <w:rFonts w:ascii="Arial" w:eastAsia="Times New Roman" w:hAnsi="Arial" w:cs="Arial"/>
          <w:color w:val="000000" w:themeColor="text1"/>
          <w:sz w:val="24"/>
          <w:szCs w:val="24"/>
          <w:lang w:eastAsia="en-GB"/>
        </w:rPr>
        <w:t>–</w:t>
      </w:r>
      <w:r w:rsidR="007D59C1" w:rsidRPr="0071546E">
        <w:rPr>
          <w:rFonts w:ascii="Arial" w:eastAsia="Times New Roman" w:hAnsi="Arial" w:cs="Arial"/>
          <w:color w:val="000000" w:themeColor="text1"/>
          <w:sz w:val="24"/>
          <w:szCs w:val="24"/>
          <w:lang w:eastAsia="en-GB"/>
        </w:rPr>
        <w:t xml:space="preserve"> </w:t>
      </w:r>
      <w:r w:rsidRPr="0071546E">
        <w:rPr>
          <w:rFonts w:ascii="Arial" w:eastAsia="Times New Roman" w:hAnsi="Arial" w:cs="Arial"/>
          <w:color w:val="000000" w:themeColor="text1"/>
          <w:sz w:val="24"/>
          <w:szCs w:val="24"/>
          <w:lang w:eastAsia="en-GB"/>
        </w:rPr>
        <w:t>80</w:t>
      </w:r>
      <w:r w:rsidR="00962CFC" w:rsidRPr="0071546E">
        <w:rPr>
          <w:rFonts w:ascii="Arial" w:eastAsia="Times New Roman" w:hAnsi="Arial" w:cs="Arial"/>
          <w:color w:val="000000" w:themeColor="text1"/>
          <w:sz w:val="24"/>
          <w:szCs w:val="24"/>
          <w:lang w:eastAsia="en-GB"/>
        </w:rPr>
        <w:t xml:space="preserve"> </w:t>
      </w:r>
      <w:r w:rsidRPr="0071546E">
        <w:rPr>
          <w:rFonts w:ascii="Arial" w:eastAsia="Times New Roman" w:hAnsi="Arial" w:cs="Arial"/>
          <w:color w:val="000000" w:themeColor="text1"/>
          <w:sz w:val="24"/>
          <w:szCs w:val="24"/>
          <w:lang w:eastAsia="en-GB"/>
        </w:rPr>
        <w:t xml:space="preserve">nm is a protective lattice chiefly comprising of peptidoglycan layers, which intercalate diagonally beside negatively charged lipoteichoic and teichuronic acids anchored inside the cell membrane </w:t>
      </w:r>
      <w:r w:rsidR="007D59C1" w:rsidRPr="0071546E">
        <w:rPr>
          <w:rFonts w:ascii="Arial" w:eastAsia="Times New Roman" w:hAnsi="Arial" w:cs="Arial"/>
          <w:color w:val="000000" w:themeColor="text1"/>
          <w:sz w:val="24"/>
          <w:szCs w:val="24"/>
          <w:lang w:eastAsia="en-GB"/>
        </w:rPr>
        <w:t>(Kleanthous and Armitage, 2015)</w:t>
      </w:r>
      <w:r w:rsidRPr="0071546E">
        <w:rPr>
          <w:rFonts w:ascii="Arial" w:eastAsia="Times New Roman" w:hAnsi="Arial" w:cs="Arial"/>
          <w:color w:val="000000" w:themeColor="text1"/>
          <w:sz w:val="24"/>
          <w:szCs w:val="24"/>
          <w:lang w:eastAsia="en-GB"/>
        </w:rPr>
        <w:t xml:space="preserve">. This type of special arrangement is not particularly robust as a barrier, hence the ability of several macromolecules with relatively large mass (60, 000Da) to diffuse and permeate the inner membrane </w:t>
      </w:r>
      <w:r w:rsidR="00483239" w:rsidRPr="0071546E">
        <w:rPr>
          <w:rFonts w:ascii="Arial" w:eastAsia="Times New Roman" w:hAnsi="Arial" w:cs="Arial"/>
          <w:color w:val="000000" w:themeColor="text1"/>
          <w:sz w:val="24"/>
          <w:szCs w:val="24"/>
          <w:lang w:eastAsia="en-GB"/>
        </w:rPr>
        <w:t xml:space="preserve">(Foster, 2015). </w:t>
      </w:r>
      <w:r w:rsidR="00962CFC" w:rsidRPr="0071546E">
        <w:rPr>
          <w:rFonts w:ascii="Arial" w:eastAsia="Times New Roman" w:hAnsi="Arial" w:cs="Arial"/>
          <w:color w:val="000000" w:themeColor="text1"/>
          <w:sz w:val="24"/>
          <w:szCs w:val="24"/>
          <w:lang w:eastAsia="en-GB"/>
        </w:rPr>
        <w:t>Any</w:t>
      </w:r>
      <w:r w:rsidRPr="0071546E">
        <w:rPr>
          <w:rFonts w:ascii="Arial" w:eastAsia="Times New Roman" w:hAnsi="Arial" w:cs="Arial"/>
          <w:color w:val="000000" w:themeColor="text1"/>
          <w:sz w:val="24"/>
          <w:szCs w:val="24"/>
          <w:lang w:eastAsia="en-GB"/>
        </w:rPr>
        <w:t xml:space="preserve"> PS molecules with </w:t>
      </w:r>
      <w:r w:rsidR="004A57D4" w:rsidRPr="0071546E">
        <w:rPr>
          <w:rFonts w:ascii="Arial" w:eastAsia="Times New Roman" w:hAnsi="Arial" w:cs="Arial"/>
          <w:color w:val="000000" w:themeColor="text1"/>
          <w:sz w:val="24"/>
          <w:szCs w:val="24"/>
          <w:lang w:eastAsia="en-GB"/>
        </w:rPr>
        <w:t xml:space="preserve">a </w:t>
      </w:r>
      <w:r w:rsidRPr="0071546E">
        <w:rPr>
          <w:rFonts w:ascii="Arial" w:eastAsia="Times New Roman" w:hAnsi="Arial" w:cs="Arial"/>
          <w:color w:val="000000" w:themeColor="text1"/>
          <w:sz w:val="24"/>
          <w:szCs w:val="24"/>
          <w:lang w:eastAsia="en-GB"/>
        </w:rPr>
        <w:t>weight typically not greater tha</w:t>
      </w:r>
      <w:r w:rsidR="00563D9A" w:rsidRPr="0071546E">
        <w:rPr>
          <w:rFonts w:ascii="Arial" w:eastAsia="Times New Roman" w:hAnsi="Arial" w:cs="Arial"/>
          <w:color w:val="000000" w:themeColor="text1"/>
          <w:sz w:val="24"/>
          <w:szCs w:val="24"/>
          <w:lang w:eastAsia="en-GB"/>
        </w:rPr>
        <w:t>n</w:t>
      </w:r>
      <w:r w:rsidRPr="0071546E">
        <w:rPr>
          <w:rFonts w:ascii="Arial" w:eastAsia="Times New Roman" w:hAnsi="Arial" w:cs="Arial"/>
          <w:color w:val="000000" w:themeColor="text1"/>
          <w:sz w:val="24"/>
          <w:szCs w:val="24"/>
          <w:lang w:eastAsia="en-GB"/>
        </w:rPr>
        <w:t xml:space="preserve"> 1500Da, can freely cross the outer wall into these cells hence their susceptibility </w:t>
      </w:r>
      <w:r w:rsidR="00483239" w:rsidRPr="0071546E">
        <w:rPr>
          <w:rFonts w:ascii="Arial" w:eastAsia="Times New Roman" w:hAnsi="Arial" w:cs="Arial"/>
          <w:color w:val="000000" w:themeColor="text1"/>
          <w:sz w:val="24"/>
          <w:szCs w:val="24"/>
          <w:lang w:eastAsia="en-GB"/>
        </w:rPr>
        <w:t xml:space="preserve">to anti-microbial photodynamic therapy </w:t>
      </w:r>
      <w:r w:rsidR="004A57D4" w:rsidRPr="0071546E">
        <w:rPr>
          <w:rFonts w:ascii="Arial" w:eastAsia="Times New Roman" w:hAnsi="Arial" w:cs="Arial"/>
          <w:color w:val="000000" w:themeColor="text1"/>
          <w:sz w:val="24"/>
          <w:szCs w:val="24"/>
          <w:lang w:eastAsia="en-GB"/>
        </w:rPr>
        <w:t>are</w:t>
      </w:r>
      <w:r w:rsidR="00483239" w:rsidRPr="0071546E">
        <w:rPr>
          <w:rFonts w:ascii="Arial" w:eastAsia="Times New Roman" w:hAnsi="Arial" w:cs="Arial"/>
          <w:color w:val="000000" w:themeColor="text1"/>
          <w:sz w:val="24"/>
          <w:szCs w:val="24"/>
          <w:lang w:eastAsia="en-GB"/>
        </w:rPr>
        <w:t xml:space="preserve"> known to be high (Schastak et al., 2010)</w:t>
      </w:r>
      <w:r w:rsidRPr="0071546E">
        <w:rPr>
          <w:rFonts w:ascii="Arial" w:eastAsia="Times New Roman" w:hAnsi="Arial" w:cs="Arial"/>
          <w:color w:val="000000" w:themeColor="text1"/>
          <w:sz w:val="24"/>
          <w:szCs w:val="24"/>
          <w:lang w:eastAsia="en-GB"/>
        </w:rPr>
        <w:t>. On the other hand, the gram</w:t>
      </w:r>
      <w:r w:rsidR="004A57D4"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negative bacterial usually have an extra 10-15</w:t>
      </w:r>
      <w:r w:rsidR="00962CFC" w:rsidRPr="0071546E">
        <w:rPr>
          <w:rFonts w:ascii="Arial" w:eastAsia="Times New Roman" w:hAnsi="Arial" w:cs="Arial"/>
          <w:color w:val="000000" w:themeColor="text1"/>
          <w:sz w:val="24"/>
          <w:szCs w:val="24"/>
          <w:lang w:eastAsia="en-GB"/>
        </w:rPr>
        <w:t xml:space="preserve"> </w:t>
      </w:r>
      <w:r w:rsidRPr="0071546E">
        <w:rPr>
          <w:rFonts w:ascii="Arial" w:eastAsia="Times New Roman" w:hAnsi="Arial" w:cs="Arial"/>
          <w:color w:val="000000" w:themeColor="text1"/>
          <w:sz w:val="24"/>
          <w:szCs w:val="24"/>
          <w:lang w:eastAsia="en-GB"/>
        </w:rPr>
        <w:t xml:space="preserve">nm thick cell wall element which is external to the peptidoglycan network. </w:t>
      </w: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962CFC" w:rsidRPr="0071546E" w:rsidRDefault="00962CFC" w:rsidP="00CF13FE">
      <w:pPr>
        <w:spacing w:after="0" w:line="48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The peptidoglycan of these bacteria are also chemically different, containing teichoic and lipoteichoic acids which provide the outer membrane </w:t>
      </w:r>
      <w:r w:rsidR="004A57D4" w:rsidRPr="0071546E">
        <w:rPr>
          <w:rFonts w:ascii="Arial" w:eastAsia="Times New Roman" w:hAnsi="Arial" w:cs="Arial"/>
          <w:color w:val="000000" w:themeColor="text1"/>
          <w:sz w:val="24"/>
          <w:szCs w:val="24"/>
          <w:lang w:eastAsia="en-GB"/>
        </w:rPr>
        <w:t xml:space="preserve">with </w:t>
      </w:r>
      <w:r w:rsidRPr="0071546E">
        <w:rPr>
          <w:rFonts w:ascii="Arial" w:eastAsia="Times New Roman" w:hAnsi="Arial" w:cs="Arial"/>
          <w:color w:val="000000" w:themeColor="text1"/>
          <w:sz w:val="24"/>
          <w:szCs w:val="24"/>
          <w:lang w:eastAsia="en-GB"/>
        </w:rPr>
        <w:t xml:space="preserve">a net negative charge: this sophisticated cell wall system inhibits the cell wall penetration of macromolecules with </w:t>
      </w:r>
      <w:r w:rsidR="004A57D4" w:rsidRPr="0071546E">
        <w:rPr>
          <w:rFonts w:ascii="Arial" w:eastAsia="Times New Roman" w:hAnsi="Arial" w:cs="Arial"/>
          <w:color w:val="000000" w:themeColor="text1"/>
          <w:sz w:val="24"/>
          <w:szCs w:val="24"/>
          <w:lang w:eastAsia="en-GB"/>
        </w:rPr>
        <w:t xml:space="preserve">a </w:t>
      </w:r>
      <w:r w:rsidRPr="0071546E">
        <w:rPr>
          <w:rFonts w:ascii="Arial" w:eastAsia="Times New Roman" w:hAnsi="Arial" w:cs="Arial"/>
          <w:color w:val="000000" w:themeColor="text1"/>
          <w:sz w:val="24"/>
          <w:szCs w:val="24"/>
          <w:lang w:eastAsia="en-GB"/>
        </w:rPr>
        <w:t xml:space="preserve">molecular weight larger than 600-700Da </w:t>
      </w:r>
      <w:r w:rsidR="000348A9" w:rsidRPr="0071546E">
        <w:rPr>
          <w:rFonts w:ascii="Arial" w:eastAsia="Times New Roman" w:hAnsi="Arial" w:cs="Arial"/>
          <w:color w:val="000000" w:themeColor="text1"/>
          <w:sz w:val="24"/>
          <w:szCs w:val="24"/>
          <w:lang w:eastAsia="en-GB"/>
        </w:rPr>
        <w:t>(Miller and Salama, 2018)</w:t>
      </w:r>
      <w:r w:rsidRPr="0071546E">
        <w:rPr>
          <w:rFonts w:ascii="Arial" w:eastAsia="Times New Roman" w:hAnsi="Arial" w:cs="Arial"/>
          <w:color w:val="000000" w:themeColor="text1"/>
          <w:sz w:val="24"/>
          <w:szCs w:val="24"/>
          <w:lang w:eastAsia="en-GB"/>
        </w:rPr>
        <w:t xml:space="preserve">. </w:t>
      </w:r>
    </w:p>
    <w:p w:rsidR="00725033" w:rsidRPr="0071546E" w:rsidRDefault="00483239"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          </w:t>
      </w:r>
      <w:r w:rsidR="00725033" w:rsidRPr="0071546E">
        <w:rPr>
          <w:rFonts w:ascii="Arial" w:eastAsia="Times New Roman" w:hAnsi="Arial" w:cs="Arial"/>
          <w:color w:val="000000" w:themeColor="text1"/>
          <w:sz w:val="24"/>
          <w:szCs w:val="24"/>
          <w:lang w:eastAsia="en-GB"/>
        </w:rPr>
        <w:t>The pathogenic protozoa</w:t>
      </w:r>
      <w:r w:rsidRPr="0071546E">
        <w:rPr>
          <w:rFonts w:ascii="Arial" w:eastAsia="Times New Roman" w:hAnsi="Arial" w:cs="Arial"/>
          <w:color w:val="000000" w:themeColor="text1"/>
          <w:sz w:val="24"/>
          <w:szCs w:val="24"/>
          <w:lang w:eastAsia="en-GB"/>
        </w:rPr>
        <w:t xml:space="preserve"> like </w:t>
      </w:r>
      <w:r w:rsidR="00432D1D" w:rsidRPr="0071546E">
        <w:rPr>
          <w:rFonts w:ascii="Arial" w:eastAsia="Times New Roman" w:hAnsi="Arial" w:cs="Arial"/>
          <w:i/>
          <w:color w:val="000000" w:themeColor="text1"/>
          <w:sz w:val="24"/>
          <w:szCs w:val="24"/>
          <w:lang w:eastAsia="en-GB"/>
        </w:rPr>
        <w:t>Acanthamoeba</w:t>
      </w:r>
      <w:r w:rsidRPr="0071546E">
        <w:rPr>
          <w:rFonts w:ascii="Arial" w:eastAsia="Times New Roman" w:hAnsi="Arial" w:cs="Arial"/>
          <w:color w:val="000000" w:themeColor="text1"/>
          <w:sz w:val="24"/>
          <w:szCs w:val="24"/>
          <w:lang w:eastAsia="en-GB"/>
        </w:rPr>
        <w:t xml:space="preserve"> also</w:t>
      </w:r>
      <w:r w:rsidR="00725033" w:rsidRPr="0071546E">
        <w:rPr>
          <w:rFonts w:ascii="Arial" w:eastAsia="Times New Roman" w:hAnsi="Arial" w:cs="Arial"/>
          <w:color w:val="000000" w:themeColor="text1"/>
          <w:sz w:val="24"/>
          <w:szCs w:val="24"/>
          <w:lang w:eastAsia="en-GB"/>
        </w:rPr>
        <w:t xml:space="preserve"> represent a group of structurally diverse organism, which has the ability to transform into a more robu</w:t>
      </w:r>
      <w:r w:rsidR="00010496" w:rsidRPr="0071546E">
        <w:rPr>
          <w:rFonts w:ascii="Arial" w:eastAsia="Times New Roman" w:hAnsi="Arial" w:cs="Arial"/>
          <w:color w:val="000000" w:themeColor="text1"/>
          <w:sz w:val="24"/>
          <w:szCs w:val="24"/>
          <w:lang w:eastAsia="en-GB"/>
        </w:rPr>
        <w:t>st form in severe conditions</w:t>
      </w:r>
      <w:r w:rsidR="00725033" w:rsidRPr="0071546E">
        <w:rPr>
          <w:rFonts w:ascii="Arial" w:eastAsia="Times New Roman" w:hAnsi="Arial" w:cs="Arial"/>
          <w:color w:val="000000" w:themeColor="text1"/>
          <w:sz w:val="24"/>
          <w:szCs w:val="24"/>
          <w:lang w:eastAsia="en-GB"/>
        </w:rPr>
        <w:t xml:space="preserve">. The complex life cycle of these protozoa like </w:t>
      </w:r>
      <w:r w:rsidR="00725033" w:rsidRPr="0071546E">
        <w:rPr>
          <w:rFonts w:ascii="Arial" w:eastAsia="Times New Roman" w:hAnsi="Arial" w:cs="Arial"/>
          <w:i/>
          <w:color w:val="000000" w:themeColor="text1"/>
          <w:sz w:val="24"/>
          <w:szCs w:val="24"/>
          <w:lang w:eastAsia="en-GB"/>
        </w:rPr>
        <w:t>Entamoeba histolytica</w:t>
      </w:r>
      <w:r w:rsidR="00725033" w:rsidRPr="0071546E">
        <w:rPr>
          <w:rFonts w:ascii="Arial" w:eastAsia="Times New Roman" w:hAnsi="Arial" w:cs="Arial"/>
          <w:color w:val="000000" w:themeColor="text1"/>
          <w:sz w:val="24"/>
          <w:szCs w:val="24"/>
          <w:lang w:eastAsia="en-GB"/>
        </w:rPr>
        <w:t xml:space="preserve">, </w:t>
      </w:r>
      <w:r w:rsidR="00725033" w:rsidRPr="0071546E">
        <w:rPr>
          <w:rFonts w:ascii="Arial" w:eastAsia="Times New Roman" w:hAnsi="Arial" w:cs="Arial"/>
          <w:i/>
          <w:color w:val="000000" w:themeColor="text1"/>
          <w:sz w:val="24"/>
          <w:szCs w:val="24"/>
          <w:lang w:eastAsia="en-GB"/>
        </w:rPr>
        <w:t>Giardia</w:t>
      </w:r>
      <w:r w:rsidR="00725033" w:rsidRPr="0071546E">
        <w:rPr>
          <w:rFonts w:ascii="Arial" w:eastAsia="Times New Roman" w:hAnsi="Arial" w:cs="Arial"/>
          <w:color w:val="000000" w:themeColor="text1"/>
          <w:sz w:val="24"/>
          <w:szCs w:val="24"/>
          <w:lang w:eastAsia="en-GB"/>
        </w:rPr>
        <w:t xml:space="preserve"> and </w:t>
      </w:r>
      <w:r w:rsidR="00432D1D" w:rsidRPr="0071546E">
        <w:rPr>
          <w:rFonts w:ascii="Arial" w:eastAsia="Times New Roman" w:hAnsi="Arial" w:cs="Arial"/>
          <w:i/>
          <w:color w:val="000000" w:themeColor="text1"/>
          <w:sz w:val="24"/>
          <w:szCs w:val="24"/>
          <w:lang w:eastAsia="en-GB"/>
        </w:rPr>
        <w:t>Acanthamoeba</w:t>
      </w:r>
      <w:r w:rsidR="00725033" w:rsidRPr="0071546E">
        <w:rPr>
          <w:rFonts w:ascii="Arial" w:eastAsia="Times New Roman" w:hAnsi="Arial" w:cs="Arial"/>
          <w:i/>
          <w:color w:val="000000" w:themeColor="text1"/>
          <w:sz w:val="24"/>
          <w:szCs w:val="24"/>
          <w:lang w:eastAsia="en-GB"/>
        </w:rPr>
        <w:t xml:space="preserve"> spp</w:t>
      </w:r>
      <w:r w:rsidR="00725033" w:rsidRPr="0071546E">
        <w:rPr>
          <w:rFonts w:ascii="Arial" w:eastAsia="Times New Roman" w:hAnsi="Arial" w:cs="Arial"/>
          <w:color w:val="000000" w:themeColor="text1"/>
          <w:sz w:val="24"/>
          <w:szCs w:val="24"/>
          <w:lang w:eastAsia="en-GB"/>
        </w:rPr>
        <w:t xml:space="preserve"> represents why they are therapeutically difficult to handle</w:t>
      </w:r>
      <w:r w:rsidR="00010496" w:rsidRPr="0071546E">
        <w:rPr>
          <w:color w:val="000000"/>
        </w:rPr>
        <w:t xml:space="preserve"> </w:t>
      </w:r>
      <w:r w:rsidR="00010496" w:rsidRPr="0071546E">
        <w:rPr>
          <w:rFonts w:ascii="Arial" w:eastAsia="Times New Roman" w:hAnsi="Arial" w:cs="Arial"/>
          <w:color w:val="000000" w:themeColor="text1"/>
          <w:sz w:val="24"/>
          <w:szCs w:val="24"/>
          <w:lang w:eastAsia="en-GB"/>
        </w:rPr>
        <w:t>(Smith and Evans, 2009)</w:t>
      </w:r>
      <w:r w:rsidR="00725033" w:rsidRPr="0071546E">
        <w:rPr>
          <w:rFonts w:ascii="Arial" w:eastAsia="Times New Roman" w:hAnsi="Arial" w:cs="Arial"/>
          <w:color w:val="000000" w:themeColor="text1"/>
          <w:sz w:val="24"/>
          <w:szCs w:val="24"/>
          <w:lang w:eastAsia="en-GB"/>
        </w:rPr>
        <w:t xml:space="preserve">. By their complex life cycle, it appears that Gram-negative bacteria and the cysts of </w:t>
      </w:r>
      <w:r w:rsidR="00432D1D" w:rsidRPr="0071546E">
        <w:rPr>
          <w:rFonts w:ascii="Arial" w:eastAsia="Times New Roman" w:hAnsi="Arial" w:cs="Arial"/>
          <w:i/>
          <w:color w:val="000000" w:themeColor="text1"/>
          <w:sz w:val="24"/>
          <w:szCs w:val="24"/>
          <w:lang w:eastAsia="en-GB"/>
        </w:rPr>
        <w:t>Acanthamoeba</w:t>
      </w:r>
      <w:r w:rsidR="00725033" w:rsidRPr="0071546E">
        <w:rPr>
          <w:rFonts w:ascii="Arial" w:eastAsia="Times New Roman" w:hAnsi="Arial" w:cs="Arial"/>
          <w:i/>
          <w:color w:val="000000" w:themeColor="text1"/>
          <w:sz w:val="24"/>
          <w:szCs w:val="24"/>
          <w:lang w:eastAsia="en-GB"/>
        </w:rPr>
        <w:t xml:space="preserve"> spp</w:t>
      </w:r>
      <w:r w:rsidR="00725033" w:rsidRPr="0071546E">
        <w:rPr>
          <w:rFonts w:ascii="Arial" w:eastAsia="Times New Roman" w:hAnsi="Arial" w:cs="Arial"/>
          <w:color w:val="000000" w:themeColor="text1"/>
          <w:sz w:val="24"/>
          <w:szCs w:val="24"/>
          <w:lang w:eastAsia="en-GB"/>
        </w:rPr>
        <w:t xml:space="preserve"> represent the most challenging targets for antimicrobial PDT or any form o</w:t>
      </w:r>
      <w:r w:rsidR="00010496" w:rsidRPr="0071546E">
        <w:rPr>
          <w:rFonts w:ascii="Arial" w:eastAsia="Times New Roman" w:hAnsi="Arial" w:cs="Arial"/>
          <w:color w:val="000000" w:themeColor="text1"/>
          <w:sz w:val="24"/>
          <w:szCs w:val="24"/>
          <w:lang w:eastAsia="en-GB"/>
        </w:rPr>
        <w:t xml:space="preserve">f chemotherapy. </w:t>
      </w:r>
    </w:p>
    <w:p w:rsidR="00CB57AC" w:rsidRPr="0071546E" w:rsidRDefault="00CB57AC" w:rsidP="00CF13FE">
      <w:pPr>
        <w:spacing w:after="0" w:line="480" w:lineRule="auto"/>
        <w:ind w:left="1021" w:right="454"/>
        <w:jc w:val="both"/>
        <w:rPr>
          <w:rFonts w:ascii="Arial" w:eastAsia="Times New Roman" w:hAnsi="Arial" w:cs="Arial"/>
          <w:color w:val="000000" w:themeColor="text1"/>
          <w:sz w:val="24"/>
          <w:szCs w:val="24"/>
          <w:lang w:eastAsia="en-GB"/>
        </w:rPr>
      </w:pPr>
    </w:p>
    <w:p w:rsidR="00CB57AC" w:rsidRPr="0071546E" w:rsidRDefault="00CB57AC" w:rsidP="00CF13FE">
      <w:pPr>
        <w:spacing w:after="0" w:line="480" w:lineRule="auto"/>
        <w:ind w:left="1021" w:right="454"/>
        <w:jc w:val="both"/>
        <w:rPr>
          <w:rFonts w:ascii="Arial" w:eastAsia="Times New Roman" w:hAnsi="Arial" w:cs="Arial"/>
          <w:color w:val="000000" w:themeColor="text1"/>
          <w:sz w:val="24"/>
          <w:szCs w:val="24"/>
          <w:lang w:eastAsia="en-GB"/>
        </w:rPr>
      </w:pPr>
    </w:p>
    <w:p w:rsidR="00CB57AC" w:rsidRPr="0071546E" w:rsidRDefault="00CB57AC" w:rsidP="00CF13FE">
      <w:pPr>
        <w:spacing w:after="0" w:line="480" w:lineRule="auto"/>
        <w:ind w:left="1021" w:right="454"/>
        <w:jc w:val="both"/>
        <w:rPr>
          <w:rFonts w:ascii="Arial" w:eastAsia="Times New Roman" w:hAnsi="Arial" w:cs="Arial"/>
          <w:color w:val="000000" w:themeColor="text1"/>
          <w:sz w:val="24"/>
          <w:szCs w:val="24"/>
          <w:lang w:eastAsia="en-GB"/>
        </w:rPr>
      </w:pPr>
    </w:p>
    <w:p w:rsidR="00CB57AC" w:rsidRPr="0071546E" w:rsidRDefault="00CB57AC" w:rsidP="00CF13FE">
      <w:pPr>
        <w:spacing w:after="0" w:line="480" w:lineRule="auto"/>
        <w:ind w:left="1021" w:right="454"/>
        <w:jc w:val="both"/>
        <w:rPr>
          <w:rFonts w:ascii="Arial" w:eastAsia="Times New Roman" w:hAnsi="Arial" w:cs="Arial"/>
          <w:color w:val="000000" w:themeColor="text1"/>
          <w:sz w:val="24"/>
          <w:szCs w:val="24"/>
          <w:lang w:eastAsia="en-GB"/>
        </w:rPr>
      </w:pPr>
    </w:p>
    <w:p w:rsidR="00CB57AC" w:rsidRPr="0071546E" w:rsidRDefault="00CB57AC" w:rsidP="00CF13FE">
      <w:pPr>
        <w:spacing w:after="0" w:line="480" w:lineRule="auto"/>
        <w:ind w:left="1021" w:right="454"/>
        <w:jc w:val="both"/>
        <w:rPr>
          <w:rFonts w:ascii="Arial" w:eastAsia="Times New Roman" w:hAnsi="Arial" w:cs="Arial"/>
          <w:color w:val="000000" w:themeColor="text1"/>
          <w:sz w:val="24"/>
          <w:szCs w:val="24"/>
          <w:lang w:eastAsia="en-GB"/>
        </w:rPr>
      </w:pPr>
    </w:p>
    <w:p w:rsidR="00CB57AC" w:rsidRPr="0071546E" w:rsidRDefault="00CB57AC" w:rsidP="00CF13FE">
      <w:pPr>
        <w:spacing w:after="0" w:line="480" w:lineRule="auto"/>
        <w:ind w:left="1021" w:right="454"/>
        <w:jc w:val="both"/>
        <w:rPr>
          <w:rFonts w:ascii="Arial" w:eastAsia="Times New Roman" w:hAnsi="Arial" w:cs="Arial"/>
          <w:color w:val="000000" w:themeColor="text1"/>
          <w:sz w:val="24"/>
          <w:szCs w:val="24"/>
          <w:lang w:eastAsia="en-GB"/>
        </w:rPr>
      </w:pPr>
    </w:p>
    <w:p w:rsidR="00CB57AC" w:rsidRPr="0071546E" w:rsidRDefault="00CB57AC" w:rsidP="00CF13FE">
      <w:pPr>
        <w:spacing w:after="0" w:line="480" w:lineRule="auto"/>
        <w:ind w:left="1021" w:right="454"/>
        <w:jc w:val="both"/>
        <w:rPr>
          <w:rFonts w:ascii="Arial" w:eastAsia="Times New Roman" w:hAnsi="Arial" w:cs="Arial"/>
          <w:color w:val="000000" w:themeColor="text1"/>
          <w:sz w:val="24"/>
          <w:szCs w:val="24"/>
          <w:lang w:eastAsia="en-GB"/>
        </w:rPr>
      </w:pPr>
    </w:p>
    <w:p w:rsidR="00CB57AC" w:rsidRPr="0071546E" w:rsidRDefault="00CB57AC" w:rsidP="00CF13FE">
      <w:pPr>
        <w:spacing w:after="0" w:line="480" w:lineRule="auto"/>
        <w:ind w:left="1021" w:right="454"/>
        <w:jc w:val="both"/>
        <w:rPr>
          <w:rFonts w:ascii="Arial" w:eastAsia="Times New Roman" w:hAnsi="Arial" w:cs="Arial"/>
          <w:color w:val="000000" w:themeColor="text1"/>
          <w:sz w:val="24"/>
          <w:szCs w:val="24"/>
          <w:lang w:eastAsia="en-GB"/>
        </w:rPr>
      </w:pPr>
    </w:p>
    <w:p w:rsidR="00CB57AC" w:rsidRPr="0071546E" w:rsidRDefault="00CB57AC" w:rsidP="00CF13FE">
      <w:pPr>
        <w:spacing w:after="0" w:line="480" w:lineRule="auto"/>
        <w:ind w:left="1021" w:right="454"/>
        <w:jc w:val="both"/>
        <w:rPr>
          <w:rFonts w:ascii="Arial" w:eastAsia="Times New Roman" w:hAnsi="Arial" w:cs="Arial"/>
          <w:color w:val="000000" w:themeColor="text1"/>
          <w:sz w:val="24"/>
          <w:szCs w:val="24"/>
          <w:lang w:eastAsia="en-GB"/>
        </w:rPr>
      </w:pPr>
    </w:p>
    <w:p w:rsidR="00CB57AC" w:rsidRPr="0071546E" w:rsidRDefault="00CB57AC" w:rsidP="00CF13FE">
      <w:pPr>
        <w:spacing w:after="0" w:line="480" w:lineRule="auto"/>
        <w:ind w:left="1021" w:right="454"/>
        <w:jc w:val="both"/>
        <w:rPr>
          <w:rFonts w:ascii="Arial" w:eastAsia="Times New Roman" w:hAnsi="Arial" w:cs="Arial"/>
          <w:color w:val="000000" w:themeColor="text1"/>
          <w:sz w:val="24"/>
          <w:szCs w:val="24"/>
          <w:lang w:eastAsia="en-GB"/>
        </w:rPr>
      </w:pPr>
    </w:p>
    <w:p w:rsidR="00CB57AC" w:rsidRPr="0071546E" w:rsidRDefault="00CB57AC" w:rsidP="00CF13FE">
      <w:pPr>
        <w:spacing w:after="0" w:line="480" w:lineRule="auto"/>
        <w:ind w:left="1021" w:right="454"/>
        <w:jc w:val="both"/>
        <w:rPr>
          <w:rFonts w:ascii="Arial" w:eastAsia="Times New Roman" w:hAnsi="Arial" w:cs="Arial"/>
          <w:color w:val="000000" w:themeColor="text1"/>
          <w:sz w:val="24"/>
          <w:szCs w:val="24"/>
          <w:lang w:eastAsia="en-GB"/>
        </w:rPr>
      </w:pPr>
    </w:p>
    <w:p w:rsidR="00CB57AC" w:rsidRPr="0071546E" w:rsidRDefault="00CB57AC" w:rsidP="00CF13FE">
      <w:pPr>
        <w:spacing w:after="0" w:line="48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CF13FE">
      <w:pPr>
        <w:pStyle w:val="Heading2"/>
        <w:ind w:left="1021" w:right="454"/>
      </w:pPr>
      <w:bookmarkStart w:id="28" w:name="_Toc14711398"/>
      <w:r w:rsidRPr="0071546E">
        <w:t>1.5.1 Photosensitizers used in photodynamic therapy</w:t>
      </w:r>
      <w:bookmarkEnd w:id="28"/>
    </w:p>
    <w:p w:rsidR="00725033" w:rsidRPr="0071546E" w:rsidRDefault="00725033"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Several photosensitizers have been tested in </w:t>
      </w:r>
      <w:r w:rsidRPr="0071546E">
        <w:rPr>
          <w:rFonts w:ascii="Arial" w:eastAsia="Times New Roman" w:hAnsi="Arial" w:cs="Arial"/>
          <w:i/>
          <w:color w:val="000000" w:themeColor="text1"/>
          <w:sz w:val="24"/>
          <w:szCs w:val="24"/>
          <w:lang w:eastAsia="en-GB"/>
        </w:rPr>
        <w:t>in-vivo</w:t>
      </w:r>
      <w:r w:rsidRPr="0071546E">
        <w:rPr>
          <w:rFonts w:ascii="Arial" w:eastAsia="Times New Roman" w:hAnsi="Arial" w:cs="Arial"/>
          <w:color w:val="000000" w:themeColor="text1"/>
          <w:sz w:val="24"/>
          <w:szCs w:val="24"/>
          <w:lang w:eastAsia="en-GB"/>
        </w:rPr>
        <w:t xml:space="preserve"> and </w:t>
      </w:r>
      <w:r w:rsidRPr="0071546E">
        <w:rPr>
          <w:rFonts w:ascii="Arial" w:eastAsia="Times New Roman" w:hAnsi="Arial" w:cs="Arial"/>
          <w:i/>
          <w:color w:val="000000" w:themeColor="text1"/>
          <w:sz w:val="24"/>
          <w:szCs w:val="24"/>
          <w:lang w:eastAsia="en-GB"/>
        </w:rPr>
        <w:t>in-vitro</w:t>
      </w:r>
      <w:r w:rsidRPr="0071546E">
        <w:rPr>
          <w:rFonts w:ascii="Arial" w:eastAsia="Times New Roman" w:hAnsi="Arial" w:cs="Arial"/>
          <w:color w:val="000000" w:themeColor="text1"/>
          <w:sz w:val="24"/>
          <w:szCs w:val="24"/>
          <w:lang w:eastAsia="en-GB"/>
        </w:rPr>
        <w:t xml:space="preserve"> experiments</w:t>
      </w:r>
      <w:r w:rsidR="00CB57AC" w:rsidRPr="0071546E">
        <w:rPr>
          <w:rFonts w:ascii="Arial" w:eastAsia="Times New Roman" w:hAnsi="Arial" w:cs="Arial"/>
          <w:color w:val="000000" w:themeColor="text1"/>
          <w:sz w:val="24"/>
          <w:szCs w:val="24"/>
          <w:lang w:eastAsia="en-GB"/>
        </w:rPr>
        <w:t xml:space="preserve"> against microbial and mammalian cells</w:t>
      </w:r>
      <w:r w:rsidRPr="0071546E">
        <w:rPr>
          <w:rFonts w:ascii="Arial" w:eastAsia="Times New Roman" w:hAnsi="Arial" w:cs="Arial"/>
          <w:color w:val="000000" w:themeColor="text1"/>
          <w:sz w:val="24"/>
          <w:szCs w:val="24"/>
          <w:lang w:eastAsia="en-GB"/>
        </w:rPr>
        <w:t xml:space="preserve">, though few of them have exhibited ideal </w:t>
      </w:r>
      <w:r w:rsidR="00AB60A7" w:rsidRPr="0071546E">
        <w:rPr>
          <w:rFonts w:ascii="Arial" w:eastAsia="Times New Roman" w:hAnsi="Arial" w:cs="Arial"/>
          <w:color w:val="000000" w:themeColor="text1"/>
          <w:sz w:val="24"/>
          <w:szCs w:val="24"/>
          <w:lang w:eastAsia="en-GB"/>
        </w:rPr>
        <w:t xml:space="preserve">therapeutic </w:t>
      </w:r>
      <w:r w:rsidRPr="0071546E">
        <w:rPr>
          <w:rFonts w:ascii="Arial" w:eastAsia="Times New Roman" w:hAnsi="Arial" w:cs="Arial"/>
          <w:color w:val="000000" w:themeColor="text1"/>
          <w:sz w:val="24"/>
          <w:szCs w:val="24"/>
          <w:lang w:eastAsia="en-GB"/>
        </w:rPr>
        <w:t>properties</w:t>
      </w:r>
      <w:r w:rsidR="002E15A6" w:rsidRPr="0071546E">
        <w:rPr>
          <w:color w:val="000000"/>
        </w:rPr>
        <w:t xml:space="preserve"> </w:t>
      </w:r>
      <w:r w:rsidR="002E15A6" w:rsidRPr="0071546E">
        <w:rPr>
          <w:rFonts w:ascii="Arial" w:eastAsia="Times New Roman" w:hAnsi="Arial" w:cs="Arial"/>
          <w:color w:val="000000" w:themeColor="text1"/>
          <w:sz w:val="24"/>
          <w:szCs w:val="24"/>
          <w:lang w:eastAsia="en-GB"/>
        </w:rPr>
        <w:t>(Hosseinzadeh and Khorsandi, 2017; Morton, 2018; Tampa et al., 2019)</w:t>
      </w:r>
      <w:r w:rsidR="00AB60A7" w:rsidRPr="0071546E">
        <w:rPr>
          <w:rFonts w:ascii="Arial" w:eastAsia="Times New Roman" w:hAnsi="Arial" w:cs="Arial"/>
          <w:color w:val="000000" w:themeColor="text1"/>
          <w:sz w:val="24"/>
          <w:szCs w:val="24"/>
          <w:lang w:eastAsia="en-GB"/>
        </w:rPr>
        <w:t>. A</w:t>
      </w:r>
      <w:r w:rsidRPr="0071546E">
        <w:rPr>
          <w:rFonts w:ascii="Arial" w:eastAsia="Times New Roman" w:hAnsi="Arial" w:cs="Arial"/>
          <w:color w:val="000000" w:themeColor="text1"/>
          <w:sz w:val="24"/>
          <w:szCs w:val="24"/>
          <w:lang w:eastAsia="en-GB"/>
        </w:rPr>
        <w:t>s a result, studies have focused on developing PS with desired properties which increase the efficacy of the photodynamic therapy (</w:t>
      </w:r>
      <w:r w:rsidR="00194E9F" w:rsidRPr="0071546E">
        <w:rPr>
          <w:rFonts w:ascii="Arial" w:eastAsia="Times New Roman" w:hAnsi="Arial" w:cs="Arial"/>
          <w:color w:val="000000" w:themeColor="text1"/>
          <w:sz w:val="24"/>
          <w:szCs w:val="24"/>
          <w:lang w:eastAsia="en-GB"/>
        </w:rPr>
        <w:t>Garland et al., 2009;</w:t>
      </w:r>
      <w:r w:rsidR="00E70EC3" w:rsidRPr="0071546E">
        <w:rPr>
          <w:color w:val="000000"/>
        </w:rPr>
        <w:t xml:space="preserve"> </w:t>
      </w:r>
      <w:r w:rsidR="00E70EC3" w:rsidRPr="0071546E">
        <w:rPr>
          <w:rFonts w:ascii="Arial" w:eastAsia="Times New Roman" w:hAnsi="Arial" w:cs="Arial"/>
          <w:color w:val="000000" w:themeColor="text1"/>
          <w:sz w:val="24"/>
          <w:szCs w:val="24"/>
          <w:lang w:eastAsia="en-GB"/>
        </w:rPr>
        <w:t>Celik and Saydan, 2011</w:t>
      </w:r>
      <w:r w:rsidR="00E70EC3" w:rsidRPr="0071546E">
        <w:rPr>
          <w:color w:val="000000"/>
        </w:rPr>
        <w:t xml:space="preserve"> </w:t>
      </w:r>
      <w:r w:rsidR="00E70EC3" w:rsidRPr="0071546E">
        <w:rPr>
          <w:rFonts w:ascii="Arial" w:eastAsia="Times New Roman" w:hAnsi="Arial" w:cs="Arial"/>
          <w:color w:val="000000" w:themeColor="text1"/>
          <w:sz w:val="24"/>
          <w:szCs w:val="24"/>
          <w:lang w:eastAsia="en-GB"/>
        </w:rPr>
        <w:t>Ansari et al., 2011;</w:t>
      </w:r>
      <w:r w:rsidR="00E70EC3" w:rsidRPr="0071546E">
        <w:rPr>
          <w:color w:val="000000"/>
        </w:rPr>
        <w:t xml:space="preserve"> </w:t>
      </w:r>
      <w:r w:rsidR="00E70EC3" w:rsidRPr="0071546E">
        <w:rPr>
          <w:rFonts w:ascii="Arial" w:eastAsia="Times New Roman" w:hAnsi="Arial" w:cs="Arial"/>
          <w:color w:val="000000" w:themeColor="text1"/>
          <w:sz w:val="24"/>
          <w:szCs w:val="24"/>
          <w:lang w:eastAsia="en-GB"/>
        </w:rPr>
        <w:t>Kwiatkowski et al., 2018;</w:t>
      </w:r>
      <w:r w:rsidR="00E70EC3" w:rsidRPr="0071546E">
        <w:rPr>
          <w:color w:val="000000"/>
        </w:rPr>
        <w:t xml:space="preserve"> </w:t>
      </w:r>
      <w:r w:rsidR="00E70EC3" w:rsidRPr="0071546E">
        <w:rPr>
          <w:rFonts w:ascii="Arial" w:eastAsia="Times New Roman" w:hAnsi="Arial" w:cs="Arial"/>
          <w:color w:val="000000" w:themeColor="text1"/>
          <w:sz w:val="24"/>
          <w:szCs w:val="24"/>
          <w:lang w:eastAsia="en-GB"/>
        </w:rPr>
        <w:t>Xu et al., 2018</w:t>
      </w:r>
      <w:r w:rsidRPr="0071546E">
        <w:rPr>
          <w:rFonts w:ascii="Arial" w:eastAsia="Times New Roman" w:hAnsi="Arial" w:cs="Arial"/>
          <w:color w:val="000000" w:themeColor="text1"/>
          <w:sz w:val="24"/>
          <w:szCs w:val="24"/>
          <w:lang w:eastAsia="en-GB"/>
        </w:rPr>
        <w:t xml:space="preserve">). The prerequisite for a potent PS are chemical purity, selectivity to target tissue, chemical and physical stability, shortest possible interval between administration and accumulation to </w:t>
      </w:r>
      <w:r w:rsidR="004A57D4"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 xml:space="preserve">target tissue, activation at </w:t>
      </w:r>
      <w:r w:rsidR="004A57D4" w:rsidRPr="0071546E">
        <w:rPr>
          <w:rFonts w:ascii="Arial" w:eastAsia="Times New Roman" w:hAnsi="Arial" w:cs="Arial"/>
          <w:color w:val="000000" w:themeColor="text1"/>
          <w:sz w:val="24"/>
          <w:szCs w:val="24"/>
          <w:lang w:eastAsia="en-GB"/>
        </w:rPr>
        <w:t xml:space="preserve">a </w:t>
      </w:r>
      <w:r w:rsidRPr="0071546E">
        <w:rPr>
          <w:rFonts w:ascii="Arial" w:eastAsia="Times New Roman" w:hAnsi="Arial" w:cs="Arial"/>
          <w:color w:val="000000" w:themeColor="text1"/>
          <w:sz w:val="24"/>
          <w:szCs w:val="24"/>
          <w:lang w:eastAsia="en-GB"/>
        </w:rPr>
        <w:t xml:space="preserve">wavelength with peak tissue penetration and above all rapid removal from the body </w:t>
      </w:r>
      <w:r w:rsidR="00E70EC3" w:rsidRPr="0071546E">
        <w:rPr>
          <w:rFonts w:ascii="Arial" w:eastAsia="Times New Roman" w:hAnsi="Arial" w:cs="Arial"/>
          <w:color w:val="000000" w:themeColor="text1"/>
          <w:sz w:val="24"/>
          <w:szCs w:val="24"/>
          <w:lang w:eastAsia="en-GB"/>
        </w:rPr>
        <w:t>(Robertson, Evans and Abrahamse, 2009)</w:t>
      </w:r>
      <w:r w:rsidR="00CB57AC" w:rsidRPr="0071546E">
        <w:rPr>
          <w:rFonts w:ascii="Arial" w:eastAsia="Times New Roman" w:hAnsi="Arial" w:cs="Arial"/>
          <w:color w:val="000000" w:themeColor="text1"/>
          <w:sz w:val="24"/>
          <w:szCs w:val="24"/>
          <w:lang w:eastAsia="en-GB"/>
        </w:rPr>
        <w:t xml:space="preserve"> see table 2 (page 39)</w:t>
      </w:r>
      <w:r w:rsidR="00E70EC3" w:rsidRPr="0071546E">
        <w:rPr>
          <w:rFonts w:ascii="Arial" w:eastAsia="Times New Roman" w:hAnsi="Arial" w:cs="Arial"/>
          <w:color w:val="000000" w:themeColor="text1"/>
          <w:sz w:val="24"/>
          <w:szCs w:val="24"/>
          <w:lang w:eastAsia="en-GB"/>
        </w:rPr>
        <w:t xml:space="preserve">. </w:t>
      </w:r>
      <w:r w:rsidRPr="0071546E">
        <w:rPr>
          <w:rFonts w:ascii="Arial" w:eastAsia="Times New Roman" w:hAnsi="Arial" w:cs="Arial"/>
          <w:color w:val="000000" w:themeColor="text1"/>
          <w:sz w:val="24"/>
          <w:szCs w:val="24"/>
          <w:lang w:eastAsia="en-GB"/>
        </w:rPr>
        <w:t>There are four main classes of photosensitizers used in PDT. They are the porphyrin derivatives, chlorins, phthalocyanines, and porphycenes</w:t>
      </w:r>
      <w:r w:rsidR="00DA678A" w:rsidRPr="0071546E">
        <w:rPr>
          <w:color w:val="000000"/>
        </w:rPr>
        <w:t xml:space="preserve"> </w:t>
      </w:r>
      <w:r w:rsidR="00DA678A" w:rsidRPr="0071546E">
        <w:rPr>
          <w:rFonts w:ascii="Arial" w:eastAsia="Times New Roman" w:hAnsi="Arial" w:cs="Arial"/>
          <w:color w:val="000000" w:themeColor="text1"/>
          <w:sz w:val="24"/>
          <w:szCs w:val="24"/>
          <w:lang w:eastAsia="en-GB"/>
        </w:rPr>
        <w:t xml:space="preserve">(Ormond and Freeman, 2013). </w:t>
      </w:r>
      <w:r w:rsidRPr="0071546E">
        <w:rPr>
          <w:rFonts w:ascii="Arial" w:eastAsia="Times New Roman" w:hAnsi="Arial" w:cs="Arial"/>
          <w:color w:val="000000" w:themeColor="text1"/>
          <w:sz w:val="24"/>
          <w:szCs w:val="24"/>
          <w:lang w:eastAsia="en-GB"/>
        </w:rPr>
        <w:t>The efficacy of several PS molecules ha</w:t>
      </w:r>
      <w:r w:rsidR="004A57D4" w:rsidRPr="0071546E">
        <w:rPr>
          <w:rFonts w:ascii="Arial" w:eastAsia="Times New Roman" w:hAnsi="Arial" w:cs="Arial"/>
          <w:color w:val="000000" w:themeColor="text1"/>
          <w:sz w:val="24"/>
          <w:szCs w:val="24"/>
          <w:lang w:eastAsia="en-GB"/>
        </w:rPr>
        <w:t>s</w:t>
      </w:r>
      <w:r w:rsidRPr="0071546E">
        <w:rPr>
          <w:rFonts w:ascii="Arial" w:eastAsia="Times New Roman" w:hAnsi="Arial" w:cs="Arial"/>
          <w:color w:val="000000" w:themeColor="text1"/>
          <w:sz w:val="24"/>
          <w:szCs w:val="24"/>
          <w:lang w:eastAsia="en-GB"/>
        </w:rPr>
        <w:t xml:space="preserve"> been investigated for their ability to inactivate microbial biofilms </w:t>
      </w:r>
      <w:r w:rsidRPr="0071546E">
        <w:rPr>
          <w:rFonts w:ascii="Arial" w:eastAsia="Times New Roman" w:hAnsi="Arial" w:cs="Arial"/>
          <w:i/>
          <w:color w:val="000000" w:themeColor="text1"/>
          <w:sz w:val="24"/>
          <w:szCs w:val="24"/>
          <w:lang w:eastAsia="en-GB"/>
        </w:rPr>
        <w:t>in vitro</w:t>
      </w:r>
      <w:r w:rsidRPr="0071546E">
        <w:rPr>
          <w:rFonts w:ascii="Arial" w:eastAsia="Times New Roman" w:hAnsi="Arial" w:cs="Arial"/>
          <w:color w:val="000000" w:themeColor="text1"/>
          <w:sz w:val="24"/>
          <w:szCs w:val="24"/>
          <w:lang w:eastAsia="en-GB"/>
        </w:rPr>
        <w:t>. Among the most commonly, used dyes are the phenothiazinium derivatives, like Methylene Blue</w:t>
      </w:r>
      <w:r w:rsidR="00DA678A" w:rsidRPr="0071546E">
        <w:rPr>
          <w:color w:val="000000"/>
        </w:rPr>
        <w:t xml:space="preserve"> </w:t>
      </w:r>
      <w:r w:rsidR="00DC1B78" w:rsidRPr="0071546E">
        <w:rPr>
          <w:rFonts w:ascii="Arial" w:eastAsia="Times New Roman" w:hAnsi="Arial" w:cs="Arial"/>
          <w:color w:val="000000" w:themeColor="text1"/>
          <w:sz w:val="24"/>
          <w:szCs w:val="24"/>
          <w:lang w:eastAsia="en-GB"/>
        </w:rPr>
        <w:t>(D</w:t>
      </w:r>
      <w:r w:rsidR="00DA678A" w:rsidRPr="0071546E">
        <w:rPr>
          <w:rFonts w:ascii="Arial" w:eastAsia="Times New Roman" w:hAnsi="Arial" w:cs="Arial"/>
          <w:color w:val="000000" w:themeColor="text1"/>
          <w:sz w:val="24"/>
          <w:szCs w:val="24"/>
          <w:lang w:eastAsia="en-GB"/>
        </w:rPr>
        <w:t>os Santos et al., 2017)</w:t>
      </w:r>
      <w:r w:rsidRPr="0071546E">
        <w:rPr>
          <w:rFonts w:ascii="Arial" w:eastAsia="Times New Roman" w:hAnsi="Arial" w:cs="Arial"/>
          <w:color w:val="000000" w:themeColor="text1"/>
          <w:sz w:val="24"/>
          <w:szCs w:val="24"/>
          <w:lang w:eastAsia="en-GB"/>
        </w:rPr>
        <w:t xml:space="preserve"> and Toluidine Blue</w:t>
      </w:r>
      <w:r w:rsidR="00DA678A" w:rsidRPr="0071546E">
        <w:rPr>
          <w:color w:val="000000"/>
        </w:rPr>
        <w:t xml:space="preserve"> </w:t>
      </w:r>
      <w:r w:rsidR="00DA678A" w:rsidRPr="0071546E">
        <w:rPr>
          <w:rFonts w:ascii="Arial" w:eastAsia="Times New Roman" w:hAnsi="Arial" w:cs="Arial"/>
          <w:color w:val="000000" w:themeColor="text1"/>
          <w:sz w:val="24"/>
          <w:szCs w:val="24"/>
          <w:lang w:eastAsia="en-GB"/>
        </w:rPr>
        <w:t xml:space="preserve">(Oruba et al., 2017), </w:t>
      </w:r>
      <w:r w:rsidRPr="0071546E">
        <w:rPr>
          <w:rFonts w:ascii="Arial" w:eastAsia="Times New Roman" w:hAnsi="Arial" w:cs="Arial"/>
          <w:color w:val="000000" w:themeColor="text1"/>
          <w:sz w:val="24"/>
          <w:szCs w:val="24"/>
          <w:lang w:eastAsia="en-GB"/>
        </w:rPr>
        <w:t>te</w:t>
      </w:r>
      <w:r w:rsidR="004A57D4" w:rsidRPr="0071546E">
        <w:rPr>
          <w:rFonts w:ascii="Arial" w:eastAsia="Times New Roman" w:hAnsi="Arial" w:cs="Arial"/>
          <w:color w:val="000000" w:themeColor="text1"/>
          <w:sz w:val="24"/>
          <w:szCs w:val="24"/>
          <w:lang w:eastAsia="en-GB"/>
        </w:rPr>
        <w:t>trapyr</w:t>
      </w:r>
      <w:r w:rsidRPr="0071546E">
        <w:rPr>
          <w:rFonts w:ascii="Arial" w:eastAsia="Times New Roman" w:hAnsi="Arial" w:cs="Arial"/>
          <w:color w:val="000000" w:themeColor="text1"/>
          <w:sz w:val="24"/>
          <w:szCs w:val="24"/>
          <w:lang w:eastAsia="en-GB"/>
        </w:rPr>
        <w:t xml:space="preserve">rolic macrocycles like porphyrins (e.g., TMPyP) or the xanthene dyes like erythrosine and </w:t>
      </w:r>
      <w:r w:rsidR="00563D9A" w:rsidRPr="0071546E">
        <w:rPr>
          <w:rFonts w:ascii="Arial" w:eastAsia="Times New Roman" w:hAnsi="Arial" w:cs="Arial"/>
          <w:color w:val="000000" w:themeColor="text1"/>
          <w:sz w:val="24"/>
          <w:szCs w:val="24"/>
          <w:lang w:eastAsia="en-GB"/>
        </w:rPr>
        <w:t>R</w:t>
      </w:r>
      <w:r w:rsidRPr="0071546E">
        <w:rPr>
          <w:rFonts w:ascii="Arial" w:eastAsia="Times New Roman" w:hAnsi="Arial" w:cs="Arial"/>
          <w:color w:val="000000" w:themeColor="text1"/>
          <w:sz w:val="24"/>
          <w:szCs w:val="24"/>
          <w:lang w:eastAsia="en-GB"/>
        </w:rPr>
        <w:t>ose Bengal (RB)</w:t>
      </w:r>
      <w:r w:rsidR="00DA678A" w:rsidRPr="0071546E">
        <w:rPr>
          <w:color w:val="000000"/>
        </w:rPr>
        <w:t xml:space="preserve"> </w:t>
      </w:r>
      <w:r w:rsidR="00DA678A" w:rsidRPr="0071546E">
        <w:rPr>
          <w:rFonts w:ascii="Arial" w:eastAsia="Times New Roman" w:hAnsi="Arial" w:cs="Arial"/>
          <w:color w:val="000000" w:themeColor="text1"/>
          <w:sz w:val="24"/>
          <w:szCs w:val="24"/>
          <w:lang w:eastAsia="en-GB"/>
        </w:rPr>
        <w:t>(Amescua et al., 2017)</w:t>
      </w:r>
      <w:r w:rsidRPr="0071546E">
        <w:rPr>
          <w:rFonts w:ascii="Arial" w:eastAsia="Times New Roman" w:hAnsi="Arial" w:cs="Arial"/>
          <w:color w:val="000000" w:themeColor="text1"/>
          <w:sz w:val="24"/>
          <w:szCs w:val="24"/>
          <w:lang w:eastAsia="en-GB"/>
        </w:rPr>
        <w:t>. Furthermore, dyes like fullerenes and curcumin have been reported (Mizuno et al., 2011; Araujo et al 2014). Recently a dye known as SAPYR was introduced, which has a perinaphthenone structure (Cieplik et al., 2013).</w:t>
      </w:r>
    </w:p>
    <w:tbl>
      <w:tblPr>
        <w:tblStyle w:val="TableGrid"/>
        <w:tblpPr w:leftFromText="180" w:rightFromText="180" w:vertAnchor="text" w:horzAnchor="margin" w:tblpY="820"/>
        <w:tblW w:w="9488" w:type="dxa"/>
        <w:tblLayout w:type="fixed"/>
        <w:tblLook w:val="0420" w:firstRow="1" w:lastRow="0" w:firstColumn="0" w:lastColumn="0" w:noHBand="0" w:noVBand="1"/>
      </w:tblPr>
      <w:tblGrid>
        <w:gridCol w:w="3392"/>
        <w:gridCol w:w="6096"/>
      </w:tblGrid>
      <w:tr w:rsidR="00CB57AC" w:rsidRPr="0071546E" w:rsidTr="00CB57AC">
        <w:trPr>
          <w:trHeight w:val="576"/>
        </w:trPr>
        <w:tc>
          <w:tcPr>
            <w:tcW w:w="3392" w:type="dxa"/>
            <w:hideMark/>
          </w:tcPr>
          <w:p w:rsidR="00CB57AC" w:rsidRPr="0071546E" w:rsidRDefault="00CB57AC" w:rsidP="00CB57AC">
            <w:pPr>
              <w:rPr>
                <w:rFonts w:ascii="Arial" w:eastAsia="Times New Roman" w:hAnsi="Arial" w:cs="Arial"/>
                <w:sz w:val="36"/>
                <w:szCs w:val="36"/>
                <w:lang w:eastAsia="en-GB"/>
              </w:rPr>
            </w:pPr>
            <w:bookmarkStart w:id="29" w:name="_Toc14711399"/>
            <w:r w:rsidRPr="0071546E">
              <w:rPr>
                <w:rFonts w:ascii="Arial" w:eastAsia="Times New Roman" w:hAnsi="Arial" w:cs="Arial"/>
                <w:b/>
                <w:bCs/>
                <w:color w:val="000000" w:themeColor="text1"/>
                <w:kern w:val="24"/>
                <w:sz w:val="28"/>
                <w:szCs w:val="28"/>
                <w:lang w:eastAsia="en-GB"/>
              </w:rPr>
              <w:t>Required features</w:t>
            </w:r>
          </w:p>
        </w:tc>
        <w:tc>
          <w:tcPr>
            <w:tcW w:w="6096" w:type="dxa"/>
            <w:hideMark/>
          </w:tcPr>
          <w:p w:rsidR="00CB57AC" w:rsidRPr="0071546E" w:rsidRDefault="00CB57AC" w:rsidP="00CB57AC">
            <w:pPr>
              <w:rPr>
                <w:rFonts w:ascii="Arial" w:eastAsia="Times New Roman" w:hAnsi="Arial" w:cs="Arial"/>
                <w:sz w:val="36"/>
                <w:szCs w:val="36"/>
                <w:lang w:eastAsia="en-GB"/>
              </w:rPr>
            </w:pPr>
            <w:r w:rsidRPr="0071546E">
              <w:rPr>
                <w:rFonts w:ascii="Arial" w:eastAsia="Times New Roman" w:hAnsi="Arial" w:cs="Arial"/>
                <w:b/>
                <w:bCs/>
                <w:color w:val="000000" w:themeColor="text1"/>
                <w:kern w:val="24"/>
                <w:sz w:val="28"/>
                <w:szCs w:val="28"/>
                <w:lang w:eastAsia="en-GB"/>
              </w:rPr>
              <w:t>Details</w:t>
            </w:r>
          </w:p>
        </w:tc>
      </w:tr>
      <w:tr w:rsidR="00CB57AC" w:rsidRPr="0071546E" w:rsidTr="00CB57AC">
        <w:trPr>
          <w:trHeight w:val="489"/>
        </w:trPr>
        <w:tc>
          <w:tcPr>
            <w:tcW w:w="3392"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Purity</w:t>
            </w:r>
          </w:p>
        </w:tc>
        <w:tc>
          <w:tcPr>
            <w:tcW w:w="6096"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Must be a substance of known composition and should be stable at room temperature</w:t>
            </w:r>
          </w:p>
        </w:tc>
      </w:tr>
      <w:tr w:rsidR="00CB57AC" w:rsidRPr="0071546E" w:rsidTr="00CB57AC">
        <w:trPr>
          <w:trHeight w:val="576"/>
        </w:trPr>
        <w:tc>
          <w:tcPr>
            <w:tcW w:w="3392"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Toxicity overdosage and side effects</w:t>
            </w:r>
          </w:p>
        </w:tc>
        <w:tc>
          <w:tcPr>
            <w:tcW w:w="6096" w:type="dxa"/>
            <w:hideMark/>
          </w:tcPr>
          <w:p w:rsidR="00CB57AC" w:rsidRPr="0071546E" w:rsidRDefault="00CB57AC" w:rsidP="00CB57AC">
            <w:pPr>
              <w:numPr>
                <w:ilvl w:val="0"/>
                <w:numId w:val="9"/>
              </w:numPr>
              <w:spacing w:line="360" w:lineRule="auto"/>
              <w:ind w:left="1166"/>
              <w:contextualSpacing/>
              <w:rPr>
                <w:rFonts w:ascii="Arial" w:eastAsia="Times New Roman" w:hAnsi="Arial" w:cs="Arial"/>
                <w:sz w:val="24"/>
                <w:szCs w:val="36"/>
                <w:lang w:eastAsia="en-GB"/>
              </w:rPr>
            </w:pPr>
            <w:r w:rsidRPr="0071546E">
              <w:rPr>
                <w:rFonts w:ascii="Arial" w:eastAsia="Times New Roman" w:hAnsi="Arial" w:cs="Arial"/>
                <w:color w:val="000000" w:themeColor="text1"/>
                <w:kern w:val="24"/>
                <w:sz w:val="24"/>
                <w:szCs w:val="24"/>
                <w:lang w:eastAsia="en-GB"/>
              </w:rPr>
              <w:t>Should have minimal or no toxicity in the absence of light.</w:t>
            </w:r>
          </w:p>
          <w:p w:rsidR="00CB57AC" w:rsidRPr="0071546E" w:rsidRDefault="00CB57AC" w:rsidP="00CB57AC">
            <w:pPr>
              <w:numPr>
                <w:ilvl w:val="0"/>
                <w:numId w:val="9"/>
              </w:numPr>
              <w:spacing w:line="360" w:lineRule="auto"/>
              <w:ind w:left="1166"/>
              <w:contextualSpacing/>
              <w:rPr>
                <w:rFonts w:ascii="Arial" w:eastAsia="Times New Roman" w:hAnsi="Arial" w:cs="Arial"/>
                <w:sz w:val="24"/>
                <w:szCs w:val="36"/>
                <w:lang w:eastAsia="en-GB"/>
              </w:rPr>
            </w:pPr>
            <w:r w:rsidRPr="0071546E">
              <w:rPr>
                <w:rFonts w:ascii="Arial" w:eastAsia="Times New Roman" w:hAnsi="Arial" w:cs="Arial"/>
                <w:color w:val="000000" w:themeColor="text1"/>
                <w:kern w:val="24"/>
                <w:sz w:val="24"/>
                <w:szCs w:val="24"/>
                <w:lang w:eastAsia="en-GB"/>
              </w:rPr>
              <w:t>Cytotoxic in the presence of the light of a specific wavelength</w:t>
            </w:r>
          </w:p>
          <w:p w:rsidR="00CB57AC" w:rsidRPr="0071546E" w:rsidRDefault="00CB57AC" w:rsidP="00CB57AC">
            <w:pPr>
              <w:numPr>
                <w:ilvl w:val="0"/>
                <w:numId w:val="9"/>
              </w:numPr>
              <w:spacing w:line="360" w:lineRule="auto"/>
              <w:ind w:left="1166"/>
              <w:contextualSpacing/>
              <w:rPr>
                <w:rFonts w:ascii="Arial" w:eastAsia="Times New Roman" w:hAnsi="Arial" w:cs="Arial"/>
                <w:sz w:val="24"/>
                <w:szCs w:val="36"/>
                <w:lang w:eastAsia="en-GB"/>
              </w:rPr>
            </w:pPr>
            <w:r w:rsidRPr="0071546E">
              <w:rPr>
                <w:rFonts w:ascii="Arial" w:eastAsia="Times New Roman" w:hAnsi="Arial" w:cs="Arial"/>
                <w:color w:val="000000" w:themeColor="text1"/>
                <w:kern w:val="24"/>
                <w:sz w:val="24"/>
                <w:szCs w:val="24"/>
                <w:lang w:eastAsia="en-GB"/>
              </w:rPr>
              <w:t>Should have non-toxic metabolites and minimal side effects</w:t>
            </w:r>
          </w:p>
        </w:tc>
      </w:tr>
      <w:tr w:rsidR="00CB57AC" w:rsidRPr="0071546E" w:rsidTr="00CB57AC">
        <w:trPr>
          <w:trHeight w:val="576"/>
        </w:trPr>
        <w:tc>
          <w:tcPr>
            <w:tcW w:w="3392"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val="en-US" w:eastAsia="en-GB"/>
              </w:rPr>
              <w:t>Absorption, distribution, metabolism and excretion (ADME)</w:t>
            </w:r>
          </w:p>
        </w:tc>
        <w:tc>
          <w:tcPr>
            <w:tcW w:w="6096"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Should have optimal ADME characteristics especially clearance from cells.</w:t>
            </w:r>
          </w:p>
        </w:tc>
      </w:tr>
      <w:tr w:rsidR="00CB57AC" w:rsidRPr="0071546E" w:rsidTr="00CB57AC">
        <w:trPr>
          <w:trHeight w:val="576"/>
        </w:trPr>
        <w:tc>
          <w:tcPr>
            <w:tcW w:w="3392"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Activation and wavelength</w:t>
            </w:r>
          </w:p>
        </w:tc>
        <w:tc>
          <w:tcPr>
            <w:tcW w:w="6096"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 xml:space="preserve">Should be activated in a photo-therapeutically window </w:t>
            </w:r>
          </w:p>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( 600- 850nm)</w:t>
            </w:r>
          </w:p>
        </w:tc>
      </w:tr>
      <w:tr w:rsidR="00CB57AC" w:rsidRPr="0071546E" w:rsidTr="00CB57AC">
        <w:trPr>
          <w:trHeight w:val="576"/>
        </w:trPr>
        <w:tc>
          <w:tcPr>
            <w:tcW w:w="3392"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Singlet oxygen quantum yield.</w:t>
            </w:r>
          </w:p>
        </w:tc>
        <w:tc>
          <w:tcPr>
            <w:tcW w:w="6096"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Should have a high singlet oxygen quantum yield (</w:t>
            </w:r>
            <w:r w:rsidRPr="0071546E">
              <w:rPr>
                <w:rFonts w:ascii="Arial" w:eastAsia="Times New Roman" w:hAnsi="Arial" w:cs="Arial"/>
                <w:color w:val="000000" w:themeColor="text1"/>
                <w:kern w:val="24"/>
                <w:sz w:val="24"/>
                <w:szCs w:val="24"/>
                <w:lang w:val="el-GR" w:eastAsia="en-GB"/>
              </w:rPr>
              <w:t>0.9</w:t>
            </w:r>
            <w:r w:rsidRPr="0071546E">
              <w:rPr>
                <w:rFonts w:ascii="Arial" w:eastAsia="Times New Roman" w:hAnsi="Arial" w:cs="Arial"/>
                <w:color w:val="000000" w:themeColor="text1"/>
                <w:kern w:val="24"/>
                <w:sz w:val="24"/>
                <w:szCs w:val="24"/>
                <w:lang w:eastAsia="en-GB"/>
              </w:rPr>
              <w:t>9</w:t>
            </w:r>
            <w:r w:rsidRPr="0071546E">
              <w:rPr>
                <w:rFonts w:ascii="Cambria Math" w:eastAsia="Times New Roman" w:hAnsi="Cambria Math" w:cs="Cambria Math"/>
                <w:color w:val="000000" w:themeColor="text1"/>
                <w:kern w:val="24"/>
                <w:sz w:val="24"/>
                <w:szCs w:val="24"/>
                <w:lang w:val="el-GR" w:eastAsia="en-GB"/>
              </w:rPr>
              <w:t>⪕</w:t>
            </w:r>
            <w:r w:rsidRPr="0071546E">
              <w:rPr>
                <w:rFonts w:ascii="Arial" w:eastAsia="Times New Roman" w:hAnsi="Arial" w:cs="Arial"/>
                <w:color w:val="000000" w:themeColor="text1"/>
                <w:kern w:val="24"/>
                <w:sz w:val="24"/>
                <w:szCs w:val="24"/>
                <w:lang w:val="el-GR" w:eastAsia="en-GB"/>
              </w:rPr>
              <w:t>ΦΔ</w:t>
            </w:r>
            <w:r w:rsidRPr="0071546E">
              <w:rPr>
                <w:rFonts w:ascii="Cambria Math" w:eastAsia="Times New Roman" w:hAnsi="Cambria Math" w:cs="Cambria Math"/>
                <w:color w:val="000000" w:themeColor="text1"/>
                <w:kern w:val="24"/>
                <w:sz w:val="24"/>
                <w:szCs w:val="24"/>
                <w:lang w:val="el-GR" w:eastAsia="en-GB"/>
              </w:rPr>
              <w:t>⪕</w:t>
            </w:r>
            <w:r w:rsidRPr="0071546E">
              <w:rPr>
                <w:rFonts w:ascii="Arial" w:eastAsia="Times New Roman" w:hAnsi="Arial" w:cs="Arial"/>
                <w:color w:val="000000" w:themeColor="text1"/>
                <w:kern w:val="24"/>
                <w:sz w:val="24"/>
                <w:szCs w:val="24"/>
                <w:lang w:val="el-GR" w:eastAsia="en-GB"/>
              </w:rPr>
              <w:t xml:space="preserve"> 1.00</w:t>
            </w:r>
            <w:r w:rsidRPr="0071546E">
              <w:rPr>
                <w:rFonts w:ascii="Arial" w:eastAsia="Times New Roman" w:hAnsi="Arial" w:cs="Arial"/>
                <w:color w:val="000000" w:themeColor="text1"/>
                <w:kern w:val="24"/>
                <w:sz w:val="24"/>
                <w:szCs w:val="24"/>
                <w:lang w:eastAsia="en-GB"/>
              </w:rPr>
              <w:t>)</w:t>
            </w:r>
          </w:p>
        </w:tc>
      </w:tr>
      <w:tr w:rsidR="00CB57AC" w:rsidRPr="0071546E" w:rsidTr="00CB57AC">
        <w:trPr>
          <w:trHeight w:val="576"/>
        </w:trPr>
        <w:tc>
          <w:tcPr>
            <w:tcW w:w="3392"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 xml:space="preserve">Cost and availability </w:t>
            </w:r>
          </w:p>
        </w:tc>
        <w:tc>
          <w:tcPr>
            <w:tcW w:w="6096"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val="en-US" w:eastAsia="en-GB"/>
              </w:rPr>
              <w:t>Low-cost</w:t>
            </w:r>
            <w:r w:rsidRPr="0071546E">
              <w:rPr>
                <w:rFonts w:ascii="Arial" w:eastAsia="Times New Roman" w:hAnsi="Arial" w:cs="Arial"/>
                <w:color w:val="000000" w:themeColor="text1"/>
                <w:kern w:val="24"/>
                <w:sz w:val="24"/>
                <w:szCs w:val="24"/>
                <w:lang w:val="en-US" w:eastAsia="en-GB"/>
              </w:rPr>
              <w:br/>
              <w:t>Commercially obtainable to allow extensive utilization</w:t>
            </w:r>
          </w:p>
        </w:tc>
      </w:tr>
      <w:tr w:rsidR="00CB57AC" w:rsidRPr="0071546E" w:rsidTr="00CB57AC">
        <w:trPr>
          <w:trHeight w:val="576"/>
        </w:trPr>
        <w:tc>
          <w:tcPr>
            <w:tcW w:w="3392"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Selectivity</w:t>
            </w:r>
          </w:p>
        </w:tc>
        <w:tc>
          <w:tcPr>
            <w:tcW w:w="6096" w:type="dxa"/>
            <w:hideMark/>
          </w:tcPr>
          <w:p w:rsidR="00CB57AC" w:rsidRPr="0071546E" w:rsidRDefault="00CB57AC" w:rsidP="00CB57AC">
            <w:pPr>
              <w:numPr>
                <w:ilvl w:val="0"/>
                <w:numId w:val="10"/>
              </w:numPr>
              <w:spacing w:line="360" w:lineRule="auto"/>
              <w:ind w:left="994"/>
              <w:contextualSpacing/>
              <w:rPr>
                <w:rFonts w:ascii="Arial" w:eastAsia="Times New Roman" w:hAnsi="Arial" w:cs="Arial"/>
                <w:sz w:val="24"/>
                <w:szCs w:val="36"/>
                <w:lang w:eastAsia="en-GB"/>
              </w:rPr>
            </w:pPr>
            <w:r w:rsidRPr="0071546E">
              <w:rPr>
                <w:rFonts w:ascii="Arial" w:eastAsia="Times New Roman" w:hAnsi="Arial" w:cs="Arial"/>
                <w:color w:val="000000" w:themeColor="text1"/>
                <w:kern w:val="24"/>
                <w:sz w:val="24"/>
                <w:szCs w:val="24"/>
                <w:lang w:val="en-US" w:eastAsia="en-GB"/>
              </w:rPr>
              <w:t>Good tumour/target cell/healthy tissue localization ratio</w:t>
            </w:r>
          </w:p>
          <w:p w:rsidR="00CB57AC" w:rsidRPr="0071546E" w:rsidRDefault="00CB57AC" w:rsidP="00CB57AC">
            <w:pPr>
              <w:numPr>
                <w:ilvl w:val="0"/>
                <w:numId w:val="10"/>
              </w:numPr>
              <w:spacing w:line="360" w:lineRule="auto"/>
              <w:ind w:left="994"/>
              <w:contextualSpacing/>
              <w:rPr>
                <w:rFonts w:ascii="Arial" w:eastAsia="Times New Roman" w:hAnsi="Arial" w:cs="Arial"/>
                <w:sz w:val="24"/>
                <w:szCs w:val="36"/>
                <w:lang w:eastAsia="en-GB"/>
              </w:rPr>
            </w:pPr>
            <w:r w:rsidRPr="0071546E">
              <w:rPr>
                <w:rFonts w:ascii="Arial" w:eastAsia="Times New Roman" w:hAnsi="Arial" w:cs="Arial"/>
                <w:color w:val="000000" w:themeColor="text1"/>
                <w:kern w:val="24"/>
                <w:sz w:val="24"/>
                <w:szCs w:val="24"/>
                <w:lang w:val="en-US" w:eastAsia="en-GB"/>
              </w:rPr>
              <w:t>Favourable subcellular localization to induce an apoptotic rather than a necrotic pathway to cell death.</w:t>
            </w:r>
          </w:p>
        </w:tc>
      </w:tr>
      <w:tr w:rsidR="00CB57AC" w:rsidRPr="0071546E" w:rsidTr="00CB57AC">
        <w:trPr>
          <w:trHeight w:val="669"/>
        </w:trPr>
        <w:tc>
          <w:tcPr>
            <w:tcW w:w="3392"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Mutagenicity/Carcinogenicity</w:t>
            </w:r>
          </w:p>
        </w:tc>
        <w:tc>
          <w:tcPr>
            <w:tcW w:w="6096"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Must be non-carcinogenic or mutagenic</w:t>
            </w:r>
          </w:p>
        </w:tc>
      </w:tr>
      <w:tr w:rsidR="00CB57AC" w:rsidRPr="0071546E" w:rsidTr="00CB57AC">
        <w:trPr>
          <w:trHeight w:val="576"/>
        </w:trPr>
        <w:tc>
          <w:tcPr>
            <w:tcW w:w="3392"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carriers</w:t>
            </w:r>
          </w:p>
        </w:tc>
        <w:tc>
          <w:tcPr>
            <w:tcW w:w="6096"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Can be formulated with different conveyors and carriers.</w:t>
            </w:r>
          </w:p>
        </w:tc>
      </w:tr>
      <w:tr w:rsidR="00CB57AC" w:rsidRPr="0071546E" w:rsidTr="00CB57AC">
        <w:trPr>
          <w:trHeight w:val="576"/>
        </w:trPr>
        <w:tc>
          <w:tcPr>
            <w:tcW w:w="3392"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Upgradable chemical structures</w:t>
            </w:r>
          </w:p>
        </w:tc>
        <w:tc>
          <w:tcPr>
            <w:tcW w:w="6096" w:type="dxa"/>
            <w:hideMark/>
          </w:tcPr>
          <w:p w:rsidR="00CB57AC" w:rsidRPr="0071546E" w:rsidRDefault="00CB57AC" w:rsidP="00CB57AC">
            <w:pPr>
              <w:spacing w:line="360" w:lineRule="auto"/>
              <w:rPr>
                <w:rFonts w:ascii="Arial" w:eastAsia="Times New Roman" w:hAnsi="Arial" w:cs="Arial"/>
                <w:sz w:val="36"/>
                <w:szCs w:val="36"/>
                <w:lang w:eastAsia="en-GB"/>
              </w:rPr>
            </w:pPr>
            <w:r w:rsidRPr="0071546E">
              <w:rPr>
                <w:rFonts w:ascii="Arial" w:eastAsia="Times New Roman" w:hAnsi="Arial" w:cs="Arial"/>
                <w:color w:val="000000" w:themeColor="text1"/>
                <w:kern w:val="24"/>
                <w:sz w:val="24"/>
                <w:szCs w:val="24"/>
                <w:lang w:eastAsia="en-GB"/>
              </w:rPr>
              <w:t>The structure should be adaptable to synthesis to get desired chemical/ physical properties</w:t>
            </w:r>
          </w:p>
        </w:tc>
      </w:tr>
    </w:tbl>
    <w:p w:rsidR="00CB57AC" w:rsidRPr="0071546E" w:rsidRDefault="00CB57AC" w:rsidP="00CB57AC">
      <w:pPr>
        <w:pStyle w:val="Heading2"/>
        <w:ind w:right="454"/>
        <w:rPr>
          <w:b w:val="0"/>
          <w:bCs/>
        </w:rPr>
      </w:pPr>
      <w:r w:rsidRPr="0071546E">
        <w:rPr>
          <w:b w:val="0"/>
          <w:bCs/>
        </w:rPr>
        <w:t>Table 2: Required features for an efficient photosensitiser</w:t>
      </w:r>
    </w:p>
    <w:p w:rsidR="00CB57AC" w:rsidRPr="0071546E" w:rsidRDefault="00CB57AC" w:rsidP="00CB57AC">
      <w:pPr>
        <w:rPr>
          <w:lang w:eastAsia="en-GB"/>
        </w:rPr>
      </w:pPr>
    </w:p>
    <w:p w:rsidR="00C84123" w:rsidRPr="0071546E" w:rsidRDefault="00C84123" w:rsidP="00CB57AC">
      <w:pPr>
        <w:rPr>
          <w:lang w:eastAsia="en-GB"/>
        </w:rPr>
      </w:pPr>
    </w:p>
    <w:p w:rsidR="00C84123" w:rsidRPr="0071546E" w:rsidRDefault="00C84123" w:rsidP="00CB57AC">
      <w:pPr>
        <w:rPr>
          <w:lang w:eastAsia="en-GB"/>
        </w:rPr>
      </w:pPr>
    </w:p>
    <w:p w:rsidR="00C84123" w:rsidRPr="0071546E" w:rsidRDefault="00C84123" w:rsidP="00CB57AC">
      <w:pPr>
        <w:rPr>
          <w:lang w:eastAsia="en-GB"/>
        </w:rPr>
      </w:pPr>
    </w:p>
    <w:p w:rsidR="00C84123" w:rsidRPr="0071546E" w:rsidRDefault="00C84123" w:rsidP="00C84123">
      <w:pPr>
        <w:rPr>
          <w:lang w:eastAsia="en-GB"/>
        </w:rPr>
      </w:pPr>
      <w:r w:rsidRPr="0071546E">
        <w:rPr>
          <w:lang w:eastAsia="en-GB"/>
        </w:rPr>
        <w:t xml:space="preserve">                  </w:t>
      </w:r>
      <w:r w:rsidRPr="0071546E">
        <w:rPr>
          <w:noProof/>
          <w:lang w:eastAsia="en-GB"/>
        </w:rPr>
        <w:drawing>
          <wp:inline distT="0" distB="0" distL="0" distR="0" wp14:anchorId="0ACB15B1" wp14:editId="2C0BEA97">
            <wp:extent cx="5024176" cy="3877072"/>
            <wp:effectExtent l="0" t="0" r="508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70397" cy="3912740"/>
                    </a:xfrm>
                    <a:prstGeom prst="rect">
                      <a:avLst/>
                    </a:prstGeom>
                  </pic:spPr>
                </pic:pic>
              </a:graphicData>
            </a:graphic>
          </wp:inline>
        </w:drawing>
      </w:r>
    </w:p>
    <w:p w:rsidR="00C84123" w:rsidRPr="0071546E" w:rsidRDefault="00C84123" w:rsidP="00C84123">
      <w:pPr>
        <w:jc w:val="both"/>
        <w:rPr>
          <w:lang w:eastAsia="en-GB"/>
        </w:rPr>
      </w:pPr>
      <w:r w:rsidRPr="0071546E">
        <w:rPr>
          <w:lang w:eastAsia="en-GB"/>
        </w:rPr>
        <w:t xml:space="preserve">                 Fig 1.11 Penetration of different spectrum of light through the human skin. (Barolet, 2008)</w:t>
      </w:r>
    </w:p>
    <w:p w:rsidR="00C84123" w:rsidRPr="0071546E" w:rsidRDefault="00C84123" w:rsidP="00CB57AC">
      <w:pPr>
        <w:rPr>
          <w:lang w:eastAsia="en-GB"/>
        </w:rPr>
      </w:pPr>
      <w:r w:rsidRPr="0071546E">
        <w:rPr>
          <w:lang w:eastAsia="en-GB"/>
        </w:rPr>
        <w:t xml:space="preserve">              </w:t>
      </w:r>
    </w:p>
    <w:p w:rsidR="00C84123" w:rsidRPr="0071546E" w:rsidRDefault="00C84123" w:rsidP="00CB57AC">
      <w:pPr>
        <w:rPr>
          <w:lang w:eastAsia="en-GB"/>
        </w:rPr>
      </w:pPr>
    </w:p>
    <w:p w:rsidR="00725033" w:rsidRPr="0071546E" w:rsidRDefault="00725033" w:rsidP="00CF13FE">
      <w:pPr>
        <w:pStyle w:val="Heading2"/>
        <w:ind w:left="1021" w:right="454"/>
      </w:pPr>
      <w:r w:rsidRPr="0071546E">
        <w:t>1.5.2 Phenothiazinium derivatives</w:t>
      </w:r>
      <w:bookmarkEnd w:id="29"/>
    </w:p>
    <w:p w:rsidR="00725033" w:rsidRPr="0071546E" w:rsidRDefault="00725033"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color w:val="000000" w:themeColor="text1"/>
          <w:sz w:val="24"/>
          <w:szCs w:val="24"/>
          <w:lang w:eastAsia="en-GB"/>
        </w:rPr>
        <w:t xml:space="preserve">Methylene blue the </w:t>
      </w:r>
      <w:r w:rsidR="004A57D4" w:rsidRPr="0071546E">
        <w:rPr>
          <w:rFonts w:ascii="Arial" w:eastAsia="Times New Roman" w:hAnsi="Arial" w:cs="Arial"/>
          <w:color w:val="000000" w:themeColor="text1"/>
          <w:sz w:val="24"/>
          <w:szCs w:val="24"/>
          <w:lang w:eastAsia="en-GB"/>
        </w:rPr>
        <w:t>first</w:t>
      </w:r>
      <w:r w:rsidRPr="0071546E">
        <w:rPr>
          <w:rFonts w:ascii="Arial" w:eastAsia="Times New Roman" w:hAnsi="Arial" w:cs="Arial"/>
          <w:color w:val="000000" w:themeColor="text1"/>
          <w:sz w:val="24"/>
          <w:szCs w:val="24"/>
          <w:lang w:eastAsia="en-GB"/>
        </w:rPr>
        <w:t xml:space="preserve"> phenothiazinium dye- whose synthesis blueprint was patented by Heinrich Caro in </w:t>
      </w:r>
      <w:r w:rsidR="00AA5453" w:rsidRPr="0071546E">
        <w:rPr>
          <w:rFonts w:ascii="Arial" w:eastAsia="Times New Roman" w:hAnsi="Arial" w:cs="Arial"/>
          <w:color w:val="000000" w:themeColor="text1"/>
          <w:sz w:val="24"/>
          <w:szCs w:val="24"/>
          <w:lang w:eastAsia="en-GB"/>
        </w:rPr>
        <w:t>the 1870s</w:t>
      </w:r>
      <w:r w:rsidRPr="0071546E">
        <w:rPr>
          <w:rFonts w:ascii="Arial" w:eastAsia="Times New Roman" w:hAnsi="Arial" w:cs="Arial"/>
          <w:color w:val="000000" w:themeColor="text1"/>
          <w:sz w:val="24"/>
          <w:szCs w:val="24"/>
          <w:lang w:eastAsia="en-GB"/>
        </w:rPr>
        <w:t>. In addition to its use as anti-malarial and antipsychotic agents, phenothiazinium derivatives were also used as potent PS due to its strong absorption in the red spectra</w:t>
      </w:r>
      <w:r w:rsidR="004A57D4" w:rsidRPr="0071546E">
        <w:rPr>
          <w:rFonts w:ascii="Arial" w:eastAsia="Times New Roman" w:hAnsi="Arial" w:cs="Arial"/>
          <w:color w:val="000000" w:themeColor="text1"/>
          <w:sz w:val="24"/>
          <w:szCs w:val="24"/>
          <w:lang w:eastAsia="en-GB"/>
        </w:rPr>
        <w:t>l</w:t>
      </w:r>
      <w:r w:rsidRPr="0071546E">
        <w:rPr>
          <w:rFonts w:ascii="Arial" w:eastAsia="Times New Roman" w:hAnsi="Arial" w:cs="Arial"/>
          <w:color w:val="000000" w:themeColor="text1"/>
          <w:sz w:val="24"/>
          <w:szCs w:val="24"/>
          <w:lang w:eastAsia="en-GB"/>
        </w:rPr>
        <w:t xml:space="preserve"> region (Felgentrager et </w:t>
      </w:r>
      <w:r w:rsidR="00031AF9" w:rsidRPr="0071546E">
        <w:rPr>
          <w:rFonts w:ascii="Arial" w:eastAsia="Times New Roman" w:hAnsi="Arial" w:cs="Arial"/>
          <w:color w:val="000000" w:themeColor="text1"/>
          <w:sz w:val="24"/>
          <w:szCs w:val="24"/>
          <w:lang w:eastAsia="en-GB"/>
        </w:rPr>
        <w:t>al.</w:t>
      </w:r>
      <w:r w:rsidRPr="0071546E">
        <w:rPr>
          <w:rFonts w:ascii="Arial" w:eastAsia="Times New Roman" w:hAnsi="Arial" w:cs="Arial"/>
          <w:color w:val="000000" w:themeColor="text1"/>
          <w:sz w:val="24"/>
          <w:szCs w:val="24"/>
          <w:lang w:eastAsia="en-GB"/>
        </w:rPr>
        <w:t xml:space="preserve">, 2013). </w:t>
      </w:r>
      <w:r w:rsidRPr="0071546E">
        <w:rPr>
          <w:rFonts w:ascii="Arial" w:eastAsia="Times New Roman" w:hAnsi="Arial" w:cs="Arial"/>
          <w:sz w:val="24"/>
          <w:szCs w:val="24"/>
          <w:lang w:eastAsia="en-GB"/>
        </w:rPr>
        <w:t>The series of phenothiazine (thionine, methylene blue,</w:t>
      </w:r>
      <w:r w:rsidR="00AA5453" w:rsidRPr="0071546E">
        <w:rPr>
          <w:rFonts w:ascii="Arial" w:eastAsia="Times New Roman" w:hAnsi="Arial" w:cs="Arial"/>
          <w:sz w:val="24"/>
          <w:szCs w:val="24"/>
          <w:lang w:eastAsia="en-GB"/>
        </w:rPr>
        <w:t xml:space="preserve"> azure A and B derivatives (Fig 1.11) positively</w:t>
      </w:r>
      <w:r w:rsidRPr="0071546E">
        <w:rPr>
          <w:rFonts w:ascii="Arial" w:eastAsia="Times New Roman" w:hAnsi="Arial" w:cs="Arial"/>
          <w:sz w:val="24"/>
          <w:szCs w:val="24"/>
          <w:lang w:eastAsia="en-GB"/>
        </w:rPr>
        <w:t xml:space="preserve"> charge</w:t>
      </w:r>
      <w:r w:rsidR="004A57D4" w:rsidRPr="0071546E">
        <w:rPr>
          <w:rFonts w:ascii="Arial" w:eastAsia="Times New Roman" w:hAnsi="Arial" w:cs="Arial"/>
          <w:sz w:val="24"/>
          <w:szCs w:val="24"/>
          <w:lang w:eastAsia="en-GB"/>
        </w:rPr>
        <w:t>d</w:t>
      </w:r>
      <w:r w:rsidRPr="0071546E">
        <w:rPr>
          <w:rFonts w:ascii="Arial" w:eastAsia="Times New Roman" w:hAnsi="Arial" w:cs="Arial"/>
          <w:sz w:val="24"/>
          <w:szCs w:val="24"/>
          <w:lang w:eastAsia="en-GB"/>
        </w:rPr>
        <w:t xml:space="preserve"> dyes and are commonly used as PS in PDT. The intersystem cross quantum yield and singlet oxygen generated during PDT with methylene blue MB </w:t>
      </w:r>
      <w:r w:rsidR="004A57D4" w:rsidRPr="0071546E">
        <w:rPr>
          <w:rFonts w:ascii="Arial" w:eastAsia="Times New Roman" w:hAnsi="Arial" w:cs="Arial"/>
          <w:sz w:val="24"/>
          <w:szCs w:val="24"/>
          <w:lang w:eastAsia="en-GB"/>
        </w:rPr>
        <w:t>are</w:t>
      </w:r>
      <w:r w:rsidRPr="0071546E">
        <w:rPr>
          <w:rFonts w:ascii="Arial" w:eastAsia="Times New Roman" w:hAnsi="Arial" w:cs="Arial"/>
          <w:sz w:val="24"/>
          <w:szCs w:val="24"/>
          <w:lang w:eastAsia="en-GB"/>
        </w:rPr>
        <w:t xml:space="preserve"> 0.52 (Schaefer, and Schmidt 1980), the triplet lifespan is higher; about 3.0</w:t>
      </w:r>
      <w:r w:rsidR="00583ACD"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µs, in air</w:t>
      </w:r>
      <w:r w:rsidR="00563D9A"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saturated solution and about 5.0 µs in aqueous solutions saturated by Nitrogen. The singlet-excited state exhibits a lesser life span of approximately 1400ps. Furthermore, MB and its derivatives used in photodynamic therapy as PS showed remarkable biocompatibility </w:t>
      </w:r>
      <w:r w:rsidRPr="0071546E">
        <w:rPr>
          <w:rFonts w:ascii="Arial" w:eastAsia="Times New Roman" w:hAnsi="Arial" w:cs="Arial"/>
          <w:i/>
          <w:sz w:val="24"/>
          <w:szCs w:val="24"/>
          <w:lang w:eastAsia="en-GB"/>
        </w:rPr>
        <w:t>in vitro</w:t>
      </w:r>
      <w:r w:rsidRPr="0071546E">
        <w:rPr>
          <w:rFonts w:ascii="Arial" w:eastAsia="Times New Roman" w:hAnsi="Arial" w:cs="Arial"/>
          <w:sz w:val="24"/>
          <w:szCs w:val="24"/>
          <w:lang w:eastAsia="en-GB"/>
        </w:rPr>
        <w:t xml:space="preserve"> to inhibit vital cell organelles</w:t>
      </w:r>
      <w:r w:rsidRPr="0071546E">
        <w:rPr>
          <w:rFonts w:ascii="Arial" w:hAnsi="Arial" w:cs="Arial"/>
          <w:color w:val="000000"/>
          <w:sz w:val="24"/>
          <w:szCs w:val="24"/>
        </w:rPr>
        <w:t xml:space="preserve"> </w:t>
      </w:r>
      <w:r w:rsidRPr="0071546E">
        <w:rPr>
          <w:rFonts w:ascii="Arial" w:eastAsia="Times New Roman" w:hAnsi="Arial" w:cs="Arial"/>
          <w:sz w:val="24"/>
          <w:szCs w:val="24"/>
          <w:lang w:eastAsia="en-GB"/>
        </w:rPr>
        <w:t>(Wainwright, 2007). Numerous studies have shown the efficacy of MD as a PS molecule. Fontana et al. ha</w:t>
      </w:r>
      <w:r w:rsidR="004A57D4" w:rsidRPr="0071546E">
        <w:rPr>
          <w:rFonts w:ascii="Arial" w:eastAsia="Times New Roman" w:hAnsi="Arial" w:cs="Arial"/>
          <w:sz w:val="24"/>
          <w:szCs w:val="24"/>
          <w:lang w:eastAsia="en-GB"/>
        </w:rPr>
        <w:t>ve</w:t>
      </w:r>
      <w:r w:rsidRPr="0071546E">
        <w:rPr>
          <w:rFonts w:ascii="Arial" w:eastAsia="Times New Roman" w:hAnsi="Arial" w:cs="Arial"/>
          <w:sz w:val="24"/>
          <w:szCs w:val="24"/>
          <w:lang w:eastAsia="en-GB"/>
        </w:rPr>
        <w:t xml:space="preserve"> reported its efficacy on </w:t>
      </w:r>
      <w:r w:rsidRPr="0071546E">
        <w:rPr>
          <w:rFonts w:ascii="Arial" w:eastAsia="Times New Roman" w:hAnsi="Arial" w:cs="Arial"/>
          <w:i/>
          <w:sz w:val="24"/>
          <w:szCs w:val="24"/>
          <w:lang w:eastAsia="en-GB"/>
        </w:rPr>
        <w:t>ex vivo</w:t>
      </w:r>
      <w:r w:rsidRPr="0071546E">
        <w:rPr>
          <w:rFonts w:ascii="Arial" w:eastAsia="Times New Roman" w:hAnsi="Arial" w:cs="Arial"/>
          <w:sz w:val="24"/>
          <w:szCs w:val="24"/>
          <w:lang w:eastAsia="en-GB"/>
        </w:rPr>
        <w:t xml:space="preserve"> polymicrobial biofilms sampled from patients with chronic periodontitis. After </w:t>
      </w:r>
      <w:r w:rsidR="001F7EA9" w:rsidRPr="0071546E">
        <w:rPr>
          <w:rFonts w:ascii="Arial" w:eastAsia="Times New Roman" w:hAnsi="Arial" w:cs="Arial"/>
          <w:sz w:val="24"/>
          <w:szCs w:val="24"/>
          <w:lang w:eastAsia="en-GB"/>
        </w:rPr>
        <w:t>7-day</w:t>
      </w:r>
      <w:r w:rsidRPr="0071546E">
        <w:rPr>
          <w:rFonts w:ascii="Arial" w:eastAsia="Times New Roman" w:hAnsi="Arial" w:cs="Arial"/>
          <w:sz w:val="24"/>
          <w:szCs w:val="24"/>
          <w:lang w:eastAsia="en-GB"/>
        </w:rPr>
        <w:t xml:space="preserve"> cultivation</w:t>
      </w:r>
      <w:r w:rsidR="004A57D4"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 the biofilms were incubated with MB in concentrations of 25</w:t>
      </w:r>
      <w:r w:rsidR="00DA678A"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µg or 50 µg for 5mins and irradiated using a diode laser delivering energy of about 30</w:t>
      </w:r>
      <w:r w:rsidR="009B72CC"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j/cm</w:t>
      </w:r>
      <w:r w:rsidRPr="0071546E">
        <w:rPr>
          <w:rFonts w:ascii="Arial" w:eastAsia="Times New Roman" w:hAnsi="Arial" w:cs="Arial"/>
          <w:sz w:val="24"/>
          <w:szCs w:val="24"/>
          <w:vertAlign w:val="superscript"/>
          <w:lang w:eastAsia="en-GB"/>
        </w:rPr>
        <w:t>2</w:t>
      </w:r>
      <w:r w:rsidRPr="0071546E">
        <w:rPr>
          <w:rFonts w:ascii="Arial" w:eastAsia="Times New Roman" w:hAnsi="Arial" w:cs="Arial"/>
          <w:sz w:val="24"/>
          <w:szCs w:val="24"/>
          <w:lang w:eastAsia="en-GB"/>
        </w:rPr>
        <w:t>, which resulted in a 32% CFU only. The authors</w:t>
      </w:r>
      <w:r w:rsidR="004A57D4" w:rsidRPr="0071546E">
        <w:rPr>
          <w:rFonts w:ascii="Arial" w:eastAsia="Times New Roman" w:hAnsi="Arial" w:cs="Arial"/>
          <w:sz w:val="24"/>
          <w:szCs w:val="24"/>
          <w:lang w:eastAsia="en-GB"/>
        </w:rPr>
        <w:t>, however,</w:t>
      </w:r>
      <w:r w:rsidRPr="0071546E">
        <w:rPr>
          <w:rFonts w:ascii="Arial" w:eastAsia="Times New Roman" w:hAnsi="Arial" w:cs="Arial"/>
          <w:sz w:val="24"/>
          <w:szCs w:val="24"/>
          <w:lang w:eastAsia="en-GB"/>
        </w:rPr>
        <w:t xml:space="preserve"> concluded that optimised delivery and targeting approaches could enhance efficacy. In a similar study, Rossoni et al. (2014) after incubating two different serotype (A and B) of </w:t>
      </w:r>
      <w:r w:rsidRPr="0071546E">
        <w:rPr>
          <w:rFonts w:ascii="Arial" w:eastAsia="Times New Roman" w:hAnsi="Arial" w:cs="Arial"/>
          <w:i/>
          <w:sz w:val="24"/>
          <w:szCs w:val="24"/>
          <w:lang w:eastAsia="en-GB"/>
        </w:rPr>
        <w:t>Candida albicans</w:t>
      </w:r>
      <w:r w:rsidRPr="0071546E">
        <w:rPr>
          <w:rFonts w:ascii="Arial" w:eastAsia="Times New Roman" w:hAnsi="Arial" w:cs="Arial"/>
          <w:sz w:val="24"/>
          <w:szCs w:val="24"/>
          <w:lang w:eastAsia="en-GB"/>
        </w:rPr>
        <w:t xml:space="preserve"> with 300</w:t>
      </w:r>
      <w:r w:rsidR="00DA678A"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µM MB and delivering a total energy of 26.3</w:t>
      </w:r>
      <w:r w:rsidR="00DA678A"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j/cm</w:t>
      </w:r>
      <w:r w:rsidRPr="0071546E">
        <w:rPr>
          <w:rFonts w:ascii="Arial" w:eastAsia="Times New Roman" w:hAnsi="Arial" w:cs="Arial"/>
          <w:sz w:val="24"/>
          <w:szCs w:val="24"/>
          <w:vertAlign w:val="superscript"/>
          <w:lang w:eastAsia="en-GB"/>
        </w:rPr>
        <w:t>2</w:t>
      </w:r>
      <w:r w:rsidRPr="0071546E">
        <w:rPr>
          <w:rFonts w:ascii="Arial" w:eastAsia="Times New Roman" w:hAnsi="Arial" w:cs="Arial"/>
          <w:sz w:val="24"/>
          <w:szCs w:val="24"/>
          <w:lang w:eastAsia="en-GB"/>
        </w:rPr>
        <w:t xml:space="preserve"> using a gallium aluminium-arsenide laser, resulted in inhibition of less than 1 log</w:t>
      </w:r>
      <w:r w:rsidRPr="0071546E">
        <w:rPr>
          <w:rFonts w:ascii="Arial" w:eastAsia="Times New Roman" w:hAnsi="Arial" w:cs="Arial"/>
          <w:sz w:val="24"/>
          <w:szCs w:val="24"/>
          <w:vertAlign w:val="subscript"/>
          <w:lang w:eastAsia="en-GB"/>
        </w:rPr>
        <w:t>10</w:t>
      </w:r>
      <w:r w:rsidRPr="0071546E">
        <w:rPr>
          <w:rFonts w:ascii="Arial" w:eastAsia="Times New Roman" w:hAnsi="Arial" w:cs="Arial"/>
          <w:sz w:val="24"/>
          <w:szCs w:val="24"/>
          <w:lang w:eastAsia="en-GB"/>
        </w:rPr>
        <w:t xml:space="preserve"> for serotype A and about 2 log</w:t>
      </w:r>
      <w:r w:rsidRPr="0071546E">
        <w:rPr>
          <w:rFonts w:ascii="Arial" w:eastAsia="Times New Roman" w:hAnsi="Arial" w:cs="Arial"/>
          <w:sz w:val="24"/>
          <w:szCs w:val="24"/>
          <w:vertAlign w:val="subscript"/>
          <w:lang w:eastAsia="en-GB"/>
        </w:rPr>
        <w:t>10</w:t>
      </w:r>
      <w:r w:rsidRPr="0071546E">
        <w:rPr>
          <w:rFonts w:ascii="Arial" w:eastAsia="Times New Roman" w:hAnsi="Arial" w:cs="Arial"/>
          <w:sz w:val="24"/>
          <w:szCs w:val="24"/>
          <w:lang w:eastAsia="en-GB"/>
        </w:rPr>
        <w:t xml:space="preserve"> for the serotype B. </w:t>
      </w:r>
    </w:p>
    <w:p w:rsidR="00957515" w:rsidRPr="0071546E" w:rsidRDefault="00725033" w:rsidP="009B72CC">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The authors described that the difference inactivation rate in serotype A and B is because of morphological variation in their cell wall structure. Rossoni et al. further explained that difference in sensitivity of A and B serotypes may be due to ultrastructural differences in their EPS composition (Rossoni et al., 2014). Using toluidine blue (TBO) as a PS a group of Brazilian scientists carried out a number of studies (Zanin et al., 2005, 2006; Teixeira et al., 2012). In their studies</w:t>
      </w:r>
      <w:r w:rsidR="004A57D4" w:rsidRPr="0071546E">
        <w:rPr>
          <w:rFonts w:ascii="Arial" w:eastAsia="Times New Roman" w:hAnsi="Arial" w:cs="Arial"/>
          <w:sz w:val="24"/>
          <w:szCs w:val="24"/>
          <w:lang w:eastAsia="en-GB"/>
        </w:rPr>
        <w:t>,</w:t>
      </w:r>
      <w:r w:rsidR="00031AF9" w:rsidRPr="0071546E">
        <w:rPr>
          <w:rFonts w:ascii="Arial" w:eastAsia="Times New Roman" w:hAnsi="Arial" w:cs="Arial"/>
          <w:sz w:val="24"/>
          <w:szCs w:val="24"/>
          <w:lang w:eastAsia="en-GB"/>
        </w:rPr>
        <w:t xml:space="preserve"> they examined</w:t>
      </w:r>
      <w:r w:rsidRPr="0071546E">
        <w:rPr>
          <w:rFonts w:ascii="Arial" w:eastAsia="Times New Roman" w:hAnsi="Arial" w:cs="Arial"/>
          <w:sz w:val="24"/>
          <w:szCs w:val="24"/>
          <w:lang w:eastAsia="en-GB"/>
        </w:rPr>
        <w:t xml:space="preserve"> antimicrobial efficacy of using TBO in combination with either a helium </w:t>
      </w:r>
      <w:r w:rsidR="001F7EA9" w:rsidRPr="0071546E">
        <w:rPr>
          <w:rFonts w:ascii="Arial" w:eastAsia="Times New Roman" w:hAnsi="Arial" w:cs="Arial"/>
          <w:sz w:val="24"/>
          <w:szCs w:val="24"/>
          <w:lang w:eastAsia="en-GB"/>
        </w:rPr>
        <w:t>or a neon</w:t>
      </w:r>
      <w:r w:rsidRPr="0071546E">
        <w:rPr>
          <w:rFonts w:ascii="Arial" w:eastAsia="Times New Roman" w:hAnsi="Arial" w:cs="Arial"/>
          <w:sz w:val="24"/>
          <w:szCs w:val="24"/>
          <w:lang w:eastAsia="en-GB"/>
        </w:rPr>
        <w:t xml:space="preserve"> gas laser (32</w:t>
      </w:r>
      <w:r w:rsidR="003523A3"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mW; 632.8</w:t>
      </w:r>
      <w:r w:rsidR="003523A3"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nm) or a led emitting dio</w:t>
      </w:r>
      <w:r w:rsidR="004A57D4" w:rsidRPr="0071546E">
        <w:rPr>
          <w:rFonts w:ascii="Arial" w:eastAsia="Times New Roman" w:hAnsi="Arial" w:cs="Arial"/>
          <w:sz w:val="24"/>
          <w:szCs w:val="24"/>
          <w:lang w:eastAsia="en-GB"/>
        </w:rPr>
        <w:t>d</w:t>
      </w:r>
      <w:r w:rsidRPr="0071546E">
        <w:rPr>
          <w:rFonts w:ascii="Arial" w:eastAsia="Times New Roman" w:hAnsi="Arial" w:cs="Arial"/>
          <w:sz w:val="24"/>
          <w:szCs w:val="24"/>
          <w:lang w:eastAsia="en-GB"/>
        </w:rPr>
        <w:t>e (LED; 32</w:t>
      </w:r>
      <w:r w:rsidR="00DA678A" w:rsidRPr="0071546E">
        <w:rPr>
          <w:rFonts w:ascii="Arial" w:eastAsia="Times New Roman" w:hAnsi="Arial" w:cs="Arial"/>
          <w:sz w:val="24"/>
          <w:szCs w:val="24"/>
          <w:lang w:eastAsia="en-GB"/>
        </w:rPr>
        <w:t xml:space="preserve"> </w:t>
      </w:r>
      <w:r w:rsidR="004A57D4" w:rsidRPr="0071546E">
        <w:rPr>
          <w:rFonts w:ascii="Arial" w:eastAsia="Times New Roman" w:hAnsi="Arial" w:cs="Arial"/>
          <w:sz w:val="24"/>
          <w:szCs w:val="24"/>
          <w:lang w:eastAsia="en-GB"/>
        </w:rPr>
        <w:t>MW</w:t>
      </w:r>
      <w:r w:rsidRPr="0071546E">
        <w:rPr>
          <w:rFonts w:ascii="Arial" w:eastAsia="Times New Roman" w:hAnsi="Arial" w:cs="Arial"/>
          <w:sz w:val="24"/>
          <w:szCs w:val="24"/>
          <w:lang w:eastAsia="en-GB"/>
        </w:rPr>
        <w:t>; 620-660</w:t>
      </w:r>
      <w:r w:rsidR="00DA678A"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 xml:space="preserve">nm) on </w:t>
      </w:r>
      <w:r w:rsidRPr="0071546E">
        <w:rPr>
          <w:rFonts w:ascii="Arial" w:eastAsia="Times New Roman" w:hAnsi="Arial" w:cs="Arial"/>
          <w:i/>
          <w:sz w:val="24"/>
          <w:szCs w:val="24"/>
          <w:lang w:eastAsia="en-GB"/>
        </w:rPr>
        <w:t>Staphylococcus mutans</w:t>
      </w:r>
      <w:r w:rsidRPr="0071546E">
        <w:rPr>
          <w:rFonts w:ascii="Arial" w:eastAsia="Times New Roman" w:hAnsi="Arial" w:cs="Arial"/>
          <w:sz w:val="24"/>
          <w:szCs w:val="24"/>
          <w:lang w:eastAsia="en-GB"/>
        </w:rPr>
        <w:t xml:space="preserve"> biofilms. </w:t>
      </w:r>
      <w:r w:rsidRPr="0071546E">
        <w:rPr>
          <w:rFonts w:ascii="Arial" w:eastAsia="Times New Roman" w:hAnsi="Arial" w:cs="Arial"/>
          <w:i/>
          <w:sz w:val="24"/>
          <w:szCs w:val="24"/>
          <w:lang w:eastAsia="en-GB"/>
        </w:rPr>
        <w:t>S. mutans</w:t>
      </w:r>
      <w:r w:rsidRPr="0071546E">
        <w:rPr>
          <w:rFonts w:ascii="Arial" w:eastAsia="Times New Roman" w:hAnsi="Arial" w:cs="Arial"/>
          <w:sz w:val="24"/>
          <w:szCs w:val="24"/>
          <w:lang w:eastAsia="en-GB"/>
        </w:rPr>
        <w:t xml:space="preserve"> biofilm was incubated with 100mg/l of TBO for 5mins and irradiated at different time intervals delivering a light dose of 49, 147, or 294 j/cm</w:t>
      </w:r>
      <w:r w:rsidRPr="0071546E">
        <w:rPr>
          <w:rFonts w:ascii="Arial" w:eastAsia="Times New Roman" w:hAnsi="Arial" w:cs="Arial"/>
          <w:sz w:val="24"/>
          <w:szCs w:val="24"/>
          <w:vertAlign w:val="superscript"/>
          <w:lang w:eastAsia="en-GB"/>
        </w:rPr>
        <w:t>2</w:t>
      </w:r>
      <w:r w:rsidRPr="0071546E">
        <w:rPr>
          <w:rFonts w:ascii="Arial" w:eastAsia="Times New Roman" w:hAnsi="Arial" w:cs="Arial"/>
          <w:sz w:val="24"/>
          <w:szCs w:val="24"/>
          <w:lang w:eastAsia="en-GB"/>
        </w:rPr>
        <w:t>). This resulted in variations in susceptibility that is dependent on the light source and irradiation period (Zanin et al., 2005). Until date, the Phenothiazin</w:t>
      </w:r>
      <w:r w:rsidR="004A57D4" w:rsidRPr="0071546E">
        <w:rPr>
          <w:rFonts w:ascii="Arial" w:eastAsia="Times New Roman" w:hAnsi="Arial" w:cs="Arial"/>
          <w:sz w:val="24"/>
          <w:szCs w:val="24"/>
          <w:lang w:eastAsia="en-GB"/>
        </w:rPr>
        <w:t>iu</w:t>
      </w:r>
      <w:r w:rsidRPr="0071546E">
        <w:rPr>
          <w:rFonts w:ascii="Arial" w:eastAsia="Times New Roman" w:hAnsi="Arial" w:cs="Arial"/>
          <w:sz w:val="24"/>
          <w:szCs w:val="24"/>
          <w:lang w:eastAsia="en-GB"/>
        </w:rPr>
        <w:t>m derivatives are the studied dyes for biofilm inactivation (Voos et al., 2014).</w:t>
      </w:r>
    </w:p>
    <w:p w:rsidR="009B72CC" w:rsidRPr="0071546E" w:rsidRDefault="009B72CC" w:rsidP="009B72CC">
      <w:pPr>
        <w:spacing w:after="0" w:line="240" w:lineRule="auto"/>
        <w:ind w:left="1021" w:right="454"/>
        <w:jc w:val="both"/>
        <w:rPr>
          <w:rFonts w:ascii="Arial" w:eastAsia="Times New Roman" w:hAnsi="Arial" w:cs="Arial"/>
          <w:sz w:val="20"/>
          <w:szCs w:val="20"/>
          <w:lang w:eastAsia="en-GB"/>
        </w:rPr>
      </w:pPr>
      <w:r w:rsidRPr="0071546E">
        <w:rPr>
          <w:noProof/>
          <w:lang w:eastAsia="en-GB"/>
        </w:rPr>
        <w:drawing>
          <wp:inline distT="0" distB="0" distL="0" distR="0">
            <wp:extent cx="5496934" cy="2850401"/>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3878" cy="2988823"/>
                    </a:xfrm>
                    <a:prstGeom prst="rect">
                      <a:avLst/>
                    </a:prstGeom>
                    <a:noFill/>
                    <a:ln>
                      <a:noFill/>
                    </a:ln>
                  </pic:spPr>
                </pic:pic>
              </a:graphicData>
            </a:graphic>
          </wp:inline>
        </w:drawing>
      </w:r>
    </w:p>
    <w:p w:rsidR="009B72CC" w:rsidRPr="0071546E" w:rsidRDefault="009B72CC" w:rsidP="009B72CC">
      <w:pPr>
        <w:spacing w:after="0" w:line="240" w:lineRule="auto"/>
        <w:ind w:right="454"/>
        <w:jc w:val="both"/>
        <w:rPr>
          <w:rFonts w:ascii="Arial" w:eastAsia="Times New Roman" w:hAnsi="Arial" w:cs="Arial"/>
          <w:sz w:val="20"/>
          <w:szCs w:val="20"/>
          <w:lang w:eastAsia="en-GB"/>
        </w:rPr>
      </w:pPr>
    </w:p>
    <w:p w:rsidR="00962CFC" w:rsidRPr="0071546E" w:rsidRDefault="00725033" w:rsidP="009B72CC">
      <w:pPr>
        <w:spacing w:after="0" w:line="240" w:lineRule="auto"/>
        <w:ind w:left="1021" w:right="454"/>
        <w:jc w:val="both"/>
        <w:rPr>
          <w:rFonts w:ascii="Arial" w:eastAsia="Times New Roman" w:hAnsi="Arial" w:cs="Arial"/>
          <w:sz w:val="20"/>
          <w:szCs w:val="20"/>
          <w:lang w:eastAsia="en-GB"/>
        </w:rPr>
      </w:pPr>
      <w:r w:rsidRPr="0071546E">
        <w:rPr>
          <w:rFonts w:ascii="Arial" w:eastAsia="Times New Roman" w:hAnsi="Arial" w:cs="Arial"/>
          <w:sz w:val="20"/>
          <w:szCs w:val="20"/>
          <w:lang w:eastAsia="en-GB"/>
        </w:rPr>
        <w:t xml:space="preserve">Fig </w:t>
      </w:r>
      <w:r w:rsidR="00AA5453" w:rsidRPr="0071546E">
        <w:rPr>
          <w:rFonts w:ascii="Arial" w:eastAsia="Times New Roman" w:hAnsi="Arial" w:cs="Arial"/>
          <w:sz w:val="20"/>
          <w:szCs w:val="20"/>
          <w:lang w:eastAsia="en-GB"/>
        </w:rPr>
        <w:t>1.1</w:t>
      </w:r>
      <w:r w:rsidR="00C84123" w:rsidRPr="0071546E">
        <w:rPr>
          <w:rFonts w:ascii="Arial" w:eastAsia="Times New Roman" w:hAnsi="Arial" w:cs="Arial"/>
          <w:sz w:val="20"/>
          <w:szCs w:val="20"/>
          <w:lang w:eastAsia="en-GB"/>
        </w:rPr>
        <w:t>2</w:t>
      </w:r>
      <w:r w:rsidR="00AA5453" w:rsidRPr="0071546E">
        <w:rPr>
          <w:rFonts w:ascii="Arial" w:eastAsia="Times New Roman" w:hAnsi="Arial" w:cs="Arial"/>
          <w:sz w:val="20"/>
          <w:szCs w:val="20"/>
          <w:lang w:eastAsia="en-GB"/>
        </w:rPr>
        <w:t xml:space="preserve"> Chemical</w:t>
      </w:r>
      <w:r w:rsidRPr="0071546E">
        <w:rPr>
          <w:rFonts w:ascii="Arial" w:eastAsia="Times New Roman" w:hAnsi="Arial" w:cs="Arial"/>
          <w:sz w:val="20"/>
          <w:szCs w:val="20"/>
          <w:lang w:eastAsia="en-GB"/>
        </w:rPr>
        <w:t xml:space="preserve"> structure of (A) toluidine blue O and (B) methylene blue. Both dyes are phenothiazinium cationic dye with the same mother structure. </w:t>
      </w:r>
      <w:r w:rsidR="004A57D4" w:rsidRPr="0071546E">
        <w:rPr>
          <w:rFonts w:ascii="Arial" w:eastAsia="Times New Roman" w:hAnsi="Arial" w:cs="Arial"/>
          <w:sz w:val="20"/>
          <w:szCs w:val="20"/>
          <w:lang w:eastAsia="en-GB"/>
        </w:rPr>
        <w:t>The d</w:t>
      </w:r>
      <w:r w:rsidRPr="0071546E">
        <w:rPr>
          <w:rFonts w:ascii="Arial" w:eastAsia="Times New Roman" w:hAnsi="Arial" w:cs="Arial"/>
          <w:sz w:val="20"/>
          <w:szCs w:val="20"/>
          <w:lang w:eastAsia="en-GB"/>
        </w:rPr>
        <w:t>ifference is methylene blue has a quaternary ammonium salt while toluidine blue has an amine group</w:t>
      </w: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sz w:val="20"/>
          <w:szCs w:val="20"/>
          <w:lang w:eastAsia="en-GB"/>
        </w:rPr>
      </w:pPr>
    </w:p>
    <w:p w:rsidR="00C84123" w:rsidRPr="0071546E" w:rsidRDefault="00C84123" w:rsidP="009B72CC">
      <w:pPr>
        <w:spacing w:after="0" w:line="24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CF13FE">
      <w:pPr>
        <w:pStyle w:val="Heading2"/>
        <w:ind w:left="1021" w:right="454"/>
      </w:pPr>
      <w:bookmarkStart w:id="30" w:name="_Toc14711400"/>
      <w:r w:rsidRPr="0071546E">
        <w:t>1.5.3 Porphyrin</w:t>
      </w:r>
      <w:r w:rsidR="004A57D4" w:rsidRPr="0071546E">
        <w:t>-</w:t>
      </w:r>
      <w:r w:rsidRPr="0071546E">
        <w:t xml:space="preserve">based </w:t>
      </w:r>
      <w:r w:rsidR="00557053" w:rsidRPr="0071546E">
        <w:t>photosensitiser</w:t>
      </w:r>
      <w:r w:rsidRPr="0071546E">
        <w:t>.</w:t>
      </w:r>
      <w:bookmarkEnd w:id="30"/>
    </w:p>
    <w:p w:rsidR="00BE13F1" w:rsidRPr="0071546E" w:rsidRDefault="00725033" w:rsidP="00E30B9B">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Porphyrins are </w:t>
      </w:r>
      <w:r w:rsidR="004A57D4" w:rsidRPr="0071546E">
        <w:rPr>
          <w:rFonts w:ascii="Arial" w:eastAsia="Times New Roman" w:hAnsi="Arial" w:cs="Arial"/>
          <w:color w:val="000000" w:themeColor="text1"/>
          <w:sz w:val="24"/>
          <w:szCs w:val="24"/>
          <w:lang w:eastAsia="en-GB"/>
        </w:rPr>
        <w:t xml:space="preserve">a </w:t>
      </w:r>
      <w:r w:rsidRPr="0071546E">
        <w:rPr>
          <w:rFonts w:ascii="Arial" w:eastAsia="Times New Roman" w:hAnsi="Arial" w:cs="Arial"/>
          <w:color w:val="000000" w:themeColor="text1"/>
          <w:sz w:val="24"/>
          <w:szCs w:val="24"/>
          <w:lang w:eastAsia="en-GB"/>
        </w:rPr>
        <w:t xml:space="preserve">class of tetrapyrroles and are </w:t>
      </w:r>
      <w:r w:rsidR="004A57D4" w:rsidRPr="0071546E">
        <w:rPr>
          <w:rFonts w:ascii="Arial" w:eastAsia="Times New Roman" w:hAnsi="Arial" w:cs="Arial"/>
          <w:color w:val="000000" w:themeColor="text1"/>
          <w:sz w:val="24"/>
          <w:szCs w:val="24"/>
          <w:lang w:eastAsia="en-GB"/>
        </w:rPr>
        <w:t xml:space="preserve">a </w:t>
      </w:r>
      <w:r w:rsidRPr="0071546E">
        <w:rPr>
          <w:rFonts w:ascii="Arial" w:eastAsia="Times New Roman" w:hAnsi="Arial" w:cs="Arial"/>
          <w:color w:val="000000" w:themeColor="text1"/>
          <w:sz w:val="24"/>
          <w:szCs w:val="24"/>
          <w:lang w:eastAsia="en-GB"/>
        </w:rPr>
        <w:t>major component of Haemoglobin and myoglobin, two O</w:t>
      </w:r>
      <w:r w:rsidRPr="0071546E">
        <w:rPr>
          <w:rFonts w:ascii="Arial" w:eastAsia="Times New Roman" w:hAnsi="Arial" w:cs="Arial"/>
          <w:color w:val="000000" w:themeColor="text1"/>
          <w:sz w:val="24"/>
          <w:szCs w:val="24"/>
          <w:vertAlign w:val="subscript"/>
          <w:lang w:eastAsia="en-GB"/>
        </w:rPr>
        <w:t>2</w:t>
      </w:r>
      <w:r w:rsidRPr="0071546E">
        <w:rPr>
          <w:rFonts w:ascii="Arial" w:eastAsia="Times New Roman" w:hAnsi="Arial" w:cs="Arial"/>
          <w:color w:val="000000" w:themeColor="text1"/>
          <w:sz w:val="24"/>
          <w:szCs w:val="24"/>
          <w:lang w:eastAsia="en-GB"/>
        </w:rPr>
        <w:t xml:space="preserve"> binding proteins in </w:t>
      </w:r>
      <w:r w:rsidR="004A57D4"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blood</w:t>
      </w:r>
      <w:r w:rsidR="005752CE" w:rsidRPr="0071546E">
        <w:rPr>
          <w:color w:val="000000"/>
        </w:rPr>
        <w:t xml:space="preserve"> </w:t>
      </w:r>
      <w:r w:rsidR="005752CE" w:rsidRPr="0071546E">
        <w:rPr>
          <w:rFonts w:ascii="Arial" w:eastAsia="Times New Roman" w:hAnsi="Arial" w:cs="Arial"/>
          <w:color w:val="000000" w:themeColor="text1"/>
          <w:sz w:val="24"/>
          <w:szCs w:val="24"/>
          <w:lang w:eastAsia="en-GB"/>
        </w:rPr>
        <w:t>(Vicente and Smith, 2014)</w:t>
      </w:r>
      <w:r w:rsidRPr="0071546E">
        <w:rPr>
          <w:rFonts w:ascii="Arial" w:eastAsia="Times New Roman" w:hAnsi="Arial" w:cs="Arial"/>
          <w:color w:val="000000" w:themeColor="text1"/>
          <w:sz w:val="24"/>
          <w:szCs w:val="24"/>
          <w:lang w:eastAsia="en-GB"/>
        </w:rPr>
        <w:t>. They are essential for the biological activities of all living organisms. Porphyrins ha</w:t>
      </w:r>
      <w:r w:rsidR="004A57D4" w:rsidRPr="0071546E">
        <w:rPr>
          <w:rFonts w:ascii="Arial" w:eastAsia="Times New Roman" w:hAnsi="Arial" w:cs="Arial"/>
          <w:color w:val="000000" w:themeColor="text1"/>
          <w:sz w:val="24"/>
          <w:szCs w:val="24"/>
          <w:lang w:eastAsia="en-GB"/>
        </w:rPr>
        <w:t>ve</w:t>
      </w:r>
      <w:r w:rsidRPr="0071546E">
        <w:rPr>
          <w:rFonts w:ascii="Arial" w:eastAsia="Times New Roman" w:hAnsi="Arial" w:cs="Arial"/>
          <w:color w:val="000000" w:themeColor="text1"/>
          <w:sz w:val="24"/>
          <w:szCs w:val="24"/>
          <w:lang w:eastAsia="en-GB"/>
        </w:rPr>
        <w:t xml:space="preserve"> a highly conjugated heterocyclic macrocycle and sometimes may contain a central metallic atom</w:t>
      </w:r>
      <w:r w:rsidR="00563D9A"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 xml:space="preserve">like ferrous ion and magnesium. The 22 </w:t>
      </w:r>
      <w:r w:rsidRPr="0071546E">
        <w:rPr>
          <w:rFonts w:ascii="Arial" w:eastAsia="Times New Roman" w:hAnsi="Arial" w:cs="Arial"/>
          <w:i/>
          <w:iCs/>
          <w:color w:val="000000" w:themeColor="text1"/>
          <w:sz w:val="24"/>
          <w:szCs w:val="24"/>
          <w:lang w:eastAsia="en-GB"/>
        </w:rPr>
        <w:t>π</w:t>
      </w:r>
      <w:r w:rsidRPr="0071546E">
        <w:rPr>
          <w:rFonts w:ascii="Arial" w:eastAsia="Times New Roman" w:hAnsi="Arial" w:cs="Arial"/>
          <w:color w:val="000000" w:themeColor="text1"/>
          <w:sz w:val="24"/>
          <w:szCs w:val="24"/>
          <w:lang w:eastAsia="en-GB"/>
        </w:rPr>
        <w:t xml:space="preserve"> electron system gives them a characteristic long absorption wavelength. These properties have made porphyrins the most studied compound in photodynamic therapy. There are different classes of porphyrins which primary function in nature is to optimise oxido-reduction processes </w:t>
      </w:r>
      <w:r w:rsidR="00B33288" w:rsidRPr="0071546E">
        <w:rPr>
          <w:rFonts w:ascii="Arial" w:eastAsia="Times New Roman" w:hAnsi="Arial" w:cs="Arial"/>
          <w:color w:val="000000" w:themeColor="text1"/>
          <w:sz w:val="24"/>
          <w:szCs w:val="24"/>
          <w:lang w:eastAsia="en-GB"/>
        </w:rPr>
        <w:t>(Samajdar et al., 2018)</w:t>
      </w:r>
      <w:r w:rsidRPr="0071546E">
        <w:rPr>
          <w:rFonts w:ascii="Arial" w:eastAsia="Times New Roman" w:hAnsi="Arial" w:cs="Arial"/>
          <w:color w:val="000000" w:themeColor="text1"/>
          <w:sz w:val="24"/>
          <w:szCs w:val="24"/>
          <w:lang w:eastAsia="en-GB"/>
        </w:rPr>
        <w:t>.</w:t>
      </w:r>
      <w:r w:rsidR="00DC471F" w:rsidRPr="0071546E">
        <w:rPr>
          <w:rFonts w:ascii="Arial" w:eastAsia="Times New Roman" w:hAnsi="Arial" w:cs="Arial"/>
          <w:color w:val="000000" w:themeColor="text1"/>
          <w:sz w:val="24"/>
          <w:szCs w:val="24"/>
          <w:lang w:eastAsia="en-GB"/>
        </w:rPr>
        <w:t xml:space="preserve"> They are classified into </w:t>
      </w:r>
      <w:r w:rsidR="00DD6702" w:rsidRPr="0071546E">
        <w:rPr>
          <w:rFonts w:ascii="Arial" w:eastAsia="Times New Roman" w:hAnsi="Arial" w:cs="Arial"/>
          <w:color w:val="000000" w:themeColor="text1"/>
          <w:sz w:val="24"/>
          <w:szCs w:val="24"/>
          <w:lang w:eastAsia="en-GB"/>
        </w:rPr>
        <w:t xml:space="preserve">the </w:t>
      </w:r>
      <w:r w:rsidR="00DC471F" w:rsidRPr="0071546E">
        <w:rPr>
          <w:rFonts w:ascii="Arial" w:eastAsia="Times New Roman" w:hAnsi="Arial" w:cs="Arial"/>
          <w:color w:val="000000" w:themeColor="text1"/>
          <w:sz w:val="24"/>
          <w:szCs w:val="24"/>
          <w:lang w:eastAsia="en-GB"/>
        </w:rPr>
        <w:t>first generation</w:t>
      </w:r>
      <w:r w:rsidR="00DD6702" w:rsidRPr="0071546E">
        <w:rPr>
          <w:rFonts w:ascii="Arial" w:eastAsia="Times New Roman" w:hAnsi="Arial" w:cs="Arial"/>
          <w:color w:val="000000" w:themeColor="text1"/>
          <w:sz w:val="24"/>
          <w:szCs w:val="24"/>
          <w:lang w:eastAsia="en-GB"/>
        </w:rPr>
        <w:t>, for example,</w:t>
      </w:r>
      <w:r w:rsidR="00DC471F" w:rsidRPr="0071546E">
        <w:rPr>
          <w:rFonts w:ascii="Arial" w:eastAsia="Times New Roman" w:hAnsi="Arial" w:cs="Arial"/>
          <w:color w:val="000000" w:themeColor="text1"/>
          <w:sz w:val="24"/>
          <w:szCs w:val="24"/>
          <w:lang w:eastAsia="en-GB"/>
        </w:rPr>
        <w:t xml:space="preserve"> the hematoporph</w:t>
      </w:r>
      <w:r w:rsidR="00DD6702" w:rsidRPr="0071546E">
        <w:rPr>
          <w:rFonts w:ascii="Arial" w:eastAsia="Times New Roman" w:hAnsi="Arial" w:cs="Arial"/>
          <w:color w:val="000000" w:themeColor="text1"/>
          <w:sz w:val="24"/>
          <w:szCs w:val="24"/>
          <w:lang w:eastAsia="en-GB"/>
        </w:rPr>
        <w:t>y</w:t>
      </w:r>
      <w:r w:rsidR="00DC471F" w:rsidRPr="0071546E">
        <w:rPr>
          <w:rFonts w:ascii="Arial" w:eastAsia="Times New Roman" w:hAnsi="Arial" w:cs="Arial"/>
          <w:color w:val="000000" w:themeColor="text1"/>
          <w:sz w:val="24"/>
          <w:szCs w:val="24"/>
          <w:lang w:eastAsia="en-GB"/>
        </w:rPr>
        <w:t>rin and second</w:t>
      </w:r>
      <w:r w:rsidR="00563D9A" w:rsidRPr="0071546E">
        <w:rPr>
          <w:rFonts w:ascii="Arial" w:eastAsia="Times New Roman" w:hAnsi="Arial" w:cs="Arial"/>
          <w:color w:val="000000" w:themeColor="text1"/>
          <w:sz w:val="24"/>
          <w:szCs w:val="24"/>
          <w:lang w:eastAsia="en-GB"/>
        </w:rPr>
        <w:t>-</w:t>
      </w:r>
      <w:r w:rsidR="00DC471F" w:rsidRPr="0071546E">
        <w:rPr>
          <w:rFonts w:ascii="Arial" w:eastAsia="Times New Roman" w:hAnsi="Arial" w:cs="Arial"/>
          <w:color w:val="000000" w:themeColor="text1"/>
          <w:sz w:val="24"/>
          <w:szCs w:val="24"/>
          <w:lang w:eastAsia="en-GB"/>
        </w:rPr>
        <w:t>generation PS. Figure (1.1</w:t>
      </w:r>
      <w:r w:rsidR="00C84123" w:rsidRPr="0071546E">
        <w:rPr>
          <w:rFonts w:ascii="Arial" w:eastAsia="Times New Roman" w:hAnsi="Arial" w:cs="Arial"/>
          <w:color w:val="000000" w:themeColor="text1"/>
          <w:sz w:val="24"/>
          <w:szCs w:val="24"/>
          <w:lang w:eastAsia="en-GB"/>
        </w:rPr>
        <w:t>3</w:t>
      </w:r>
      <w:r w:rsidR="00DC471F" w:rsidRPr="0071546E">
        <w:rPr>
          <w:rFonts w:ascii="Arial" w:eastAsia="Times New Roman" w:hAnsi="Arial" w:cs="Arial"/>
          <w:color w:val="000000" w:themeColor="text1"/>
          <w:sz w:val="24"/>
          <w:szCs w:val="24"/>
          <w:lang w:eastAsia="en-GB"/>
        </w:rPr>
        <w:t>) illustrates the first and second</w:t>
      </w:r>
      <w:r w:rsidR="00563D9A" w:rsidRPr="0071546E">
        <w:rPr>
          <w:rFonts w:ascii="Arial" w:eastAsia="Times New Roman" w:hAnsi="Arial" w:cs="Arial"/>
          <w:color w:val="000000" w:themeColor="text1"/>
          <w:sz w:val="24"/>
          <w:szCs w:val="24"/>
          <w:lang w:eastAsia="en-GB"/>
        </w:rPr>
        <w:t>-</w:t>
      </w:r>
      <w:r w:rsidR="00DC471F" w:rsidRPr="0071546E">
        <w:rPr>
          <w:rFonts w:ascii="Arial" w:eastAsia="Times New Roman" w:hAnsi="Arial" w:cs="Arial"/>
          <w:color w:val="000000" w:themeColor="text1"/>
          <w:sz w:val="24"/>
          <w:szCs w:val="24"/>
          <w:lang w:eastAsia="en-GB"/>
        </w:rPr>
        <w:t>generation PS and their types.</w:t>
      </w:r>
      <w:r w:rsidRPr="0071546E">
        <w:rPr>
          <w:rFonts w:ascii="Arial" w:eastAsia="Times New Roman" w:hAnsi="Arial" w:cs="Arial"/>
          <w:color w:val="000000" w:themeColor="text1"/>
          <w:sz w:val="24"/>
          <w:szCs w:val="24"/>
          <w:lang w:eastAsia="en-GB"/>
        </w:rPr>
        <w:t xml:space="preserve"> The hematoporphyrin</w:t>
      </w:r>
      <w:r w:rsidR="00DC471F" w:rsidRPr="0071546E">
        <w:rPr>
          <w:rFonts w:ascii="Arial" w:eastAsia="Times New Roman" w:hAnsi="Arial" w:cs="Arial"/>
          <w:color w:val="000000" w:themeColor="text1"/>
          <w:sz w:val="24"/>
          <w:szCs w:val="24"/>
          <w:lang w:eastAsia="en-GB"/>
        </w:rPr>
        <w:t xml:space="preserve"> fig 1.12 (a)</w:t>
      </w:r>
      <w:r w:rsidRPr="0071546E">
        <w:rPr>
          <w:rFonts w:ascii="Arial" w:eastAsia="Times New Roman" w:hAnsi="Arial" w:cs="Arial"/>
          <w:color w:val="000000" w:themeColor="text1"/>
          <w:sz w:val="24"/>
          <w:szCs w:val="24"/>
          <w:lang w:eastAsia="en-GB"/>
        </w:rPr>
        <w:t xml:space="preserve"> derivatives have shown greater efficacy in cancer photodynamic therapy.</w:t>
      </w:r>
      <w:r w:rsidR="00DC471F" w:rsidRPr="0071546E">
        <w:rPr>
          <w:rFonts w:ascii="Arial" w:eastAsia="Times New Roman" w:hAnsi="Arial" w:cs="Arial"/>
          <w:color w:val="000000" w:themeColor="text1"/>
          <w:sz w:val="24"/>
          <w:szCs w:val="24"/>
          <w:lang w:eastAsia="en-GB"/>
        </w:rPr>
        <w:t xml:space="preserve"> However, these porphyrins are limited by significant impurity, poor light absorption.</w:t>
      </w:r>
      <w:r w:rsidRPr="0071546E">
        <w:rPr>
          <w:rFonts w:ascii="Arial" w:eastAsia="Times New Roman" w:hAnsi="Arial" w:cs="Arial"/>
          <w:color w:val="000000" w:themeColor="text1"/>
          <w:sz w:val="24"/>
          <w:szCs w:val="24"/>
          <w:lang w:eastAsia="en-GB"/>
        </w:rPr>
        <w:t xml:space="preserve"> </w:t>
      </w:r>
      <w:r w:rsidR="00E30B9B" w:rsidRPr="0071546E">
        <w:rPr>
          <w:rFonts w:ascii="Arial" w:eastAsia="Times New Roman" w:hAnsi="Arial" w:cs="Arial"/>
          <w:color w:val="000000" w:themeColor="text1"/>
          <w:sz w:val="24"/>
          <w:szCs w:val="24"/>
          <w:lang w:eastAsia="en-GB"/>
        </w:rPr>
        <w:t>The second-generation photosensitisers like the chlorins, bacteriochlorins and phthalocyanine were synthesised to resolve some of the limitations of the first generation sensitisers</w:t>
      </w:r>
      <w:r w:rsidR="00E30B9B" w:rsidRPr="0071546E">
        <w:rPr>
          <w:rFonts w:ascii="Open Sans" w:hAnsi="Open Sans" w:cs="Arial"/>
          <w:color w:val="000000"/>
          <w:lang w:val="en"/>
        </w:rPr>
        <w:t xml:space="preserve"> </w:t>
      </w:r>
      <w:r w:rsidR="00E30B9B" w:rsidRPr="0071546E">
        <w:rPr>
          <w:rFonts w:ascii="Arial" w:eastAsia="Times New Roman" w:hAnsi="Arial" w:cs="Arial"/>
          <w:color w:val="000000" w:themeColor="text1"/>
          <w:sz w:val="24"/>
          <w:szCs w:val="24"/>
          <w:lang w:val="en" w:eastAsia="en-GB"/>
        </w:rPr>
        <w:t>(O’Connor, et al., 2009;</w:t>
      </w:r>
      <w:r w:rsidR="00E30B9B" w:rsidRPr="0071546E">
        <w:rPr>
          <w:color w:val="000000"/>
        </w:rPr>
        <w:t xml:space="preserve"> </w:t>
      </w:r>
      <w:r w:rsidR="00E30B9B" w:rsidRPr="0071546E">
        <w:rPr>
          <w:rFonts w:ascii="Arial" w:eastAsia="Times New Roman" w:hAnsi="Arial" w:cs="Arial"/>
          <w:color w:val="000000" w:themeColor="text1"/>
          <w:sz w:val="24"/>
          <w:szCs w:val="24"/>
          <w:lang w:eastAsia="en-GB"/>
        </w:rPr>
        <w:t>McCarthy et al., 2009).</w:t>
      </w:r>
    </w:p>
    <w:p w:rsidR="00247E05" w:rsidRPr="0071546E" w:rsidRDefault="00247E05" w:rsidP="00E30B9B">
      <w:pPr>
        <w:spacing w:after="0" w:line="480" w:lineRule="auto"/>
        <w:ind w:left="1021" w:right="454"/>
        <w:jc w:val="both"/>
        <w:rPr>
          <w:rFonts w:ascii="Arial" w:eastAsia="Times New Roman" w:hAnsi="Arial" w:cs="Arial"/>
          <w:color w:val="000000" w:themeColor="text1"/>
          <w:sz w:val="24"/>
          <w:szCs w:val="24"/>
          <w:lang w:eastAsia="en-GB"/>
        </w:rPr>
      </w:pPr>
    </w:p>
    <w:p w:rsidR="00247E05" w:rsidRPr="0071546E" w:rsidRDefault="00247E05" w:rsidP="00E30B9B">
      <w:pPr>
        <w:spacing w:after="0" w:line="480" w:lineRule="auto"/>
        <w:ind w:left="1021" w:right="454"/>
        <w:jc w:val="both"/>
        <w:rPr>
          <w:rFonts w:ascii="Arial" w:eastAsia="Times New Roman" w:hAnsi="Arial" w:cs="Arial"/>
          <w:color w:val="000000" w:themeColor="text1"/>
          <w:sz w:val="24"/>
          <w:szCs w:val="24"/>
          <w:lang w:eastAsia="en-GB"/>
        </w:rPr>
      </w:pPr>
    </w:p>
    <w:p w:rsidR="00247E05" w:rsidRPr="0071546E" w:rsidRDefault="00247E05" w:rsidP="005F3F09">
      <w:pPr>
        <w:spacing w:after="0" w:line="480" w:lineRule="auto"/>
        <w:ind w:right="454"/>
        <w:jc w:val="both"/>
        <w:rPr>
          <w:rFonts w:ascii="Arial" w:eastAsia="Times New Roman" w:hAnsi="Arial" w:cs="Arial"/>
          <w:color w:val="000000" w:themeColor="text1"/>
          <w:sz w:val="24"/>
          <w:szCs w:val="24"/>
          <w:lang w:eastAsia="en-GB"/>
        </w:rPr>
      </w:pPr>
    </w:p>
    <w:p w:rsidR="00725033" w:rsidRPr="0071546E" w:rsidRDefault="00725033" w:rsidP="00CF13FE">
      <w:pPr>
        <w:pStyle w:val="Heading2"/>
        <w:ind w:left="1021" w:right="454"/>
      </w:pPr>
      <w:bookmarkStart w:id="31" w:name="_Toc14711401"/>
      <w:r w:rsidRPr="0071546E">
        <w:t>1.5.4 First generation porphyrin</w:t>
      </w:r>
      <w:r w:rsidR="004A57D4" w:rsidRPr="0071546E">
        <w:t>-</w:t>
      </w:r>
      <w:r w:rsidRPr="0071546E">
        <w:t>based photosensitizers.</w:t>
      </w:r>
      <w:bookmarkEnd w:id="31"/>
    </w:p>
    <w:p w:rsidR="00C84123" w:rsidRPr="0071546E" w:rsidRDefault="00725033" w:rsidP="005A0152">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Photofrin, synonym Porfimer sodium and di-hematoporphyrin ether are purified types of hematoporphyrin with maximum absorption of 630nm. They have a low molar extinction coefficient of about 1170 M</w:t>
      </w:r>
      <w:r w:rsidRPr="0071546E">
        <w:rPr>
          <w:rFonts w:ascii="Arial" w:eastAsia="Times New Roman" w:hAnsi="Arial" w:cs="Arial"/>
          <w:color w:val="000000" w:themeColor="text1"/>
          <w:sz w:val="24"/>
          <w:szCs w:val="24"/>
          <w:vertAlign w:val="superscript"/>
          <w:lang w:eastAsia="en-GB"/>
        </w:rPr>
        <w:t>-</w:t>
      </w:r>
      <w:r w:rsidRPr="0071546E">
        <w:rPr>
          <w:rFonts w:ascii="Arial" w:eastAsia="Times New Roman" w:hAnsi="Arial" w:cs="Arial"/>
          <w:color w:val="000000" w:themeColor="text1"/>
          <w:sz w:val="24"/>
          <w:szCs w:val="24"/>
          <w:lang w:eastAsia="en-GB"/>
        </w:rPr>
        <w:t xml:space="preserve"> cm</w:t>
      </w:r>
      <w:r w:rsidRPr="0071546E">
        <w:rPr>
          <w:rFonts w:ascii="Arial" w:eastAsia="Times New Roman" w:hAnsi="Arial" w:cs="Arial"/>
          <w:color w:val="000000" w:themeColor="text1"/>
          <w:sz w:val="24"/>
          <w:szCs w:val="24"/>
          <w:vertAlign w:val="superscript"/>
          <w:lang w:eastAsia="en-GB"/>
        </w:rPr>
        <w:t>-1</w:t>
      </w:r>
      <w:r w:rsidRPr="0071546E">
        <w:rPr>
          <w:rFonts w:ascii="Arial" w:eastAsia="Times New Roman" w:hAnsi="Arial" w:cs="Arial"/>
          <w:color w:val="000000" w:themeColor="text1"/>
          <w:sz w:val="24"/>
          <w:szCs w:val="24"/>
          <w:lang w:eastAsia="en-GB"/>
        </w:rPr>
        <w:t xml:space="preserve"> </w:t>
      </w:r>
      <w:r w:rsidR="00B33288" w:rsidRPr="0071546E">
        <w:rPr>
          <w:rFonts w:ascii="Arial" w:eastAsia="Times New Roman" w:hAnsi="Arial" w:cs="Arial"/>
          <w:color w:val="000000" w:themeColor="text1"/>
          <w:sz w:val="24"/>
          <w:szCs w:val="24"/>
          <w:lang w:eastAsia="en-GB"/>
        </w:rPr>
        <w:t>(O’Connor, Gallagher and Byrne, 2009</w:t>
      </w:r>
      <w:r w:rsidRPr="0071546E">
        <w:rPr>
          <w:rFonts w:ascii="Arial" w:eastAsia="Times New Roman" w:hAnsi="Arial" w:cs="Arial"/>
          <w:color w:val="000000" w:themeColor="text1"/>
          <w:sz w:val="24"/>
          <w:szCs w:val="24"/>
          <w:lang w:eastAsia="en-GB"/>
        </w:rPr>
        <w:t xml:space="preserve">). This low molar extinction coefficient entails that </w:t>
      </w:r>
      <w:r w:rsidR="004A57D4" w:rsidRPr="0071546E">
        <w:rPr>
          <w:rFonts w:ascii="Arial" w:eastAsia="Times New Roman" w:hAnsi="Arial" w:cs="Arial"/>
          <w:color w:val="000000" w:themeColor="text1"/>
          <w:sz w:val="24"/>
          <w:szCs w:val="24"/>
          <w:lang w:eastAsia="en-GB"/>
        </w:rPr>
        <w:t xml:space="preserve">a </w:t>
      </w:r>
      <w:r w:rsidRPr="0071546E">
        <w:rPr>
          <w:rFonts w:ascii="Arial" w:eastAsia="Times New Roman" w:hAnsi="Arial" w:cs="Arial"/>
          <w:color w:val="000000" w:themeColor="text1"/>
          <w:sz w:val="24"/>
          <w:szCs w:val="24"/>
          <w:lang w:eastAsia="en-GB"/>
        </w:rPr>
        <w:t>higher amount of light and high concentration of PS is required for effective PDT. Photofrin has been rep</w:t>
      </w:r>
      <w:r w:rsidR="00031AF9" w:rsidRPr="0071546E">
        <w:rPr>
          <w:rFonts w:ascii="Arial" w:eastAsia="Times New Roman" w:hAnsi="Arial" w:cs="Arial"/>
          <w:color w:val="000000" w:themeColor="text1"/>
          <w:sz w:val="24"/>
          <w:szCs w:val="24"/>
          <w:lang w:eastAsia="en-GB"/>
        </w:rPr>
        <w:t xml:space="preserve">orted to have a long half-life of </w:t>
      </w:r>
      <w:r w:rsidRPr="0071546E">
        <w:rPr>
          <w:rFonts w:ascii="Arial" w:eastAsia="Times New Roman" w:hAnsi="Arial" w:cs="Arial"/>
          <w:color w:val="000000" w:themeColor="text1"/>
          <w:sz w:val="24"/>
          <w:szCs w:val="24"/>
          <w:lang w:eastAsia="en-GB"/>
        </w:rPr>
        <w:t>452</w:t>
      </w:r>
      <w:r w:rsidR="00031AF9" w:rsidRPr="0071546E">
        <w:rPr>
          <w:rFonts w:ascii="Arial" w:eastAsia="Times New Roman" w:hAnsi="Arial" w:cs="Arial"/>
          <w:color w:val="000000" w:themeColor="text1"/>
          <w:sz w:val="24"/>
          <w:szCs w:val="24"/>
          <w:lang w:eastAsia="en-GB"/>
        </w:rPr>
        <w:t xml:space="preserve"> hrs</w:t>
      </w:r>
      <w:r w:rsidRPr="0071546E">
        <w:rPr>
          <w:rFonts w:ascii="Arial" w:eastAsia="Times New Roman" w:hAnsi="Arial" w:cs="Arial"/>
          <w:color w:val="000000" w:themeColor="text1"/>
          <w:sz w:val="24"/>
          <w:szCs w:val="24"/>
          <w:lang w:eastAsia="en-GB"/>
        </w:rPr>
        <w:t xml:space="preserve"> giving this PS remarkably long</w:t>
      </w:r>
      <w:r w:rsidR="004A57D4"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lasting photosensitivity</w:t>
      </w:r>
      <w:r w:rsidR="00B33288" w:rsidRPr="0071546E">
        <w:rPr>
          <w:color w:val="000000"/>
        </w:rPr>
        <w:t xml:space="preserve"> </w:t>
      </w:r>
      <w:r w:rsidR="00B33288" w:rsidRPr="0071546E">
        <w:rPr>
          <w:rFonts w:ascii="Arial" w:eastAsia="Times New Roman" w:hAnsi="Arial" w:cs="Arial"/>
          <w:color w:val="000000" w:themeColor="text1"/>
          <w:sz w:val="24"/>
          <w:szCs w:val="24"/>
          <w:lang w:eastAsia="en-GB"/>
        </w:rPr>
        <w:t>(Bellnier et al., 2006)</w:t>
      </w:r>
      <w:r w:rsidRPr="0071546E">
        <w:rPr>
          <w:rFonts w:ascii="Arial" w:eastAsia="Times New Roman" w:hAnsi="Arial" w:cs="Arial"/>
          <w:color w:val="000000" w:themeColor="text1"/>
          <w:sz w:val="24"/>
          <w:szCs w:val="24"/>
          <w:lang w:eastAsia="en-GB"/>
        </w:rPr>
        <w:t>. In cancer therapy, Photofrin PDT involves intravenous administration of photosensitizer and subsequent irradiation with light after 24</w:t>
      </w:r>
      <w:r w:rsidR="00031AF9" w:rsidRPr="0071546E">
        <w:rPr>
          <w:rFonts w:ascii="Arial" w:eastAsia="Times New Roman" w:hAnsi="Arial" w:cs="Arial"/>
          <w:color w:val="000000" w:themeColor="text1"/>
          <w:sz w:val="24"/>
          <w:szCs w:val="24"/>
          <w:lang w:eastAsia="en-GB"/>
        </w:rPr>
        <w:t xml:space="preserve"> </w:t>
      </w:r>
      <w:r w:rsidR="005A0152" w:rsidRPr="0071546E">
        <w:rPr>
          <w:rFonts w:ascii="Arial" w:eastAsia="Times New Roman" w:hAnsi="Arial" w:cs="Arial"/>
          <w:color w:val="000000" w:themeColor="text1"/>
          <w:sz w:val="24"/>
          <w:szCs w:val="24"/>
          <w:lang w:eastAsia="en-GB"/>
        </w:rPr>
        <w:t xml:space="preserve">- 48hrs. </w:t>
      </w:r>
      <w:r w:rsidRPr="0071546E">
        <w:rPr>
          <w:rFonts w:ascii="Arial" w:eastAsia="Times New Roman" w:hAnsi="Arial" w:cs="Arial"/>
          <w:color w:val="000000" w:themeColor="text1"/>
          <w:sz w:val="24"/>
          <w:szCs w:val="24"/>
          <w:lang w:eastAsia="en-GB"/>
        </w:rPr>
        <w:t xml:space="preserve">During this incubation period, </w:t>
      </w:r>
      <w:r w:rsidR="00031AF9" w:rsidRPr="0071546E">
        <w:rPr>
          <w:rFonts w:ascii="Arial" w:eastAsia="Times New Roman" w:hAnsi="Arial" w:cs="Arial"/>
          <w:color w:val="000000" w:themeColor="text1"/>
          <w:sz w:val="24"/>
          <w:szCs w:val="24"/>
          <w:lang w:eastAsia="en-GB"/>
        </w:rPr>
        <w:t>systemic clearance is faster in normal cells compared to tumour cells.</w:t>
      </w:r>
      <w:r w:rsidRPr="0071546E">
        <w:rPr>
          <w:rFonts w:ascii="Arial" w:eastAsia="Times New Roman" w:hAnsi="Arial" w:cs="Arial"/>
          <w:color w:val="000000" w:themeColor="text1"/>
          <w:sz w:val="24"/>
          <w:szCs w:val="24"/>
          <w:lang w:eastAsia="en-GB"/>
        </w:rPr>
        <w:t xml:space="preserve"> However, clearance of Photofrin from some tissue like the reticuloendothelial system and skin tissue is slower</w:t>
      </w:r>
      <w:r w:rsidR="003B69DF" w:rsidRPr="0071546E">
        <w:rPr>
          <w:color w:val="000000"/>
        </w:rPr>
        <w:t xml:space="preserve"> </w:t>
      </w:r>
      <w:r w:rsidR="003B69DF" w:rsidRPr="0071546E">
        <w:rPr>
          <w:rFonts w:ascii="Arial" w:eastAsia="Times New Roman" w:hAnsi="Arial" w:cs="Arial"/>
          <w:color w:val="000000" w:themeColor="text1"/>
          <w:sz w:val="24"/>
          <w:szCs w:val="24"/>
          <w:lang w:eastAsia="en-GB"/>
        </w:rPr>
        <w:t>(Jones, Vernon and Brown, 2003)</w:t>
      </w:r>
      <w:r w:rsidRPr="0071546E">
        <w:rPr>
          <w:rFonts w:ascii="Arial" w:eastAsia="Times New Roman" w:hAnsi="Arial" w:cs="Arial"/>
          <w:color w:val="000000" w:themeColor="text1"/>
          <w:sz w:val="24"/>
          <w:szCs w:val="24"/>
          <w:lang w:eastAsia="en-GB"/>
        </w:rPr>
        <w:t>. After irradiation, tumour cell death is caused by the</w:t>
      </w:r>
      <w:r w:rsidR="001F7EA9" w:rsidRPr="0071546E">
        <w:rPr>
          <w:rFonts w:ascii="Arial" w:eastAsia="Times New Roman" w:hAnsi="Arial" w:cs="Arial"/>
          <w:color w:val="000000" w:themeColor="text1"/>
          <w:sz w:val="24"/>
          <w:szCs w:val="24"/>
          <w:lang w:eastAsia="en-GB"/>
        </w:rPr>
        <w:t xml:space="preserve"> generation of ROS. Photofrin was</w:t>
      </w:r>
      <w:r w:rsidRPr="0071546E">
        <w:rPr>
          <w:rFonts w:ascii="Arial" w:eastAsia="Times New Roman" w:hAnsi="Arial" w:cs="Arial"/>
          <w:color w:val="000000" w:themeColor="text1"/>
          <w:sz w:val="24"/>
          <w:szCs w:val="24"/>
          <w:lang w:eastAsia="en-GB"/>
        </w:rPr>
        <w:t xml:space="preserve"> approved for the treatment of early and late</w:t>
      </w:r>
      <w:r w:rsidR="00563D9A"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stage lung, oesophageal, bladder and malignant and</w:t>
      </w:r>
      <w:r w:rsidR="003B69DF" w:rsidRPr="0071546E">
        <w:rPr>
          <w:rFonts w:ascii="Arial" w:eastAsia="Times New Roman" w:hAnsi="Arial" w:cs="Arial"/>
          <w:color w:val="000000" w:themeColor="text1"/>
          <w:sz w:val="24"/>
          <w:szCs w:val="24"/>
          <w:lang w:eastAsia="en-GB"/>
        </w:rPr>
        <w:t xml:space="preserve"> non-malignant skin diseases</w:t>
      </w:r>
      <w:r w:rsidR="003B69DF" w:rsidRPr="0071546E">
        <w:rPr>
          <w:color w:val="000000"/>
        </w:rPr>
        <w:t xml:space="preserve"> </w:t>
      </w:r>
      <w:r w:rsidR="003B69DF" w:rsidRPr="0071546E">
        <w:rPr>
          <w:rFonts w:ascii="Arial" w:eastAsia="Times New Roman" w:hAnsi="Arial" w:cs="Arial"/>
          <w:color w:val="000000" w:themeColor="text1"/>
          <w:sz w:val="24"/>
          <w:szCs w:val="24"/>
          <w:lang w:eastAsia="en-GB"/>
        </w:rPr>
        <w:t>(Dougherty et al., 1998)</w:t>
      </w:r>
      <w:r w:rsidRPr="0071546E">
        <w:rPr>
          <w:rFonts w:ascii="Arial" w:eastAsia="Times New Roman" w:hAnsi="Arial" w:cs="Arial"/>
          <w:color w:val="000000" w:themeColor="text1"/>
          <w:sz w:val="24"/>
          <w:szCs w:val="24"/>
          <w:lang w:eastAsia="en-GB"/>
        </w:rPr>
        <w:t>. Photofrin also ha</w:t>
      </w:r>
      <w:r w:rsidR="004A57D4" w:rsidRPr="0071546E">
        <w:rPr>
          <w:rFonts w:ascii="Arial" w:eastAsia="Times New Roman" w:hAnsi="Arial" w:cs="Arial"/>
          <w:color w:val="000000" w:themeColor="text1"/>
          <w:sz w:val="24"/>
          <w:szCs w:val="24"/>
          <w:lang w:eastAsia="en-GB"/>
        </w:rPr>
        <w:t>s</w:t>
      </w:r>
      <w:r w:rsidRPr="0071546E">
        <w:rPr>
          <w:rFonts w:ascii="Arial" w:eastAsia="Times New Roman" w:hAnsi="Arial" w:cs="Arial"/>
          <w:color w:val="000000" w:themeColor="text1"/>
          <w:sz w:val="24"/>
          <w:szCs w:val="24"/>
          <w:lang w:eastAsia="en-GB"/>
        </w:rPr>
        <w:t xml:space="preserve"> shown significant importance as an antimicrobial PS. Photofrin mediated PDT significantly reduced </w:t>
      </w:r>
      <w:r w:rsidRPr="0071546E">
        <w:rPr>
          <w:rFonts w:ascii="Arial" w:eastAsia="Times New Roman" w:hAnsi="Arial" w:cs="Arial"/>
          <w:i/>
          <w:color w:val="000000" w:themeColor="text1"/>
          <w:sz w:val="24"/>
          <w:szCs w:val="24"/>
          <w:lang w:eastAsia="en-GB"/>
        </w:rPr>
        <w:t>M. Catarrhalis</w:t>
      </w:r>
      <w:r w:rsidRPr="0071546E">
        <w:rPr>
          <w:rFonts w:ascii="Arial" w:eastAsia="Times New Roman" w:hAnsi="Arial" w:cs="Arial"/>
          <w:color w:val="000000" w:themeColor="text1"/>
          <w:sz w:val="24"/>
          <w:szCs w:val="24"/>
          <w:lang w:eastAsia="en-GB"/>
        </w:rPr>
        <w:t xml:space="preserve"> viability (Luke-Marshall et al., 2014). Both biofilm</w:t>
      </w:r>
      <w:r w:rsidR="004A57D4" w:rsidRPr="0071546E">
        <w:rPr>
          <w:rFonts w:ascii="Arial" w:eastAsia="Times New Roman" w:hAnsi="Arial" w:cs="Arial"/>
          <w:color w:val="000000" w:themeColor="text1"/>
          <w:sz w:val="24"/>
          <w:szCs w:val="24"/>
          <w:lang w:eastAsia="en-GB"/>
        </w:rPr>
        <w:t>s</w:t>
      </w:r>
      <w:r w:rsidRPr="0071546E">
        <w:rPr>
          <w:rFonts w:ascii="Arial" w:eastAsia="Times New Roman" w:hAnsi="Arial" w:cs="Arial"/>
          <w:color w:val="000000" w:themeColor="text1"/>
          <w:sz w:val="24"/>
          <w:szCs w:val="24"/>
          <w:lang w:eastAsia="en-GB"/>
        </w:rPr>
        <w:t xml:space="preserve"> </w:t>
      </w:r>
      <w:r w:rsidR="004A57D4" w:rsidRPr="0071546E">
        <w:rPr>
          <w:rFonts w:ascii="Arial" w:eastAsia="Times New Roman" w:hAnsi="Arial" w:cs="Arial"/>
          <w:color w:val="000000" w:themeColor="text1"/>
          <w:sz w:val="24"/>
          <w:szCs w:val="24"/>
          <w:lang w:eastAsia="en-GB"/>
        </w:rPr>
        <w:t xml:space="preserve">were </w:t>
      </w:r>
      <w:r w:rsidRPr="0071546E">
        <w:rPr>
          <w:rFonts w:ascii="Arial" w:eastAsia="Times New Roman" w:hAnsi="Arial" w:cs="Arial"/>
          <w:color w:val="000000" w:themeColor="text1"/>
          <w:sz w:val="24"/>
          <w:szCs w:val="24"/>
          <w:lang w:eastAsia="en-GB"/>
        </w:rPr>
        <w:t xml:space="preserve">grown and plankton grown bacteria showed a statistically significant reduction in viability (5-6log kill and 3-4 log) kill respectively. </w:t>
      </w:r>
    </w:p>
    <w:p w:rsidR="00C84123" w:rsidRPr="0071546E" w:rsidRDefault="00C84123" w:rsidP="005A0152">
      <w:pPr>
        <w:spacing w:after="0" w:line="48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5A0152">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Bacteria treated with Photofrin showed prominent morphological changes with visibly compromised cell membranes (Luke-Marshall et al., 2014). However, While, Photofrin is one of the commonest PS and has a “gold standard” status, in oncology its application to aPDT is hampered by the synthesis of the second-generation photosensitizers, which have desirable physio-chemical properties.</w:t>
      </w:r>
    </w:p>
    <w:p w:rsidR="00725033" w:rsidRPr="0071546E" w:rsidRDefault="00725033" w:rsidP="00CF13FE">
      <w:pPr>
        <w:pStyle w:val="Heading2"/>
        <w:ind w:left="1021" w:right="454"/>
      </w:pPr>
      <w:bookmarkStart w:id="32" w:name="_Toc14711402"/>
      <w:r w:rsidRPr="0071546E">
        <w:t>1.5.5 Second-generation porphyrin</w:t>
      </w:r>
      <w:r w:rsidR="004A57D4" w:rsidRPr="0071546E">
        <w:t>-</w:t>
      </w:r>
      <w:r w:rsidRPr="0071546E">
        <w:t>based photosensitizers.</w:t>
      </w:r>
      <w:bookmarkEnd w:id="32"/>
    </w:p>
    <w:p w:rsidR="005A0152" w:rsidRPr="0071546E" w:rsidRDefault="00725033" w:rsidP="005A0152">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Though no single photosensitizer has been developed which can be considered the ideal PS in cancer therapy and antimicrobial PDT, several porphyrin</w:t>
      </w:r>
      <w:r w:rsidR="004A57D4"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based P have been synthesised to overcome the inadequacies of the first generation PS. However, though the second-generation PS show enhance</w:t>
      </w:r>
      <w:r w:rsidR="004A57D4" w:rsidRPr="0071546E">
        <w:rPr>
          <w:rFonts w:ascii="Arial" w:eastAsia="Times New Roman" w:hAnsi="Arial" w:cs="Arial"/>
          <w:color w:val="000000" w:themeColor="text1"/>
          <w:sz w:val="24"/>
          <w:szCs w:val="24"/>
          <w:lang w:eastAsia="en-GB"/>
        </w:rPr>
        <w:t>s</w:t>
      </w:r>
      <w:r w:rsidRPr="0071546E">
        <w:rPr>
          <w:rFonts w:ascii="Arial" w:eastAsia="Times New Roman" w:hAnsi="Arial" w:cs="Arial"/>
          <w:color w:val="000000" w:themeColor="text1"/>
          <w:sz w:val="24"/>
          <w:szCs w:val="24"/>
          <w:lang w:eastAsia="en-GB"/>
        </w:rPr>
        <w:t xml:space="preserve"> use in PDT the newer types of conjugated porphyrins allow for better photoactivation with minimal side effects. Recently, there is more research on the electrostatic interaction between the PS molecule and the target bacteria</w:t>
      </w:r>
      <w:r w:rsidR="004A57D4" w:rsidRPr="0071546E">
        <w:rPr>
          <w:rFonts w:ascii="Arial" w:eastAsia="Times New Roman" w:hAnsi="Arial" w:cs="Arial"/>
          <w:color w:val="000000" w:themeColor="text1"/>
          <w:sz w:val="24"/>
          <w:szCs w:val="24"/>
          <w:lang w:eastAsia="en-GB"/>
        </w:rPr>
        <w:t>l</w:t>
      </w:r>
      <w:r w:rsidRPr="0071546E">
        <w:rPr>
          <w:rFonts w:ascii="Arial" w:eastAsia="Times New Roman" w:hAnsi="Arial" w:cs="Arial"/>
          <w:color w:val="000000" w:themeColor="text1"/>
          <w:sz w:val="24"/>
          <w:szCs w:val="24"/>
          <w:lang w:eastAsia="en-GB"/>
        </w:rPr>
        <w:t xml:space="preserve"> cell wall. It has been suggested, that the </w:t>
      </w:r>
      <w:r w:rsidR="004A57D4" w:rsidRPr="0071546E">
        <w:rPr>
          <w:rFonts w:ascii="Arial" w:eastAsia="Times New Roman" w:hAnsi="Arial" w:cs="Arial"/>
          <w:color w:val="000000" w:themeColor="text1"/>
          <w:sz w:val="24"/>
          <w:szCs w:val="24"/>
          <w:lang w:eastAsia="en-GB"/>
        </w:rPr>
        <w:t>number</w:t>
      </w:r>
      <w:r w:rsidRPr="0071546E">
        <w:rPr>
          <w:rFonts w:ascii="Arial" w:eastAsia="Times New Roman" w:hAnsi="Arial" w:cs="Arial"/>
          <w:color w:val="000000" w:themeColor="text1"/>
          <w:sz w:val="24"/>
          <w:szCs w:val="24"/>
          <w:lang w:eastAsia="en-GB"/>
        </w:rPr>
        <w:t xml:space="preserve"> of </w:t>
      </w:r>
      <w:r w:rsidR="00F1485D" w:rsidRPr="0071546E">
        <w:rPr>
          <w:rFonts w:ascii="Arial" w:eastAsia="Times New Roman" w:hAnsi="Arial" w:cs="Arial"/>
          <w:color w:val="000000" w:themeColor="text1"/>
          <w:sz w:val="24"/>
          <w:szCs w:val="24"/>
          <w:lang w:eastAsia="en-GB"/>
        </w:rPr>
        <w:t>charges and</w:t>
      </w:r>
      <w:r w:rsidRPr="0071546E">
        <w:rPr>
          <w:rFonts w:ascii="Arial" w:eastAsia="Times New Roman" w:hAnsi="Arial" w:cs="Arial"/>
          <w:color w:val="000000" w:themeColor="text1"/>
          <w:sz w:val="24"/>
          <w:szCs w:val="24"/>
          <w:lang w:eastAsia="en-GB"/>
        </w:rPr>
        <w:t xml:space="preserve"> their distribution in the porphyrin macrocycle ha</w:t>
      </w:r>
      <w:r w:rsidR="004A57D4" w:rsidRPr="0071546E">
        <w:rPr>
          <w:rFonts w:ascii="Arial" w:eastAsia="Times New Roman" w:hAnsi="Arial" w:cs="Arial"/>
          <w:color w:val="000000" w:themeColor="text1"/>
          <w:sz w:val="24"/>
          <w:szCs w:val="24"/>
          <w:lang w:eastAsia="en-GB"/>
        </w:rPr>
        <w:t>s</w:t>
      </w:r>
      <w:r w:rsidRPr="0071546E">
        <w:rPr>
          <w:rFonts w:ascii="Arial" w:eastAsia="Times New Roman" w:hAnsi="Arial" w:cs="Arial"/>
          <w:color w:val="000000" w:themeColor="text1"/>
          <w:sz w:val="24"/>
          <w:szCs w:val="24"/>
          <w:lang w:eastAsia="en-GB"/>
        </w:rPr>
        <w:t xml:space="preserve"> a key role to play in the efficiency of PDI on pathogens with </w:t>
      </w:r>
      <w:r w:rsidR="004A57D4"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 xml:space="preserve">more robust cell wall </w:t>
      </w:r>
      <w:r w:rsidR="004D6026" w:rsidRPr="0071546E">
        <w:rPr>
          <w:rFonts w:ascii="Arial" w:eastAsia="Times New Roman" w:hAnsi="Arial" w:cs="Arial"/>
          <w:color w:val="000000" w:themeColor="text1"/>
          <w:sz w:val="24"/>
          <w:szCs w:val="24"/>
          <w:lang w:eastAsia="en-GB"/>
        </w:rPr>
        <w:t>(Simões et al., 2016</w:t>
      </w:r>
      <w:r w:rsidRPr="0071546E">
        <w:rPr>
          <w:rFonts w:ascii="Arial" w:eastAsia="Times New Roman" w:hAnsi="Arial" w:cs="Arial"/>
          <w:color w:val="000000" w:themeColor="text1"/>
          <w:sz w:val="24"/>
          <w:szCs w:val="24"/>
          <w:lang w:eastAsia="en-GB"/>
        </w:rPr>
        <w:t xml:space="preserve">). In </w:t>
      </w:r>
      <w:r w:rsidRPr="0071546E">
        <w:rPr>
          <w:rFonts w:ascii="Arial" w:eastAsia="Times New Roman" w:hAnsi="Arial" w:cs="Arial"/>
          <w:i/>
          <w:color w:val="000000" w:themeColor="text1"/>
          <w:sz w:val="24"/>
          <w:szCs w:val="24"/>
          <w:lang w:eastAsia="en-GB"/>
        </w:rPr>
        <w:t>E. coli</w:t>
      </w:r>
      <w:r w:rsidRPr="0071546E">
        <w:rPr>
          <w:rFonts w:ascii="Arial" w:eastAsia="Times New Roman" w:hAnsi="Arial" w:cs="Arial"/>
          <w:color w:val="000000" w:themeColor="text1"/>
          <w:sz w:val="24"/>
          <w:szCs w:val="24"/>
          <w:lang w:eastAsia="en-GB"/>
        </w:rPr>
        <w:t xml:space="preserve"> cells, the efficiency of photodynamic inactivation (PDI) increased proportional to the number of charges, with porphyrins having three or more positive charge </w:t>
      </w:r>
      <w:r w:rsidR="004D6026" w:rsidRPr="0071546E">
        <w:rPr>
          <w:rFonts w:ascii="Arial" w:eastAsia="Times New Roman" w:hAnsi="Arial" w:cs="Arial"/>
          <w:color w:val="000000" w:themeColor="text1"/>
          <w:sz w:val="24"/>
          <w:szCs w:val="24"/>
          <w:lang w:eastAsia="en-GB"/>
        </w:rPr>
        <w:t>(Hurst et al., 2019).</w:t>
      </w:r>
    </w:p>
    <w:p w:rsidR="00247E05" w:rsidRPr="0071546E" w:rsidRDefault="00247E05" w:rsidP="005A0152">
      <w:pPr>
        <w:spacing w:after="0" w:line="480" w:lineRule="auto"/>
        <w:ind w:left="1021" w:right="454"/>
        <w:jc w:val="both"/>
        <w:rPr>
          <w:rFonts w:ascii="Arial" w:eastAsia="Times New Roman" w:hAnsi="Arial" w:cs="Arial"/>
          <w:color w:val="000000" w:themeColor="text1"/>
          <w:sz w:val="24"/>
          <w:szCs w:val="24"/>
          <w:lang w:eastAsia="en-GB"/>
        </w:rPr>
      </w:pPr>
    </w:p>
    <w:p w:rsidR="00247E05" w:rsidRPr="0071546E" w:rsidRDefault="00247E05" w:rsidP="005A0152">
      <w:pPr>
        <w:spacing w:after="0" w:line="480" w:lineRule="auto"/>
        <w:ind w:left="1021" w:right="454"/>
        <w:jc w:val="both"/>
        <w:rPr>
          <w:rFonts w:ascii="Arial" w:eastAsia="Times New Roman" w:hAnsi="Arial" w:cs="Arial"/>
          <w:color w:val="000000" w:themeColor="text1"/>
          <w:sz w:val="24"/>
          <w:szCs w:val="24"/>
          <w:lang w:eastAsia="en-GB"/>
        </w:rPr>
      </w:pPr>
    </w:p>
    <w:p w:rsidR="00247E05" w:rsidRPr="0071546E" w:rsidRDefault="00247E05" w:rsidP="005A0152">
      <w:pPr>
        <w:spacing w:after="0" w:line="48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CF13FE">
      <w:pPr>
        <w:pStyle w:val="Heading2"/>
        <w:ind w:left="1021" w:right="454"/>
      </w:pPr>
      <w:bookmarkStart w:id="33" w:name="_Toc14711403"/>
      <w:r w:rsidRPr="0071546E">
        <w:t>1.5.6 Porphyrins used for the present study</w:t>
      </w:r>
      <w:bookmarkEnd w:id="33"/>
    </w:p>
    <w:p w:rsidR="00725033" w:rsidRPr="0071546E" w:rsidRDefault="00725033" w:rsidP="00CF13FE">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The distribution of functional groups in a porphyrin modifies its amphiphilic characteristics and consequently its efficacy (Nyman and Hynninen, 2004). As regards the transport across cell membranes, the lipid bilayer of the membrane allows passive transport of hydrophobic molecules. If the porphyrin is synthesis to have a hydrophobic functional group, the efficiency of the PDI is enhanced. However</w:t>
      </w:r>
      <w:r w:rsidR="004A57D4"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 xml:space="preserve"> since the PS is expected to be in solution they must exhibit some form of hydrophobic character. Therefore, the ideal PS will have both hydrophobic and hydrophilic characteristics and the way to achieve this is the combination of a hydrophobic and hydrophilic functional group to the porphyrin molecule (Banfi </w:t>
      </w:r>
      <w:r w:rsidRPr="0071546E">
        <w:rPr>
          <w:rFonts w:ascii="Arial" w:eastAsia="Times New Roman" w:hAnsi="Arial" w:cs="Arial"/>
          <w:i/>
          <w:color w:val="000000" w:themeColor="text1"/>
          <w:sz w:val="24"/>
          <w:szCs w:val="24"/>
          <w:lang w:eastAsia="en-GB"/>
        </w:rPr>
        <w:t>et al</w:t>
      </w:r>
      <w:r w:rsidRPr="0071546E">
        <w:rPr>
          <w:rFonts w:ascii="Arial" w:eastAsia="Times New Roman" w:hAnsi="Arial" w:cs="Arial"/>
          <w:color w:val="000000" w:themeColor="text1"/>
          <w:sz w:val="24"/>
          <w:szCs w:val="24"/>
          <w:lang w:eastAsia="en-GB"/>
        </w:rPr>
        <w:t xml:space="preserve">., 2006)). A slight increase in the hydrophobicity of the photosensitiser improves its affinity to cell walls hence stimulating a more prolific </w:t>
      </w:r>
      <w:r w:rsidR="00AA5453" w:rsidRPr="0071546E">
        <w:rPr>
          <w:rFonts w:ascii="Arial" w:eastAsia="Times New Roman" w:hAnsi="Arial" w:cs="Arial"/>
          <w:color w:val="000000" w:themeColor="text1"/>
          <w:sz w:val="24"/>
          <w:szCs w:val="24"/>
          <w:lang w:eastAsia="en-GB"/>
        </w:rPr>
        <w:t>photoinactivation</w:t>
      </w:r>
      <w:r w:rsidRPr="0071546E">
        <w:rPr>
          <w:rFonts w:ascii="Arial" w:eastAsia="Times New Roman" w:hAnsi="Arial" w:cs="Arial"/>
          <w:color w:val="000000" w:themeColor="text1"/>
          <w:sz w:val="24"/>
          <w:szCs w:val="24"/>
          <w:lang w:eastAsia="en-GB"/>
        </w:rPr>
        <w:t xml:space="preserve"> </w:t>
      </w:r>
      <w:r w:rsidR="004D6026" w:rsidRPr="0071546E">
        <w:rPr>
          <w:rFonts w:ascii="Arial" w:eastAsia="Times New Roman" w:hAnsi="Arial" w:cs="Arial"/>
          <w:color w:val="000000" w:themeColor="text1"/>
          <w:sz w:val="24"/>
          <w:szCs w:val="24"/>
          <w:lang w:eastAsia="en-GB"/>
        </w:rPr>
        <w:t>(Niikura et al., 2010)</w:t>
      </w:r>
      <w:r w:rsidRPr="0071546E">
        <w:rPr>
          <w:rFonts w:ascii="Arial" w:eastAsia="Times New Roman" w:hAnsi="Arial" w:cs="Arial"/>
          <w:color w:val="000000" w:themeColor="text1"/>
          <w:sz w:val="24"/>
          <w:szCs w:val="24"/>
          <w:lang w:eastAsia="en-GB"/>
        </w:rPr>
        <w:t>.</w:t>
      </w:r>
    </w:p>
    <w:p w:rsidR="00247E05" w:rsidRPr="0071546E" w:rsidRDefault="00725033" w:rsidP="00D169D6">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The synthetic photosensitiser used in this study is the meso-substituted porphyrins. The popularity of meso-substituted porphyrin is because their synthesis involves one-flask or two</w:t>
      </w:r>
      <w:r w:rsidR="004A57D4"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 xml:space="preserve">step one-flask procedure. The availability of different aldehydes gives rise to porphyrin synthesised with different aryl and hetaryl substituents at their meso positions as seen in Fig </w:t>
      </w:r>
      <w:r w:rsidR="00AA5453" w:rsidRPr="0071546E">
        <w:rPr>
          <w:rFonts w:ascii="Arial" w:eastAsia="Times New Roman" w:hAnsi="Arial" w:cs="Arial"/>
          <w:color w:val="000000" w:themeColor="text1"/>
          <w:sz w:val="24"/>
          <w:szCs w:val="24"/>
          <w:lang w:eastAsia="en-GB"/>
        </w:rPr>
        <w:t>1.1</w:t>
      </w:r>
      <w:r w:rsidR="00C84123" w:rsidRPr="0071546E">
        <w:rPr>
          <w:rFonts w:ascii="Arial" w:eastAsia="Times New Roman" w:hAnsi="Arial" w:cs="Arial"/>
          <w:color w:val="000000" w:themeColor="text1"/>
          <w:sz w:val="24"/>
          <w:szCs w:val="24"/>
          <w:lang w:eastAsia="en-GB"/>
        </w:rPr>
        <w:t>4</w:t>
      </w:r>
      <w:r w:rsidR="00BE13F1" w:rsidRPr="0071546E">
        <w:rPr>
          <w:rFonts w:ascii="Arial" w:eastAsia="Times New Roman" w:hAnsi="Arial" w:cs="Arial"/>
          <w:color w:val="000000" w:themeColor="text1"/>
          <w:sz w:val="24"/>
          <w:szCs w:val="24"/>
          <w:lang w:eastAsia="en-GB"/>
        </w:rPr>
        <w:t>a-d.</w:t>
      </w:r>
      <w:r w:rsidR="00D169D6" w:rsidRPr="0071546E">
        <w:rPr>
          <w:rFonts w:ascii="Arial" w:eastAsia="Times New Roman" w:hAnsi="Arial" w:cs="Arial"/>
          <w:color w:val="000000" w:themeColor="text1"/>
          <w:sz w:val="24"/>
          <w:szCs w:val="24"/>
          <w:lang w:eastAsia="en-GB"/>
        </w:rPr>
        <w:t xml:space="preserve"> </w:t>
      </w:r>
      <w:r w:rsidR="005A0152" w:rsidRPr="0071546E">
        <w:rPr>
          <w:rFonts w:ascii="Arial" w:eastAsia="Times New Roman" w:hAnsi="Arial" w:cs="Arial"/>
          <w:color w:val="000000" w:themeColor="text1"/>
          <w:sz w:val="24"/>
          <w:szCs w:val="24"/>
          <w:lang w:eastAsia="en-GB"/>
        </w:rPr>
        <w:t>Porphyrins have shown significant broad-spectrum activity against both gram-positive and gram-neg</w:t>
      </w:r>
      <w:r w:rsidR="00DD6702" w:rsidRPr="0071546E">
        <w:rPr>
          <w:rFonts w:ascii="Arial" w:eastAsia="Times New Roman" w:hAnsi="Arial" w:cs="Arial"/>
          <w:color w:val="000000" w:themeColor="text1"/>
          <w:sz w:val="24"/>
          <w:szCs w:val="24"/>
          <w:lang w:eastAsia="en-GB"/>
        </w:rPr>
        <w:t>a</w:t>
      </w:r>
      <w:r w:rsidR="005A0152" w:rsidRPr="0071546E">
        <w:rPr>
          <w:rFonts w:ascii="Arial" w:eastAsia="Times New Roman" w:hAnsi="Arial" w:cs="Arial"/>
          <w:color w:val="000000" w:themeColor="text1"/>
          <w:sz w:val="24"/>
          <w:szCs w:val="24"/>
          <w:lang w:eastAsia="en-GB"/>
        </w:rPr>
        <w:t>tive cell</w:t>
      </w:r>
      <w:r w:rsidR="00DD6702" w:rsidRPr="0071546E">
        <w:rPr>
          <w:rFonts w:ascii="Arial" w:eastAsia="Times New Roman" w:hAnsi="Arial" w:cs="Arial"/>
          <w:color w:val="000000" w:themeColor="text1"/>
          <w:sz w:val="24"/>
          <w:szCs w:val="24"/>
          <w:lang w:eastAsia="en-GB"/>
        </w:rPr>
        <w:t xml:space="preserve"> </w:t>
      </w:r>
      <w:r w:rsidR="005A0152" w:rsidRPr="0071546E">
        <w:rPr>
          <w:rFonts w:ascii="Arial" w:eastAsia="Times New Roman" w:hAnsi="Arial" w:cs="Arial"/>
          <w:color w:val="000000" w:themeColor="text1"/>
          <w:sz w:val="24"/>
          <w:szCs w:val="24"/>
          <w:lang w:eastAsia="en-GB"/>
        </w:rPr>
        <w:t xml:space="preserve">walls at optimal concentrations (0.1-0.5 µM). </w:t>
      </w:r>
    </w:p>
    <w:p w:rsidR="00247E05" w:rsidRPr="0071546E" w:rsidRDefault="00247E05" w:rsidP="00D169D6">
      <w:pPr>
        <w:spacing w:after="0" w:line="480" w:lineRule="auto"/>
        <w:ind w:left="1021" w:right="454"/>
        <w:jc w:val="both"/>
        <w:rPr>
          <w:rFonts w:ascii="Arial" w:eastAsia="Times New Roman" w:hAnsi="Arial" w:cs="Arial"/>
          <w:color w:val="000000" w:themeColor="text1"/>
          <w:sz w:val="24"/>
          <w:szCs w:val="24"/>
          <w:lang w:eastAsia="en-GB"/>
        </w:rPr>
      </w:pPr>
    </w:p>
    <w:p w:rsidR="00247E05" w:rsidRPr="0071546E" w:rsidRDefault="00247E05" w:rsidP="00D169D6">
      <w:pPr>
        <w:spacing w:after="0" w:line="480" w:lineRule="auto"/>
        <w:ind w:left="1021" w:right="454"/>
        <w:jc w:val="both"/>
        <w:rPr>
          <w:rFonts w:ascii="Arial" w:eastAsia="Times New Roman" w:hAnsi="Arial" w:cs="Arial"/>
          <w:color w:val="000000" w:themeColor="text1"/>
          <w:sz w:val="24"/>
          <w:szCs w:val="24"/>
          <w:lang w:eastAsia="en-GB"/>
        </w:rPr>
      </w:pPr>
    </w:p>
    <w:p w:rsidR="005A0152" w:rsidRPr="0071546E" w:rsidRDefault="005A0152" w:rsidP="00247E05">
      <w:pPr>
        <w:spacing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The following unique properties make porphyrins most pref</w:t>
      </w:r>
      <w:r w:rsidR="00DD6702" w:rsidRPr="0071546E">
        <w:rPr>
          <w:rFonts w:ascii="Arial" w:eastAsia="Times New Roman" w:hAnsi="Arial" w:cs="Arial"/>
          <w:color w:val="000000" w:themeColor="text1"/>
          <w:sz w:val="24"/>
          <w:szCs w:val="24"/>
          <w:lang w:eastAsia="en-GB"/>
        </w:rPr>
        <w:t>er</w:t>
      </w:r>
      <w:r w:rsidRPr="0071546E">
        <w:rPr>
          <w:rFonts w:ascii="Arial" w:eastAsia="Times New Roman" w:hAnsi="Arial" w:cs="Arial"/>
          <w:color w:val="000000" w:themeColor="text1"/>
          <w:sz w:val="24"/>
          <w:szCs w:val="24"/>
          <w:lang w:eastAsia="en-GB"/>
        </w:rPr>
        <w:t>red PS for photodynamic therapy.</w:t>
      </w:r>
      <w:r w:rsidR="00247E05" w:rsidRPr="0071546E">
        <w:rPr>
          <w:rFonts w:ascii="Arial" w:eastAsia="Times New Roman" w:hAnsi="Arial" w:cs="Arial"/>
          <w:color w:val="000000" w:themeColor="text1"/>
          <w:sz w:val="24"/>
          <w:szCs w:val="24"/>
          <w:lang w:eastAsia="en-GB"/>
        </w:rPr>
        <w:t xml:space="preserve"> </w:t>
      </w:r>
      <w:r w:rsidRPr="0071546E">
        <w:rPr>
          <w:rFonts w:ascii="Arial" w:eastAsia="Times New Roman" w:hAnsi="Arial" w:cs="Arial"/>
          <w:color w:val="000000" w:themeColor="text1"/>
          <w:sz w:val="24"/>
          <w:szCs w:val="24"/>
          <w:lang w:eastAsia="en-GB"/>
        </w:rPr>
        <w:t>Porphyrins have shown remarkable low toxicity compared to other photosensitisers and can be synthesised to be soluble or insoluble in water (Mondal and Bera, 2014). They have a quick cle</w:t>
      </w:r>
      <w:r w:rsidR="00DD6702" w:rsidRPr="0071546E">
        <w:rPr>
          <w:rFonts w:ascii="Arial" w:eastAsia="Times New Roman" w:hAnsi="Arial" w:cs="Arial"/>
          <w:color w:val="000000" w:themeColor="text1"/>
          <w:sz w:val="24"/>
          <w:szCs w:val="24"/>
          <w:lang w:eastAsia="en-GB"/>
        </w:rPr>
        <w:t xml:space="preserve">arance time from the body which </w:t>
      </w:r>
      <w:r w:rsidRPr="0071546E">
        <w:rPr>
          <w:rFonts w:ascii="Arial" w:eastAsia="Times New Roman" w:hAnsi="Arial" w:cs="Arial"/>
          <w:color w:val="000000" w:themeColor="text1"/>
          <w:sz w:val="24"/>
          <w:szCs w:val="24"/>
          <w:lang w:eastAsia="en-GB"/>
        </w:rPr>
        <w:t>redu</w:t>
      </w:r>
      <w:r w:rsidR="00DD6702" w:rsidRPr="0071546E">
        <w:rPr>
          <w:rFonts w:ascii="Arial" w:eastAsia="Times New Roman" w:hAnsi="Arial" w:cs="Arial"/>
          <w:color w:val="000000" w:themeColor="text1"/>
          <w:sz w:val="24"/>
          <w:szCs w:val="24"/>
          <w:lang w:eastAsia="en-GB"/>
        </w:rPr>
        <w:t>c</w:t>
      </w:r>
      <w:r w:rsidRPr="0071546E">
        <w:rPr>
          <w:rFonts w:ascii="Arial" w:eastAsia="Times New Roman" w:hAnsi="Arial" w:cs="Arial"/>
          <w:color w:val="000000" w:themeColor="text1"/>
          <w:sz w:val="24"/>
          <w:szCs w:val="24"/>
          <w:lang w:eastAsia="en-GB"/>
        </w:rPr>
        <w:t>es the possibility of photosensitive reactions after treatment. (Macdonald and Dougherty, 2001). Furthermore, porphyrins posse</w:t>
      </w:r>
      <w:r w:rsidR="00DD6702" w:rsidRPr="0071546E">
        <w:rPr>
          <w:rFonts w:ascii="Arial" w:eastAsia="Times New Roman" w:hAnsi="Arial" w:cs="Arial"/>
          <w:color w:val="000000" w:themeColor="text1"/>
          <w:sz w:val="24"/>
          <w:szCs w:val="24"/>
          <w:lang w:eastAsia="en-GB"/>
        </w:rPr>
        <w:t>s</w:t>
      </w:r>
      <w:r w:rsidRPr="0071546E">
        <w:rPr>
          <w:rFonts w:ascii="Arial" w:eastAsia="Times New Roman" w:hAnsi="Arial" w:cs="Arial"/>
          <w:color w:val="000000" w:themeColor="text1"/>
          <w:sz w:val="24"/>
          <w:szCs w:val="24"/>
          <w:lang w:eastAsia="en-GB"/>
        </w:rPr>
        <w:t xml:space="preserve">s proficient amphiphilicity and can be chemically modified to have </w:t>
      </w:r>
      <w:r w:rsidR="00DD6702"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 xml:space="preserve">desired chemical properties (Lammer et al., 2015). Porphyrins compared to most photosensitisers have high quantum yield (above 0.70) for </w:t>
      </w:r>
      <w:r w:rsidRPr="0071546E">
        <w:rPr>
          <w:rFonts w:ascii="Arial" w:eastAsia="Times New Roman" w:hAnsi="Arial" w:cs="Arial"/>
          <w:color w:val="000000" w:themeColor="text1"/>
          <w:sz w:val="24"/>
          <w:szCs w:val="24"/>
          <w:vertAlign w:val="superscript"/>
          <w:lang w:eastAsia="en-GB"/>
        </w:rPr>
        <w:t>1</w:t>
      </w:r>
      <w:r w:rsidRPr="0071546E">
        <w:rPr>
          <w:rFonts w:ascii="Arial" w:eastAsia="Times New Roman" w:hAnsi="Arial" w:cs="Arial"/>
          <w:color w:val="000000" w:themeColor="text1"/>
          <w:sz w:val="24"/>
          <w:szCs w:val="24"/>
          <w:lang w:eastAsia="en-GB"/>
        </w:rPr>
        <w:t>O</w:t>
      </w:r>
      <w:r w:rsidRPr="0071546E">
        <w:rPr>
          <w:rFonts w:ascii="Arial" w:eastAsia="Times New Roman" w:hAnsi="Arial" w:cs="Arial"/>
          <w:color w:val="000000" w:themeColor="text1"/>
          <w:sz w:val="24"/>
          <w:szCs w:val="24"/>
          <w:vertAlign w:val="subscript"/>
          <w:lang w:eastAsia="en-GB"/>
        </w:rPr>
        <w:t>2</w:t>
      </w:r>
      <w:r w:rsidRPr="0071546E">
        <w:rPr>
          <w:rFonts w:ascii="Arial" w:eastAsia="Times New Roman" w:hAnsi="Arial" w:cs="Arial"/>
          <w:color w:val="000000" w:themeColor="text1"/>
          <w:sz w:val="24"/>
          <w:szCs w:val="24"/>
          <w:lang w:eastAsia="en-GB"/>
        </w:rPr>
        <w:t xml:space="preserve"> generation and the ex</w:t>
      </w:r>
      <w:r w:rsidR="00DD6702" w:rsidRPr="0071546E">
        <w:rPr>
          <w:rFonts w:ascii="Arial" w:eastAsia="Times New Roman" w:hAnsi="Arial" w:cs="Arial"/>
          <w:color w:val="000000" w:themeColor="text1"/>
          <w:sz w:val="24"/>
          <w:szCs w:val="24"/>
          <w:lang w:eastAsia="en-GB"/>
        </w:rPr>
        <w:t>h</w:t>
      </w:r>
      <w:r w:rsidRPr="0071546E">
        <w:rPr>
          <w:rFonts w:ascii="Arial" w:eastAsia="Times New Roman" w:hAnsi="Arial" w:cs="Arial"/>
          <w:color w:val="000000" w:themeColor="text1"/>
          <w:sz w:val="24"/>
          <w:szCs w:val="24"/>
          <w:lang w:eastAsia="en-GB"/>
        </w:rPr>
        <w:t>ibit one-photon absorption coefficient</w:t>
      </w:r>
      <w:r w:rsidRPr="0071546E">
        <w:rPr>
          <w:rFonts w:ascii="Arial" w:eastAsia="Times New Roman" w:hAnsi="Arial" w:cs="Arial"/>
          <w:color w:val="000000" w:themeColor="text1"/>
          <w:sz w:val="24"/>
          <w:szCs w:val="24"/>
          <w:lang w:val="en" w:eastAsia="en-GB"/>
        </w:rPr>
        <w:t xml:space="preserve"> (≈500,000 M</w:t>
      </w:r>
      <w:r w:rsidRPr="0071546E">
        <w:rPr>
          <w:rFonts w:ascii="Arial" w:eastAsia="Times New Roman" w:hAnsi="Arial" w:cs="Arial"/>
          <w:color w:val="000000" w:themeColor="text1"/>
          <w:sz w:val="24"/>
          <w:szCs w:val="24"/>
          <w:vertAlign w:val="superscript"/>
          <w:lang w:val="en" w:eastAsia="en-GB"/>
        </w:rPr>
        <w:t>−1</w:t>
      </w:r>
      <w:r w:rsidRPr="0071546E">
        <w:rPr>
          <w:rFonts w:ascii="Arial" w:eastAsia="Times New Roman" w:hAnsi="Arial" w:cs="Arial"/>
          <w:color w:val="000000" w:themeColor="text1"/>
          <w:sz w:val="24"/>
          <w:szCs w:val="24"/>
          <w:lang w:val="en" w:eastAsia="en-GB"/>
        </w:rPr>
        <w:t>cm</w:t>
      </w:r>
      <w:r w:rsidRPr="0071546E">
        <w:rPr>
          <w:rFonts w:ascii="Arial" w:eastAsia="Times New Roman" w:hAnsi="Arial" w:cs="Arial"/>
          <w:color w:val="000000" w:themeColor="text1"/>
          <w:sz w:val="24"/>
          <w:szCs w:val="24"/>
          <w:vertAlign w:val="superscript"/>
          <w:lang w:val="en" w:eastAsia="en-GB"/>
        </w:rPr>
        <w:t>−1</w:t>
      </w:r>
      <w:r w:rsidRPr="0071546E">
        <w:rPr>
          <w:rFonts w:ascii="Arial" w:eastAsia="Times New Roman" w:hAnsi="Arial" w:cs="Arial"/>
          <w:color w:val="000000" w:themeColor="text1"/>
          <w:sz w:val="24"/>
          <w:szCs w:val="24"/>
          <w:lang w:val="en" w:eastAsia="en-GB"/>
        </w:rPr>
        <w:t>)</w:t>
      </w:r>
      <w:r w:rsidRPr="0071546E">
        <w:rPr>
          <w:rFonts w:ascii="Arial" w:eastAsia="Times New Roman" w:hAnsi="Arial" w:cs="Arial"/>
          <w:color w:val="000000" w:themeColor="text1"/>
          <w:sz w:val="24"/>
          <w:szCs w:val="24"/>
          <w:lang w:eastAsia="en-GB"/>
        </w:rPr>
        <w:t>. Porphyrins also have high binding affinity to biomolecules (Nyman and Hynninen, 2004; Kou, Dou and Yang, 2017). Lastly, porphyrins have a therapeutic window, which is capable of killing even multi-drug resistant bacteria with limited toxicity to culture</w:t>
      </w:r>
      <w:r w:rsidR="00563D9A" w:rsidRPr="0071546E">
        <w:rPr>
          <w:rFonts w:ascii="Arial" w:eastAsia="Times New Roman" w:hAnsi="Arial" w:cs="Arial"/>
          <w:color w:val="000000" w:themeColor="text1"/>
          <w:sz w:val="24"/>
          <w:szCs w:val="24"/>
          <w:lang w:eastAsia="en-GB"/>
        </w:rPr>
        <w:t>d</w:t>
      </w:r>
      <w:r w:rsidRPr="0071546E">
        <w:rPr>
          <w:rFonts w:ascii="Arial" w:eastAsia="Times New Roman" w:hAnsi="Arial" w:cs="Arial"/>
          <w:color w:val="000000" w:themeColor="text1"/>
          <w:sz w:val="24"/>
          <w:szCs w:val="24"/>
          <w:lang w:eastAsia="en-GB"/>
        </w:rPr>
        <w:t xml:space="preserve"> human cells (Singh et al., 2015; Hamblin, 2016).</w:t>
      </w:r>
    </w:p>
    <w:p w:rsidR="00C310F1" w:rsidRPr="0071546E" w:rsidRDefault="00247E05" w:rsidP="00B2538C">
      <w:pPr>
        <w:spacing w:after="0" w:line="480" w:lineRule="auto"/>
        <w:ind w:left="1021" w:right="454"/>
        <w:jc w:val="both"/>
        <w:rPr>
          <w:rFonts w:ascii="Arial" w:eastAsia="Times New Roman" w:hAnsi="Arial" w:cs="Arial"/>
          <w:color w:val="000000" w:themeColor="text1"/>
          <w:sz w:val="24"/>
          <w:szCs w:val="24"/>
          <w:lang w:eastAsia="en-GB"/>
        </w:rPr>
      </w:pPr>
      <w:r w:rsidRPr="0071546E">
        <w:rPr>
          <w:noProof/>
          <w:lang w:eastAsia="en-GB"/>
        </w:rPr>
        <w:drawing>
          <wp:inline distT="0" distB="0" distL="0" distR="0" wp14:anchorId="76EDC3AA" wp14:editId="15CF3338">
            <wp:extent cx="5075913" cy="4863402"/>
            <wp:effectExtent l="0" t="0" r="0" b="0"/>
            <wp:docPr id="97" name="Picture 2" descr="A close up of a logo&#10;&#10;Description automatically generated">
              <a:extLst xmlns:a="http://schemas.openxmlformats.org/drawingml/2006/main">
                <a:ext uri="{FF2B5EF4-FFF2-40B4-BE49-F238E27FC236}">
                  <a16:creationId xmlns:a16="http://schemas.microsoft.com/office/drawing/2014/main" id="{45B25666-7718-49CF-9AE8-F9B8926D0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logo&#10;&#10;Description automatically generated">
                      <a:extLst>
                        <a:ext uri="{FF2B5EF4-FFF2-40B4-BE49-F238E27FC236}">
                          <a16:creationId xmlns:a16="http://schemas.microsoft.com/office/drawing/2014/main" id="{45B25666-7718-49CF-9AE8-F9B8926D029A}"/>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087155" cy="4874173"/>
                    </a:xfrm>
                    <a:prstGeom prst="rect">
                      <a:avLst/>
                    </a:prstGeom>
                  </pic:spPr>
                </pic:pic>
              </a:graphicData>
            </a:graphic>
          </wp:inline>
        </w:drawing>
      </w:r>
    </w:p>
    <w:p w:rsidR="00247E05" w:rsidRPr="0071546E" w:rsidRDefault="005A0152" w:rsidP="00C310F1">
      <w:pPr>
        <w:spacing w:after="0" w:line="240" w:lineRule="auto"/>
        <w:ind w:left="1021" w:right="454"/>
        <w:jc w:val="both"/>
        <w:rPr>
          <w:rFonts w:ascii="Arial" w:eastAsia="Times New Roman" w:hAnsi="Arial" w:cs="Arial"/>
          <w:color w:val="000000" w:themeColor="text1"/>
          <w:sz w:val="20"/>
          <w:szCs w:val="20"/>
          <w:lang w:eastAsia="en-GB"/>
        </w:rPr>
      </w:pPr>
      <w:r w:rsidRPr="0071546E">
        <w:rPr>
          <w:rFonts w:ascii="Arial" w:eastAsia="Times New Roman" w:hAnsi="Arial" w:cs="Arial"/>
          <w:color w:val="000000" w:themeColor="text1"/>
          <w:sz w:val="20"/>
          <w:szCs w:val="20"/>
          <w:lang w:eastAsia="en-GB"/>
        </w:rPr>
        <w:t>Fig 1.1</w:t>
      </w:r>
      <w:r w:rsidR="00C84123" w:rsidRPr="0071546E">
        <w:rPr>
          <w:rFonts w:ascii="Arial" w:eastAsia="Times New Roman" w:hAnsi="Arial" w:cs="Arial"/>
          <w:color w:val="000000" w:themeColor="text1"/>
          <w:sz w:val="20"/>
          <w:szCs w:val="20"/>
          <w:lang w:eastAsia="en-GB"/>
        </w:rPr>
        <w:t>3</w:t>
      </w:r>
      <w:r w:rsidRPr="0071546E">
        <w:rPr>
          <w:rFonts w:ascii="Arial" w:eastAsia="Times New Roman" w:hAnsi="Arial" w:cs="Arial"/>
          <w:color w:val="000000" w:themeColor="text1"/>
          <w:sz w:val="20"/>
          <w:szCs w:val="20"/>
          <w:lang w:eastAsia="en-GB"/>
        </w:rPr>
        <w:t xml:space="preserve"> </w:t>
      </w:r>
      <w:r w:rsidR="00247E05" w:rsidRPr="0071546E">
        <w:rPr>
          <w:rFonts w:ascii="Arial" w:eastAsia="Times New Roman" w:hAnsi="Arial" w:cs="Arial"/>
          <w:color w:val="000000" w:themeColor="text1"/>
          <w:sz w:val="20"/>
          <w:szCs w:val="20"/>
          <w:lang w:eastAsia="en-GB"/>
        </w:rPr>
        <w:t xml:space="preserve">Porphyrin based photosensitizers are classified as belonging to the first, second or third generation of photosensitizers, or depending on the platform to which they belong (porphyrin, chlorophyll, dyes) (Allison et al., 2004). The </w:t>
      </w:r>
      <w:r w:rsidR="00160E14" w:rsidRPr="0071546E">
        <w:rPr>
          <w:rFonts w:ascii="Arial" w:eastAsia="Times New Roman" w:hAnsi="Arial" w:cs="Arial"/>
          <w:color w:val="000000" w:themeColor="text1"/>
          <w:sz w:val="20"/>
          <w:szCs w:val="20"/>
          <w:lang w:eastAsia="en-GB"/>
        </w:rPr>
        <w:t>first-generation</w:t>
      </w:r>
      <w:r w:rsidR="00247E05" w:rsidRPr="0071546E">
        <w:rPr>
          <w:rFonts w:ascii="Arial" w:eastAsia="Times New Roman" w:hAnsi="Arial" w:cs="Arial"/>
          <w:color w:val="000000" w:themeColor="text1"/>
          <w:sz w:val="20"/>
          <w:szCs w:val="20"/>
          <w:lang w:eastAsia="en-GB"/>
        </w:rPr>
        <w:t xml:space="preserve"> photosensitizers comprise of the only hematoporphyrin derivatives and were developed in the ’70s. </w:t>
      </w:r>
      <w:r w:rsidR="00160E14" w:rsidRPr="0071546E">
        <w:rPr>
          <w:rFonts w:ascii="Arial" w:eastAsia="Times New Roman" w:hAnsi="Arial" w:cs="Arial"/>
          <w:color w:val="000000" w:themeColor="text1"/>
          <w:sz w:val="20"/>
          <w:szCs w:val="20"/>
          <w:lang w:eastAsia="en-GB"/>
        </w:rPr>
        <w:t>T</w:t>
      </w:r>
      <w:r w:rsidR="00247E05" w:rsidRPr="0071546E">
        <w:rPr>
          <w:rFonts w:ascii="Arial" w:eastAsia="Times New Roman" w:hAnsi="Arial" w:cs="Arial"/>
          <w:color w:val="000000" w:themeColor="text1"/>
          <w:sz w:val="20"/>
          <w:szCs w:val="20"/>
          <w:lang w:eastAsia="en-GB"/>
        </w:rPr>
        <w:t xml:space="preserve">he </w:t>
      </w:r>
      <w:r w:rsidR="00160E14" w:rsidRPr="0071546E">
        <w:rPr>
          <w:rFonts w:ascii="Arial" w:eastAsia="Times New Roman" w:hAnsi="Arial" w:cs="Arial"/>
          <w:color w:val="000000" w:themeColor="text1"/>
          <w:sz w:val="20"/>
          <w:szCs w:val="20"/>
          <w:lang w:eastAsia="en-GB"/>
        </w:rPr>
        <w:t>second-generation</w:t>
      </w:r>
      <w:r w:rsidR="00247E05" w:rsidRPr="0071546E">
        <w:rPr>
          <w:rFonts w:ascii="Arial" w:eastAsia="Times New Roman" w:hAnsi="Arial" w:cs="Arial"/>
          <w:color w:val="000000" w:themeColor="text1"/>
          <w:sz w:val="20"/>
          <w:szCs w:val="20"/>
          <w:lang w:eastAsia="en-GB"/>
        </w:rPr>
        <w:t xml:space="preserve"> </w:t>
      </w:r>
      <w:r w:rsidR="00160E14" w:rsidRPr="0071546E">
        <w:rPr>
          <w:rFonts w:ascii="Arial" w:eastAsia="Times New Roman" w:hAnsi="Arial" w:cs="Arial"/>
          <w:color w:val="000000" w:themeColor="text1"/>
          <w:sz w:val="20"/>
          <w:szCs w:val="20"/>
          <w:lang w:eastAsia="en-GB"/>
        </w:rPr>
        <w:t>sensitizers</w:t>
      </w:r>
      <w:r w:rsidR="00247E05" w:rsidRPr="0071546E">
        <w:rPr>
          <w:rFonts w:ascii="Arial" w:eastAsia="Times New Roman" w:hAnsi="Arial" w:cs="Arial"/>
          <w:color w:val="000000" w:themeColor="text1"/>
          <w:sz w:val="20"/>
          <w:szCs w:val="20"/>
          <w:lang w:eastAsia="en-GB"/>
        </w:rPr>
        <w:t xml:space="preserve"> are the porphyrin derivatives synthesised during the ‘80s</w:t>
      </w:r>
      <w:r w:rsidR="00EF5B0C" w:rsidRPr="0071546E">
        <w:rPr>
          <w:rFonts w:ascii="Arial" w:eastAsia="Times New Roman" w:hAnsi="Arial" w:cs="Arial"/>
          <w:color w:val="000000" w:themeColor="text1"/>
          <w:sz w:val="20"/>
          <w:szCs w:val="20"/>
          <w:lang w:eastAsia="en-GB"/>
        </w:rPr>
        <w:t>. Image adapted from (Socoteanu et al., 2011)</w:t>
      </w:r>
    </w:p>
    <w:p w:rsidR="00247E05" w:rsidRPr="0071546E" w:rsidRDefault="00247E05" w:rsidP="00C310F1">
      <w:pPr>
        <w:spacing w:after="0" w:line="240" w:lineRule="auto"/>
        <w:ind w:left="1021" w:right="454"/>
        <w:jc w:val="both"/>
        <w:rPr>
          <w:rFonts w:ascii="Arial" w:eastAsia="Times New Roman" w:hAnsi="Arial" w:cs="Arial"/>
          <w:color w:val="000000" w:themeColor="text1"/>
          <w:sz w:val="20"/>
          <w:szCs w:val="20"/>
          <w:lang w:eastAsia="en-GB"/>
        </w:rPr>
      </w:pPr>
    </w:p>
    <w:p w:rsidR="00247E05" w:rsidRPr="0071546E" w:rsidRDefault="00247E05" w:rsidP="00C310F1">
      <w:pPr>
        <w:spacing w:after="0" w:line="240" w:lineRule="auto"/>
        <w:ind w:left="1021" w:right="454"/>
        <w:jc w:val="both"/>
        <w:rPr>
          <w:rFonts w:ascii="Arial" w:eastAsia="Times New Roman" w:hAnsi="Arial" w:cs="Arial"/>
          <w:color w:val="000000" w:themeColor="text1"/>
          <w:sz w:val="24"/>
          <w:szCs w:val="24"/>
          <w:lang w:eastAsia="en-GB"/>
        </w:rPr>
      </w:pPr>
    </w:p>
    <w:p w:rsidR="00247E05" w:rsidRPr="0071546E" w:rsidRDefault="00247E05" w:rsidP="00C310F1">
      <w:pPr>
        <w:spacing w:after="0" w:line="240" w:lineRule="auto"/>
        <w:ind w:left="1021" w:right="454"/>
        <w:jc w:val="both"/>
        <w:rPr>
          <w:rFonts w:ascii="Arial" w:eastAsia="Times New Roman" w:hAnsi="Arial" w:cs="Arial"/>
          <w:color w:val="000000" w:themeColor="text1"/>
          <w:sz w:val="24"/>
          <w:szCs w:val="24"/>
          <w:lang w:eastAsia="en-GB"/>
        </w:rPr>
      </w:pPr>
    </w:p>
    <w:p w:rsidR="00247E05" w:rsidRPr="0071546E" w:rsidRDefault="00247E05" w:rsidP="00C310F1">
      <w:pPr>
        <w:spacing w:after="0" w:line="240" w:lineRule="auto"/>
        <w:ind w:left="1021" w:right="454"/>
        <w:jc w:val="both"/>
        <w:rPr>
          <w:rFonts w:ascii="Arial" w:eastAsia="Times New Roman" w:hAnsi="Arial" w:cs="Arial"/>
          <w:color w:val="000000" w:themeColor="text1"/>
          <w:sz w:val="24"/>
          <w:szCs w:val="24"/>
          <w:lang w:eastAsia="en-GB"/>
        </w:rPr>
      </w:pPr>
    </w:p>
    <w:p w:rsidR="00247E05" w:rsidRPr="0071546E" w:rsidRDefault="00247E05" w:rsidP="00C310F1">
      <w:pPr>
        <w:spacing w:after="0" w:line="240" w:lineRule="auto"/>
        <w:ind w:left="1021" w:right="454"/>
        <w:jc w:val="both"/>
        <w:rPr>
          <w:rFonts w:ascii="Arial" w:eastAsia="Times New Roman" w:hAnsi="Arial" w:cs="Arial"/>
          <w:color w:val="000000" w:themeColor="text1"/>
          <w:sz w:val="24"/>
          <w:szCs w:val="24"/>
          <w:lang w:eastAsia="en-GB"/>
        </w:rPr>
      </w:pPr>
    </w:p>
    <w:p w:rsidR="00247E05" w:rsidRPr="0071546E" w:rsidRDefault="00247E05" w:rsidP="00C310F1">
      <w:pPr>
        <w:spacing w:after="0" w:line="240" w:lineRule="auto"/>
        <w:ind w:left="1021" w:right="454"/>
        <w:jc w:val="both"/>
        <w:rPr>
          <w:rFonts w:ascii="Arial" w:eastAsia="Times New Roman" w:hAnsi="Arial" w:cs="Arial"/>
          <w:color w:val="000000" w:themeColor="text1"/>
          <w:sz w:val="24"/>
          <w:szCs w:val="24"/>
          <w:lang w:eastAsia="en-GB"/>
        </w:rPr>
      </w:pPr>
    </w:p>
    <w:p w:rsidR="00247E05" w:rsidRPr="0071546E" w:rsidRDefault="00247E05" w:rsidP="00C310F1">
      <w:pPr>
        <w:spacing w:after="0" w:line="240" w:lineRule="auto"/>
        <w:ind w:left="1021" w:right="454"/>
        <w:jc w:val="both"/>
        <w:rPr>
          <w:rFonts w:ascii="Arial" w:eastAsia="Times New Roman" w:hAnsi="Arial" w:cs="Arial"/>
          <w:color w:val="000000" w:themeColor="text1"/>
          <w:sz w:val="24"/>
          <w:szCs w:val="24"/>
          <w:lang w:eastAsia="en-GB"/>
        </w:rPr>
      </w:pPr>
    </w:p>
    <w:p w:rsidR="00247E05" w:rsidRPr="0071546E" w:rsidRDefault="00247E05" w:rsidP="00C310F1">
      <w:pPr>
        <w:spacing w:after="0" w:line="240" w:lineRule="auto"/>
        <w:ind w:left="1021" w:right="454"/>
        <w:jc w:val="both"/>
        <w:rPr>
          <w:rFonts w:ascii="Arial" w:eastAsia="Times New Roman" w:hAnsi="Arial" w:cs="Arial"/>
          <w:color w:val="000000" w:themeColor="text1"/>
          <w:sz w:val="24"/>
          <w:szCs w:val="24"/>
          <w:lang w:eastAsia="en-GB"/>
        </w:rPr>
      </w:pPr>
    </w:p>
    <w:tbl>
      <w:tblPr>
        <w:tblStyle w:val="ListTable6Colorful13"/>
        <w:tblW w:w="0" w:type="auto"/>
        <w:tblInd w:w="851" w:type="dxa"/>
        <w:tblLook w:val="04A0" w:firstRow="1" w:lastRow="0" w:firstColumn="1" w:lastColumn="0" w:noHBand="0" w:noVBand="1"/>
      </w:tblPr>
      <w:tblGrid>
        <w:gridCol w:w="7654"/>
      </w:tblGrid>
      <w:tr w:rsidR="002F2243" w:rsidRPr="0071546E" w:rsidTr="003A08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4" w:type="dxa"/>
          </w:tcPr>
          <w:p w:rsidR="002F2243" w:rsidRPr="0071546E" w:rsidRDefault="002F2243" w:rsidP="00CF13FE">
            <w:pPr>
              <w:spacing w:line="480" w:lineRule="auto"/>
              <w:ind w:left="1021" w:right="454"/>
              <w:jc w:val="both"/>
              <w:rPr>
                <w:rFonts w:ascii="Arial" w:hAnsi="Arial" w:cs="Arial"/>
                <w:sz w:val="24"/>
                <w:szCs w:val="24"/>
              </w:rPr>
            </w:pPr>
            <w:r w:rsidRPr="0071546E">
              <w:rPr>
                <w:rFonts w:ascii="Arial" w:eastAsiaTheme="minorHAnsi" w:hAnsi="Arial" w:cs="Arial"/>
                <w:b w:val="0"/>
                <w:bCs w:val="0"/>
                <w:color w:val="auto"/>
                <w:sz w:val="24"/>
                <w:szCs w:val="24"/>
              </w:rPr>
              <w:object w:dxaOrig="5853" w:dyaOrig="3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141pt" o:ole="">
                  <v:imagedata r:id="rId29" o:title=""/>
                </v:shape>
                <o:OLEObject Type="Embed" ProgID="ChemDraw.Document.6.0" ShapeID="_x0000_i1025" DrawAspect="Content" ObjectID="_1649004612" r:id="rId30"/>
              </w:object>
            </w:r>
          </w:p>
        </w:tc>
      </w:tr>
      <w:tr w:rsidR="002F2243" w:rsidRPr="0071546E" w:rsidTr="003A0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4" w:type="dxa"/>
          </w:tcPr>
          <w:p w:rsidR="002F2243" w:rsidRPr="0071546E" w:rsidRDefault="002F2243" w:rsidP="00CF13FE">
            <w:pPr>
              <w:spacing w:line="360" w:lineRule="auto"/>
              <w:ind w:left="1021" w:right="454"/>
              <w:jc w:val="both"/>
              <w:rPr>
                <w:rFonts w:ascii="Arial" w:eastAsia="Times New Roman" w:hAnsi="Arial" w:cs="Arial"/>
                <w:b w:val="0"/>
                <w:color w:val="auto"/>
                <w:sz w:val="24"/>
                <w:szCs w:val="24"/>
                <w:lang w:eastAsia="en-GB"/>
              </w:rPr>
            </w:pPr>
            <w:r w:rsidRPr="0071546E">
              <w:rPr>
                <w:rFonts w:ascii="Arial" w:eastAsia="Times New Roman" w:hAnsi="Arial" w:cs="Arial"/>
                <w:b w:val="0"/>
                <w:sz w:val="24"/>
                <w:szCs w:val="24"/>
                <w:lang w:eastAsia="en-GB"/>
              </w:rPr>
              <w:t>5, 10, 15, 20-Tetraphenyl-21H, 23H-porphine (meso-tetra phynylporphyrin)</w:t>
            </w:r>
          </w:p>
        </w:tc>
      </w:tr>
    </w:tbl>
    <w:p w:rsidR="002F2243" w:rsidRPr="0071546E" w:rsidRDefault="002F2243" w:rsidP="00CF13FE">
      <w:pPr>
        <w:spacing w:after="0" w:line="240" w:lineRule="auto"/>
        <w:ind w:left="1021" w:right="454"/>
        <w:jc w:val="both"/>
        <w:rPr>
          <w:rFonts w:ascii="Arial" w:eastAsia="Times New Roman" w:hAnsi="Arial" w:cs="Arial"/>
          <w:sz w:val="24"/>
          <w:szCs w:val="24"/>
          <w:lang w:eastAsia="en-GB"/>
        </w:rPr>
      </w:pPr>
    </w:p>
    <w:p w:rsidR="00725033" w:rsidRPr="0071546E" w:rsidRDefault="002F2243" w:rsidP="00CF13FE">
      <w:pPr>
        <w:spacing w:after="0" w:line="240" w:lineRule="auto"/>
        <w:ind w:left="1021" w:right="454"/>
        <w:jc w:val="both"/>
        <w:rPr>
          <w:rFonts w:ascii="Arial" w:eastAsia="Times New Roman" w:hAnsi="Arial" w:cs="Arial"/>
          <w:sz w:val="20"/>
          <w:szCs w:val="20"/>
          <w:lang w:eastAsia="en-GB"/>
        </w:rPr>
      </w:pPr>
      <w:r w:rsidRPr="0071546E">
        <w:rPr>
          <w:rFonts w:ascii="Arial" w:eastAsia="Times New Roman" w:hAnsi="Arial" w:cs="Arial"/>
          <w:sz w:val="20"/>
          <w:szCs w:val="20"/>
          <w:lang w:eastAsia="en-GB"/>
        </w:rPr>
        <w:t xml:space="preserve">Fig </w:t>
      </w:r>
      <w:r w:rsidR="00AA5453" w:rsidRPr="0071546E">
        <w:rPr>
          <w:rFonts w:ascii="Arial" w:eastAsia="Times New Roman" w:hAnsi="Arial" w:cs="Arial"/>
          <w:sz w:val="20"/>
          <w:szCs w:val="20"/>
          <w:lang w:eastAsia="en-GB"/>
        </w:rPr>
        <w:t>1.1</w:t>
      </w:r>
      <w:r w:rsidR="00C84123" w:rsidRPr="0071546E">
        <w:rPr>
          <w:rFonts w:ascii="Arial" w:eastAsia="Times New Roman" w:hAnsi="Arial" w:cs="Arial"/>
          <w:sz w:val="20"/>
          <w:szCs w:val="20"/>
          <w:lang w:eastAsia="en-GB"/>
        </w:rPr>
        <w:t>4</w:t>
      </w:r>
      <w:r w:rsidR="008C5542" w:rsidRPr="0071546E">
        <w:rPr>
          <w:rFonts w:ascii="Arial" w:eastAsia="Times New Roman" w:hAnsi="Arial" w:cs="Arial"/>
          <w:sz w:val="20"/>
          <w:szCs w:val="20"/>
          <w:lang w:eastAsia="en-GB"/>
        </w:rPr>
        <w:t xml:space="preserve"> A Benzylic group attached to the</w:t>
      </w:r>
      <w:r w:rsidR="00725033" w:rsidRPr="0071546E">
        <w:rPr>
          <w:rFonts w:ascii="Arial" w:eastAsia="Times New Roman" w:hAnsi="Arial" w:cs="Arial"/>
          <w:sz w:val="20"/>
          <w:szCs w:val="20"/>
          <w:lang w:eastAsia="en-GB"/>
        </w:rPr>
        <w:t xml:space="preserve"> nitrogen atoms of the pyrid</w:t>
      </w:r>
      <w:r w:rsidRPr="0071546E">
        <w:rPr>
          <w:rFonts w:ascii="Arial" w:eastAsia="Times New Roman" w:hAnsi="Arial" w:cs="Arial"/>
          <w:sz w:val="20"/>
          <w:szCs w:val="20"/>
          <w:lang w:eastAsia="en-GB"/>
        </w:rPr>
        <w:t>yl residues located at the meso</w:t>
      </w:r>
      <w:r w:rsidR="00725033" w:rsidRPr="0071546E">
        <w:rPr>
          <w:rFonts w:ascii="Arial" w:eastAsia="Times New Roman" w:hAnsi="Arial" w:cs="Arial"/>
          <w:sz w:val="20"/>
          <w:szCs w:val="20"/>
          <w:lang w:eastAsia="en-GB"/>
        </w:rPr>
        <w:t>porphyrin positions. Attached to the mother porphyrin molecule is a non-polar benzene ring.</w:t>
      </w:r>
    </w:p>
    <w:p w:rsidR="002F2243" w:rsidRPr="0071546E" w:rsidRDefault="002F2243" w:rsidP="00C51246">
      <w:pPr>
        <w:spacing w:after="0" w:line="240" w:lineRule="auto"/>
        <w:ind w:right="454"/>
        <w:jc w:val="both"/>
        <w:rPr>
          <w:rFonts w:ascii="Arial" w:eastAsia="Times New Roman" w:hAnsi="Arial" w:cs="Arial"/>
          <w:sz w:val="24"/>
          <w:szCs w:val="24"/>
          <w:lang w:eastAsia="en-GB"/>
        </w:rPr>
      </w:pPr>
    </w:p>
    <w:p w:rsidR="002F2243" w:rsidRPr="0071546E" w:rsidRDefault="002F2243" w:rsidP="00CF13FE">
      <w:pPr>
        <w:spacing w:after="0" w:line="240" w:lineRule="auto"/>
        <w:ind w:left="1021" w:right="454"/>
        <w:jc w:val="both"/>
        <w:rPr>
          <w:rFonts w:ascii="Arial" w:eastAsia="Times New Roman" w:hAnsi="Arial" w:cs="Arial"/>
          <w:sz w:val="24"/>
          <w:szCs w:val="24"/>
          <w:lang w:eastAsia="en-GB"/>
        </w:rPr>
      </w:pPr>
    </w:p>
    <w:p w:rsidR="002F2243" w:rsidRPr="0071546E" w:rsidRDefault="002F2243" w:rsidP="00CF13FE">
      <w:pPr>
        <w:spacing w:after="0" w:line="240" w:lineRule="auto"/>
        <w:ind w:left="1021" w:right="454"/>
        <w:jc w:val="both"/>
        <w:rPr>
          <w:rFonts w:ascii="Arial" w:eastAsia="Times New Roman" w:hAnsi="Arial" w:cs="Arial"/>
          <w:sz w:val="24"/>
          <w:szCs w:val="24"/>
          <w:lang w:eastAsia="en-GB"/>
        </w:rPr>
      </w:pPr>
    </w:p>
    <w:p w:rsidR="002F2243" w:rsidRPr="0071546E" w:rsidRDefault="002F2243" w:rsidP="00CF13FE">
      <w:pPr>
        <w:spacing w:after="0" w:line="240" w:lineRule="auto"/>
        <w:ind w:left="1021" w:right="454"/>
        <w:jc w:val="both"/>
        <w:rPr>
          <w:rFonts w:ascii="Arial" w:eastAsia="Times New Roman" w:hAnsi="Arial" w:cs="Arial"/>
          <w:sz w:val="24"/>
          <w:szCs w:val="24"/>
          <w:lang w:eastAsia="en-GB"/>
        </w:rPr>
      </w:pPr>
    </w:p>
    <w:tbl>
      <w:tblPr>
        <w:tblStyle w:val="ListTable6Colorful2"/>
        <w:tblW w:w="0" w:type="auto"/>
        <w:tblInd w:w="993" w:type="dxa"/>
        <w:tblLook w:val="04A0" w:firstRow="1" w:lastRow="0" w:firstColumn="1" w:lastColumn="0" w:noHBand="0" w:noVBand="1"/>
      </w:tblPr>
      <w:tblGrid>
        <w:gridCol w:w="7796"/>
      </w:tblGrid>
      <w:tr w:rsidR="002F2243" w:rsidRPr="0071546E" w:rsidTr="00247E05">
        <w:trPr>
          <w:cnfStyle w:val="100000000000" w:firstRow="1" w:lastRow="0" w:firstColumn="0" w:lastColumn="0" w:oddVBand="0" w:evenVBand="0" w:oddHBand="0" w:evenHBand="0" w:firstRowFirstColumn="0" w:firstRowLastColumn="0" w:lastRowFirstColumn="0" w:lastRowLastColumn="0"/>
          <w:trHeight w:val="3710"/>
        </w:trPr>
        <w:tc>
          <w:tcPr>
            <w:cnfStyle w:val="001000000000" w:firstRow="0" w:lastRow="0" w:firstColumn="1" w:lastColumn="0" w:oddVBand="0" w:evenVBand="0" w:oddHBand="0" w:evenHBand="0" w:firstRowFirstColumn="0" w:firstRowLastColumn="0" w:lastRowFirstColumn="0" w:lastRowLastColumn="0"/>
            <w:tcW w:w="7796" w:type="dxa"/>
          </w:tcPr>
          <w:p w:rsidR="002F2243" w:rsidRPr="0071546E" w:rsidRDefault="00695651" w:rsidP="00247E05">
            <w:pPr>
              <w:ind w:right="454"/>
              <w:jc w:val="both"/>
              <w:rPr>
                <w:rFonts w:ascii="Arial" w:eastAsia="Times New Roman" w:hAnsi="Arial" w:cs="Arial"/>
                <w:sz w:val="24"/>
                <w:szCs w:val="24"/>
                <w:lang w:eastAsia="en-GB"/>
              </w:rPr>
            </w:pPr>
            <w:r w:rsidRPr="0071546E">
              <w:rPr>
                <w:rFonts w:eastAsiaTheme="minorHAnsi"/>
                <w:b w:val="0"/>
                <w:bCs w:val="0"/>
                <w:color w:val="auto"/>
                <w:sz w:val="22"/>
                <w:szCs w:val="22"/>
              </w:rPr>
              <w:object w:dxaOrig="6960" w:dyaOrig="3334">
                <v:shape id="_x0000_i1026" type="#_x0000_t75" style="width:347.25pt;height:168pt" o:ole="">
                  <v:imagedata r:id="rId31" o:title=""/>
                </v:shape>
                <o:OLEObject Type="Embed" ProgID="ChemDraw.Document.6.0" ShapeID="_x0000_i1026" DrawAspect="Content" ObjectID="_1649004613" r:id="rId32"/>
              </w:object>
            </w:r>
          </w:p>
        </w:tc>
      </w:tr>
      <w:tr w:rsidR="002F2243" w:rsidRPr="0071546E" w:rsidTr="00247E05">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7796" w:type="dxa"/>
          </w:tcPr>
          <w:p w:rsidR="002F2243" w:rsidRPr="0071546E" w:rsidRDefault="00695651" w:rsidP="00CF13FE">
            <w:pPr>
              <w:ind w:left="1021" w:right="454"/>
              <w:jc w:val="both"/>
              <w:rPr>
                <w:rFonts w:ascii="Arial" w:eastAsia="Times New Roman" w:hAnsi="Arial" w:cs="Arial"/>
                <w:b w:val="0"/>
                <w:sz w:val="24"/>
                <w:szCs w:val="24"/>
                <w:lang w:eastAsia="en-GB"/>
              </w:rPr>
            </w:pPr>
            <w:r w:rsidRPr="0071546E">
              <w:rPr>
                <w:rFonts w:ascii="Arial" w:hAnsi="Arial" w:cs="Arial"/>
                <w:b w:val="0"/>
                <w:bCs w:val="0"/>
                <w:sz w:val="24"/>
                <w:szCs w:val="24"/>
              </w:rPr>
              <w:t>5, 10, 15, 20- tetrakis (pentafluorophenyl)-21H, 23H-porphine Iron (III) chloride</w:t>
            </w:r>
            <w:r w:rsidR="002F2243" w:rsidRPr="0071546E">
              <w:rPr>
                <w:rFonts w:ascii="Arial" w:hAnsi="Arial" w:cs="Arial"/>
                <w:b w:val="0"/>
                <w:bCs w:val="0"/>
                <w:sz w:val="24"/>
                <w:szCs w:val="24"/>
              </w:rPr>
              <w:t>].</w:t>
            </w:r>
          </w:p>
        </w:tc>
      </w:tr>
    </w:tbl>
    <w:p w:rsidR="002F2243" w:rsidRPr="0071546E" w:rsidRDefault="002F2243" w:rsidP="00CF13FE">
      <w:pPr>
        <w:spacing w:after="0" w:line="24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CF13FE">
      <w:pPr>
        <w:spacing w:after="0" w:line="240" w:lineRule="auto"/>
        <w:ind w:left="1021" w:right="454"/>
        <w:jc w:val="both"/>
        <w:rPr>
          <w:rFonts w:ascii="Arial" w:hAnsi="Arial" w:cs="Arial"/>
          <w:bCs/>
          <w:sz w:val="20"/>
          <w:szCs w:val="20"/>
        </w:rPr>
      </w:pPr>
      <w:r w:rsidRPr="0071546E">
        <w:rPr>
          <w:rFonts w:ascii="Arial" w:eastAsia="Times New Roman" w:hAnsi="Arial" w:cs="Arial"/>
          <w:sz w:val="20"/>
          <w:szCs w:val="20"/>
          <w:lang w:eastAsia="en-GB"/>
        </w:rPr>
        <w:t>Fig</w:t>
      </w:r>
      <w:r w:rsidR="00AA5453" w:rsidRPr="0071546E">
        <w:rPr>
          <w:rFonts w:ascii="Arial" w:eastAsia="Times New Roman" w:hAnsi="Arial" w:cs="Arial"/>
          <w:sz w:val="20"/>
          <w:szCs w:val="20"/>
          <w:lang w:eastAsia="en-GB"/>
        </w:rPr>
        <w:t>1.1</w:t>
      </w:r>
      <w:r w:rsidR="00C84123" w:rsidRPr="0071546E">
        <w:rPr>
          <w:rFonts w:ascii="Arial" w:eastAsia="Times New Roman" w:hAnsi="Arial" w:cs="Arial"/>
          <w:sz w:val="20"/>
          <w:szCs w:val="20"/>
          <w:lang w:eastAsia="en-GB"/>
        </w:rPr>
        <w:t>4</w:t>
      </w:r>
      <w:r w:rsidRPr="0071546E">
        <w:rPr>
          <w:rFonts w:ascii="Arial" w:eastAsia="Times New Roman" w:hAnsi="Arial" w:cs="Arial"/>
          <w:sz w:val="20"/>
          <w:szCs w:val="20"/>
          <w:lang w:eastAsia="en-GB"/>
        </w:rPr>
        <w:t xml:space="preserve"> </w:t>
      </w:r>
      <w:r w:rsidR="008C5542" w:rsidRPr="0071546E">
        <w:rPr>
          <w:rFonts w:ascii="Arial" w:eastAsia="Times New Roman" w:hAnsi="Arial" w:cs="Arial"/>
          <w:sz w:val="20"/>
          <w:szCs w:val="20"/>
          <w:lang w:eastAsia="en-GB"/>
        </w:rPr>
        <w:t xml:space="preserve">B </w:t>
      </w:r>
      <w:r w:rsidR="00695651" w:rsidRPr="0071546E">
        <w:rPr>
          <w:rFonts w:ascii="Arial" w:eastAsia="Times New Roman" w:hAnsi="Arial" w:cs="Arial"/>
          <w:sz w:val="20"/>
          <w:szCs w:val="20"/>
          <w:lang w:eastAsia="en-GB"/>
        </w:rPr>
        <w:t>An iron</w:t>
      </w:r>
      <w:r w:rsidR="00247E05" w:rsidRPr="0071546E">
        <w:rPr>
          <w:rFonts w:ascii="Arial" w:eastAsia="Times New Roman" w:hAnsi="Arial" w:cs="Arial"/>
          <w:sz w:val="20"/>
          <w:szCs w:val="20"/>
          <w:lang w:eastAsia="en-GB"/>
        </w:rPr>
        <w:t>-</w:t>
      </w:r>
      <w:r w:rsidR="00695651" w:rsidRPr="0071546E">
        <w:rPr>
          <w:rFonts w:ascii="Arial" w:eastAsia="Times New Roman" w:hAnsi="Arial" w:cs="Arial"/>
          <w:sz w:val="20"/>
          <w:szCs w:val="20"/>
          <w:lang w:eastAsia="en-GB"/>
        </w:rPr>
        <w:t>containing porphyrin with the R groups having fluorine molecules.</w:t>
      </w:r>
    </w:p>
    <w:p w:rsidR="004D6026" w:rsidRPr="0071546E" w:rsidRDefault="004D6026" w:rsidP="00CF13FE">
      <w:pPr>
        <w:spacing w:after="0" w:line="240" w:lineRule="auto"/>
        <w:ind w:left="1021" w:right="454"/>
        <w:jc w:val="both"/>
        <w:rPr>
          <w:rFonts w:ascii="Arial" w:hAnsi="Arial" w:cs="Arial"/>
          <w:bCs/>
          <w:sz w:val="20"/>
          <w:szCs w:val="20"/>
        </w:rPr>
      </w:pPr>
    </w:p>
    <w:p w:rsidR="003A0829" w:rsidRPr="0071546E" w:rsidRDefault="003A0829" w:rsidP="00CF13FE">
      <w:pPr>
        <w:spacing w:after="0" w:line="240" w:lineRule="auto"/>
        <w:ind w:left="1021" w:right="454"/>
        <w:jc w:val="both"/>
        <w:rPr>
          <w:rFonts w:ascii="Arial" w:hAnsi="Arial" w:cs="Arial"/>
          <w:bCs/>
          <w:sz w:val="20"/>
          <w:szCs w:val="20"/>
        </w:rPr>
      </w:pPr>
    </w:p>
    <w:p w:rsidR="003A0829" w:rsidRPr="0071546E" w:rsidRDefault="003A0829" w:rsidP="00CF13FE">
      <w:pPr>
        <w:spacing w:after="0" w:line="240" w:lineRule="auto"/>
        <w:ind w:left="1021" w:right="454"/>
        <w:jc w:val="both"/>
        <w:rPr>
          <w:rFonts w:ascii="Arial" w:hAnsi="Arial" w:cs="Arial"/>
          <w:bCs/>
          <w:sz w:val="20"/>
          <w:szCs w:val="20"/>
        </w:rPr>
      </w:pPr>
    </w:p>
    <w:p w:rsidR="004D6026" w:rsidRPr="0071546E" w:rsidRDefault="004D6026" w:rsidP="00CF13FE">
      <w:pPr>
        <w:spacing w:after="0" w:line="240" w:lineRule="auto"/>
        <w:ind w:left="1021" w:right="454"/>
        <w:jc w:val="both"/>
        <w:rPr>
          <w:rFonts w:ascii="Arial" w:hAnsi="Arial" w:cs="Arial"/>
          <w:bCs/>
          <w:sz w:val="20"/>
          <w:szCs w:val="20"/>
        </w:rPr>
      </w:pPr>
    </w:p>
    <w:tbl>
      <w:tblPr>
        <w:tblStyle w:val="ListTable6Colorful2"/>
        <w:tblW w:w="0" w:type="auto"/>
        <w:tblInd w:w="851" w:type="dxa"/>
        <w:tblLook w:val="04A0" w:firstRow="1" w:lastRow="0" w:firstColumn="1" w:lastColumn="0" w:noHBand="0" w:noVBand="1"/>
      </w:tblPr>
      <w:tblGrid>
        <w:gridCol w:w="7796"/>
      </w:tblGrid>
      <w:tr w:rsidR="002F2243" w:rsidRPr="0071546E" w:rsidTr="003A08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6" w:type="dxa"/>
          </w:tcPr>
          <w:p w:rsidR="002F2243" w:rsidRPr="0071546E" w:rsidRDefault="002F2243" w:rsidP="00CF13FE">
            <w:pPr>
              <w:spacing w:line="480" w:lineRule="auto"/>
              <w:ind w:left="1021" w:right="454"/>
              <w:jc w:val="both"/>
              <w:rPr>
                <w:rFonts w:ascii="Arial" w:hAnsi="Arial" w:cs="Arial"/>
                <w:sz w:val="24"/>
                <w:szCs w:val="24"/>
              </w:rPr>
            </w:pPr>
            <w:r w:rsidRPr="0071546E">
              <w:rPr>
                <w:rFonts w:ascii="Arial" w:eastAsiaTheme="minorHAnsi" w:hAnsi="Arial" w:cs="Arial"/>
                <w:b w:val="0"/>
                <w:bCs w:val="0"/>
                <w:color w:val="auto"/>
                <w:sz w:val="24"/>
                <w:szCs w:val="24"/>
              </w:rPr>
              <w:object w:dxaOrig="6535" w:dyaOrig="3331">
                <v:shape id="_x0000_i1027" type="#_x0000_t75" style="width:253.5pt;height:135.75pt" o:ole="">
                  <v:imagedata r:id="rId33" o:title=""/>
                </v:shape>
                <o:OLEObject Type="Embed" ProgID="ChemDraw.Document.6.0" ShapeID="_x0000_i1027" DrawAspect="Content" ObjectID="_1649004614" r:id="rId34"/>
              </w:object>
            </w:r>
          </w:p>
        </w:tc>
      </w:tr>
      <w:tr w:rsidR="002F2243" w:rsidRPr="0071546E" w:rsidTr="003A0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6" w:type="dxa"/>
          </w:tcPr>
          <w:p w:rsidR="002F2243" w:rsidRPr="0071546E" w:rsidRDefault="002F2243" w:rsidP="00CF13FE">
            <w:pPr>
              <w:ind w:left="1021" w:right="454"/>
              <w:jc w:val="both"/>
              <w:rPr>
                <w:rFonts w:ascii="Arial" w:hAnsi="Arial" w:cs="Arial"/>
                <w:b w:val="0"/>
                <w:sz w:val="24"/>
                <w:szCs w:val="24"/>
              </w:rPr>
            </w:pPr>
            <w:r w:rsidRPr="0071546E">
              <w:rPr>
                <w:rFonts w:ascii="Arial" w:eastAsia="Times New Roman" w:hAnsi="Arial" w:cs="Arial"/>
                <w:b w:val="0"/>
                <w:sz w:val="24"/>
                <w:szCs w:val="24"/>
                <w:lang w:eastAsia="en-GB"/>
              </w:rPr>
              <w:t>4,4’,4”,4’”-( Porphine-5,10,15,20-tetrayl)tetrakis( benzoic acid). Synonym: meso-tetraphenylporpphine-4, 4, 4, 4- tetra carboxylic acid.</w:t>
            </w:r>
          </w:p>
        </w:tc>
      </w:tr>
    </w:tbl>
    <w:p w:rsidR="00725033" w:rsidRPr="0071546E" w:rsidRDefault="00725033" w:rsidP="00CF13FE">
      <w:pPr>
        <w:spacing w:after="0" w:line="480" w:lineRule="auto"/>
        <w:ind w:left="1021" w:right="454"/>
        <w:jc w:val="both"/>
        <w:rPr>
          <w:rFonts w:ascii="Arial" w:eastAsia="Times New Roman" w:hAnsi="Arial" w:cs="Arial"/>
          <w:sz w:val="24"/>
          <w:szCs w:val="24"/>
          <w:lang w:eastAsia="en-GB"/>
        </w:rPr>
      </w:pPr>
    </w:p>
    <w:p w:rsidR="00725033" w:rsidRPr="0071546E" w:rsidRDefault="00725033" w:rsidP="00CF13FE">
      <w:pPr>
        <w:spacing w:after="0" w:line="240" w:lineRule="auto"/>
        <w:ind w:left="1021" w:right="454"/>
        <w:jc w:val="both"/>
        <w:rPr>
          <w:rFonts w:ascii="Arial" w:eastAsia="Times New Roman" w:hAnsi="Arial" w:cs="Arial"/>
          <w:sz w:val="20"/>
          <w:szCs w:val="20"/>
          <w:lang w:eastAsia="en-GB"/>
        </w:rPr>
      </w:pPr>
      <w:r w:rsidRPr="0071546E">
        <w:rPr>
          <w:rFonts w:ascii="Arial" w:eastAsia="Times New Roman" w:hAnsi="Arial" w:cs="Arial"/>
          <w:sz w:val="20"/>
          <w:szCs w:val="20"/>
          <w:lang w:eastAsia="en-GB"/>
        </w:rPr>
        <w:t xml:space="preserve">Fig </w:t>
      </w:r>
      <w:r w:rsidR="00AA5453" w:rsidRPr="0071546E">
        <w:rPr>
          <w:rFonts w:ascii="Arial" w:eastAsia="Times New Roman" w:hAnsi="Arial" w:cs="Arial"/>
          <w:sz w:val="20"/>
          <w:szCs w:val="20"/>
          <w:lang w:eastAsia="en-GB"/>
        </w:rPr>
        <w:t>1.1</w:t>
      </w:r>
      <w:r w:rsidR="00C84123" w:rsidRPr="0071546E">
        <w:rPr>
          <w:rFonts w:ascii="Arial" w:eastAsia="Times New Roman" w:hAnsi="Arial" w:cs="Arial"/>
          <w:sz w:val="20"/>
          <w:szCs w:val="20"/>
          <w:lang w:eastAsia="en-GB"/>
        </w:rPr>
        <w:t>4</w:t>
      </w:r>
      <w:r w:rsidR="008C5542" w:rsidRPr="0071546E">
        <w:rPr>
          <w:rFonts w:ascii="Arial" w:eastAsia="Times New Roman" w:hAnsi="Arial" w:cs="Arial"/>
          <w:sz w:val="20"/>
          <w:szCs w:val="20"/>
          <w:lang w:eastAsia="en-GB"/>
        </w:rPr>
        <w:t xml:space="preserve"> C Chemical structure of 4,4’,4”,4’”-( Porphine-5,10,15,20-tetrayl)tetrakis( benzoic acid). Synonym: meso-tetraphenylporpphine-4, 4, 4, 4- tetra carboxylic acid</w:t>
      </w:r>
    </w:p>
    <w:p w:rsidR="00611E95" w:rsidRPr="0071546E" w:rsidRDefault="00611E95" w:rsidP="00CF13FE">
      <w:pPr>
        <w:spacing w:after="0" w:line="360" w:lineRule="auto"/>
        <w:ind w:left="1021" w:right="454"/>
        <w:jc w:val="both"/>
        <w:rPr>
          <w:rFonts w:ascii="Arial" w:eastAsia="Times New Roman" w:hAnsi="Arial" w:cs="Arial"/>
          <w:sz w:val="24"/>
          <w:szCs w:val="24"/>
          <w:lang w:eastAsia="en-GB"/>
        </w:rPr>
      </w:pPr>
    </w:p>
    <w:p w:rsidR="00725033" w:rsidRPr="0071546E" w:rsidRDefault="00725033" w:rsidP="00CF13FE">
      <w:pPr>
        <w:spacing w:after="0" w:line="480" w:lineRule="auto"/>
        <w:ind w:left="1021" w:right="454"/>
        <w:jc w:val="both"/>
        <w:rPr>
          <w:rFonts w:ascii="Arial" w:eastAsia="Times New Roman" w:hAnsi="Arial" w:cs="Arial"/>
          <w:sz w:val="24"/>
          <w:szCs w:val="24"/>
          <w:lang w:eastAsia="en-GB"/>
        </w:rPr>
      </w:pPr>
    </w:p>
    <w:tbl>
      <w:tblPr>
        <w:tblStyle w:val="ListTable6Colorful2"/>
        <w:tblW w:w="0" w:type="auto"/>
        <w:tblInd w:w="851" w:type="dxa"/>
        <w:tblLook w:val="04A0" w:firstRow="1" w:lastRow="0" w:firstColumn="1" w:lastColumn="0" w:noHBand="0" w:noVBand="1"/>
      </w:tblPr>
      <w:tblGrid>
        <w:gridCol w:w="7801"/>
      </w:tblGrid>
      <w:tr w:rsidR="00800DF8" w:rsidRPr="0071546E" w:rsidTr="003A0829">
        <w:trPr>
          <w:cnfStyle w:val="100000000000" w:firstRow="1" w:lastRow="0" w:firstColumn="0" w:lastColumn="0" w:oddVBand="0" w:evenVBand="0" w:oddHBand="0" w:evenHBand="0" w:firstRowFirstColumn="0" w:firstRowLastColumn="0" w:lastRowFirstColumn="0" w:lastRowLastColumn="0"/>
          <w:trHeight w:val="3435"/>
        </w:trPr>
        <w:tc>
          <w:tcPr>
            <w:cnfStyle w:val="001000000000" w:firstRow="0" w:lastRow="0" w:firstColumn="1" w:lastColumn="0" w:oddVBand="0" w:evenVBand="0" w:oddHBand="0" w:evenHBand="0" w:firstRowFirstColumn="0" w:firstRowLastColumn="0" w:lastRowFirstColumn="0" w:lastRowLastColumn="0"/>
            <w:tcW w:w="7801" w:type="dxa"/>
          </w:tcPr>
          <w:p w:rsidR="00800DF8" w:rsidRPr="0071546E" w:rsidRDefault="00800DF8" w:rsidP="00CF13FE">
            <w:pPr>
              <w:spacing w:line="480" w:lineRule="auto"/>
              <w:ind w:left="1021" w:right="454"/>
              <w:jc w:val="both"/>
              <w:rPr>
                <w:rFonts w:ascii="Arial" w:eastAsia="Times New Roman" w:hAnsi="Arial" w:cs="Arial"/>
                <w:sz w:val="24"/>
                <w:szCs w:val="24"/>
                <w:lang w:eastAsia="en-GB"/>
              </w:rPr>
            </w:pPr>
            <w:r w:rsidRPr="0071546E">
              <w:rPr>
                <w:rFonts w:ascii="Arial" w:eastAsiaTheme="minorHAnsi" w:hAnsi="Arial" w:cs="Arial"/>
                <w:b w:val="0"/>
                <w:bCs w:val="0"/>
                <w:color w:val="auto"/>
                <w:sz w:val="24"/>
                <w:szCs w:val="24"/>
              </w:rPr>
              <w:object w:dxaOrig="7610" w:dyaOrig="3633">
                <v:shape id="_x0000_i1028" type="#_x0000_t75" style="width:270pt;height:141.75pt" o:ole="">
                  <v:imagedata r:id="rId35" o:title=""/>
                </v:shape>
                <o:OLEObject Type="Embed" ProgID="ChemDraw.Document.6.0" ShapeID="_x0000_i1028" DrawAspect="Content" ObjectID="_1649004615" r:id="rId36"/>
              </w:object>
            </w:r>
          </w:p>
        </w:tc>
      </w:tr>
      <w:tr w:rsidR="00800DF8" w:rsidRPr="0071546E" w:rsidTr="003A0829">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7801" w:type="dxa"/>
          </w:tcPr>
          <w:p w:rsidR="00800DF8" w:rsidRPr="0071546E" w:rsidRDefault="00800DF8" w:rsidP="003333B5">
            <w:pPr>
              <w:ind w:left="1021" w:right="454"/>
              <w:rPr>
                <w:rFonts w:ascii="Arial" w:eastAsia="Times New Roman" w:hAnsi="Arial" w:cs="Arial"/>
                <w:b w:val="0"/>
                <w:sz w:val="24"/>
                <w:szCs w:val="24"/>
                <w:lang w:eastAsia="en-GB"/>
              </w:rPr>
            </w:pPr>
            <w:r w:rsidRPr="0071546E">
              <w:rPr>
                <w:rFonts w:ascii="Arial" w:eastAsia="Times New Roman" w:hAnsi="Arial" w:cs="Arial"/>
                <w:b w:val="0"/>
                <w:sz w:val="24"/>
                <w:szCs w:val="24"/>
                <w:lang w:eastAsia="en-GB"/>
              </w:rPr>
              <w:t>5, 10, 15, 20- tetrakis (1-methyl-4-pyridinio) porphyrin tetra (p- toluene sulfonate)..</w:t>
            </w:r>
          </w:p>
        </w:tc>
      </w:tr>
    </w:tbl>
    <w:p w:rsidR="00800DF8" w:rsidRPr="0071546E" w:rsidRDefault="00800DF8" w:rsidP="00CF13FE">
      <w:pPr>
        <w:spacing w:after="0" w:line="480" w:lineRule="auto"/>
        <w:ind w:left="1021" w:right="454"/>
        <w:jc w:val="both"/>
        <w:rPr>
          <w:rFonts w:ascii="Arial" w:eastAsia="Times New Roman" w:hAnsi="Arial" w:cs="Arial"/>
          <w:sz w:val="24"/>
          <w:szCs w:val="24"/>
          <w:lang w:eastAsia="en-GB"/>
        </w:rPr>
      </w:pPr>
    </w:p>
    <w:p w:rsidR="00725033" w:rsidRPr="0071546E" w:rsidRDefault="00725033" w:rsidP="00CF13FE">
      <w:pPr>
        <w:spacing w:after="0" w:line="36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Fig </w:t>
      </w:r>
      <w:r w:rsidR="008C5542" w:rsidRPr="0071546E">
        <w:rPr>
          <w:rFonts w:ascii="Arial" w:eastAsia="Times New Roman" w:hAnsi="Arial" w:cs="Arial"/>
          <w:sz w:val="24"/>
          <w:szCs w:val="24"/>
          <w:lang w:eastAsia="en-GB"/>
        </w:rPr>
        <w:t>1.1</w:t>
      </w:r>
      <w:r w:rsidR="00C84123" w:rsidRPr="0071546E">
        <w:rPr>
          <w:rFonts w:ascii="Arial" w:eastAsia="Times New Roman" w:hAnsi="Arial" w:cs="Arial"/>
          <w:sz w:val="24"/>
          <w:szCs w:val="24"/>
          <w:lang w:eastAsia="en-GB"/>
        </w:rPr>
        <w:t>4</w:t>
      </w:r>
      <w:r w:rsidR="008C5542" w:rsidRPr="0071546E">
        <w:rPr>
          <w:rFonts w:ascii="Arial" w:eastAsia="Times New Roman" w:hAnsi="Arial" w:cs="Arial"/>
          <w:sz w:val="24"/>
          <w:szCs w:val="24"/>
          <w:lang w:eastAsia="en-GB"/>
        </w:rPr>
        <w:t xml:space="preserve"> D Cationic</w:t>
      </w:r>
      <w:r w:rsidR="006C67C1" w:rsidRPr="0071546E">
        <w:rPr>
          <w:rFonts w:ascii="Arial" w:eastAsia="Times New Roman" w:hAnsi="Arial" w:cs="Arial"/>
          <w:sz w:val="24"/>
          <w:szCs w:val="24"/>
          <w:lang w:eastAsia="en-GB"/>
        </w:rPr>
        <w:t>-meso substituted porphyrin</w:t>
      </w:r>
      <w:r w:rsidRPr="0071546E">
        <w:rPr>
          <w:rFonts w:ascii="Arial" w:eastAsia="Times New Roman" w:hAnsi="Arial" w:cs="Arial"/>
          <w:sz w:val="24"/>
          <w:szCs w:val="24"/>
          <w:lang w:eastAsia="en-GB"/>
        </w:rPr>
        <w:t xml:space="preserve"> with</w:t>
      </w:r>
      <w:r w:rsidR="006C67C1" w:rsidRPr="0071546E">
        <w:rPr>
          <w:rFonts w:ascii="Arial" w:eastAsia="Times New Roman" w:hAnsi="Arial" w:cs="Arial"/>
          <w:sz w:val="24"/>
          <w:szCs w:val="24"/>
          <w:lang w:eastAsia="en-GB"/>
        </w:rPr>
        <w:t xml:space="preserve"> a methyl and </w:t>
      </w:r>
      <w:r w:rsidR="003442A0" w:rsidRPr="0071546E">
        <w:rPr>
          <w:rFonts w:ascii="Arial" w:eastAsia="Times New Roman" w:hAnsi="Arial" w:cs="Arial"/>
          <w:sz w:val="24"/>
          <w:szCs w:val="24"/>
          <w:lang w:eastAsia="en-GB"/>
        </w:rPr>
        <w:t>sulfonate</w:t>
      </w:r>
      <w:r w:rsidRPr="0071546E">
        <w:rPr>
          <w:rFonts w:ascii="Arial" w:eastAsia="Times New Roman" w:hAnsi="Arial" w:cs="Arial"/>
          <w:sz w:val="24"/>
          <w:szCs w:val="24"/>
          <w:lang w:eastAsia="en-GB"/>
        </w:rPr>
        <w:t xml:space="preserve"> polar side chain.</w:t>
      </w:r>
    </w:p>
    <w:p w:rsidR="00725033" w:rsidRPr="0071546E" w:rsidRDefault="00725033" w:rsidP="00CF13FE">
      <w:pPr>
        <w:spacing w:after="0" w:line="480" w:lineRule="auto"/>
        <w:ind w:left="1021" w:right="454"/>
        <w:jc w:val="both"/>
        <w:rPr>
          <w:rFonts w:ascii="Arial" w:eastAsia="Times New Roman" w:hAnsi="Arial" w:cs="Arial"/>
          <w:b/>
          <w:sz w:val="24"/>
          <w:szCs w:val="24"/>
          <w:lang w:eastAsia="en-GB"/>
        </w:rPr>
      </w:pPr>
    </w:p>
    <w:p w:rsidR="00725033" w:rsidRPr="0071546E" w:rsidRDefault="00725033" w:rsidP="00CF13FE">
      <w:pPr>
        <w:spacing w:after="0" w:line="480" w:lineRule="auto"/>
        <w:ind w:left="1021" w:right="454"/>
        <w:jc w:val="both"/>
        <w:rPr>
          <w:rFonts w:ascii="Arial" w:eastAsia="Times New Roman" w:hAnsi="Arial" w:cs="Arial"/>
          <w:b/>
          <w:sz w:val="24"/>
          <w:szCs w:val="24"/>
          <w:lang w:eastAsia="en-GB"/>
        </w:rPr>
      </w:pPr>
    </w:p>
    <w:p w:rsidR="00725033" w:rsidRPr="0071546E" w:rsidRDefault="00725033" w:rsidP="00C84123">
      <w:pPr>
        <w:spacing w:after="0" w:line="480" w:lineRule="auto"/>
        <w:ind w:right="454"/>
        <w:jc w:val="both"/>
        <w:rPr>
          <w:rFonts w:ascii="Arial" w:eastAsia="Times New Roman" w:hAnsi="Arial" w:cs="Arial"/>
          <w:b/>
          <w:sz w:val="24"/>
          <w:szCs w:val="24"/>
          <w:lang w:eastAsia="en-GB"/>
        </w:rPr>
      </w:pPr>
    </w:p>
    <w:p w:rsidR="00725033" w:rsidRPr="0071546E" w:rsidRDefault="00725033" w:rsidP="00CF13FE">
      <w:pPr>
        <w:spacing w:after="0" w:line="480" w:lineRule="auto"/>
        <w:ind w:left="1021" w:right="454"/>
        <w:jc w:val="both"/>
        <w:rPr>
          <w:rFonts w:ascii="Arial" w:eastAsia="Times New Roman" w:hAnsi="Arial" w:cs="Arial"/>
          <w:b/>
          <w:sz w:val="24"/>
          <w:szCs w:val="24"/>
          <w:lang w:eastAsia="en-GB"/>
        </w:rPr>
      </w:pPr>
    </w:p>
    <w:p w:rsidR="00725033" w:rsidRPr="0071546E" w:rsidRDefault="00725033" w:rsidP="00CF13FE">
      <w:pPr>
        <w:pStyle w:val="Heading2"/>
        <w:ind w:left="1021" w:right="454"/>
      </w:pPr>
      <w:bookmarkStart w:id="34" w:name="_Toc14711404"/>
      <w:r w:rsidRPr="0071546E">
        <w:t>1.5.7 Toxicity of porphyrins</w:t>
      </w:r>
      <w:bookmarkEnd w:id="34"/>
    </w:p>
    <w:p w:rsidR="003A0829" w:rsidRPr="0071546E" w:rsidRDefault="00725033"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i/>
          <w:sz w:val="24"/>
          <w:szCs w:val="24"/>
          <w:lang w:eastAsia="en-GB"/>
        </w:rPr>
        <w:t>In-vitro</w:t>
      </w:r>
      <w:r w:rsidRPr="0071546E">
        <w:rPr>
          <w:rFonts w:ascii="Arial" w:eastAsia="Times New Roman" w:hAnsi="Arial" w:cs="Arial"/>
          <w:sz w:val="24"/>
          <w:szCs w:val="24"/>
          <w:lang w:eastAsia="en-GB"/>
        </w:rPr>
        <w:t xml:space="preserve"> and </w:t>
      </w:r>
      <w:r w:rsidRPr="0071546E">
        <w:rPr>
          <w:rFonts w:ascii="Arial" w:eastAsia="Times New Roman" w:hAnsi="Arial" w:cs="Arial"/>
          <w:i/>
          <w:sz w:val="24"/>
          <w:szCs w:val="24"/>
          <w:lang w:eastAsia="en-GB"/>
        </w:rPr>
        <w:t>in-vivo</w:t>
      </w:r>
      <w:r w:rsidRPr="0071546E">
        <w:rPr>
          <w:rFonts w:ascii="Arial" w:eastAsia="Times New Roman" w:hAnsi="Arial" w:cs="Arial"/>
          <w:sz w:val="24"/>
          <w:szCs w:val="24"/>
          <w:lang w:eastAsia="en-GB"/>
        </w:rPr>
        <w:t xml:space="preserve"> antimicrobial photodynamic therapy showed that overall there </w:t>
      </w:r>
      <w:r w:rsidR="004A57D4" w:rsidRPr="0071546E">
        <w:rPr>
          <w:rFonts w:ascii="Arial" w:eastAsia="Times New Roman" w:hAnsi="Arial" w:cs="Arial"/>
          <w:sz w:val="24"/>
          <w:szCs w:val="24"/>
          <w:lang w:eastAsia="en-GB"/>
        </w:rPr>
        <w:t>is</w:t>
      </w:r>
      <w:r w:rsidRPr="0071546E">
        <w:rPr>
          <w:rFonts w:ascii="Arial" w:eastAsia="Times New Roman" w:hAnsi="Arial" w:cs="Arial"/>
          <w:sz w:val="24"/>
          <w:szCs w:val="24"/>
          <w:lang w:eastAsia="en-GB"/>
        </w:rPr>
        <w:t xml:space="preserve"> no toxicity recorded when porphyrin dyes are used at concentrations that can inhibit the growth of microbes</w:t>
      </w:r>
      <w:r w:rsidR="006B6DAB" w:rsidRPr="0071546E">
        <w:rPr>
          <w:rFonts w:ascii="Arial" w:eastAsia="Times New Roman" w:hAnsi="Arial" w:cs="Arial"/>
          <w:sz w:val="24"/>
          <w:szCs w:val="24"/>
          <w:lang w:eastAsia="en-GB"/>
        </w:rPr>
        <w:t xml:space="preserve"> (Di Poto et al., 2009; Collins et al</w:t>
      </w:r>
      <w:r w:rsidRPr="0071546E">
        <w:rPr>
          <w:rFonts w:ascii="Arial" w:eastAsia="Times New Roman" w:hAnsi="Arial" w:cs="Arial"/>
          <w:sz w:val="24"/>
          <w:szCs w:val="24"/>
          <w:lang w:eastAsia="en-GB"/>
        </w:rPr>
        <w:t>.</w:t>
      </w:r>
      <w:r w:rsidR="006B6DAB" w:rsidRPr="0071546E">
        <w:rPr>
          <w:rFonts w:ascii="Arial" w:eastAsia="Times New Roman" w:hAnsi="Arial" w:cs="Arial"/>
          <w:sz w:val="24"/>
          <w:szCs w:val="24"/>
          <w:lang w:eastAsia="en-GB"/>
        </w:rPr>
        <w:t>, 2010; Gonzales et al., 2013; Hanakova et al., 2014).  P</w:t>
      </w:r>
      <w:r w:rsidRPr="0071546E">
        <w:rPr>
          <w:rFonts w:ascii="Arial" w:eastAsia="Times New Roman" w:hAnsi="Arial" w:cs="Arial"/>
          <w:sz w:val="24"/>
          <w:szCs w:val="24"/>
          <w:lang w:eastAsia="en-GB"/>
        </w:rPr>
        <w:t xml:space="preserve">orphyrins </w:t>
      </w:r>
      <w:r w:rsidR="006B6DAB" w:rsidRPr="0071546E">
        <w:rPr>
          <w:rFonts w:ascii="Arial" w:eastAsia="Times New Roman" w:hAnsi="Arial" w:cs="Arial"/>
          <w:sz w:val="24"/>
          <w:szCs w:val="24"/>
          <w:lang w:eastAsia="en-GB"/>
        </w:rPr>
        <w:t>also did</w:t>
      </w:r>
      <w:r w:rsidRPr="0071546E">
        <w:rPr>
          <w:rFonts w:ascii="Arial" w:eastAsia="Times New Roman" w:hAnsi="Arial" w:cs="Arial"/>
          <w:sz w:val="24"/>
          <w:szCs w:val="24"/>
          <w:lang w:eastAsia="en-GB"/>
        </w:rPr>
        <w:t xml:space="preserve"> not affect the viability of blood cells </w:t>
      </w:r>
      <w:r w:rsidR="007057B3" w:rsidRPr="0071546E">
        <w:rPr>
          <w:rFonts w:ascii="Arial" w:eastAsia="Times New Roman" w:hAnsi="Arial" w:cs="Arial"/>
          <w:sz w:val="24"/>
          <w:szCs w:val="24"/>
          <w:lang w:eastAsia="en-GB"/>
        </w:rPr>
        <w:t>and</w:t>
      </w:r>
      <w:r w:rsidRPr="0071546E">
        <w:rPr>
          <w:rFonts w:ascii="Arial" w:eastAsia="Times New Roman" w:hAnsi="Arial" w:cs="Arial"/>
          <w:sz w:val="24"/>
          <w:szCs w:val="24"/>
          <w:lang w:eastAsia="en-GB"/>
        </w:rPr>
        <w:t xml:space="preserve"> other mammalian </w:t>
      </w:r>
      <w:r w:rsidR="00194B2E" w:rsidRPr="0071546E">
        <w:rPr>
          <w:rFonts w:ascii="Arial" w:eastAsia="Times New Roman" w:hAnsi="Arial" w:cs="Arial"/>
          <w:sz w:val="24"/>
          <w:szCs w:val="24"/>
          <w:lang w:eastAsia="en-GB"/>
        </w:rPr>
        <w:t xml:space="preserve">cells (Lutton et al., 1997). </w:t>
      </w:r>
      <w:r w:rsidRPr="0071546E">
        <w:rPr>
          <w:rFonts w:ascii="Arial" w:eastAsia="Times New Roman" w:hAnsi="Arial" w:cs="Arial"/>
          <w:sz w:val="24"/>
          <w:szCs w:val="24"/>
          <w:lang w:eastAsia="en-GB"/>
        </w:rPr>
        <w:t xml:space="preserve">A cationic </w:t>
      </w:r>
      <w:r w:rsidR="00FD588E" w:rsidRPr="0071546E">
        <w:rPr>
          <w:rFonts w:ascii="Arial" w:eastAsia="Times New Roman" w:hAnsi="Arial" w:cs="Arial"/>
          <w:sz w:val="24"/>
          <w:szCs w:val="24"/>
          <w:lang w:eastAsia="en-GB"/>
        </w:rPr>
        <w:t>poly</w:t>
      </w:r>
      <w:r w:rsidRPr="0071546E">
        <w:rPr>
          <w:rFonts w:ascii="Arial" w:eastAsia="Times New Roman" w:hAnsi="Arial" w:cs="Arial"/>
          <w:sz w:val="24"/>
          <w:szCs w:val="24"/>
          <w:lang w:eastAsia="en-GB"/>
        </w:rPr>
        <w:t>-L-lysine e6 conju</w:t>
      </w:r>
      <w:r w:rsidR="00194B2E" w:rsidRPr="0071546E">
        <w:rPr>
          <w:rFonts w:ascii="Arial" w:eastAsia="Times New Roman" w:hAnsi="Arial" w:cs="Arial"/>
          <w:sz w:val="24"/>
          <w:szCs w:val="24"/>
          <w:lang w:eastAsia="en-GB"/>
        </w:rPr>
        <w:t xml:space="preserve">gate showed efficacy in killing </w:t>
      </w:r>
      <w:r w:rsidR="00194B2E" w:rsidRPr="0071546E">
        <w:rPr>
          <w:rFonts w:ascii="Arial" w:hAnsi="Arial" w:cs="Arial"/>
          <w:i/>
          <w:sz w:val="24"/>
          <w:szCs w:val="24"/>
        </w:rPr>
        <w:t>Actinomyces</w:t>
      </w:r>
      <w:r w:rsidRPr="0071546E">
        <w:rPr>
          <w:rFonts w:ascii="Arial" w:eastAsia="Times New Roman" w:hAnsi="Arial" w:cs="Arial"/>
          <w:i/>
          <w:sz w:val="24"/>
          <w:szCs w:val="24"/>
          <w:lang w:eastAsia="en-GB"/>
        </w:rPr>
        <w:t xml:space="preserve"> viscosus</w:t>
      </w:r>
      <w:r w:rsidRPr="0071546E">
        <w:rPr>
          <w:rFonts w:ascii="Arial" w:eastAsia="Times New Roman" w:hAnsi="Arial" w:cs="Arial"/>
          <w:sz w:val="24"/>
          <w:szCs w:val="24"/>
          <w:lang w:eastAsia="en-GB"/>
        </w:rPr>
        <w:t xml:space="preserve"> without affecting the viability of epithelial cells </w:t>
      </w:r>
      <w:r w:rsidR="007B2104" w:rsidRPr="0071546E">
        <w:rPr>
          <w:rFonts w:ascii="Arial" w:eastAsia="Times New Roman" w:hAnsi="Arial" w:cs="Arial"/>
          <w:sz w:val="24"/>
          <w:szCs w:val="24"/>
          <w:lang w:eastAsia="en-GB"/>
        </w:rPr>
        <w:t>(Soukos et al., 1998)</w:t>
      </w:r>
      <w:r w:rsidRPr="0071546E">
        <w:rPr>
          <w:rFonts w:ascii="Arial" w:eastAsia="Times New Roman" w:hAnsi="Arial" w:cs="Arial"/>
          <w:sz w:val="24"/>
          <w:szCs w:val="24"/>
          <w:lang w:eastAsia="en-GB"/>
        </w:rPr>
        <w:t>. Ca</w:t>
      </w:r>
      <w:r w:rsidR="006B6DAB" w:rsidRPr="0071546E">
        <w:rPr>
          <w:rFonts w:ascii="Arial" w:eastAsia="Times New Roman" w:hAnsi="Arial" w:cs="Arial"/>
          <w:sz w:val="24"/>
          <w:szCs w:val="24"/>
          <w:lang w:eastAsia="en-GB"/>
        </w:rPr>
        <w:t>steel et al, 2004 showed that porphyrins</w:t>
      </w:r>
      <w:r w:rsidRPr="0071546E">
        <w:rPr>
          <w:rFonts w:ascii="Arial" w:eastAsia="Times New Roman" w:hAnsi="Arial" w:cs="Arial"/>
          <w:sz w:val="24"/>
          <w:szCs w:val="24"/>
          <w:lang w:eastAsia="en-GB"/>
        </w:rPr>
        <w:t>, cationic, an</w:t>
      </w:r>
      <w:r w:rsidR="006B6DAB" w:rsidRPr="0071546E">
        <w:rPr>
          <w:rFonts w:ascii="Arial" w:eastAsia="Times New Roman" w:hAnsi="Arial" w:cs="Arial"/>
          <w:sz w:val="24"/>
          <w:szCs w:val="24"/>
          <w:lang w:eastAsia="en-GB"/>
        </w:rPr>
        <w:t>ionic and amphiphilic w</w:t>
      </w:r>
      <w:r w:rsidR="00110230" w:rsidRPr="0071546E">
        <w:rPr>
          <w:rFonts w:ascii="Arial" w:eastAsia="Times New Roman" w:hAnsi="Arial" w:cs="Arial"/>
          <w:sz w:val="24"/>
          <w:szCs w:val="24"/>
          <w:lang w:eastAsia="en-GB"/>
        </w:rPr>
        <w:t>ere</w:t>
      </w:r>
      <w:r w:rsidR="006B6DAB" w:rsidRPr="0071546E">
        <w:rPr>
          <w:rFonts w:ascii="Arial" w:eastAsia="Times New Roman" w:hAnsi="Arial" w:cs="Arial"/>
          <w:sz w:val="24"/>
          <w:szCs w:val="24"/>
          <w:lang w:eastAsia="en-GB"/>
        </w:rPr>
        <w:t xml:space="preserve"> not mutagenic</w:t>
      </w:r>
      <w:r w:rsidRPr="0071546E">
        <w:rPr>
          <w:rFonts w:ascii="Arial" w:eastAsia="Times New Roman" w:hAnsi="Arial" w:cs="Arial"/>
          <w:sz w:val="24"/>
          <w:szCs w:val="24"/>
          <w:lang w:eastAsia="en-GB"/>
        </w:rPr>
        <w:t xml:space="preserve"> using the Ames assay. Photoinactivation of microorganisms take</w:t>
      </w:r>
      <w:r w:rsidR="004A57D4" w:rsidRPr="0071546E">
        <w:rPr>
          <w:rFonts w:ascii="Arial" w:eastAsia="Times New Roman" w:hAnsi="Arial" w:cs="Arial"/>
          <w:sz w:val="24"/>
          <w:szCs w:val="24"/>
          <w:lang w:eastAsia="en-GB"/>
        </w:rPr>
        <w:t>s</w:t>
      </w:r>
      <w:r w:rsidRPr="0071546E">
        <w:rPr>
          <w:rFonts w:ascii="Arial" w:eastAsia="Times New Roman" w:hAnsi="Arial" w:cs="Arial"/>
          <w:sz w:val="24"/>
          <w:szCs w:val="24"/>
          <w:lang w:eastAsia="en-GB"/>
        </w:rPr>
        <w:t xml:space="preserve"> place at </w:t>
      </w:r>
      <w:r w:rsidR="004A57D4"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concentration found to be lower than those cytotoxic to the host cell</w:t>
      </w:r>
      <w:r w:rsidR="00B2538C" w:rsidRPr="0071546E">
        <w:rPr>
          <w:rFonts w:ascii="Arial" w:eastAsia="Times New Roman" w:hAnsi="Arial" w:cs="Arial"/>
          <w:sz w:val="24"/>
          <w:szCs w:val="24"/>
          <w:lang w:eastAsia="en-GB"/>
        </w:rPr>
        <w:t>.</w:t>
      </w:r>
      <w:r w:rsidR="00B2538C" w:rsidRPr="0071546E">
        <w:rPr>
          <w:color w:val="000000"/>
        </w:rPr>
        <w:t xml:space="preserve"> </w:t>
      </w:r>
      <w:r w:rsidRPr="0071546E">
        <w:rPr>
          <w:rFonts w:ascii="Arial" w:eastAsia="Times New Roman" w:hAnsi="Arial" w:cs="Arial"/>
          <w:sz w:val="24"/>
          <w:szCs w:val="24"/>
          <w:lang w:eastAsia="en-GB"/>
        </w:rPr>
        <w:t>The cytotoxicity of water-soluble porphyrin and its metal complexes (Zn (II), Cu (II), Fe (III) and Mn (III) was monitored in Madin-Darby can</w:t>
      </w:r>
      <w:r w:rsidR="006B6DAB" w:rsidRPr="0071546E">
        <w:rPr>
          <w:rFonts w:ascii="Arial" w:eastAsia="Times New Roman" w:hAnsi="Arial" w:cs="Arial"/>
          <w:sz w:val="24"/>
          <w:szCs w:val="24"/>
          <w:lang w:eastAsia="en-GB"/>
        </w:rPr>
        <w:t>ine kidney cells and Vero cells and the</w:t>
      </w:r>
      <w:r w:rsidRPr="0071546E">
        <w:rPr>
          <w:rFonts w:ascii="Arial" w:eastAsia="Times New Roman" w:hAnsi="Arial" w:cs="Arial"/>
          <w:sz w:val="24"/>
          <w:szCs w:val="24"/>
          <w:lang w:eastAsia="en-GB"/>
        </w:rPr>
        <w:t xml:space="preserve"> results showed that the inhibition of influenza virus types A and B and herpes simplex virus was seen at concentrations lower than those seen to be toxic to </w:t>
      </w:r>
      <w:r w:rsidR="006B6DAB" w:rsidRPr="0071546E">
        <w:rPr>
          <w:rFonts w:ascii="Arial" w:eastAsia="Times New Roman" w:hAnsi="Arial" w:cs="Arial"/>
          <w:sz w:val="24"/>
          <w:szCs w:val="24"/>
          <w:lang w:eastAsia="en-GB"/>
        </w:rPr>
        <w:t>eukaryotic cells (Liu et al., 2005). A</w:t>
      </w:r>
      <w:r w:rsidRPr="0071546E">
        <w:rPr>
          <w:rFonts w:ascii="Arial" w:eastAsia="Times New Roman" w:hAnsi="Arial" w:cs="Arial"/>
          <w:sz w:val="24"/>
          <w:szCs w:val="24"/>
          <w:lang w:eastAsia="en-GB"/>
        </w:rPr>
        <w:t xml:space="preserve"> study evaluating the cytotoxicity of porphyrins to basic blood cells and neutrophils discovered that antimicrobial PDT does not affect their viability </w:t>
      </w:r>
      <w:r w:rsidR="00756FD8" w:rsidRPr="0071546E">
        <w:rPr>
          <w:rFonts w:ascii="Arial" w:eastAsia="Times New Roman" w:hAnsi="Arial" w:cs="Arial"/>
          <w:sz w:val="24"/>
          <w:szCs w:val="24"/>
          <w:lang w:eastAsia="en-GB"/>
        </w:rPr>
        <w:t>(Hamblin and Juri, 2016)</w:t>
      </w:r>
      <w:r w:rsidRPr="0071546E">
        <w:rPr>
          <w:rFonts w:ascii="Arial" w:eastAsia="Times New Roman" w:hAnsi="Arial" w:cs="Arial"/>
          <w:sz w:val="24"/>
          <w:szCs w:val="24"/>
          <w:lang w:eastAsia="en-GB"/>
        </w:rPr>
        <w:t>.</w:t>
      </w:r>
      <w:r w:rsidRPr="0071546E">
        <w:rPr>
          <w:rFonts w:ascii="Arial" w:hAnsi="Arial" w:cs="Arial"/>
          <w:color w:val="000000"/>
          <w:sz w:val="24"/>
          <w:szCs w:val="24"/>
        </w:rPr>
        <w:t xml:space="preserve"> </w:t>
      </w:r>
      <w:r w:rsidRPr="0071546E">
        <w:rPr>
          <w:rFonts w:ascii="Arial" w:eastAsia="Times New Roman" w:hAnsi="Arial" w:cs="Arial"/>
          <w:sz w:val="24"/>
          <w:szCs w:val="24"/>
          <w:lang w:eastAsia="en-GB"/>
        </w:rPr>
        <w:t xml:space="preserve">Hurst et al., 2019 in a recent study tested the dark toxicity of cationic porphyrin derivatives on </w:t>
      </w:r>
      <w:r w:rsidRPr="0071546E">
        <w:rPr>
          <w:rFonts w:ascii="Arial" w:eastAsia="Times New Roman" w:hAnsi="Arial" w:cs="Arial"/>
          <w:i/>
          <w:sz w:val="24"/>
          <w:szCs w:val="24"/>
          <w:lang w:eastAsia="en-GB"/>
        </w:rPr>
        <w:t>E. coli</w:t>
      </w:r>
      <w:r w:rsidRPr="0071546E">
        <w:rPr>
          <w:rFonts w:ascii="Arial" w:eastAsia="Times New Roman" w:hAnsi="Arial" w:cs="Arial"/>
          <w:sz w:val="24"/>
          <w:szCs w:val="24"/>
          <w:lang w:eastAsia="en-GB"/>
        </w:rPr>
        <w:t xml:space="preserve">. </w:t>
      </w:r>
    </w:p>
    <w:p w:rsidR="003A0829" w:rsidRPr="0071546E" w:rsidRDefault="003A0829" w:rsidP="00CF13FE">
      <w:pPr>
        <w:spacing w:after="0" w:line="480" w:lineRule="auto"/>
        <w:ind w:left="1021" w:right="454"/>
        <w:jc w:val="both"/>
        <w:rPr>
          <w:rFonts w:ascii="Arial" w:eastAsia="Times New Roman" w:hAnsi="Arial" w:cs="Arial"/>
          <w:sz w:val="24"/>
          <w:szCs w:val="24"/>
          <w:lang w:eastAsia="en-GB"/>
        </w:rPr>
      </w:pPr>
    </w:p>
    <w:p w:rsidR="003A0829" w:rsidRPr="0071546E" w:rsidRDefault="003A0829" w:rsidP="00CF13FE">
      <w:pPr>
        <w:spacing w:after="0" w:line="480" w:lineRule="auto"/>
        <w:ind w:left="1021" w:right="454"/>
        <w:jc w:val="both"/>
        <w:rPr>
          <w:rFonts w:ascii="Arial" w:eastAsia="Times New Roman" w:hAnsi="Arial" w:cs="Arial"/>
          <w:sz w:val="24"/>
          <w:szCs w:val="24"/>
          <w:lang w:eastAsia="en-GB"/>
        </w:rPr>
      </w:pPr>
    </w:p>
    <w:p w:rsidR="003A0829" w:rsidRPr="0071546E" w:rsidRDefault="003A0829" w:rsidP="00CF13FE">
      <w:pPr>
        <w:spacing w:after="0" w:line="480" w:lineRule="auto"/>
        <w:ind w:left="1021" w:right="454"/>
        <w:jc w:val="both"/>
        <w:rPr>
          <w:rFonts w:ascii="Arial" w:eastAsia="Times New Roman" w:hAnsi="Arial" w:cs="Arial"/>
          <w:sz w:val="24"/>
          <w:szCs w:val="24"/>
          <w:lang w:eastAsia="en-GB"/>
        </w:rPr>
      </w:pPr>
    </w:p>
    <w:p w:rsidR="00725033" w:rsidRPr="0071546E" w:rsidRDefault="00725033" w:rsidP="00CF13FE">
      <w:pPr>
        <w:spacing w:after="0" w:line="480" w:lineRule="auto"/>
        <w:ind w:left="1021" w:right="454"/>
        <w:jc w:val="both"/>
        <w:rPr>
          <w:rFonts w:ascii="Arial" w:eastAsia="Times New Roman" w:hAnsi="Arial" w:cs="Arial"/>
          <w:vanish/>
          <w:sz w:val="24"/>
          <w:szCs w:val="24"/>
          <w:lang w:eastAsia="en-GB"/>
          <w:specVanish/>
        </w:rPr>
      </w:pPr>
      <w:r w:rsidRPr="0071546E">
        <w:rPr>
          <w:rFonts w:ascii="Arial" w:eastAsia="Times New Roman" w:hAnsi="Arial" w:cs="Arial"/>
          <w:sz w:val="24"/>
          <w:szCs w:val="24"/>
          <w:lang w:eastAsia="en-GB"/>
        </w:rPr>
        <w:t xml:space="preserve">The toxic effect of PS was calculated based on viable CFU per mL in comparison with a control that was not incubated with cationic porphyrin. His result shows that the cationic porphyrin derivatives showed minimum dark toxicity to </w:t>
      </w:r>
      <w:r w:rsidRPr="0071546E">
        <w:rPr>
          <w:rFonts w:ascii="Arial" w:eastAsia="Times New Roman" w:hAnsi="Arial" w:cs="Arial"/>
          <w:i/>
          <w:sz w:val="24"/>
          <w:szCs w:val="24"/>
          <w:lang w:eastAsia="en-GB"/>
        </w:rPr>
        <w:t>E. coli</w:t>
      </w:r>
      <w:r w:rsidRPr="0071546E">
        <w:rPr>
          <w:rFonts w:ascii="Arial" w:eastAsia="Times New Roman" w:hAnsi="Arial" w:cs="Arial"/>
          <w:sz w:val="24"/>
          <w:szCs w:val="24"/>
          <w:lang w:eastAsia="en-GB"/>
        </w:rPr>
        <w:t xml:space="preserve"> at concentrations less than 1μM.</w:t>
      </w:r>
      <w:r w:rsidR="00756FD8" w:rsidRPr="0071546E">
        <w:rPr>
          <w:rFonts w:ascii="Arial" w:eastAsia="Times New Roman" w:hAnsi="Arial" w:cs="Arial"/>
          <w:sz w:val="24"/>
          <w:szCs w:val="24"/>
          <w:lang w:eastAsia="en-GB"/>
        </w:rPr>
        <w:t xml:space="preserve"> </w:t>
      </w:r>
      <w:r w:rsidR="00FD588E" w:rsidRPr="0071546E">
        <w:rPr>
          <w:rFonts w:ascii="Arial" w:eastAsia="Times New Roman" w:hAnsi="Arial" w:cs="Arial"/>
          <w:sz w:val="24"/>
          <w:szCs w:val="24"/>
          <w:lang w:eastAsia="en-GB"/>
        </w:rPr>
        <w:t>Therefore,</w:t>
      </w:r>
      <w:r w:rsidR="00756FD8" w:rsidRPr="0071546E">
        <w:rPr>
          <w:rFonts w:ascii="Arial" w:eastAsia="Times New Roman" w:hAnsi="Arial" w:cs="Arial"/>
          <w:sz w:val="24"/>
          <w:szCs w:val="24"/>
          <w:lang w:eastAsia="en-GB"/>
        </w:rPr>
        <w:t xml:space="preserve"> when used in optimal concentrations porphyrins are no</w:t>
      </w:r>
      <w:r w:rsidR="000554C3" w:rsidRPr="0071546E">
        <w:rPr>
          <w:rFonts w:ascii="Arial" w:eastAsia="Times New Roman" w:hAnsi="Arial" w:cs="Arial"/>
          <w:sz w:val="24"/>
          <w:szCs w:val="24"/>
          <w:lang w:eastAsia="en-GB"/>
        </w:rPr>
        <w:t>t</w:t>
      </w:r>
      <w:r w:rsidR="00756FD8" w:rsidRPr="0071546E">
        <w:rPr>
          <w:rFonts w:ascii="Arial" w:eastAsia="Times New Roman" w:hAnsi="Arial" w:cs="Arial"/>
          <w:sz w:val="24"/>
          <w:szCs w:val="24"/>
          <w:lang w:eastAsia="en-GB"/>
        </w:rPr>
        <w:t xml:space="preserve"> significantly toxic</w:t>
      </w:r>
      <w:r w:rsidR="00C84123" w:rsidRPr="0071546E">
        <w:rPr>
          <w:rFonts w:ascii="Arial" w:eastAsia="Times New Roman" w:hAnsi="Arial" w:cs="Arial"/>
          <w:sz w:val="24"/>
          <w:szCs w:val="24"/>
          <w:lang w:eastAsia="en-GB"/>
        </w:rPr>
        <w:t xml:space="preserve"> to</w:t>
      </w:r>
      <w:r w:rsidR="00756FD8" w:rsidRPr="0071546E">
        <w:rPr>
          <w:rFonts w:ascii="Arial" w:eastAsia="Times New Roman" w:hAnsi="Arial" w:cs="Arial"/>
          <w:sz w:val="24"/>
          <w:szCs w:val="24"/>
          <w:lang w:eastAsia="en-GB"/>
        </w:rPr>
        <w:t xml:space="preserve"> the bacteria or mammalian cells when not activated by light.</w:t>
      </w:r>
      <w:r w:rsidRPr="0071546E">
        <w:rPr>
          <w:rFonts w:ascii="Arial" w:eastAsia="Times New Roman" w:hAnsi="Arial" w:cs="Arial"/>
          <w:sz w:val="24"/>
          <w:szCs w:val="24"/>
          <w:lang w:eastAsia="en-GB"/>
        </w:rPr>
        <w:t xml:space="preserve"> </w:t>
      </w:r>
    </w:p>
    <w:p w:rsidR="00725033" w:rsidRPr="0071546E" w:rsidRDefault="00725033" w:rsidP="00CF13FE">
      <w:pPr>
        <w:spacing w:after="0" w:line="480" w:lineRule="auto"/>
        <w:ind w:left="1021" w:right="454"/>
        <w:jc w:val="both"/>
        <w:rPr>
          <w:rFonts w:ascii="Arial" w:eastAsia="Times New Roman" w:hAnsi="Arial" w:cs="Arial"/>
          <w:b/>
          <w:color w:val="000000" w:themeColor="text1"/>
          <w:sz w:val="24"/>
          <w:szCs w:val="24"/>
          <w:lang w:eastAsia="en-GB"/>
        </w:rPr>
      </w:pPr>
    </w:p>
    <w:p w:rsidR="00725033" w:rsidRPr="0071546E" w:rsidRDefault="00725033" w:rsidP="00CF13FE">
      <w:pPr>
        <w:pStyle w:val="Heading2"/>
        <w:ind w:left="1021" w:right="454"/>
      </w:pPr>
      <w:bookmarkStart w:id="35" w:name="_Toc14711405"/>
      <w:r w:rsidRPr="0071546E">
        <w:t>1.5.8 Light delivery systems in PDT.</w:t>
      </w:r>
      <w:bookmarkEnd w:id="35"/>
    </w:p>
    <w:p w:rsidR="003A0829" w:rsidRPr="0071546E" w:rsidRDefault="00725033"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The efficacy of PDT is in part affected by the amount of light that reaches the target tissue where the PS is localised</w:t>
      </w:r>
      <w:r w:rsidR="000E5B4E" w:rsidRPr="0071546E">
        <w:rPr>
          <w:color w:val="000000"/>
        </w:rPr>
        <w:t xml:space="preserve"> </w:t>
      </w:r>
      <w:r w:rsidR="000E5B4E" w:rsidRPr="0071546E">
        <w:rPr>
          <w:rFonts w:ascii="Arial" w:eastAsia="Times New Roman" w:hAnsi="Arial" w:cs="Arial"/>
          <w:sz w:val="24"/>
          <w:szCs w:val="24"/>
          <w:lang w:eastAsia="en-GB"/>
        </w:rPr>
        <w:t>(van Straten et al., 2017)</w:t>
      </w:r>
      <w:r w:rsidR="00EA0269"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 In PDT it is important to know the excitation and the emission spectra of the PS used. This will enable the operator to know what type and wavelength of light that will effectively excite the PS molecule. Every photosensitive molecule has an excitation and emission wavelength, which corresponds to the region of </w:t>
      </w:r>
      <w:r w:rsidR="004A57D4"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visible spectrum of light that is suitable for its excitation</w:t>
      </w:r>
      <w:r w:rsidR="00FD588E" w:rsidRPr="0071546E">
        <w:rPr>
          <w:rFonts w:ascii="Arial" w:eastAsia="Times New Roman" w:hAnsi="Arial" w:cs="Arial"/>
          <w:sz w:val="24"/>
          <w:szCs w:val="24"/>
          <w:lang w:eastAsia="en-GB"/>
        </w:rPr>
        <w:t xml:space="preserve"> see fig (1.14</w:t>
      </w:r>
      <w:r w:rsidR="00EA0269"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For irradiation of a PS, three major light sources are often used, they are Lasers (e.g., diode, argon or neodymium</w:t>
      </w:r>
      <w:r w:rsidR="004A57D4"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doped yttrium, aluminium and garnet lasers), light-em</w:t>
      </w:r>
      <w:r w:rsidR="004A57D4" w:rsidRPr="0071546E">
        <w:rPr>
          <w:rFonts w:ascii="Arial" w:eastAsia="Times New Roman" w:hAnsi="Arial" w:cs="Arial"/>
          <w:sz w:val="24"/>
          <w:szCs w:val="24"/>
          <w:lang w:eastAsia="en-GB"/>
        </w:rPr>
        <w:t>itting diodes (LEDs) and other</w:t>
      </w:r>
      <w:r w:rsidRPr="0071546E">
        <w:rPr>
          <w:rFonts w:ascii="Arial" w:eastAsia="Times New Roman" w:hAnsi="Arial" w:cs="Arial"/>
          <w:sz w:val="24"/>
          <w:szCs w:val="24"/>
          <w:lang w:eastAsia="en-GB"/>
        </w:rPr>
        <w:t xml:space="preserve"> gas discharge lamps like the quartz-tungsten-halogen lamp or the xenon-discharge lamp. </w:t>
      </w:r>
    </w:p>
    <w:p w:rsidR="00B754AF" w:rsidRPr="0071546E" w:rsidRDefault="00B754AF" w:rsidP="00CF13FE">
      <w:pPr>
        <w:spacing w:after="0" w:line="480" w:lineRule="auto"/>
        <w:ind w:left="1021" w:right="454"/>
        <w:jc w:val="both"/>
        <w:rPr>
          <w:rFonts w:ascii="Arial" w:eastAsia="Times New Roman" w:hAnsi="Arial" w:cs="Arial"/>
          <w:sz w:val="24"/>
          <w:szCs w:val="24"/>
          <w:lang w:eastAsia="en-GB"/>
        </w:rPr>
      </w:pPr>
    </w:p>
    <w:p w:rsidR="00B754AF" w:rsidRPr="0071546E" w:rsidRDefault="00B754AF" w:rsidP="00CF13FE">
      <w:pPr>
        <w:spacing w:after="0" w:line="480" w:lineRule="auto"/>
        <w:ind w:left="1021" w:right="454"/>
        <w:jc w:val="both"/>
        <w:rPr>
          <w:rFonts w:ascii="Arial" w:eastAsia="Times New Roman" w:hAnsi="Arial" w:cs="Arial"/>
          <w:sz w:val="24"/>
          <w:szCs w:val="24"/>
          <w:lang w:eastAsia="en-GB"/>
        </w:rPr>
      </w:pPr>
    </w:p>
    <w:p w:rsidR="00B754AF" w:rsidRPr="0071546E" w:rsidRDefault="00B754AF" w:rsidP="00CF13FE">
      <w:pPr>
        <w:spacing w:after="0" w:line="480" w:lineRule="auto"/>
        <w:ind w:left="1021" w:right="454"/>
        <w:jc w:val="both"/>
        <w:rPr>
          <w:rFonts w:ascii="Arial" w:eastAsia="Times New Roman" w:hAnsi="Arial" w:cs="Arial"/>
          <w:sz w:val="24"/>
          <w:szCs w:val="24"/>
          <w:lang w:eastAsia="en-GB"/>
        </w:rPr>
      </w:pPr>
    </w:p>
    <w:p w:rsidR="00E44593" w:rsidRPr="0071546E" w:rsidRDefault="00725033"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Lasers are mainly used </w:t>
      </w:r>
      <w:r w:rsidR="00DA2C4D" w:rsidRPr="0071546E">
        <w:rPr>
          <w:rFonts w:ascii="Arial" w:eastAsia="Times New Roman" w:hAnsi="Arial" w:cs="Arial"/>
          <w:sz w:val="24"/>
          <w:szCs w:val="24"/>
          <w:lang w:eastAsia="en-GB"/>
        </w:rPr>
        <w:t>because they</w:t>
      </w:r>
      <w:r w:rsidRPr="0071546E">
        <w:rPr>
          <w:rFonts w:ascii="Arial" w:eastAsia="Times New Roman" w:hAnsi="Arial" w:cs="Arial"/>
          <w:sz w:val="24"/>
          <w:szCs w:val="24"/>
          <w:lang w:eastAsia="en-GB"/>
        </w:rPr>
        <w:t xml:space="preserve"> produce a single wavelength of light (mon</w:t>
      </w:r>
      <w:r w:rsidR="004A57D4" w:rsidRPr="0071546E">
        <w:rPr>
          <w:rFonts w:ascii="Arial" w:eastAsia="Times New Roman" w:hAnsi="Arial" w:cs="Arial"/>
          <w:sz w:val="24"/>
          <w:szCs w:val="24"/>
          <w:lang w:eastAsia="en-GB"/>
        </w:rPr>
        <w:t>ochromac</w:t>
      </w:r>
      <w:r w:rsidRPr="0071546E">
        <w:rPr>
          <w:rFonts w:ascii="Arial" w:eastAsia="Times New Roman" w:hAnsi="Arial" w:cs="Arial"/>
          <w:sz w:val="24"/>
          <w:szCs w:val="24"/>
          <w:lang w:eastAsia="en-GB"/>
        </w:rPr>
        <w:t xml:space="preserve">y) which allows the laser beam to produce a coherent parallel beam of light with narrow special intensity. This makes it easy for </w:t>
      </w:r>
      <w:r w:rsidR="004A57D4"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laser to be coupled into a mono-optical fibre and then connected to different light delivery devices.  In comparison with lasers, LEDs deliver a wider emission spectrum and are cost</w:t>
      </w:r>
      <w:r w:rsidR="004A57D4"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effective (Wilson and Patterson 2008). Unlike the lasers and the LEDs, the halogen lamps have more advantage as they can be optimised to match any PS; but the halogens are often not used as they cannot be effectively attached into </w:t>
      </w:r>
      <w:r w:rsidR="004A57D4" w:rsidRPr="0071546E">
        <w:rPr>
          <w:rFonts w:ascii="Arial" w:eastAsia="Times New Roman" w:hAnsi="Arial" w:cs="Arial"/>
          <w:sz w:val="24"/>
          <w:szCs w:val="24"/>
          <w:lang w:eastAsia="en-GB"/>
        </w:rPr>
        <w:t xml:space="preserve">an </w:t>
      </w:r>
      <w:r w:rsidRPr="0071546E">
        <w:rPr>
          <w:rFonts w:ascii="Arial" w:eastAsia="Times New Roman" w:hAnsi="Arial" w:cs="Arial"/>
          <w:sz w:val="24"/>
          <w:szCs w:val="24"/>
          <w:lang w:eastAsia="en-GB"/>
        </w:rPr>
        <w:t xml:space="preserve">optical fibre and then they produce more heat compared to the lasers and the LEDs </w:t>
      </w:r>
      <w:r w:rsidR="00E44593" w:rsidRPr="0071546E">
        <w:rPr>
          <w:rFonts w:ascii="Arial" w:eastAsia="Times New Roman" w:hAnsi="Arial" w:cs="Arial"/>
          <w:sz w:val="24"/>
          <w:szCs w:val="24"/>
          <w:lang w:eastAsia="en-GB"/>
        </w:rPr>
        <w:t>(Lerche et al., 2016)</w:t>
      </w:r>
    </w:p>
    <w:p w:rsidR="00725033" w:rsidRPr="0071546E" w:rsidRDefault="00725033"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Depending on the irradiation period and the type of light source, the amount of energy applied can cause </w:t>
      </w:r>
      <w:r w:rsidR="004A57D4" w:rsidRPr="0071546E">
        <w:rPr>
          <w:rFonts w:ascii="Arial" w:eastAsia="Times New Roman" w:hAnsi="Arial" w:cs="Arial"/>
          <w:sz w:val="24"/>
          <w:szCs w:val="24"/>
          <w:lang w:eastAsia="en-GB"/>
        </w:rPr>
        <w:t xml:space="preserve">a </w:t>
      </w:r>
      <w:r w:rsidRPr="0071546E">
        <w:rPr>
          <w:rFonts w:ascii="Arial" w:eastAsia="Times New Roman" w:hAnsi="Arial" w:cs="Arial"/>
          <w:sz w:val="24"/>
          <w:szCs w:val="24"/>
          <w:lang w:eastAsia="en-GB"/>
        </w:rPr>
        <w:t xml:space="preserve">significant increase in temperature and potentially causing irritation or tissue damage during PDT and these needs to be considered (Spranly et al 2012). For example, Namomour and co-workers reported that thermal irritation can damage or cause changes in the pulp tissue (Nammour et al 2010). Generally, for irradiation of a given PS, the light intensity, mode of delivery, (via optical fibre or directly) play </w:t>
      </w:r>
      <w:r w:rsidR="004A57D4" w:rsidRPr="0071546E">
        <w:rPr>
          <w:rFonts w:ascii="Arial" w:eastAsia="Times New Roman" w:hAnsi="Arial" w:cs="Arial"/>
          <w:sz w:val="24"/>
          <w:szCs w:val="24"/>
          <w:lang w:eastAsia="en-GB"/>
        </w:rPr>
        <w:t xml:space="preserve">a </w:t>
      </w:r>
      <w:r w:rsidRPr="0071546E">
        <w:rPr>
          <w:rFonts w:ascii="Arial" w:eastAsia="Times New Roman" w:hAnsi="Arial" w:cs="Arial"/>
          <w:sz w:val="24"/>
          <w:szCs w:val="24"/>
          <w:lang w:eastAsia="en-GB"/>
        </w:rPr>
        <w:t xml:space="preserve">major role than the type of light source used, e.g. Laser, LED or halogen </w:t>
      </w:r>
      <w:r w:rsidR="00276A78" w:rsidRPr="0071546E">
        <w:rPr>
          <w:rFonts w:ascii="Arial" w:eastAsia="Times New Roman" w:hAnsi="Arial" w:cs="Arial"/>
          <w:sz w:val="24"/>
          <w:szCs w:val="24"/>
          <w:lang w:eastAsia="en-GB"/>
        </w:rPr>
        <w:t>lamps (Novak et al., 2016)</w:t>
      </w:r>
      <w:r w:rsidRPr="0071546E">
        <w:rPr>
          <w:rFonts w:ascii="Arial" w:eastAsia="Times New Roman" w:hAnsi="Arial" w:cs="Arial"/>
          <w:sz w:val="24"/>
          <w:szCs w:val="24"/>
          <w:lang w:eastAsia="en-GB"/>
        </w:rPr>
        <w:t xml:space="preserve">. </w:t>
      </w:r>
      <w:r w:rsidR="007A4D4D" w:rsidRPr="0071546E">
        <w:rPr>
          <w:rFonts w:ascii="Arial" w:eastAsia="Times New Roman" w:hAnsi="Arial" w:cs="Arial"/>
          <w:sz w:val="24"/>
          <w:szCs w:val="24"/>
          <w:lang w:eastAsia="en-GB"/>
        </w:rPr>
        <w:t>Table (3) shows some commonly used light source, incubation period, irradiation time and  the overall photodynamic efficacy of some photosensitizers used in photodynamic therapy</w:t>
      </w:r>
    </w:p>
    <w:p w:rsidR="00725033" w:rsidRPr="0071546E" w:rsidRDefault="00725033" w:rsidP="00CF13FE">
      <w:pPr>
        <w:spacing w:after="0" w:line="480" w:lineRule="auto"/>
        <w:ind w:left="1021" w:right="454"/>
        <w:rPr>
          <w:rFonts w:ascii="Arial" w:eastAsia="Times New Roman" w:hAnsi="Arial" w:cs="Arial"/>
          <w:b/>
          <w:sz w:val="24"/>
          <w:szCs w:val="24"/>
          <w:lang w:eastAsia="en-GB"/>
        </w:rPr>
      </w:pPr>
    </w:p>
    <w:p w:rsidR="00091AF2" w:rsidRPr="0071546E" w:rsidRDefault="00091AF2" w:rsidP="00CF13FE">
      <w:pPr>
        <w:spacing w:after="0" w:line="480" w:lineRule="auto"/>
        <w:ind w:left="1021" w:right="454"/>
        <w:rPr>
          <w:rFonts w:ascii="Arial" w:eastAsia="Times New Roman" w:hAnsi="Arial" w:cs="Arial"/>
          <w:b/>
          <w:sz w:val="24"/>
          <w:szCs w:val="24"/>
          <w:lang w:eastAsia="en-GB"/>
        </w:rPr>
      </w:pPr>
    </w:p>
    <w:p w:rsidR="00091AF2" w:rsidRPr="0071546E" w:rsidRDefault="00091AF2" w:rsidP="00CF13FE">
      <w:pPr>
        <w:spacing w:after="0" w:line="480" w:lineRule="auto"/>
        <w:ind w:left="1021" w:right="454"/>
        <w:rPr>
          <w:rFonts w:ascii="Arial" w:eastAsia="Times New Roman" w:hAnsi="Arial" w:cs="Arial"/>
          <w:b/>
          <w:sz w:val="24"/>
          <w:szCs w:val="24"/>
          <w:lang w:eastAsia="en-GB"/>
        </w:rPr>
      </w:pPr>
    </w:p>
    <w:p w:rsidR="007A4D4D" w:rsidRPr="0071546E" w:rsidRDefault="007A4D4D" w:rsidP="007A4D4D">
      <w:pPr>
        <w:spacing w:after="0" w:line="480" w:lineRule="auto"/>
        <w:ind w:right="454"/>
        <w:rPr>
          <w:rFonts w:ascii="Arial" w:eastAsia="Times New Roman" w:hAnsi="Arial" w:cs="Arial"/>
          <w:b/>
          <w:sz w:val="24"/>
          <w:szCs w:val="24"/>
          <w:lang w:eastAsia="en-GB"/>
        </w:rPr>
      </w:pPr>
      <w:r w:rsidRPr="0071546E">
        <w:rPr>
          <w:rFonts w:ascii="Arial" w:eastAsia="Times New Roman" w:hAnsi="Arial" w:cs="Arial"/>
          <w:b/>
          <w:sz w:val="24"/>
          <w:szCs w:val="24"/>
          <w:lang w:eastAsia="en-GB"/>
        </w:rPr>
        <w:t xml:space="preserve">                              </w:t>
      </w:r>
    </w:p>
    <w:p w:rsidR="007A4D4D" w:rsidRPr="0071546E" w:rsidRDefault="007A4D4D" w:rsidP="007A4D4D">
      <w:pPr>
        <w:spacing w:after="0" w:line="480" w:lineRule="auto"/>
        <w:ind w:right="454"/>
        <w:rPr>
          <w:rFonts w:ascii="Arial" w:eastAsia="Times New Roman" w:hAnsi="Arial" w:cs="Arial"/>
          <w:b/>
          <w:sz w:val="24"/>
          <w:szCs w:val="24"/>
          <w:lang w:eastAsia="en-GB"/>
        </w:rPr>
      </w:pPr>
      <w:r w:rsidRPr="0071546E">
        <w:rPr>
          <w:rFonts w:ascii="Arial" w:eastAsia="Times New Roman" w:hAnsi="Arial" w:cs="Arial"/>
          <w:b/>
          <w:noProof/>
          <w:sz w:val="24"/>
          <w:szCs w:val="24"/>
          <w:lang w:eastAsia="en-GB"/>
        </w:rPr>
        <mc:AlternateContent>
          <mc:Choice Requires="wps">
            <w:drawing>
              <wp:anchor distT="0" distB="0" distL="114300" distR="114300" simplePos="0" relativeHeight="251767808" behindDoc="0" locked="0" layoutInCell="1" allowOverlap="1">
                <wp:simplePos x="0" y="0"/>
                <wp:positionH relativeFrom="column">
                  <wp:posOffset>-3722784</wp:posOffset>
                </wp:positionH>
                <wp:positionV relativeFrom="paragraph">
                  <wp:posOffset>3778029</wp:posOffset>
                </wp:positionV>
                <wp:extent cx="7896682" cy="504991"/>
                <wp:effectExtent l="0" t="0" r="9525" b="9525"/>
                <wp:wrapNone/>
                <wp:docPr id="99" name="Text Box 99"/>
                <wp:cNvGraphicFramePr/>
                <a:graphic xmlns:a="http://schemas.openxmlformats.org/drawingml/2006/main">
                  <a:graphicData uri="http://schemas.microsoft.com/office/word/2010/wordprocessingShape">
                    <wps:wsp>
                      <wps:cNvSpPr txBox="1"/>
                      <wps:spPr>
                        <a:xfrm rot="16200000">
                          <a:off x="0" y="0"/>
                          <a:ext cx="7896682" cy="504991"/>
                        </a:xfrm>
                        <a:prstGeom prst="rect">
                          <a:avLst/>
                        </a:prstGeom>
                        <a:solidFill>
                          <a:schemeClr val="lt1"/>
                        </a:solidFill>
                        <a:ln w="6350">
                          <a:noFill/>
                        </a:ln>
                      </wps:spPr>
                      <wps:txbx>
                        <w:txbxContent>
                          <w:p w:rsidR="00A87A14" w:rsidRPr="007A4D4D" w:rsidRDefault="00A87A14" w:rsidP="007A4D4D">
                            <w:pPr>
                              <w:jc w:val="both"/>
                              <w:rPr>
                                <w:rFonts w:ascii="Arial" w:hAnsi="Arial" w:cs="Arial"/>
                              </w:rPr>
                            </w:pPr>
                            <w:r w:rsidRPr="007A4D4D">
                              <w:rPr>
                                <w:rFonts w:ascii="Arial" w:hAnsi="Arial" w:cs="Arial"/>
                              </w:rPr>
                              <w:t>Table 3 . Examples of photosensitisers used in photodynamic therapy , their concentrations, incubation period, light source used to activate the PS and the overall PDT efficacy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9" o:spid="_x0000_s1035" type="#_x0000_t202" style="position:absolute;margin-left:-293.15pt;margin-top:297.5pt;width:621.8pt;height:39.75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" fillcolor="white [3201]" stroked="f" strokeweight=".5pt">
                <v:textbox>
                  <w:txbxContent>
                    <w:p w:rsidR="00A87A14" w:rsidRPr="007A4D4D" w:rsidRDefault="00A87A14" w:rsidP="007A4D4D">
                      <w:pPr>
                        <w:jc w:val="both"/>
                        <w:rPr>
                          <w:rFonts w:ascii="Arial" w:hAnsi="Arial" w:cs="Arial"/>
                        </w:rPr>
                      </w:pPr>
                      <w:r w:rsidRPr="007A4D4D">
                        <w:rPr>
                          <w:rFonts w:ascii="Arial" w:hAnsi="Arial" w:cs="Arial"/>
                        </w:rPr>
                        <w:t xml:space="preserve">Table </w:t>
                      </w:r>
                      <w:proofErr w:type="gramStart"/>
                      <w:r w:rsidRPr="007A4D4D">
                        <w:rPr>
                          <w:rFonts w:ascii="Arial" w:hAnsi="Arial" w:cs="Arial"/>
                        </w:rPr>
                        <w:t>3 .</w:t>
                      </w:r>
                      <w:proofErr w:type="gramEnd"/>
                      <w:r w:rsidRPr="007A4D4D">
                        <w:rPr>
                          <w:rFonts w:ascii="Arial" w:hAnsi="Arial" w:cs="Arial"/>
                        </w:rPr>
                        <w:t xml:space="preserve"> Examples of photosensitisers used in photodynamic </w:t>
                      </w:r>
                      <w:proofErr w:type="gramStart"/>
                      <w:r w:rsidRPr="007A4D4D">
                        <w:rPr>
                          <w:rFonts w:ascii="Arial" w:hAnsi="Arial" w:cs="Arial"/>
                        </w:rPr>
                        <w:t>therapy ,</w:t>
                      </w:r>
                      <w:proofErr w:type="gramEnd"/>
                      <w:r w:rsidRPr="007A4D4D">
                        <w:rPr>
                          <w:rFonts w:ascii="Arial" w:hAnsi="Arial" w:cs="Arial"/>
                        </w:rPr>
                        <w:t xml:space="preserve"> their concentrations, incubation period, light source used to activate the PS and the overall PDT efficacy</w:t>
                      </w:r>
                    </w:p>
                  </w:txbxContent>
                </v:textbox>
              </v:shape>
            </w:pict>
          </mc:Fallback>
        </mc:AlternateContent>
      </w:r>
      <w:r w:rsidRPr="0071546E">
        <w:rPr>
          <w:rFonts w:ascii="Arial" w:eastAsia="Times New Roman" w:hAnsi="Arial" w:cs="Arial"/>
          <w:b/>
          <w:sz w:val="24"/>
          <w:szCs w:val="24"/>
          <w:lang w:eastAsia="en-GB"/>
        </w:rPr>
        <w:t xml:space="preserve">       </w:t>
      </w:r>
      <w:r w:rsidRPr="0071546E">
        <w:rPr>
          <w:rFonts w:ascii="Arial" w:eastAsia="Times New Roman" w:hAnsi="Arial" w:cs="Arial"/>
          <w:b/>
          <w:noProof/>
          <w:sz w:val="24"/>
          <w:szCs w:val="24"/>
          <w:lang w:eastAsia="en-GB"/>
        </w:rPr>
        <w:drawing>
          <wp:inline distT="0" distB="0" distL="0" distR="0" wp14:anchorId="07F0C332">
            <wp:extent cx="8098896" cy="5116578"/>
            <wp:effectExtent l="5397" t="0" r="2858" b="2857"/>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8098896" cy="5116578"/>
                    </a:xfrm>
                    <a:prstGeom prst="rect">
                      <a:avLst/>
                    </a:prstGeom>
                    <a:noFill/>
                  </pic:spPr>
                </pic:pic>
              </a:graphicData>
            </a:graphic>
          </wp:inline>
        </w:drawing>
      </w:r>
    </w:p>
    <w:p w:rsidR="0037221C" w:rsidRPr="0071546E" w:rsidRDefault="0037221C" w:rsidP="00091AF2">
      <w:pPr>
        <w:ind w:right="454"/>
        <w:rPr>
          <w:lang w:eastAsia="en-GB"/>
        </w:rPr>
      </w:pPr>
    </w:p>
    <w:p w:rsidR="00725033" w:rsidRPr="0071546E" w:rsidRDefault="00F01C28" w:rsidP="00F01C28">
      <w:pPr>
        <w:pStyle w:val="Heading2"/>
        <w:ind w:right="454"/>
      </w:pPr>
      <w:r w:rsidRPr="0071546E">
        <w:t xml:space="preserve">               </w:t>
      </w:r>
      <w:bookmarkStart w:id="36" w:name="_Toc14711406"/>
      <w:r w:rsidR="00725033" w:rsidRPr="0071546E">
        <w:t>1.6 Susceptibility test for high-throughput drug development.</w:t>
      </w:r>
      <w:bookmarkEnd w:id="36"/>
    </w:p>
    <w:p w:rsidR="003A0829" w:rsidRPr="0071546E" w:rsidRDefault="00725033" w:rsidP="00F01C28">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Today’s drug development </w:t>
      </w:r>
      <w:r w:rsidR="001816FE" w:rsidRPr="0071546E">
        <w:rPr>
          <w:rFonts w:ascii="Arial" w:eastAsia="Times New Roman" w:hAnsi="Arial" w:cs="Arial"/>
          <w:sz w:val="24"/>
          <w:szCs w:val="24"/>
          <w:lang w:eastAsia="en-GB"/>
        </w:rPr>
        <w:t>industries</w:t>
      </w:r>
      <w:r w:rsidRPr="0071546E">
        <w:rPr>
          <w:rFonts w:ascii="Arial" w:eastAsia="Times New Roman" w:hAnsi="Arial" w:cs="Arial"/>
          <w:sz w:val="24"/>
          <w:szCs w:val="24"/>
          <w:lang w:eastAsia="en-GB"/>
        </w:rPr>
        <w:t xml:space="preserve"> </w:t>
      </w:r>
      <w:r w:rsidR="001816FE" w:rsidRPr="0071546E">
        <w:rPr>
          <w:rFonts w:ascii="Arial" w:eastAsia="Times New Roman" w:hAnsi="Arial" w:cs="Arial"/>
          <w:sz w:val="24"/>
          <w:szCs w:val="24"/>
          <w:lang w:eastAsia="en-GB"/>
        </w:rPr>
        <w:t>are</w:t>
      </w:r>
      <w:r w:rsidRPr="0071546E">
        <w:rPr>
          <w:rFonts w:ascii="Arial" w:eastAsia="Times New Roman" w:hAnsi="Arial" w:cs="Arial"/>
          <w:sz w:val="24"/>
          <w:szCs w:val="24"/>
          <w:lang w:eastAsia="en-GB"/>
        </w:rPr>
        <w:t xml:space="preserve"> confronted with the unique </w:t>
      </w:r>
      <w:r w:rsidR="001816FE" w:rsidRPr="0071546E">
        <w:rPr>
          <w:rFonts w:ascii="Arial" w:eastAsia="Times New Roman" w:hAnsi="Arial" w:cs="Arial"/>
          <w:sz w:val="24"/>
          <w:szCs w:val="24"/>
          <w:lang w:eastAsia="en-GB"/>
        </w:rPr>
        <w:t>problem of managing the process</w:t>
      </w:r>
      <w:r w:rsidRPr="0071546E">
        <w:rPr>
          <w:rFonts w:ascii="Arial" w:eastAsia="Times New Roman" w:hAnsi="Arial" w:cs="Arial"/>
          <w:sz w:val="24"/>
          <w:szCs w:val="24"/>
          <w:lang w:eastAsia="en-GB"/>
        </w:rPr>
        <w:t xml:space="preserve"> of </w:t>
      </w:r>
      <w:r w:rsidR="001816FE" w:rsidRPr="0071546E">
        <w:rPr>
          <w:rFonts w:ascii="Arial" w:eastAsia="Times New Roman" w:hAnsi="Arial" w:cs="Arial"/>
          <w:sz w:val="24"/>
          <w:szCs w:val="24"/>
          <w:lang w:eastAsia="en-GB"/>
        </w:rPr>
        <w:t xml:space="preserve">screening </w:t>
      </w:r>
      <w:r w:rsidRPr="0071546E">
        <w:rPr>
          <w:rFonts w:ascii="Arial" w:eastAsia="Times New Roman" w:hAnsi="Arial" w:cs="Arial"/>
          <w:sz w:val="24"/>
          <w:szCs w:val="24"/>
          <w:lang w:eastAsia="en-GB"/>
        </w:rPr>
        <w:t>an increasingly bunch of molecular target, and novel APIs needed to discov</w:t>
      </w:r>
      <w:r w:rsidR="001816FE" w:rsidRPr="0071546E">
        <w:rPr>
          <w:rFonts w:ascii="Arial" w:eastAsia="Times New Roman" w:hAnsi="Arial" w:cs="Arial"/>
          <w:sz w:val="24"/>
          <w:szCs w:val="24"/>
          <w:lang w:eastAsia="en-GB"/>
        </w:rPr>
        <w:t>er and develop new drugs and</w:t>
      </w:r>
      <w:r w:rsidRPr="0071546E">
        <w:rPr>
          <w:rFonts w:ascii="Arial" w:eastAsia="Times New Roman" w:hAnsi="Arial" w:cs="Arial"/>
          <w:sz w:val="24"/>
          <w:szCs w:val="24"/>
          <w:lang w:eastAsia="en-GB"/>
        </w:rPr>
        <w:t xml:space="preserve"> treatment approaches. </w:t>
      </w:r>
      <w:r w:rsidR="00F01C28" w:rsidRPr="0071546E">
        <w:rPr>
          <w:rFonts w:ascii="Arial" w:eastAsia="Times New Roman" w:hAnsi="Arial" w:cs="Arial"/>
          <w:sz w:val="24"/>
          <w:szCs w:val="24"/>
          <w:lang w:eastAsia="en-GB"/>
        </w:rPr>
        <w:t>Developing a new drug compound or treatment method requires</w:t>
      </w:r>
      <w:r w:rsidRPr="0071546E">
        <w:rPr>
          <w:rFonts w:ascii="Arial" w:eastAsia="Times New Roman" w:hAnsi="Arial" w:cs="Arial"/>
          <w:sz w:val="24"/>
          <w:szCs w:val="24"/>
          <w:lang w:eastAsia="en-GB"/>
        </w:rPr>
        <w:t xml:space="preserve"> s</w:t>
      </w:r>
      <w:r w:rsidR="001816FE" w:rsidRPr="0071546E">
        <w:rPr>
          <w:rFonts w:ascii="Arial" w:eastAsia="Times New Roman" w:hAnsi="Arial" w:cs="Arial"/>
          <w:sz w:val="24"/>
          <w:szCs w:val="24"/>
          <w:lang w:eastAsia="en-GB"/>
        </w:rPr>
        <w:t>usceptibility testing system</w:t>
      </w:r>
      <w:r w:rsidRPr="0071546E">
        <w:rPr>
          <w:rFonts w:ascii="Arial" w:eastAsia="Times New Roman" w:hAnsi="Arial" w:cs="Arial"/>
          <w:sz w:val="24"/>
          <w:szCs w:val="24"/>
          <w:lang w:eastAsia="en-GB"/>
        </w:rPr>
        <w:t xml:space="preserve"> </w:t>
      </w:r>
      <w:r w:rsidR="00F01C28" w:rsidRPr="0071546E">
        <w:rPr>
          <w:rFonts w:ascii="Arial" w:eastAsia="Times New Roman" w:hAnsi="Arial" w:cs="Arial"/>
          <w:sz w:val="24"/>
          <w:szCs w:val="24"/>
          <w:lang w:eastAsia="en-GB"/>
        </w:rPr>
        <w:t>that shows the effect of compound or therapy to target organism</w:t>
      </w:r>
      <w:r w:rsidRPr="0071546E">
        <w:rPr>
          <w:rFonts w:ascii="Arial" w:eastAsia="Times New Roman" w:hAnsi="Arial" w:cs="Arial"/>
          <w:sz w:val="24"/>
          <w:szCs w:val="24"/>
          <w:lang w:eastAsia="en-GB"/>
        </w:rPr>
        <w:t xml:space="preserve">. </w:t>
      </w:r>
    </w:p>
    <w:p w:rsidR="00F01C28" w:rsidRPr="0071546E" w:rsidRDefault="00725033"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During the past decade, </w:t>
      </w:r>
      <w:r w:rsidR="001816FE" w:rsidRPr="0071546E">
        <w:rPr>
          <w:rFonts w:ascii="Arial" w:eastAsia="Times New Roman" w:hAnsi="Arial" w:cs="Arial"/>
          <w:sz w:val="24"/>
          <w:szCs w:val="24"/>
          <w:lang w:eastAsia="en-GB"/>
        </w:rPr>
        <w:t>susceptibility assays ha</w:t>
      </w:r>
      <w:r w:rsidR="00675534" w:rsidRPr="0071546E">
        <w:rPr>
          <w:rFonts w:ascii="Arial" w:eastAsia="Times New Roman" w:hAnsi="Arial" w:cs="Arial"/>
          <w:sz w:val="24"/>
          <w:szCs w:val="24"/>
          <w:lang w:eastAsia="en-GB"/>
        </w:rPr>
        <w:t>ve</w:t>
      </w:r>
      <w:r w:rsidR="001816FE" w:rsidRPr="0071546E">
        <w:rPr>
          <w:rFonts w:ascii="Arial" w:eastAsia="Times New Roman" w:hAnsi="Arial" w:cs="Arial"/>
          <w:sz w:val="24"/>
          <w:szCs w:val="24"/>
          <w:lang w:eastAsia="en-GB"/>
        </w:rPr>
        <w:t xml:space="preserve"> evolved from very slow to high throughput systems</w:t>
      </w:r>
      <w:r w:rsidR="00885D23" w:rsidRPr="0071546E">
        <w:rPr>
          <w:rFonts w:ascii="Arial" w:eastAsia="Times New Roman" w:hAnsi="Arial" w:cs="Arial"/>
          <w:sz w:val="24"/>
          <w:szCs w:val="24"/>
          <w:lang w:eastAsia="en-GB"/>
        </w:rPr>
        <w:t xml:space="preserve"> (Chai, Goktug and Chen, 2015)</w:t>
      </w:r>
      <w:r w:rsidR="001816FE"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 For example, 20</w:t>
      </w:r>
      <w:r w:rsidR="001816FE"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 xml:space="preserve">years ago it would have </w:t>
      </w:r>
      <w:r w:rsidR="00E94FF0" w:rsidRPr="0071546E">
        <w:rPr>
          <w:rFonts w:ascii="Arial" w:eastAsia="Times New Roman" w:hAnsi="Arial" w:cs="Arial"/>
          <w:sz w:val="24"/>
          <w:szCs w:val="24"/>
          <w:lang w:eastAsia="en-GB"/>
        </w:rPr>
        <w:t>been a very difficult task to screen several million compounds during susceptibility testin</w:t>
      </w:r>
      <w:r w:rsidR="00885D23" w:rsidRPr="0071546E">
        <w:rPr>
          <w:rFonts w:ascii="Arial" w:eastAsia="Times New Roman" w:hAnsi="Arial" w:cs="Arial"/>
          <w:sz w:val="24"/>
          <w:szCs w:val="24"/>
          <w:lang w:eastAsia="en-GB"/>
        </w:rPr>
        <w:t>g; an average susceptibility assay would have taken at least 48 hours</w:t>
      </w:r>
      <w:r w:rsidRPr="0071546E">
        <w:rPr>
          <w:rFonts w:ascii="Arial" w:eastAsia="Times New Roman" w:hAnsi="Arial" w:cs="Arial"/>
          <w:sz w:val="24"/>
          <w:szCs w:val="24"/>
          <w:lang w:eastAsia="en-GB"/>
        </w:rPr>
        <w:t>. Today the same number of compounds using available screening systems would be screen</w:t>
      </w:r>
      <w:r w:rsidR="00E94FF0" w:rsidRPr="0071546E">
        <w:rPr>
          <w:rFonts w:ascii="Arial" w:eastAsia="Times New Roman" w:hAnsi="Arial" w:cs="Arial"/>
          <w:sz w:val="24"/>
          <w:szCs w:val="24"/>
          <w:lang w:eastAsia="en-GB"/>
        </w:rPr>
        <w:t>ed</w:t>
      </w:r>
      <w:r w:rsidRPr="0071546E">
        <w:rPr>
          <w:rFonts w:ascii="Arial" w:eastAsia="Times New Roman" w:hAnsi="Arial" w:cs="Arial"/>
          <w:sz w:val="24"/>
          <w:szCs w:val="24"/>
          <w:lang w:eastAsia="en-GB"/>
        </w:rPr>
        <w:t xml:space="preserve"> </w:t>
      </w:r>
      <w:r w:rsidR="00885D23" w:rsidRPr="0071546E">
        <w:rPr>
          <w:rFonts w:ascii="Arial" w:eastAsia="Times New Roman" w:hAnsi="Arial" w:cs="Arial"/>
          <w:sz w:val="24"/>
          <w:szCs w:val="24"/>
          <w:lang w:eastAsia="en-GB"/>
        </w:rPr>
        <w:t>in less than a few hours</w:t>
      </w:r>
      <w:r w:rsidRPr="0071546E">
        <w:rPr>
          <w:rFonts w:ascii="Arial" w:eastAsia="Times New Roman" w:hAnsi="Arial" w:cs="Arial"/>
          <w:sz w:val="24"/>
          <w:szCs w:val="24"/>
          <w:lang w:eastAsia="en-GB"/>
        </w:rPr>
        <w:t>. This extraordinary progress is now possible through assay miniaturisation and innovations in hardware used for assay technologies. It is now a common practi</w:t>
      </w:r>
      <w:r w:rsidR="004A57D4" w:rsidRPr="0071546E">
        <w:rPr>
          <w:rFonts w:ascii="Arial" w:eastAsia="Times New Roman" w:hAnsi="Arial" w:cs="Arial"/>
          <w:sz w:val="24"/>
          <w:szCs w:val="24"/>
          <w:lang w:eastAsia="en-GB"/>
        </w:rPr>
        <w:t>c</w:t>
      </w:r>
      <w:r w:rsidRPr="0071546E">
        <w:rPr>
          <w:rFonts w:ascii="Arial" w:eastAsia="Times New Roman" w:hAnsi="Arial" w:cs="Arial"/>
          <w:sz w:val="24"/>
          <w:szCs w:val="24"/>
          <w:lang w:eastAsia="en-GB"/>
        </w:rPr>
        <w:t xml:space="preserve">e to confirm the response of mammalian, Fungi, protozoa, and bacteria cells to new therapeutics through enzyme assays optimised to be adaptable to 150 x 384- well microplates in a single day using </w:t>
      </w:r>
      <w:r w:rsidR="00885D23" w:rsidRPr="0071546E">
        <w:rPr>
          <w:rFonts w:ascii="Arial" w:eastAsia="Times New Roman" w:hAnsi="Arial" w:cs="Arial"/>
          <w:sz w:val="24"/>
          <w:szCs w:val="24"/>
          <w:lang w:eastAsia="en-GB"/>
        </w:rPr>
        <w:t>high-throughput screening</w:t>
      </w:r>
      <w:r w:rsidRPr="0071546E">
        <w:rPr>
          <w:rFonts w:ascii="Arial" w:eastAsia="Times New Roman" w:hAnsi="Arial" w:cs="Arial"/>
          <w:sz w:val="24"/>
          <w:szCs w:val="24"/>
          <w:lang w:eastAsia="en-GB"/>
        </w:rPr>
        <w:t>. The most available susceptibility testing system use fluorescence, absorbance and bioluminescence detection systems</w:t>
      </w:r>
      <w:r w:rsidR="00EA0269" w:rsidRPr="0071546E">
        <w:rPr>
          <w:color w:val="000000"/>
        </w:rPr>
        <w:t xml:space="preserve"> </w:t>
      </w:r>
      <w:r w:rsidR="00EA0269" w:rsidRPr="0071546E">
        <w:rPr>
          <w:rFonts w:ascii="Arial" w:eastAsia="Times New Roman" w:hAnsi="Arial" w:cs="Arial"/>
          <w:sz w:val="24"/>
          <w:szCs w:val="24"/>
          <w:lang w:eastAsia="en-GB"/>
        </w:rPr>
        <w:t>(Tung et al., 2016)</w:t>
      </w:r>
      <w:r w:rsidRPr="0071546E">
        <w:rPr>
          <w:rFonts w:ascii="Arial" w:eastAsia="Times New Roman" w:hAnsi="Arial" w:cs="Arial"/>
          <w:sz w:val="24"/>
          <w:szCs w:val="24"/>
          <w:lang w:eastAsia="en-GB"/>
        </w:rPr>
        <w:t xml:space="preserve">. These systems provide significant sensitivity and facilitate ultra-high-speed measurements (using luminescence and fluorescence imaging devices). </w:t>
      </w:r>
    </w:p>
    <w:p w:rsidR="00F01C28" w:rsidRPr="0071546E" w:rsidRDefault="00F01C28" w:rsidP="005F3F09">
      <w:pPr>
        <w:spacing w:after="0" w:line="480" w:lineRule="auto"/>
        <w:ind w:right="454"/>
        <w:jc w:val="both"/>
        <w:rPr>
          <w:rFonts w:ascii="Arial" w:eastAsia="Times New Roman" w:hAnsi="Arial" w:cs="Arial"/>
          <w:sz w:val="24"/>
          <w:szCs w:val="24"/>
          <w:lang w:eastAsia="en-GB"/>
        </w:rPr>
      </w:pPr>
    </w:p>
    <w:p w:rsidR="003A0829" w:rsidRPr="0071546E" w:rsidRDefault="00725033"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There is a strong move</w:t>
      </w:r>
      <w:r w:rsidR="004A57D4" w:rsidRPr="0071546E">
        <w:rPr>
          <w:rFonts w:ascii="Arial" w:eastAsia="Times New Roman" w:hAnsi="Arial" w:cs="Arial"/>
          <w:sz w:val="24"/>
          <w:szCs w:val="24"/>
          <w:lang w:eastAsia="en-GB"/>
        </w:rPr>
        <w:t>ment</w:t>
      </w:r>
      <w:r w:rsidRPr="0071546E">
        <w:rPr>
          <w:rFonts w:ascii="Arial" w:eastAsia="Times New Roman" w:hAnsi="Arial" w:cs="Arial"/>
          <w:sz w:val="24"/>
          <w:szCs w:val="24"/>
          <w:lang w:eastAsia="en-GB"/>
        </w:rPr>
        <w:t xml:space="preserve"> within the drug development sector towards </w:t>
      </w:r>
      <w:r w:rsidR="004A57D4" w:rsidRPr="0071546E">
        <w:rPr>
          <w:rFonts w:ascii="Arial" w:eastAsia="Times New Roman" w:hAnsi="Arial" w:cs="Arial"/>
          <w:sz w:val="24"/>
          <w:szCs w:val="24"/>
          <w:lang w:eastAsia="en-GB"/>
        </w:rPr>
        <w:t xml:space="preserve">an </w:t>
      </w:r>
      <w:r w:rsidRPr="0071546E">
        <w:rPr>
          <w:rFonts w:ascii="Arial" w:eastAsia="Times New Roman" w:hAnsi="Arial" w:cs="Arial"/>
          <w:sz w:val="24"/>
          <w:szCs w:val="24"/>
          <w:lang w:eastAsia="en-GB"/>
        </w:rPr>
        <w:t>increased emphasis on cell</w:t>
      </w:r>
      <w:r w:rsidR="004A57D4"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based assays</w:t>
      </w:r>
      <w:r w:rsidR="00EA0269" w:rsidRPr="0071546E">
        <w:rPr>
          <w:color w:val="000000"/>
        </w:rPr>
        <w:t xml:space="preserve"> </w:t>
      </w:r>
      <w:r w:rsidR="00EA0269" w:rsidRPr="0071546E">
        <w:rPr>
          <w:rFonts w:ascii="Arial" w:eastAsia="Times New Roman" w:hAnsi="Arial" w:cs="Arial"/>
          <w:sz w:val="24"/>
          <w:szCs w:val="24"/>
          <w:lang w:eastAsia="en-GB"/>
        </w:rPr>
        <w:t>(Szymański, Markowicz and Mikiciuk-Olasik, 2011)</w:t>
      </w:r>
      <w:r w:rsidRPr="0071546E">
        <w:rPr>
          <w:rFonts w:ascii="Arial" w:eastAsia="Times New Roman" w:hAnsi="Arial" w:cs="Arial"/>
          <w:sz w:val="24"/>
          <w:szCs w:val="24"/>
          <w:lang w:eastAsia="en-GB"/>
        </w:rPr>
        <w:t>. This shows the need for functional screens to uncover what happens within the cell when a molecule interacts with a target. The complexity of the screening process can be compounded when a particular microbial cell exhibits different behaviours in terms</w:t>
      </w:r>
      <w:r w:rsidR="004A57D4" w:rsidRPr="0071546E">
        <w:rPr>
          <w:rFonts w:ascii="Arial" w:eastAsia="Times New Roman" w:hAnsi="Arial" w:cs="Arial"/>
          <w:sz w:val="24"/>
          <w:szCs w:val="24"/>
          <w:lang w:eastAsia="en-GB"/>
        </w:rPr>
        <w:t xml:space="preserve"> of</w:t>
      </w:r>
      <w:r w:rsidRPr="0071546E">
        <w:rPr>
          <w:rFonts w:ascii="Arial" w:eastAsia="Times New Roman" w:hAnsi="Arial" w:cs="Arial"/>
          <w:sz w:val="24"/>
          <w:szCs w:val="24"/>
          <w:lang w:eastAsia="en-GB"/>
        </w:rPr>
        <w:t xml:space="preserve"> morphological and biochemical presentation. </w:t>
      </w:r>
    </w:p>
    <w:p w:rsidR="00F01C28" w:rsidRPr="0071546E" w:rsidRDefault="00725033" w:rsidP="005F3F09">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For these reasons, </w:t>
      </w:r>
      <w:r w:rsidR="00885D23" w:rsidRPr="0071546E">
        <w:rPr>
          <w:rFonts w:ascii="Arial" w:eastAsia="Times New Roman" w:hAnsi="Arial" w:cs="Arial"/>
          <w:sz w:val="24"/>
          <w:szCs w:val="24"/>
          <w:lang w:eastAsia="en-GB"/>
        </w:rPr>
        <w:t>scientists</w:t>
      </w:r>
      <w:r w:rsidRPr="0071546E">
        <w:rPr>
          <w:rFonts w:ascii="Arial" w:eastAsia="Times New Roman" w:hAnsi="Arial" w:cs="Arial"/>
          <w:sz w:val="24"/>
          <w:szCs w:val="24"/>
          <w:lang w:eastAsia="en-GB"/>
        </w:rPr>
        <w:t xml:space="preserve"> in the drug development industries </w:t>
      </w:r>
      <w:r w:rsidR="00885D23" w:rsidRPr="0071546E">
        <w:rPr>
          <w:rFonts w:ascii="Arial" w:eastAsia="Times New Roman" w:hAnsi="Arial" w:cs="Arial"/>
          <w:sz w:val="24"/>
          <w:szCs w:val="24"/>
          <w:lang w:eastAsia="en-GB"/>
        </w:rPr>
        <w:t>are</w:t>
      </w:r>
      <w:r w:rsidRPr="0071546E">
        <w:rPr>
          <w:rFonts w:ascii="Arial" w:eastAsia="Times New Roman" w:hAnsi="Arial" w:cs="Arial"/>
          <w:sz w:val="24"/>
          <w:szCs w:val="24"/>
          <w:lang w:eastAsia="en-GB"/>
        </w:rPr>
        <w:t xml:space="preserve"> seeking out specific biomarkers that </w:t>
      </w:r>
      <w:r w:rsidR="004A57D4" w:rsidRPr="0071546E">
        <w:rPr>
          <w:rFonts w:ascii="Arial" w:eastAsia="Times New Roman" w:hAnsi="Arial" w:cs="Arial"/>
          <w:sz w:val="24"/>
          <w:szCs w:val="24"/>
          <w:lang w:eastAsia="en-GB"/>
        </w:rPr>
        <w:t>are</w:t>
      </w:r>
      <w:r w:rsidRPr="0071546E">
        <w:rPr>
          <w:rFonts w:ascii="Arial" w:eastAsia="Times New Roman" w:hAnsi="Arial" w:cs="Arial"/>
          <w:sz w:val="24"/>
          <w:szCs w:val="24"/>
          <w:lang w:eastAsia="en-GB"/>
        </w:rPr>
        <w:t xml:space="preserve"> consistent regardless of variations in the physical and biochemical presentation of a particular cell.</w:t>
      </w:r>
    </w:p>
    <w:p w:rsidR="00725033" w:rsidRPr="0071546E" w:rsidRDefault="00725033" w:rsidP="00CF13FE">
      <w:pPr>
        <w:pStyle w:val="Heading2"/>
        <w:ind w:left="1021" w:right="454"/>
      </w:pPr>
      <w:bookmarkStart w:id="37" w:name="_Toc14711407"/>
      <w:r w:rsidRPr="0071546E">
        <w:t>1.6.1 Cell viability assay</w:t>
      </w:r>
      <w:bookmarkEnd w:id="37"/>
    </w:p>
    <w:p w:rsidR="003A0829" w:rsidRPr="0071546E" w:rsidRDefault="00725033" w:rsidP="00F01C28">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Part of method development for this project was to develo</w:t>
      </w:r>
      <w:r w:rsidR="00060AF5" w:rsidRPr="0071546E">
        <w:rPr>
          <w:rFonts w:ascii="Arial" w:eastAsia="Times New Roman" w:hAnsi="Arial" w:cs="Arial"/>
          <w:sz w:val="24"/>
          <w:szCs w:val="24"/>
          <w:lang w:eastAsia="en-GB"/>
        </w:rPr>
        <w:t>p an assay to measure</w:t>
      </w:r>
      <w:r w:rsidRPr="0071546E">
        <w:rPr>
          <w:rFonts w:ascii="Arial" w:eastAsia="Times New Roman" w:hAnsi="Arial" w:cs="Arial"/>
          <w:sz w:val="24"/>
          <w:szCs w:val="24"/>
          <w:lang w:eastAsia="en-GB"/>
        </w:rPr>
        <w:t xml:space="preserve"> </w:t>
      </w:r>
      <w:r w:rsidR="004904E2"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 xml:space="preserve">cytotoxicity of photodynamic therapy to </w:t>
      </w:r>
      <w:r w:rsidR="00432D1D" w:rsidRPr="0071546E">
        <w:rPr>
          <w:rFonts w:ascii="Arial" w:eastAsia="Times New Roman" w:hAnsi="Arial" w:cs="Arial"/>
          <w:i/>
          <w:sz w:val="24"/>
          <w:szCs w:val="24"/>
          <w:lang w:eastAsia="en-GB"/>
        </w:rPr>
        <w:t>Acanthamoeba</w:t>
      </w:r>
      <w:r w:rsidRPr="0071546E">
        <w:rPr>
          <w:rFonts w:ascii="Arial" w:eastAsia="Times New Roman" w:hAnsi="Arial" w:cs="Arial"/>
          <w:i/>
          <w:sz w:val="24"/>
          <w:szCs w:val="24"/>
          <w:lang w:eastAsia="en-GB"/>
        </w:rPr>
        <w:t xml:space="preserve"> spp</w:t>
      </w:r>
      <w:r w:rsidRPr="0071546E">
        <w:rPr>
          <w:rFonts w:ascii="Arial" w:eastAsia="Times New Roman" w:hAnsi="Arial" w:cs="Arial"/>
          <w:sz w:val="24"/>
          <w:szCs w:val="24"/>
          <w:lang w:eastAsia="en-GB"/>
        </w:rPr>
        <w:t xml:space="preserve"> (all morphological forms</w:t>
      </w:r>
      <w:r w:rsidR="00060AF5" w:rsidRPr="0071546E">
        <w:rPr>
          <w:rFonts w:ascii="Arial" w:eastAsia="Times New Roman" w:hAnsi="Arial" w:cs="Arial"/>
          <w:sz w:val="24"/>
          <w:szCs w:val="24"/>
          <w:lang w:eastAsia="en-GB"/>
        </w:rPr>
        <w:t>). A variety of viability assay</w:t>
      </w:r>
      <w:r w:rsidR="004A57D4" w:rsidRPr="0071546E">
        <w:rPr>
          <w:rFonts w:ascii="Arial" w:eastAsia="Times New Roman" w:hAnsi="Arial" w:cs="Arial"/>
          <w:sz w:val="24"/>
          <w:szCs w:val="24"/>
          <w:lang w:eastAsia="en-GB"/>
        </w:rPr>
        <w:t xml:space="preserve"> can be used for this </w:t>
      </w:r>
      <w:r w:rsidRPr="0071546E">
        <w:rPr>
          <w:rFonts w:ascii="Arial" w:eastAsia="Times New Roman" w:hAnsi="Arial" w:cs="Arial"/>
          <w:sz w:val="24"/>
          <w:szCs w:val="24"/>
          <w:lang w:eastAsia="en-GB"/>
        </w:rPr>
        <w:t xml:space="preserve">purpose, but the </w:t>
      </w:r>
      <w:r w:rsidR="00885D23" w:rsidRPr="0071546E">
        <w:rPr>
          <w:rFonts w:ascii="Arial" w:eastAsia="Times New Roman" w:hAnsi="Arial" w:cs="Arial"/>
          <w:sz w:val="24"/>
          <w:szCs w:val="24"/>
          <w:lang w:eastAsia="en-GB"/>
        </w:rPr>
        <w:t>suitable</w:t>
      </w:r>
      <w:r w:rsidRPr="0071546E">
        <w:rPr>
          <w:rFonts w:ascii="Arial" w:eastAsia="Times New Roman" w:hAnsi="Arial" w:cs="Arial"/>
          <w:sz w:val="24"/>
          <w:szCs w:val="24"/>
          <w:lang w:eastAsia="en-GB"/>
        </w:rPr>
        <w:t xml:space="preserve"> choice of assay method will depend on a lot of factors most importantly in the case of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is the </w:t>
      </w:r>
      <w:r w:rsidR="004A57D4" w:rsidRPr="0071546E">
        <w:rPr>
          <w:rFonts w:ascii="Arial" w:eastAsia="Times New Roman" w:hAnsi="Arial" w:cs="Arial"/>
          <w:sz w:val="24"/>
          <w:szCs w:val="24"/>
          <w:lang w:eastAsia="en-GB"/>
        </w:rPr>
        <w:t xml:space="preserve">morphology of the cysts. </w:t>
      </w:r>
      <w:r w:rsidR="001F7EA9" w:rsidRPr="0071546E">
        <w:rPr>
          <w:rFonts w:ascii="Arial" w:eastAsia="Times New Roman" w:hAnsi="Arial" w:cs="Arial"/>
          <w:sz w:val="24"/>
          <w:szCs w:val="24"/>
          <w:lang w:eastAsia="en-GB"/>
        </w:rPr>
        <w:t>Different</w:t>
      </w:r>
      <w:r w:rsidRPr="0071546E">
        <w:rPr>
          <w:rFonts w:ascii="Arial" w:eastAsia="Times New Roman" w:hAnsi="Arial" w:cs="Arial"/>
          <w:sz w:val="24"/>
          <w:szCs w:val="24"/>
          <w:lang w:eastAsia="en-GB"/>
        </w:rPr>
        <w:t xml:space="preserve"> viability assay methods have been developed to show </w:t>
      </w:r>
      <w:r w:rsidR="004A57D4"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efficacy of different anti</w:t>
      </w:r>
      <w:r w:rsidR="00060AF5"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amoebic agents against </w:t>
      </w:r>
      <w:r w:rsidR="00432D1D" w:rsidRPr="0071546E">
        <w:rPr>
          <w:rFonts w:ascii="Arial" w:eastAsia="Times New Roman" w:hAnsi="Arial" w:cs="Arial"/>
          <w:i/>
          <w:sz w:val="24"/>
          <w:szCs w:val="24"/>
          <w:lang w:eastAsia="en-GB"/>
        </w:rPr>
        <w:t>Acanthamoeba</w:t>
      </w:r>
      <w:r w:rsidRPr="0071546E">
        <w:rPr>
          <w:rFonts w:ascii="Arial" w:eastAsia="Times New Roman" w:hAnsi="Arial" w:cs="Arial"/>
          <w:i/>
          <w:sz w:val="24"/>
          <w:szCs w:val="24"/>
          <w:lang w:eastAsia="en-GB"/>
        </w:rPr>
        <w:t xml:space="preserve"> spp</w:t>
      </w:r>
      <w:r w:rsidR="00060AF5" w:rsidRPr="0071546E">
        <w:rPr>
          <w:rFonts w:ascii="Arial" w:eastAsia="Times New Roman" w:hAnsi="Arial" w:cs="Arial"/>
          <w:sz w:val="24"/>
          <w:szCs w:val="24"/>
          <w:lang w:eastAsia="en-GB"/>
        </w:rPr>
        <w:t>. Studies have used</w:t>
      </w:r>
      <w:r w:rsidRPr="0071546E">
        <w:rPr>
          <w:rFonts w:ascii="Arial" w:eastAsia="Times New Roman" w:hAnsi="Arial" w:cs="Arial"/>
          <w:sz w:val="24"/>
          <w:szCs w:val="24"/>
          <w:lang w:eastAsia="en-GB"/>
        </w:rPr>
        <w:t xml:space="preserve"> microscopy; the manual counting using the haemocytometer </w:t>
      </w:r>
      <w:r w:rsidR="00C5472F" w:rsidRPr="0071546E">
        <w:rPr>
          <w:rFonts w:ascii="Arial" w:eastAsia="Times New Roman" w:hAnsi="Arial" w:cs="Arial"/>
          <w:sz w:val="24"/>
          <w:szCs w:val="24"/>
          <w:lang w:eastAsia="en-GB"/>
        </w:rPr>
        <w:t>(Mafra et al., 2013)</w:t>
      </w:r>
      <w:r w:rsidRPr="0071546E">
        <w:rPr>
          <w:rFonts w:ascii="Arial" w:eastAsia="Times New Roman" w:hAnsi="Arial" w:cs="Arial"/>
          <w:sz w:val="24"/>
          <w:szCs w:val="24"/>
          <w:lang w:eastAsia="en-GB"/>
        </w:rPr>
        <w:t>. There are other methods like flow cytometry analysis using fluorescence dyes</w:t>
      </w:r>
      <w:r w:rsidR="00272485" w:rsidRPr="0071546E">
        <w:rPr>
          <w:color w:val="000000"/>
        </w:rPr>
        <w:t xml:space="preserve"> </w:t>
      </w:r>
      <w:r w:rsidR="00272485" w:rsidRPr="0071546E">
        <w:rPr>
          <w:rFonts w:ascii="Arial" w:eastAsia="Times New Roman" w:hAnsi="Arial" w:cs="Arial"/>
          <w:sz w:val="24"/>
          <w:szCs w:val="24"/>
          <w:lang w:eastAsia="en-GB"/>
        </w:rPr>
        <w:t>(Imayasu, Tchedre and Cavanagh, 2013)</w:t>
      </w:r>
      <w:r w:rsidRPr="0071546E">
        <w:rPr>
          <w:rFonts w:ascii="Arial" w:eastAsia="Times New Roman" w:hAnsi="Arial" w:cs="Arial"/>
          <w:sz w:val="24"/>
          <w:szCs w:val="24"/>
          <w:lang w:eastAsia="en-GB"/>
        </w:rPr>
        <w:t>, MTT assay</w:t>
      </w:r>
      <w:r w:rsidR="00272485" w:rsidRPr="0071546E">
        <w:rPr>
          <w:color w:val="000000"/>
        </w:rPr>
        <w:t xml:space="preserve"> </w:t>
      </w:r>
      <w:r w:rsidR="00272485" w:rsidRPr="0071546E">
        <w:rPr>
          <w:rFonts w:ascii="Arial" w:eastAsia="Times New Roman" w:hAnsi="Arial" w:cs="Arial"/>
          <w:sz w:val="24"/>
          <w:szCs w:val="24"/>
          <w:lang w:eastAsia="en-GB"/>
        </w:rPr>
        <w:t>(Ortega-Rivas et al., 2016),</w:t>
      </w:r>
      <w:r w:rsidRPr="0071546E">
        <w:rPr>
          <w:rFonts w:ascii="Arial" w:eastAsia="Times New Roman" w:hAnsi="Arial" w:cs="Arial"/>
          <w:sz w:val="24"/>
          <w:szCs w:val="24"/>
          <w:lang w:eastAsia="en-GB"/>
        </w:rPr>
        <w:t xml:space="preserve"> Resazurin assay</w:t>
      </w:r>
      <w:r w:rsidR="00272485" w:rsidRPr="0071546E">
        <w:rPr>
          <w:color w:val="000000"/>
        </w:rPr>
        <w:t xml:space="preserve"> </w:t>
      </w:r>
      <w:r w:rsidR="00272485" w:rsidRPr="0071546E">
        <w:rPr>
          <w:rFonts w:ascii="Arial" w:eastAsia="Times New Roman" w:hAnsi="Arial" w:cs="Arial"/>
          <w:sz w:val="24"/>
          <w:szCs w:val="24"/>
          <w:lang w:eastAsia="en-GB"/>
        </w:rPr>
        <w:t>(McBride et al., 2005)</w:t>
      </w:r>
      <w:r w:rsidRPr="0071546E">
        <w:rPr>
          <w:rFonts w:ascii="Arial" w:eastAsia="Times New Roman" w:hAnsi="Arial" w:cs="Arial"/>
          <w:sz w:val="24"/>
          <w:szCs w:val="24"/>
          <w:lang w:eastAsia="en-GB"/>
        </w:rPr>
        <w:t xml:space="preserve">, lactate dehydrogenase assay </w:t>
      </w:r>
      <w:r w:rsidR="00272485" w:rsidRPr="0071546E">
        <w:rPr>
          <w:rFonts w:ascii="Arial" w:eastAsia="Times New Roman" w:hAnsi="Arial" w:cs="Arial"/>
          <w:sz w:val="24"/>
          <w:szCs w:val="24"/>
          <w:lang w:eastAsia="en-GB"/>
        </w:rPr>
        <w:t>(Sifaoui et al., 2017)</w:t>
      </w:r>
      <w:r w:rsidRPr="0071546E">
        <w:rPr>
          <w:rFonts w:ascii="Arial" w:eastAsia="Times New Roman" w:hAnsi="Arial" w:cs="Arial"/>
          <w:sz w:val="24"/>
          <w:szCs w:val="24"/>
          <w:lang w:eastAsia="en-GB"/>
        </w:rPr>
        <w:t>. These viability assay</w:t>
      </w:r>
      <w:r w:rsidR="004A57D4" w:rsidRPr="0071546E">
        <w:rPr>
          <w:rFonts w:ascii="Arial" w:eastAsia="Times New Roman" w:hAnsi="Arial" w:cs="Arial"/>
          <w:sz w:val="24"/>
          <w:szCs w:val="24"/>
          <w:lang w:eastAsia="en-GB"/>
        </w:rPr>
        <w:t>s</w:t>
      </w:r>
      <w:r w:rsidRPr="0071546E">
        <w:rPr>
          <w:rFonts w:ascii="Arial" w:eastAsia="Times New Roman" w:hAnsi="Arial" w:cs="Arial"/>
          <w:sz w:val="24"/>
          <w:szCs w:val="24"/>
          <w:lang w:eastAsia="en-GB"/>
        </w:rPr>
        <w:t xml:space="preserve"> </w:t>
      </w:r>
      <w:r w:rsidR="00060AF5" w:rsidRPr="0071546E">
        <w:rPr>
          <w:rFonts w:ascii="Arial" w:eastAsia="Times New Roman" w:hAnsi="Arial" w:cs="Arial"/>
          <w:sz w:val="24"/>
          <w:szCs w:val="24"/>
          <w:lang w:eastAsia="en-GB"/>
        </w:rPr>
        <w:t>are dependent o</w:t>
      </w:r>
      <w:r w:rsidR="004904E2" w:rsidRPr="0071546E">
        <w:rPr>
          <w:rFonts w:ascii="Arial" w:eastAsia="Times New Roman" w:hAnsi="Arial" w:cs="Arial"/>
          <w:sz w:val="24"/>
          <w:szCs w:val="24"/>
          <w:lang w:eastAsia="en-GB"/>
        </w:rPr>
        <w:t>n</w:t>
      </w:r>
      <w:r w:rsidR="00060AF5" w:rsidRPr="0071546E">
        <w:rPr>
          <w:rFonts w:ascii="Arial" w:eastAsia="Times New Roman" w:hAnsi="Arial" w:cs="Arial"/>
          <w:sz w:val="24"/>
          <w:szCs w:val="24"/>
          <w:lang w:eastAsia="en-GB"/>
        </w:rPr>
        <w:t xml:space="preserve"> </w:t>
      </w:r>
      <w:r w:rsidR="004904E2" w:rsidRPr="0071546E">
        <w:rPr>
          <w:rFonts w:ascii="Arial" w:eastAsia="Times New Roman" w:hAnsi="Arial" w:cs="Arial"/>
          <w:sz w:val="24"/>
          <w:szCs w:val="24"/>
          <w:lang w:eastAsia="en-GB"/>
        </w:rPr>
        <w:t xml:space="preserve">the </w:t>
      </w:r>
      <w:r w:rsidR="00060AF5" w:rsidRPr="0071546E">
        <w:rPr>
          <w:rFonts w:ascii="Arial" w:eastAsia="Times New Roman" w:hAnsi="Arial" w:cs="Arial"/>
          <w:sz w:val="24"/>
          <w:szCs w:val="24"/>
          <w:lang w:eastAsia="en-GB"/>
        </w:rPr>
        <w:t>reaction between intracellular mitochondria enzymes and certain</w:t>
      </w:r>
      <w:r w:rsidRPr="0071546E">
        <w:rPr>
          <w:rFonts w:ascii="Arial" w:eastAsia="Times New Roman" w:hAnsi="Arial" w:cs="Arial"/>
          <w:sz w:val="24"/>
          <w:szCs w:val="24"/>
          <w:lang w:eastAsia="en-GB"/>
        </w:rPr>
        <w:t xml:space="preserve"> dyes</w:t>
      </w:r>
      <w:r w:rsidR="00060AF5"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 leading to colour change or increased </w:t>
      </w:r>
      <w:r w:rsidR="00BA6068" w:rsidRPr="0071546E">
        <w:rPr>
          <w:rFonts w:ascii="Arial" w:eastAsia="Times New Roman" w:hAnsi="Arial" w:cs="Arial"/>
          <w:sz w:val="24"/>
          <w:szCs w:val="24"/>
          <w:lang w:eastAsia="en-GB"/>
        </w:rPr>
        <w:t>absorbance, which</w:t>
      </w:r>
      <w:r w:rsidRPr="0071546E">
        <w:rPr>
          <w:rFonts w:ascii="Arial" w:eastAsia="Times New Roman" w:hAnsi="Arial" w:cs="Arial"/>
          <w:sz w:val="24"/>
          <w:szCs w:val="24"/>
          <w:lang w:eastAsia="en-GB"/>
        </w:rPr>
        <w:t xml:space="preserve"> is proportional to the viability of t</w:t>
      </w:r>
      <w:r w:rsidR="00060AF5" w:rsidRPr="0071546E">
        <w:rPr>
          <w:rFonts w:ascii="Arial" w:eastAsia="Times New Roman" w:hAnsi="Arial" w:cs="Arial"/>
          <w:sz w:val="24"/>
          <w:szCs w:val="24"/>
          <w:lang w:eastAsia="en-GB"/>
        </w:rPr>
        <w:t>he cells in a given population.</w:t>
      </w:r>
      <w:r w:rsidRPr="0071546E">
        <w:rPr>
          <w:rFonts w:ascii="Arial" w:eastAsia="Times New Roman" w:hAnsi="Arial" w:cs="Arial"/>
          <w:sz w:val="24"/>
          <w:szCs w:val="24"/>
          <w:lang w:eastAsia="en-GB"/>
        </w:rPr>
        <w:t xml:space="preserve"> </w:t>
      </w:r>
    </w:p>
    <w:p w:rsidR="00692C15" w:rsidRPr="0071546E" w:rsidRDefault="00725033" w:rsidP="003A0829">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More recently, the focus has turned to fluorescence and bioluminescent endpoints as they have shown remarkable sensitivity and reproducibility </w:t>
      </w:r>
      <w:r w:rsidR="00DA2C4D" w:rsidRPr="0071546E">
        <w:rPr>
          <w:rFonts w:ascii="Arial" w:eastAsia="Times New Roman" w:hAnsi="Arial" w:cs="Arial"/>
          <w:sz w:val="24"/>
          <w:szCs w:val="24"/>
          <w:lang w:eastAsia="en-GB"/>
        </w:rPr>
        <w:t>(Balouiri, Sadiki and Ibnsouda, 2016).</w:t>
      </w:r>
      <w:r w:rsidRPr="0071546E">
        <w:rPr>
          <w:rFonts w:ascii="Arial" w:eastAsia="Times New Roman" w:hAnsi="Arial" w:cs="Arial"/>
          <w:sz w:val="24"/>
          <w:szCs w:val="24"/>
          <w:lang w:eastAsia="en-GB"/>
        </w:rPr>
        <w:t xml:space="preserve"> </w:t>
      </w:r>
      <w:r w:rsidR="00C82173" w:rsidRPr="0071546E">
        <w:rPr>
          <w:rFonts w:ascii="Arial" w:eastAsia="Times New Roman" w:hAnsi="Arial" w:cs="Arial"/>
          <w:sz w:val="24"/>
          <w:szCs w:val="24"/>
          <w:lang w:eastAsia="en-GB"/>
        </w:rPr>
        <w:t>The commonly used viability assays in drug development and their mode of action are summarised is the sub-headings below</w:t>
      </w:r>
      <w:r w:rsidR="00F01C28" w:rsidRPr="0071546E">
        <w:rPr>
          <w:rFonts w:ascii="Arial" w:eastAsia="Times New Roman" w:hAnsi="Arial" w:cs="Arial"/>
          <w:sz w:val="24"/>
          <w:szCs w:val="24"/>
          <w:lang w:eastAsia="en-GB"/>
        </w:rPr>
        <w:t>.</w:t>
      </w:r>
    </w:p>
    <w:p w:rsidR="00F01C28" w:rsidRPr="0071546E" w:rsidRDefault="00F01C28" w:rsidP="003A0829">
      <w:pPr>
        <w:spacing w:after="0" w:line="480" w:lineRule="auto"/>
        <w:ind w:left="1021" w:right="454"/>
        <w:jc w:val="both"/>
        <w:rPr>
          <w:rFonts w:ascii="Arial" w:eastAsia="Times New Roman" w:hAnsi="Arial" w:cs="Arial"/>
          <w:sz w:val="24"/>
          <w:szCs w:val="24"/>
          <w:lang w:eastAsia="en-GB"/>
        </w:rPr>
      </w:pPr>
    </w:p>
    <w:p w:rsidR="00725033" w:rsidRPr="0071546E" w:rsidRDefault="00725033" w:rsidP="00CF13FE">
      <w:pPr>
        <w:pStyle w:val="Heading2"/>
        <w:ind w:left="1021" w:right="454"/>
      </w:pPr>
      <w:bookmarkStart w:id="38" w:name="_Toc14711408"/>
      <w:r w:rsidRPr="0071546E">
        <w:t>1.6.1.1 MTT (3-(4, 5-dimethyl</w:t>
      </w:r>
      <w:r w:rsidR="004A57D4" w:rsidRPr="0071546E">
        <w:t xml:space="preserve"> </w:t>
      </w:r>
      <w:r w:rsidRPr="0071546E">
        <w:t>thiazolyl-2)-2, 5-diphenyltetrazolium bromide) assay</w:t>
      </w:r>
      <w:r w:rsidRPr="0071546E">
        <w:rPr>
          <w:bCs/>
        </w:rPr>
        <w:t>.</w:t>
      </w:r>
      <w:bookmarkEnd w:id="38"/>
    </w:p>
    <w:p w:rsidR="003A0829" w:rsidRPr="0071546E" w:rsidRDefault="00725033" w:rsidP="00F01C28">
      <w:pPr>
        <w:spacing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Different tetrazolium compounds have been used to detect viable cells</w:t>
      </w:r>
      <w:r w:rsidR="00C82173" w:rsidRPr="0071546E">
        <w:rPr>
          <w:rFonts w:ascii="Arial" w:eastAsia="Times New Roman" w:hAnsi="Arial" w:cs="Arial"/>
          <w:sz w:val="24"/>
          <w:szCs w:val="24"/>
          <w:lang w:eastAsia="en-GB"/>
        </w:rPr>
        <w:t xml:space="preserve"> after exposure to cytotoxic compounds. T</w:t>
      </w:r>
      <w:r w:rsidRPr="0071546E">
        <w:rPr>
          <w:rFonts w:ascii="Arial" w:eastAsia="Times New Roman" w:hAnsi="Arial" w:cs="Arial"/>
          <w:sz w:val="24"/>
          <w:szCs w:val="24"/>
          <w:lang w:eastAsia="en-GB"/>
        </w:rPr>
        <w:t xml:space="preserve">he MTT (3-(4, 5- dimethylthiazol-2, 5-diphenyltetrazolium bromide) was the first homogeneous cell viability assay developed that was adaptable for 96-well plate and HTS </w:t>
      </w:r>
      <w:r w:rsidR="008D3EBB" w:rsidRPr="0071546E">
        <w:rPr>
          <w:rFonts w:ascii="Arial" w:eastAsia="Times New Roman" w:hAnsi="Arial" w:cs="Arial"/>
          <w:sz w:val="24"/>
          <w:szCs w:val="24"/>
          <w:lang w:eastAsia="en-GB"/>
        </w:rPr>
        <w:t>(Mosmann, 1983)</w:t>
      </w:r>
      <w:r w:rsidRPr="0071546E">
        <w:rPr>
          <w:rFonts w:ascii="Arial" w:eastAsia="Times New Roman" w:hAnsi="Arial" w:cs="Arial"/>
          <w:sz w:val="24"/>
          <w:szCs w:val="24"/>
          <w:lang w:eastAsia="en-GB"/>
        </w:rPr>
        <w:t xml:space="preserve">. The mechanism of this assay is the reduction of MTT salts by mitochondria reductase enzymes in viable cells to a coloured formazan </w:t>
      </w:r>
      <w:r w:rsidR="006C5525" w:rsidRPr="0071546E">
        <w:rPr>
          <w:rFonts w:ascii="Arial" w:eastAsia="Times New Roman" w:hAnsi="Arial" w:cs="Arial"/>
          <w:sz w:val="24"/>
          <w:szCs w:val="24"/>
          <w:lang w:eastAsia="en-GB"/>
        </w:rPr>
        <w:t>(Jo et al., 2015)</w:t>
      </w:r>
      <w:r w:rsidRPr="0071546E">
        <w:rPr>
          <w:rFonts w:ascii="Arial" w:eastAsia="Times New Roman" w:hAnsi="Arial" w:cs="Arial"/>
          <w:sz w:val="24"/>
          <w:szCs w:val="24"/>
          <w:lang w:eastAsia="en-GB"/>
        </w:rPr>
        <w:t xml:space="preserve">. The commonly used </w:t>
      </w:r>
      <w:r w:rsidR="00C82173" w:rsidRPr="0071546E">
        <w:rPr>
          <w:rFonts w:ascii="Arial" w:eastAsia="Times New Roman" w:hAnsi="Arial" w:cs="Arial"/>
          <w:sz w:val="24"/>
          <w:szCs w:val="24"/>
          <w:lang w:eastAsia="en-GB"/>
        </w:rPr>
        <w:t>tetrazolium</w:t>
      </w:r>
      <w:r w:rsidR="004904E2" w:rsidRPr="0071546E">
        <w:rPr>
          <w:rFonts w:ascii="Arial" w:eastAsia="Times New Roman" w:hAnsi="Arial" w:cs="Arial"/>
          <w:sz w:val="24"/>
          <w:szCs w:val="24"/>
          <w:lang w:eastAsia="en-GB"/>
        </w:rPr>
        <w:t>-</w:t>
      </w:r>
      <w:r w:rsidR="00C82173" w:rsidRPr="0071546E">
        <w:rPr>
          <w:rFonts w:ascii="Arial" w:eastAsia="Times New Roman" w:hAnsi="Arial" w:cs="Arial"/>
          <w:sz w:val="24"/>
          <w:szCs w:val="24"/>
          <w:lang w:eastAsia="en-GB"/>
        </w:rPr>
        <w:t xml:space="preserve">based </w:t>
      </w:r>
      <w:r w:rsidRPr="0071546E">
        <w:rPr>
          <w:rFonts w:ascii="Arial" w:eastAsia="Times New Roman" w:hAnsi="Arial" w:cs="Arial"/>
          <w:sz w:val="24"/>
          <w:szCs w:val="24"/>
          <w:lang w:eastAsia="en-GB"/>
        </w:rPr>
        <w:t xml:space="preserve">compounds </w:t>
      </w:r>
      <w:r w:rsidR="007F754F" w:rsidRPr="0071546E">
        <w:rPr>
          <w:rFonts w:ascii="Arial" w:eastAsia="Times New Roman" w:hAnsi="Arial" w:cs="Arial"/>
          <w:sz w:val="24"/>
          <w:szCs w:val="24"/>
          <w:lang w:eastAsia="en-GB"/>
        </w:rPr>
        <w:t>are MTT</w:t>
      </w:r>
      <w:r w:rsidRPr="0071546E">
        <w:rPr>
          <w:rFonts w:ascii="Arial" w:eastAsia="Times New Roman" w:hAnsi="Arial" w:cs="Arial"/>
          <w:sz w:val="24"/>
          <w:szCs w:val="24"/>
          <w:lang w:eastAsia="en-GB"/>
        </w:rPr>
        <w:t>, MTS, XTT, and WST-1. These compounds can be categorised into two based on charge. The MTT assay salt is positively charge</w:t>
      </w:r>
      <w:r w:rsidR="002C2939" w:rsidRPr="0071546E">
        <w:rPr>
          <w:rFonts w:ascii="Arial" w:eastAsia="Times New Roman" w:hAnsi="Arial" w:cs="Arial"/>
          <w:sz w:val="24"/>
          <w:szCs w:val="24"/>
          <w:lang w:eastAsia="en-GB"/>
        </w:rPr>
        <w:t>d</w:t>
      </w:r>
      <w:r w:rsidRPr="0071546E">
        <w:rPr>
          <w:rFonts w:ascii="Arial" w:eastAsia="Times New Roman" w:hAnsi="Arial" w:cs="Arial"/>
          <w:sz w:val="24"/>
          <w:szCs w:val="24"/>
          <w:lang w:eastAsia="en-GB"/>
        </w:rPr>
        <w:t xml:space="preserve"> and based on charge difference with eukaryotic cell wall can readily penetrate viable eukaryotic cells</w:t>
      </w:r>
      <w:r w:rsidR="006C5525" w:rsidRPr="0071546E">
        <w:rPr>
          <w:color w:val="000000"/>
        </w:rPr>
        <w:t xml:space="preserve"> </w:t>
      </w:r>
      <w:r w:rsidR="006C5525" w:rsidRPr="0071546E">
        <w:rPr>
          <w:rFonts w:ascii="Arial" w:eastAsia="Times New Roman" w:hAnsi="Arial" w:cs="Arial"/>
          <w:sz w:val="24"/>
          <w:szCs w:val="24"/>
          <w:lang w:eastAsia="en-GB"/>
        </w:rPr>
        <w:t>(Tachon et al., 2009).</w:t>
      </w:r>
    </w:p>
    <w:p w:rsidR="002A605A" w:rsidRPr="0071546E" w:rsidRDefault="00F01C28" w:rsidP="00CF13FE">
      <w:pPr>
        <w:spacing w:line="480" w:lineRule="auto"/>
        <w:ind w:left="1021" w:right="454"/>
        <w:jc w:val="both"/>
        <w:rPr>
          <w:rFonts w:ascii="Arial" w:hAnsi="Arial" w:cs="Arial"/>
          <w:sz w:val="24"/>
          <w:szCs w:val="24"/>
          <w:lang w:eastAsia="en-GB"/>
        </w:rPr>
      </w:pPr>
      <w:r w:rsidRPr="0071546E">
        <w:rPr>
          <w:rFonts w:ascii="Arial" w:eastAsia="Times New Roman" w:hAnsi="Arial" w:cs="Arial"/>
          <w:sz w:val="24"/>
          <w:szCs w:val="24"/>
          <w:lang w:eastAsia="en-GB"/>
        </w:rPr>
        <w:t xml:space="preserve">           </w:t>
      </w:r>
      <w:r w:rsidR="00725033" w:rsidRPr="0071546E">
        <w:rPr>
          <w:rFonts w:ascii="Arial" w:eastAsia="Times New Roman" w:hAnsi="Arial" w:cs="Arial"/>
          <w:sz w:val="24"/>
          <w:szCs w:val="24"/>
          <w:lang w:eastAsia="en-GB"/>
        </w:rPr>
        <w:t>The second group like the MTS, XTT and WST-1</w:t>
      </w:r>
      <w:r w:rsidR="006C5525" w:rsidRPr="0071546E">
        <w:rPr>
          <w:rFonts w:ascii="Arial" w:eastAsia="Times New Roman" w:hAnsi="Arial" w:cs="Arial"/>
          <w:sz w:val="24"/>
          <w:szCs w:val="24"/>
          <w:lang w:eastAsia="en-GB"/>
        </w:rPr>
        <w:t xml:space="preserve"> </w:t>
      </w:r>
      <w:r w:rsidR="00725033" w:rsidRPr="0071546E">
        <w:rPr>
          <w:rFonts w:ascii="Arial" w:eastAsia="Times New Roman" w:hAnsi="Arial" w:cs="Arial"/>
          <w:sz w:val="24"/>
          <w:szCs w:val="24"/>
          <w:lang w:eastAsia="en-GB"/>
        </w:rPr>
        <w:t>are negatively charge</w:t>
      </w:r>
      <w:r w:rsidR="004A57D4" w:rsidRPr="0071546E">
        <w:rPr>
          <w:rFonts w:ascii="Arial" w:eastAsia="Times New Roman" w:hAnsi="Arial" w:cs="Arial"/>
          <w:sz w:val="24"/>
          <w:szCs w:val="24"/>
          <w:lang w:eastAsia="en-GB"/>
        </w:rPr>
        <w:t>d</w:t>
      </w:r>
      <w:r w:rsidR="00725033" w:rsidRPr="0071546E">
        <w:rPr>
          <w:rFonts w:ascii="Arial" w:eastAsia="Times New Roman" w:hAnsi="Arial" w:cs="Arial"/>
          <w:sz w:val="24"/>
          <w:szCs w:val="24"/>
          <w:lang w:eastAsia="en-GB"/>
        </w:rPr>
        <w:t xml:space="preserve"> and must be incorporated into an intermediate electron acceptor, which can transfer electrons from the cytoplasm to facilitate the reduction of the tetrazolium to coloured formazan </w:t>
      </w:r>
      <w:r w:rsidR="006C5525" w:rsidRPr="0071546E">
        <w:rPr>
          <w:rFonts w:ascii="Arial" w:eastAsia="Times New Roman" w:hAnsi="Arial" w:cs="Arial"/>
          <w:sz w:val="24"/>
          <w:szCs w:val="24"/>
          <w:lang w:eastAsia="en-GB"/>
        </w:rPr>
        <w:t>(Berridge, Herst and Tan, 2005)</w:t>
      </w:r>
      <w:r w:rsidR="00725033" w:rsidRPr="0071546E">
        <w:rPr>
          <w:rFonts w:ascii="Arial" w:eastAsia="Times New Roman" w:hAnsi="Arial" w:cs="Arial"/>
          <w:sz w:val="24"/>
          <w:szCs w:val="24"/>
          <w:lang w:eastAsia="en-GB"/>
        </w:rPr>
        <w:t>. Usually</w:t>
      </w:r>
      <w:r w:rsidR="004A57D4" w:rsidRPr="0071546E">
        <w:rPr>
          <w:rFonts w:ascii="Arial" w:eastAsia="Times New Roman" w:hAnsi="Arial" w:cs="Arial"/>
          <w:sz w:val="24"/>
          <w:szCs w:val="24"/>
          <w:lang w:eastAsia="en-GB"/>
        </w:rPr>
        <w:t>,</w:t>
      </w:r>
      <w:r w:rsidR="00725033" w:rsidRPr="0071546E">
        <w:rPr>
          <w:rFonts w:ascii="Arial" w:eastAsia="Times New Roman" w:hAnsi="Arial" w:cs="Arial"/>
          <w:sz w:val="24"/>
          <w:szCs w:val="24"/>
          <w:lang w:eastAsia="en-GB"/>
        </w:rPr>
        <w:t xml:space="preserve"> the MTT substrate is prepared in a physiologically balanced solution, and then added to cells in solution at a final concentration of about 0.2-</w:t>
      </w:r>
      <w:r w:rsidR="004661D8" w:rsidRPr="0071546E">
        <w:rPr>
          <w:rFonts w:ascii="Arial" w:eastAsia="Times New Roman" w:hAnsi="Arial" w:cs="Arial"/>
          <w:sz w:val="24"/>
          <w:szCs w:val="24"/>
          <w:lang w:eastAsia="en-GB"/>
        </w:rPr>
        <w:t xml:space="preserve"> </w:t>
      </w:r>
      <w:r w:rsidR="00725033" w:rsidRPr="0071546E">
        <w:rPr>
          <w:rFonts w:ascii="Arial" w:eastAsia="Times New Roman" w:hAnsi="Arial" w:cs="Arial"/>
          <w:sz w:val="24"/>
          <w:szCs w:val="24"/>
          <w:lang w:eastAsia="en-GB"/>
        </w:rPr>
        <w:t>0.5</w:t>
      </w:r>
      <w:r w:rsidR="0027329D" w:rsidRPr="0071546E">
        <w:rPr>
          <w:rFonts w:ascii="Arial" w:eastAsia="Times New Roman" w:hAnsi="Arial" w:cs="Arial"/>
          <w:sz w:val="24"/>
          <w:szCs w:val="24"/>
          <w:lang w:eastAsia="en-GB"/>
        </w:rPr>
        <w:t xml:space="preserve"> </w:t>
      </w:r>
      <w:r w:rsidR="00725033" w:rsidRPr="0071546E">
        <w:rPr>
          <w:rFonts w:ascii="Arial" w:eastAsia="Times New Roman" w:hAnsi="Arial" w:cs="Arial"/>
          <w:sz w:val="24"/>
          <w:szCs w:val="24"/>
          <w:lang w:eastAsia="en-GB"/>
        </w:rPr>
        <w:t xml:space="preserve">mg/ml and then incubated for about 1 to 4 hours. </w:t>
      </w:r>
      <w:r w:rsidR="00725033" w:rsidRPr="0071546E">
        <w:rPr>
          <w:rFonts w:ascii="Arial" w:hAnsi="Arial" w:cs="Arial"/>
          <w:sz w:val="24"/>
          <w:szCs w:val="24"/>
          <w:lang w:eastAsia="en-GB"/>
        </w:rPr>
        <w:t xml:space="preserve">The amount of reduced </w:t>
      </w:r>
      <w:r w:rsidR="00AE2611" w:rsidRPr="0071546E">
        <w:rPr>
          <w:rFonts w:ascii="Arial" w:hAnsi="Arial" w:cs="Arial"/>
          <w:sz w:val="24"/>
          <w:szCs w:val="24"/>
          <w:lang w:eastAsia="en-GB"/>
        </w:rPr>
        <w:t>formazan present in a population of test cells is often</w:t>
      </w:r>
      <w:r w:rsidR="00725033" w:rsidRPr="0071546E">
        <w:rPr>
          <w:rFonts w:ascii="Arial" w:hAnsi="Arial" w:cs="Arial"/>
          <w:sz w:val="24"/>
          <w:szCs w:val="24"/>
          <w:lang w:eastAsia="en-GB"/>
        </w:rPr>
        <w:t xml:space="preserve"> measured at 570</w:t>
      </w:r>
      <w:r w:rsidR="0027329D" w:rsidRPr="0071546E">
        <w:rPr>
          <w:rFonts w:ascii="Arial" w:hAnsi="Arial" w:cs="Arial"/>
          <w:sz w:val="24"/>
          <w:szCs w:val="24"/>
          <w:lang w:eastAsia="en-GB"/>
        </w:rPr>
        <w:t xml:space="preserve"> </w:t>
      </w:r>
      <w:r w:rsidR="00725033" w:rsidRPr="0071546E">
        <w:rPr>
          <w:rFonts w:ascii="Arial" w:hAnsi="Arial" w:cs="Arial"/>
          <w:sz w:val="24"/>
          <w:szCs w:val="24"/>
          <w:lang w:eastAsia="en-GB"/>
        </w:rPr>
        <w:t xml:space="preserve">nm using a spectrophotometer. </w:t>
      </w:r>
      <w:r w:rsidR="006C5525" w:rsidRPr="0071546E">
        <w:rPr>
          <w:rFonts w:ascii="Arial" w:hAnsi="Arial" w:cs="Arial"/>
          <w:sz w:val="24"/>
          <w:szCs w:val="24"/>
          <w:lang w:eastAsia="en-GB"/>
        </w:rPr>
        <w:t xml:space="preserve">Some limitations to MTT assay </w:t>
      </w:r>
      <w:r w:rsidR="004661D8" w:rsidRPr="0071546E">
        <w:rPr>
          <w:rFonts w:ascii="Arial" w:hAnsi="Arial" w:cs="Arial"/>
          <w:sz w:val="24"/>
          <w:szCs w:val="24"/>
          <w:lang w:eastAsia="en-GB"/>
        </w:rPr>
        <w:t xml:space="preserve">is the interference from reducing compounds. </w:t>
      </w:r>
    </w:p>
    <w:p w:rsidR="003A0829" w:rsidRPr="0071546E" w:rsidRDefault="00725033" w:rsidP="005F3F09">
      <w:pPr>
        <w:spacing w:line="480" w:lineRule="auto"/>
        <w:ind w:left="1021" w:right="454"/>
        <w:jc w:val="both"/>
        <w:rPr>
          <w:rFonts w:ascii="Arial" w:hAnsi="Arial" w:cs="Arial"/>
          <w:sz w:val="24"/>
          <w:szCs w:val="24"/>
          <w:lang w:eastAsia="en-GB"/>
        </w:rPr>
      </w:pPr>
      <w:r w:rsidRPr="0071546E">
        <w:rPr>
          <w:rFonts w:ascii="Arial" w:hAnsi="Arial" w:cs="Arial"/>
          <w:sz w:val="24"/>
          <w:szCs w:val="24"/>
          <w:lang w:eastAsia="en-GB"/>
        </w:rPr>
        <w:t>Compounds like ascorbic acids or sulfhydryl-containing compounds, coenzyme A and dithiothreitol can non-enzymatically reduce tetrazolium salts thereby increasing the absorbance</w:t>
      </w:r>
      <w:r w:rsidR="004661D8" w:rsidRPr="0071546E">
        <w:rPr>
          <w:rFonts w:ascii="Arial" w:hAnsi="Arial" w:cs="Arial"/>
          <w:color w:val="000000"/>
          <w:sz w:val="24"/>
          <w:szCs w:val="24"/>
        </w:rPr>
        <w:t xml:space="preserve"> </w:t>
      </w:r>
      <w:r w:rsidR="004661D8" w:rsidRPr="0071546E">
        <w:rPr>
          <w:rFonts w:ascii="Arial" w:hAnsi="Arial" w:cs="Arial"/>
          <w:sz w:val="24"/>
          <w:szCs w:val="24"/>
          <w:lang w:eastAsia="en-GB"/>
        </w:rPr>
        <w:t>(Menyhárt et al., 2016)</w:t>
      </w:r>
      <w:r w:rsidRPr="0071546E">
        <w:rPr>
          <w:rFonts w:ascii="Arial" w:hAnsi="Arial" w:cs="Arial"/>
          <w:sz w:val="24"/>
          <w:szCs w:val="24"/>
          <w:lang w:eastAsia="en-GB"/>
        </w:rPr>
        <w:t>.</w:t>
      </w:r>
      <w:r w:rsidR="004661D8" w:rsidRPr="0071546E">
        <w:rPr>
          <w:rFonts w:ascii="Arial" w:hAnsi="Arial" w:cs="Arial"/>
          <w:sz w:val="24"/>
          <w:szCs w:val="24"/>
          <w:lang w:eastAsia="en-GB"/>
        </w:rPr>
        <w:t xml:space="preserve"> Furthermore</w:t>
      </w:r>
      <w:r w:rsidRPr="0071546E">
        <w:rPr>
          <w:rFonts w:ascii="Arial" w:hAnsi="Arial" w:cs="Arial"/>
          <w:sz w:val="24"/>
          <w:szCs w:val="24"/>
          <w:lang w:eastAsia="en-GB"/>
        </w:rPr>
        <w:t>, changes in the pH in culture medium has the potential to accelerate the reduction of tetrazolium salts causing increased bac</w:t>
      </w:r>
      <w:r w:rsidR="00D336E9" w:rsidRPr="0071546E">
        <w:rPr>
          <w:rFonts w:ascii="Arial" w:hAnsi="Arial" w:cs="Arial"/>
          <w:sz w:val="24"/>
          <w:szCs w:val="24"/>
          <w:lang w:eastAsia="en-GB"/>
        </w:rPr>
        <w:t>kground absorbance readings</w:t>
      </w:r>
      <w:r w:rsidR="00D336E9" w:rsidRPr="0071546E">
        <w:rPr>
          <w:rFonts w:ascii="Arial" w:hAnsi="Arial" w:cs="Arial"/>
          <w:color w:val="000000"/>
          <w:sz w:val="24"/>
          <w:szCs w:val="24"/>
        </w:rPr>
        <w:t xml:space="preserve"> </w:t>
      </w:r>
      <w:r w:rsidR="00D336E9" w:rsidRPr="0071546E">
        <w:rPr>
          <w:rFonts w:ascii="Arial" w:hAnsi="Arial" w:cs="Arial"/>
          <w:sz w:val="24"/>
          <w:szCs w:val="24"/>
          <w:lang w:eastAsia="en-GB"/>
        </w:rPr>
        <w:t>(Śliwka et al., 2016). S</w:t>
      </w:r>
      <w:r w:rsidRPr="0071546E">
        <w:rPr>
          <w:rFonts w:ascii="Arial" w:hAnsi="Arial" w:cs="Arial"/>
          <w:sz w:val="24"/>
          <w:szCs w:val="24"/>
          <w:lang w:eastAsia="en-GB"/>
        </w:rPr>
        <w:t xml:space="preserve">everal culture conditions </w:t>
      </w:r>
      <w:r w:rsidR="00D336E9" w:rsidRPr="0071546E">
        <w:rPr>
          <w:rFonts w:ascii="Arial" w:hAnsi="Arial" w:cs="Arial"/>
          <w:sz w:val="24"/>
          <w:szCs w:val="24"/>
          <w:lang w:eastAsia="en-GB"/>
        </w:rPr>
        <w:t xml:space="preserve">can also </w:t>
      </w:r>
      <w:r w:rsidRPr="0071546E">
        <w:rPr>
          <w:rFonts w:ascii="Arial" w:hAnsi="Arial" w:cs="Arial"/>
          <w:sz w:val="24"/>
          <w:szCs w:val="24"/>
          <w:lang w:eastAsia="en-GB"/>
        </w:rPr>
        <w:t>alter the metabolism of the cell and th</w:t>
      </w:r>
      <w:r w:rsidR="0027329D" w:rsidRPr="0071546E">
        <w:rPr>
          <w:rFonts w:ascii="Arial" w:hAnsi="Arial" w:cs="Arial"/>
          <w:sz w:val="24"/>
          <w:szCs w:val="24"/>
          <w:lang w:eastAsia="en-GB"/>
        </w:rPr>
        <w:t xml:space="preserve">us affect </w:t>
      </w:r>
      <w:r w:rsidR="002C2939" w:rsidRPr="0071546E">
        <w:rPr>
          <w:rFonts w:ascii="Arial" w:hAnsi="Arial" w:cs="Arial"/>
          <w:sz w:val="24"/>
          <w:szCs w:val="24"/>
          <w:lang w:eastAsia="en-GB"/>
        </w:rPr>
        <w:t>t</w:t>
      </w:r>
      <w:r w:rsidR="0027329D" w:rsidRPr="0071546E">
        <w:rPr>
          <w:rFonts w:ascii="Arial" w:hAnsi="Arial" w:cs="Arial"/>
          <w:sz w:val="24"/>
          <w:szCs w:val="24"/>
          <w:lang w:eastAsia="en-GB"/>
        </w:rPr>
        <w:t xml:space="preserve">he rate of </w:t>
      </w:r>
      <w:r w:rsidRPr="0071546E">
        <w:rPr>
          <w:rFonts w:ascii="Arial" w:hAnsi="Arial" w:cs="Arial"/>
          <w:sz w:val="24"/>
          <w:szCs w:val="24"/>
          <w:lang w:eastAsia="en-GB"/>
        </w:rPr>
        <w:t>MTT reduction to formazan.  For example, when adherent cells go beyond the log phase growth becomes contact inhibited, slowing down metabolism and affecting the overall reducing process</w:t>
      </w:r>
      <w:r w:rsidR="00D336E9" w:rsidRPr="0071546E">
        <w:rPr>
          <w:rFonts w:ascii="Arial" w:hAnsi="Arial" w:cs="Arial"/>
          <w:color w:val="000000"/>
          <w:sz w:val="24"/>
          <w:szCs w:val="24"/>
        </w:rPr>
        <w:t xml:space="preserve"> </w:t>
      </w:r>
      <w:r w:rsidR="00D336E9" w:rsidRPr="0071546E">
        <w:rPr>
          <w:rFonts w:ascii="Arial" w:hAnsi="Arial" w:cs="Arial"/>
          <w:sz w:val="24"/>
          <w:szCs w:val="24"/>
          <w:lang w:eastAsia="en-GB"/>
        </w:rPr>
        <w:t>(Wright Muelas et al., 2018)</w:t>
      </w:r>
      <w:r w:rsidRPr="0071546E">
        <w:rPr>
          <w:rFonts w:ascii="Arial" w:hAnsi="Arial" w:cs="Arial"/>
          <w:sz w:val="24"/>
          <w:szCs w:val="24"/>
          <w:lang w:eastAsia="en-GB"/>
        </w:rPr>
        <w:t>.</w:t>
      </w:r>
    </w:p>
    <w:tbl>
      <w:tblPr>
        <w:tblStyle w:val="ListTable6Colorful2"/>
        <w:tblpPr w:leftFromText="180" w:rightFromText="180" w:vertAnchor="text" w:horzAnchor="margin" w:tblpXSpec="center" w:tblpY="408"/>
        <w:tblW w:w="7554" w:type="dxa"/>
        <w:tblLook w:val="04A0" w:firstRow="1" w:lastRow="0" w:firstColumn="1" w:lastColumn="0" w:noHBand="0" w:noVBand="1"/>
      </w:tblPr>
      <w:tblGrid>
        <w:gridCol w:w="7554"/>
      </w:tblGrid>
      <w:tr w:rsidR="005F3F09" w:rsidRPr="0071546E" w:rsidTr="005F3F09">
        <w:trPr>
          <w:cnfStyle w:val="100000000000" w:firstRow="1" w:lastRow="0" w:firstColumn="0" w:lastColumn="0" w:oddVBand="0" w:evenVBand="0" w:oddHBand="0" w:evenHBand="0" w:firstRowFirstColumn="0" w:firstRowLastColumn="0" w:lastRowFirstColumn="0" w:lastRowLastColumn="0"/>
          <w:trHeight w:val="10547"/>
        </w:trPr>
        <w:tc>
          <w:tcPr>
            <w:cnfStyle w:val="001000000000" w:firstRow="0" w:lastRow="0" w:firstColumn="1" w:lastColumn="0" w:oddVBand="0" w:evenVBand="0" w:oddHBand="0" w:evenHBand="0" w:firstRowFirstColumn="0" w:firstRowLastColumn="0" w:lastRowFirstColumn="0" w:lastRowLastColumn="0"/>
            <w:tcW w:w="7554" w:type="dxa"/>
          </w:tcPr>
          <w:p w:rsidR="005F3F09" w:rsidRPr="0071546E" w:rsidRDefault="005F3F09" w:rsidP="005F3F09">
            <w:pPr>
              <w:spacing w:line="240" w:lineRule="atLeast"/>
              <w:ind w:left="1021" w:right="454"/>
              <w:rPr>
                <w:rFonts w:eastAsia="Times New Roman"/>
                <w:color w:val="FFFFFF" w:themeColor="background1"/>
                <w:lang w:eastAsia="en-GB"/>
              </w:rPr>
            </w:pPr>
          </w:p>
          <w:p w:rsidR="005F3F09" w:rsidRPr="0071546E" w:rsidRDefault="005F3F09" w:rsidP="005F3F09">
            <w:pPr>
              <w:spacing w:line="240" w:lineRule="atLeast"/>
              <w:ind w:left="1021" w:right="454"/>
              <w:rPr>
                <w:rFonts w:eastAsiaTheme="minorHAnsi"/>
                <w:b w:val="0"/>
                <w:bCs w:val="0"/>
                <w:color w:val="FFFFFF" w:themeColor="background1"/>
                <w:sz w:val="22"/>
                <w:szCs w:val="22"/>
              </w:rPr>
            </w:pPr>
          </w:p>
          <w:p w:rsidR="005F3F09" w:rsidRPr="0071546E" w:rsidRDefault="005F3F09" w:rsidP="005F3F09">
            <w:pPr>
              <w:spacing w:line="240" w:lineRule="atLeast"/>
              <w:ind w:left="1021" w:right="454"/>
              <w:rPr>
                <w:rFonts w:eastAsiaTheme="minorHAnsi"/>
                <w:b w:val="0"/>
                <w:bCs w:val="0"/>
                <w:color w:val="FFFFFF" w:themeColor="background1"/>
                <w:sz w:val="22"/>
                <w:szCs w:val="22"/>
              </w:rPr>
            </w:pPr>
            <w:r w:rsidRPr="0071546E">
              <w:rPr>
                <w:noProof/>
                <w:color w:val="FFFFFF" w:themeColor="background1"/>
                <w:lang w:eastAsia="en-GB"/>
              </w:rPr>
              <mc:AlternateContent>
                <mc:Choice Requires="wps">
                  <w:drawing>
                    <wp:anchor distT="0" distB="0" distL="114300" distR="114300" simplePos="0" relativeHeight="251770880" behindDoc="0" locked="0" layoutInCell="1" allowOverlap="1" wp14:anchorId="6B7FF16D" wp14:editId="265DDF35">
                      <wp:simplePos x="0" y="0"/>
                      <wp:positionH relativeFrom="column">
                        <wp:posOffset>-93164</wp:posOffset>
                      </wp:positionH>
                      <wp:positionV relativeFrom="paragraph">
                        <wp:posOffset>1455420</wp:posOffset>
                      </wp:positionV>
                      <wp:extent cx="816864" cy="353441"/>
                      <wp:effectExtent l="0" t="0" r="2540" b="8890"/>
                      <wp:wrapNone/>
                      <wp:docPr id="92" name="Text Box 92"/>
                      <wp:cNvGraphicFramePr/>
                      <a:graphic xmlns:a="http://schemas.openxmlformats.org/drawingml/2006/main">
                        <a:graphicData uri="http://schemas.microsoft.com/office/word/2010/wordprocessingShape">
                          <wps:wsp>
                            <wps:cNvSpPr txBox="1"/>
                            <wps:spPr>
                              <a:xfrm>
                                <a:off x="0" y="0"/>
                                <a:ext cx="816864" cy="353441"/>
                              </a:xfrm>
                              <a:prstGeom prst="rect">
                                <a:avLst/>
                              </a:prstGeom>
                              <a:solidFill>
                                <a:sysClr val="window" lastClr="FFFFFF"/>
                              </a:solidFill>
                              <a:ln w="6350">
                                <a:noFill/>
                              </a:ln>
                              <a:effectLst/>
                            </wps:spPr>
                            <wps:txbx>
                              <w:txbxContent>
                                <w:p w:rsidR="005F3F09" w:rsidRPr="00042CB1" w:rsidRDefault="005F3F09" w:rsidP="005F3F09">
                                  <w:pPr>
                                    <w:jc w:val="center"/>
                                    <w:rPr>
                                      <w:rFonts w:ascii="Arial" w:hAnsi="Arial" w:cs="Arial"/>
                                      <w:b/>
                                      <w:sz w:val="24"/>
                                    </w:rPr>
                                  </w:pPr>
                                  <w:r w:rsidRPr="00042CB1">
                                    <w:rPr>
                                      <w:rFonts w:ascii="Arial" w:hAnsi="Arial" w:cs="Arial"/>
                                      <w:b/>
                                      <w:sz w:val="24"/>
                                    </w:rPr>
                                    <w:t>MTT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7FF16D" id="Text Box 92" o:spid="_x0000_s1036" type="#_x0000_t202" style="position:absolute;left:0;text-align:left;margin-left:-7.35pt;margin-top:114.6pt;width:64.3pt;height:27.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" fillcolor="window" stroked="f" strokeweight=".5pt">
                      <v:textbox>
                        <w:txbxContent>
                          <w:p w:rsidR="005F3F09" w:rsidRPr="00042CB1" w:rsidRDefault="005F3F09" w:rsidP="005F3F09">
                            <w:pPr>
                              <w:jc w:val="center"/>
                              <w:rPr>
                                <w:rFonts w:ascii="Arial" w:hAnsi="Arial" w:cs="Arial"/>
                                <w:b/>
                                <w:sz w:val="24"/>
                              </w:rPr>
                            </w:pPr>
                            <w:r w:rsidRPr="00042CB1">
                              <w:rPr>
                                <w:rFonts w:ascii="Arial" w:hAnsi="Arial" w:cs="Arial"/>
                                <w:b/>
                                <w:sz w:val="24"/>
                              </w:rPr>
                              <w:t>MTT</w:t>
                            </w:r>
                          </w:p>
                        </w:txbxContent>
                      </v:textbox>
                    </v:shape>
                  </w:pict>
                </mc:Fallback>
              </mc:AlternateContent>
            </w:r>
            <w:r w:rsidRPr="0071546E">
              <w:rPr>
                <w:rFonts w:eastAsiaTheme="minorHAnsi"/>
                <w:b w:val="0"/>
                <w:bCs w:val="0"/>
                <w:color w:val="FFFFFF" w:themeColor="background1"/>
                <w:sz w:val="22"/>
                <w:szCs w:val="22"/>
              </w:rPr>
              <w:object w:dxaOrig="3124" w:dyaOrig="2851">
                <v:shape id="_x0000_i1029" type="#_x0000_t75" style="width:153.75pt;height:141pt" o:ole="">
                  <v:imagedata r:id="rId38" o:title=""/>
                </v:shape>
                <o:OLEObject Type="Embed" ProgID="ChemDraw.Document.6.0" ShapeID="_x0000_i1029" DrawAspect="Content" ObjectID="_1649004616" r:id="rId39"/>
              </w:object>
            </w:r>
            <w:r w:rsidRPr="0071546E">
              <w:rPr>
                <w:color w:val="FFFFFF" w:themeColor="background1"/>
              </w:rPr>
              <w:t xml:space="preserve">                                              </w:t>
            </w:r>
          </w:p>
          <w:p w:rsidR="005F3F09" w:rsidRPr="0071546E" w:rsidRDefault="005F3F09" w:rsidP="005F3F09">
            <w:pPr>
              <w:spacing w:line="240" w:lineRule="atLeast"/>
              <w:ind w:left="1021" w:right="454"/>
              <w:rPr>
                <w:rFonts w:eastAsiaTheme="minorHAnsi"/>
                <w:b w:val="0"/>
                <w:bCs w:val="0"/>
                <w:color w:val="FFFFFF" w:themeColor="background1"/>
                <w:sz w:val="22"/>
                <w:szCs w:val="22"/>
              </w:rPr>
            </w:pPr>
          </w:p>
          <w:p w:rsidR="005F3F09" w:rsidRPr="0071546E" w:rsidRDefault="005F3F09" w:rsidP="005F3F09">
            <w:pPr>
              <w:spacing w:line="240" w:lineRule="atLeast"/>
              <w:ind w:left="1021" w:right="454"/>
              <w:rPr>
                <w:rFonts w:eastAsiaTheme="minorHAnsi"/>
                <w:b w:val="0"/>
                <w:bCs w:val="0"/>
                <w:color w:val="FFFFFF" w:themeColor="background1"/>
                <w:sz w:val="22"/>
                <w:szCs w:val="22"/>
              </w:rPr>
            </w:pPr>
            <w:r w:rsidRPr="0071546E">
              <w:rPr>
                <w:noProof/>
                <w:color w:val="FFFFFF" w:themeColor="background1"/>
                <w:lang w:eastAsia="en-GB"/>
              </w:rPr>
              <mc:AlternateContent>
                <mc:Choice Requires="wps">
                  <w:drawing>
                    <wp:anchor distT="0" distB="0" distL="114300" distR="114300" simplePos="0" relativeHeight="251769856" behindDoc="0" locked="0" layoutInCell="1" allowOverlap="1" wp14:anchorId="7A48AA6D" wp14:editId="50BEFDF3">
                      <wp:simplePos x="0" y="0"/>
                      <wp:positionH relativeFrom="column">
                        <wp:posOffset>2072005</wp:posOffset>
                      </wp:positionH>
                      <wp:positionV relativeFrom="paragraph">
                        <wp:posOffset>177178</wp:posOffset>
                      </wp:positionV>
                      <wp:extent cx="1438402" cy="438912"/>
                      <wp:effectExtent l="0" t="0" r="9525" b="0"/>
                      <wp:wrapNone/>
                      <wp:docPr id="91" name="Text Box 91"/>
                      <wp:cNvGraphicFramePr/>
                      <a:graphic xmlns:a="http://schemas.openxmlformats.org/drawingml/2006/main">
                        <a:graphicData uri="http://schemas.microsoft.com/office/word/2010/wordprocessingShape">
                          <wps:wsp>
                            <wps:cNvSpPr txBox="1"/>
                            <wps:spPr>
                              <a:xfrm>
                                <a:off x="0" y="0"/>
                                <a:ext cx="1438402" cy="438912"/>
                              </a:xfrm>
                              <a:prstGeom prst="rect">
                                <a:avLst/>
                              </a:prstGeom>
                              <a:solidFill>
                                <a:sysClr val="window" lastClr="FFFFFF"/>
                              </a:solidFill>
                              <a:ln w="6350">
                                <a:noFill/>
                              </a:ln>
                              <a:effectLst/>
                            </wps:spPr>
                            <wps:txbx>
                              <w:txbxContent>
                                <w:p w:rsidR="005F3F09" w:rsidRPr="00FE7F60" w:rsidRDefault="005F3F09" w:rsidP="005F3F09">
                                  <w:pPr>
                                    <w:jc w:val="center"/>
                                    <w:rPr>
                                      <w:rFonts w:ascii="Arial" w:hAnsi="Arial" w:cs="Arial"/>
                                      <w:sz w:val="24"/>
                                    </w:rPr>
                                  </w:pPr>
                                  <w:r w:rsidRPr="00FE7F60">
                                    <w:rPr>
                                      <w:rFonts w:ascii="Arial" w:hAnsi="Arial" w:cs="Arial"/>
                                      <w:sz w:val="24"/>
                                    </w:rPr>
                                    <w:t>Mitochondria reductase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48AA6D" id="Text Box 91" o:spid="_x0000_s1037" type="#_x0000_t202" style="position:absolute;left:0;text-align:left;margin-left:163.15pt;margin-top:13.95pt;width:113.25pt;height:34.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" fillcolor="window" stroked="f" strokeweight=".5pt">
                      <v:textbox>
                        <w:txbxContent>
                          <w:p w:rsidR="005F3F09" w:rsidRPr="00FE7F60" w:rsidRDefault="005F3F09" w:rsidP="005F3F09">
                            <w:pPr>
                              <w:jc w:val="center"/>
                              <w:rPr>
                                <w:rFonts w:ascii="Arial" w:hAnsi="Arial" w:cs="Arial"/>
                                <w:sz w:val="24"/>
                              </w:rPr>
                            </w:pPr>
                            <w:r w:rsidRPr="00FE7F60">
                              <w:rPr>
                                <w:rFonts w:ascii="Arial" w:hAnsi="Arial" w:cs="Arial"/>
                                <w:sz w:val="24"/>
                              </w:rPr>
                              <w:t>Mitochondria reductase</w:t>
                            </w:r>
                          </w:p>
                        </w:txbxContent>
                      </v:textbox>
                    </v:shape>
                  </w:pict>
                </mc:Fallback>
              </mc:AlternateContent>
            </w:r>
            <w:r w:rsidRPr="0071546E">
              <w:rPr>
                <w:noProof/>
                <w:color w:val="FFFFFF" w:themeColor="background1"/>
                <w:lang w:eastAsia="en-GB"/>
              </w:rPr>
              <mc:AlternateContent>
                <mc:Choice Requires="wps">
                  <w:drawing>
                    <wp:anchor distT="0" distB="0" distL="114300" distR="114300" simplePos="0" relativeHeight="251772928" behindDoc="0" locked="0" layoutInCell="1" allowOverlap="1" wp14:anchorId="4A2131E9" wp14:editId="7684A14A">
                      <wp:simplePos x="0" y="0"/>
                      <wp:positionH relativeFrom="column">
                        <wp:posOffset>2002816</wp:posOffset>
                      </wp:positionH>
                      <wp:positionV relativeFrom="paragraph">
                        <wp:posOffset>15564</wp:posOffset>
                      </wp:positionV>
                      <wp:extent cx="0" cy="858416"/>
                      <wp:effectExtent l="76200" t="0" r="57150" b="56515"/>
                      <wp:wrapNone/>
                      <wp:docPr id="62" name="Straight Arrow Connector 62"/>
                      <wp:cNvGraphicFramePr/>
                      <a:graphic xmlns:a="http://schemas.openxmlformats.org/drawingml/2006/main">
                        <a:graphicData uri="http://schemas.microsoft.com/office/word/2010/wordprocessingShape">
                          <wps:wsp>
                            <wps:cNvCnPr/>
                            <wps:spPr>
                              <a:xfrm>
                                <a:off x="0" y="0"/>
                                <a:ext cx="0" cy="858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08CA5B" id="_x0000_t32" coordsize="21600,21600" o:spt="32" o:oned="t" path="m,l21600,21600e" filled="f">
                      <v:path arrowok="t" fillok="f" o:connecttype="none"/>
                      <o:lock v:ext="edit" shapetype="t"/>
                    </v:shapetype>
                    <v:shape id="Straight Arrow Connector 62" o:spid="_x0000_s1026" type="#_x0000_t32" style="position:absolute;margin-left:157.7pt;margin-top:1.25pt;width:0;height:67.6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" strokecolor="black [3200]" strokeweight=".5pt">
                      <v:stroke endarrow="block" joinstyle="miter"/>
                    </v:shape>
                  </w:pict>
                </mc:Fallback>
              </mc:AlternateContent>
            </w:r>
          </w:p>
          <w:p w:rsidR="005F3F09" w:rsidRPr="0071546E" w:rsidRDefault="005F3F09" w:rsidP="005F3F09">
            <w:pPr>
              <w:spacing w:line="240" w:lineRule="atLeast"/>
              <w:ind w:left="1021" w:right="454"/>
              <w:rPr>
                <w:rFonts w:eastAsiaTheme="minorHAnsi"/>
                <w:b w:val="0"/>
                <w:bCs w:val="0"/>
                <w:color w:val="FFFFFF" w:themeColor="background1"/>
                <w:sz w:val="22"/>
                <w:szCs w:val="22"/>
              </w:rPr>
            </w:pPr>
          </w:p>
          <w:p w:rsidR="005F3F09" w:rsidRPr="0071546E" w:rsidRDefault="005F3F09" w:rsidP="005F3F09">
            <w:pPr>
              <w:spacing w:line="240" w:lineRule="atLeast"/>
              <w:ind w:left="1021" w:right="454"/>
              <w:rPr>
                <w:rFonts w:eastAsiaTheme="minorHAnsi"/>
                <w:b w:val="0"/>
                <w:bCs w:val="0"/>
                <w:color w:val="FFFFFF" w:themeColor="background1"/>
                <w:sz w:val="22"/>
                <w:szCs w:val="22"/>
              </w:rPr>
            </w:pPr>
          </w:p>
          <w:p w:rsidR="005F3F09" w:rsidRPr="0071546E" w:rsidRDefault="005F3F09" w:rsidP="005F3F09">
            <w:pPr>
              <w:spacing w:line="240" w:lineRule="atLeast"/>
              <w:ind w:left="1021" w:right="454"/>
              <w:rPr>
                <w:rFonts w:eastAsiaTheme="minorHAnsi"/>
                <w:b w:val="0"/>
                <w:bCs w:val="0"/>
                <w:color w:val="FFFFFF" w:themeColor="background1"/>
                <w:sz w:val="22"/>
                <w:szCs w:val="22"/>
              </w:rPr>
            </w:pPr>
          </w:p>
          <w:p w:rsidR="005F3F09" w:rsidRPr="0071546E" w:rsidRDefault="005F3F09" w:rsidP="005F3F09">
            <w:pPr>
              <w:spacing w:line="240" w:lineRule="atLeast"/>
              <w:ind w:left="1021" w:right="454"/>
              <w:rPr>
                <w:rFonts w:eastAsiaTheme="minorHAnsi"/>
                <w:b w:val="0"/>
                <w:bCs w:val="0"/>
                <w:color w:val="FFFFFF" w:themeColor="background1"/>
                <w:sz w:val="22"/>
                <w:szCs w:val="22"/>
              </w:rPr>
            </w:pPr>
          </w:p>
          <w:p w:rsidR="005F3F09" w:rsidRPr="0071546E" w:rsidRDefault="005F3F09" w:rsidP="005F3F09">
            <w:pPr>
              <w:spacing w:line="240" w:lineRule="atLeast"/>
              <w:ind w:left="1021" w:right="454"/>
              <w:rPr>
                <w:rFonts w:eastAsia="Times New Roman"/>
                <w:lang w:eastAsia="en-GB"/>
              </w:rPr>
            </w:pPr>
            <w:r w:rsidRPr="0071546E">
              <w:rPr>
                <w:noProof/>
                <w:color w:val="FFFFFF" w:themeColor="background1"/>
                <w:lang w:eastAsia="en-GB"/>
              </w:rPr>
              <mc:AlternateContent>
                <mc:Choice Requires="wps">
                  <w:drawing>
                    <wp:anchor distT="0" distB="0" distL="114300" distR="114300" simplePos="0" relativeHeight="251771904" behindDoc="0" locked="0" layoutInCell="1" allowOverlap="1" wp14:anchorId="592C986E" wp14:editId="1EE09A3E">
                      <wp:simplePos x="0" y="0"/>
                      <wp:positionH relativeFrom="column">
                        <wp:posOffset>2775585</wp:posOffset>
                      </wp:positionH>
                      <wp:positionV relativeFrom="paragraph">
                        <wp:posOffset>2384425</wp:posOffset>
                      </wp:positionV>
                      <wp:extent cx="1268821" cy="438785"/>
                      <wp:effectExtent l="0" t="0" r="7620" b="0"/>
                      <wp:wrapNone/>
                      <wp:docPr id="93" name="Text Box 93"/>
                      <wp:cNvGraphicFramePr/>
                      <a:graphic xmlns:a="http://schemas.openxmlformats.org/drawingml/2006/main">
                        <a:graphicData uri="http://schemas.microsoft.com/office/word/2010/wordprocessingShape">
                          <wps:wsp>
                            <wps:cNvSpPr txBox="1"/>
                            <wps:spPr>
                              <a:xfrm>
                                <a:off x="0" y="0"/>
                                <a:ext cx="1268821" cy="438785"/>
                              </a:xfrm>
                              <a:prstGeom prst="rect">
                                <a:avLst/>
                              </a:prstGeom>
                              <a:solidFill>
                                <a:sysClr val="window" lastClr="FFFFFF"/>
                              </a:solidFill>
                              <a:ln w="6350">
                                <a:noFill/>
                              </a:ln>
                              <a:effectLst/>
                            </wps:spPr>
                            <wps:txbx>
                              <w:txbxContent>
                                <w:p w:rsidR="005F3F09" w:rsidRPr="00042CB1" w:rsidRDefault="005F3F09" w:rsidP="005F3F09">
                                  <w:pPr>
                                    <w:jc w:val="center"/>
                                    <w:rPr>
                                      <w:rFonts w:ascii="Arial" w:hAnsi="Arial" w:cs="Arial"/>
                                      <w:b/>
                                      <w:sz w:val="24"/>
                                    </w:rPr>
                                  </w:pPr>
                                  <w:r w:rsidRPr="00042CB1">
                                    <w:rPr>
                                      <w:rFonts w:ascii="Arial" w:hAnsi="Arial" w:cs="Arial"/>
                                      <w:b/>
                                      <w:sz w:val="24"/>
                                    </w:rPr>
                                    <w:t>Formazan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C986E" id="Text Box 93" o:spid="_x0000_s1038" type="#_x0000_t202" style="position:absolute;left:0;text-align:left;margin-left:218.55pt;margin-top:187.75pt;width:99.9pt;height:34.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" fillcolor="window" stroked="f" strokeweight=".5pt">
                      <v:textbox>
                        <w:txbxContent>
                          <w:p w:rsidR="005F3F09" w:rsidRPr="00042CB1" w:rsidRDefault="005F3F09" w:rsidP="005F3F09">
                            <w:pPr>
                              <w:jc w:val="center"/>
                              <w:rPr>
                                <w:rFonts w:ascii="Arial" w:hAnsi="Arial" w:cs="Arial"/>
                                <w:b/>
                                <w:sz w:val="24"/>
                              </w:rPr>
                            </w:pPr>
                            <w:r w:rsidRPr="00042CB1">
                              <w:rPr>
                                <w:rFonts w:ascii="Arial" w:hAnsi="Arial" w:cs="Arial"/>
                                <w:b/>
                                <w:sz w:val="24"/>
                              </w:rPr>
                              <w:t>Formazan</w:t>
                            </w:r>
                          </w:p>
                        </w:txbxContent>
                      </v:textbox>
                    </v:shape>
                  </w:pict>
                </mc:Fallback>
              </mc:AlternateContent>
            </w:r>
            <w:r w:rsidRPr="0071546E">
              <w:rPr>
                <w:rFonts w:eastAsiaTheme="minorHAnsi"/>
                <w:b w:val="0"/>
                <w:bCs w:val="0"/>
                <w:color w:val="FFFFFF" w:themeColor="background1"/>
                <w:sz w:val="22"/>
                <w:szCs w:val="22"/>
              </w:rPr>
              <w:t xml:space="preserve">           </w:t>
            </w:r>
            <w:r w:rsidRPr="0071546E">
              <w:rPr>
                <w:rFonts w:eastAsiaTheme="minorHAnsi"/>
                <w:b w:val="0"/>
                <w:bCs w:val="0"/>
                <w:color w:val="FFFFFF" w:themeColor="background1"/>
                <w:sz w:val="22"/>
                <w:szCs w:val="22"/>
              </w:rPr>
              <w:object w:dxaOrig="3950" w:dyaOrig="3255">
                <v:shape id="_x0000_i1030" type="#_x0000_t75" style="width:203.25pt;height:181.5pt" o:ole="">
                  <v:imagedata r:id="rId40" o:title=""/>
                </v:shape>
                <o:OLEObject Type="Embed" ProgID="ChemDraw.Document.6.0" ShapeID="_x0000_i1030" DrawAspect="Content" ObjectID="_1649004617" r:id="rId41"/>
              </w:object>
            </w:r>
          </w:p>
        </w:tc>
      </w:tr>
      <w:tr w:rsidR="005F3F09" w:rsidRPr="0071546E" w:rsidTr="005F3F09">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554" w:type="dxa"/>
          </w:tcPr>
          <w:p w:rsidR="005F3F09" w:rsidRPr="0071546E" w:rsidRDefault="005F3F09" w:rsidP="005F3F09">
            <w:pPr>
              <w:spacing w:line="240" w:lineRule="atLeast"/>
              <w:ind w:left="1021" w:right="454"/>
              <w:rPr>
                <w:rFonts w:eastAsia="Times New Roman"/>
                <w:lang w:eastAsia="en-GB"/>
              </w:rPr>
            </w:pPr>
          </w:p>
        </w:tc>
      </w:tr>
    </w:tbl>
    <w:p w:rsidR="003A0829" w:rsidRPr="0071546E" w:rsidRDefault="003A0829" w:rsidP="00CF13FE">
      <w:pPr>
        <w:spacing w:line="480" w:lineRule="auto"/>
        <w:ind w:left="1021" w:right="454"/>
        <w:jc w:val="both"/>
        <w:rPr>
          <w:rFonts w:ascii="Arial" w:hAnsi="Arial" w:cs="Arial"/>
          <w:sz w:val="24"/>
          <w:szCs w:val="24"/>
          <w:lang w:eastAsia="en-GB"/>
        </w:rPr>
      </w:pPr>
    </w:p>
    <w:p w:rsidR="003A0829" w:rsidRPr="0071546E" w:rsidRDefault="003A0829" w:rsidP="00CF13FE">
      <w:pPr>
        <w:spacing w:line="480" w:lineRule="auto"/>
        <w:ind w:left="1021" w:right="454"/>
        <w:jc w:val="both"/>
        <w:rPr>
          <w:rFonts w:ascii="Arial" w:eastAsia="Times New Roman" w:hAnsi="Arial" w:cs="Arial"/>
          <w:sz w:val="24"/>
          <w:szCs w:val="24"/>
          <w:lang w:eastAsia="en-GB"/>
        </w:rPr>
      </w:pPr>
    </w:p>
    <w:p w:rsidR="00BB5A62" w:rsidRPr="0071546E" w:rsidRDefault="00BB5A62" w:rsidP="00042CB1">
      <w:pPr>
        <w:spacing w:line="240" w:lineRule="atLeast"/>
        <w:ind w:left="1021" w:right="454"/>
        <w:rPr>
          <w:sz w:val="20"/>
          <w:lang w:eastAsia="en-GB"/>
        </w:rPr>
      </w:pPr>
    </w:p>
    <w:p w:rsidR="00892FA9" w:rsidRPr="0071546E" w:rsidRDefault="003D10DA" w:rsidP="00042CB1">
      <w:pPr>
        <w:spacing w:line="240" w:lineRule="atLeast"/>
        <w:ind w:left="1021" w:right="454"/>
        <w:rPr>
          <w:sz w:val="20"/>
          <w:lang w:eastAsia="en-GB"/>
        </w:rPr>
      </w:pPr>
      <w:r w:rsidRPr="0071546E">
        <w:rPr>
          <w:sz w:val="20"/>
          <w:lang w:eastAsia="en-GB"/>
        </w:rPr>
        <w:t>Fig 1.15</w:t>
      </w:r>
      <w:r w:rsidR="00BB5A62" w:rsidRPr="0071546E">
        <w:rPr>
          <w:sz w:val="20"/>
          <w:lang w:eastAsia="en-GB"/>
        </w:rPr>
        <w:t xml:space="preserve"> Reduction of MTT to formazan by mitochondria reductase enzyme.</w:t>
      </w:r>
    </w:p>
    <w:p w:rsidR="003A0829" w:rsidRPr="0071546E" w:rsidRDefault="003A0829" w:rsidP="00CF13FE">
      <w:pPr>
        <w:ind w:left="1021" w:right="454"/>
        <w:rPr>
          <w:sz w:val="20"/>
          <w:lang w:eastAsia="en-GB"/>
        </w:rPr>
      </w:pPr>
    </w:p>
    <w:p w:rsidR="003A0829" w:rsidRPr="0071546E" w:rsidRDefault="003A0829" w:rsidP="00CF13FE">
      <w:pPr>
        <w:ind w:left="1021" w:right="454"/>
        <w:rPr>
          <w:sz w:val="20"/>
          <w:lang w:eastAsia="en-GB"/>
        </w:rPr>
      </w:pPr>
    </w:p>
    <w:p w:rsidR="003A0829" w:rsidRPr="0071546E" w:rsidRDefault="003A0829" w:rsidP="00CF13FE">
      <w:pPr>
        <w:ind w:left="1021" w:right="454"/>
        <w:rPr>
          <w:sz w:val="20"/>
          <w:lang w:eastAsia="en-GB"/>
        </w:rPr>
      </w:pPr>
    </w:p>
    <w:p w:rsidR="00D336E9" w:rsidRPr="0071546E" w:rsidRDefault="00D336E9" w:rsidP="003A0829">
      <w:pPr>
        <w:ind w:right="454"/>
        <w:rPr>
          <w:b/>
          <w:lang w:eastAsia="en-GB"/>
        </w:rPr>
      </w:pPr>
    </w:p>
    <w:p w:rsidR="00725033" w:rsidRPr="0071546E" w:rsidRDefault="0027329D" w:rsidP="00CF13FE">
      <w:pPr>
        <w:pStyle w:val="Heading2"/>
        <w:ind w:left="1021" w:right="454"/>
      </w:pPr>
      <w:bookmarkStart w:id="39" w:name="_Toc14711409"/>
      <w:r w:rsidRPr="0071546E">
        <w:t>1.6.1.2 Fluorescein Diacetate viability assay</w:t>
      </w:r>
      <w:bookmarkEnd w:id="39"/>
    </w:p>
    <w:p w:rsidR="0027329D" w:rsidRPr="0071546E" w:rsidRDefault="0027329D" w:rsidP="00CF13FE">
      <w:pPr>
        <w:spacing w:line="480" w:lineRule="auto"/>
        <w:ind w:left="1021" w:right="454"/>
        <w:jc w:val="both"/>
        <w:rPr>
          <w:rFonts w:ascii="Arial" w:hAnsi="Arial" w:cs="Arial"/>
          <w:sz w:val="24"/>
          <w:szCs w:val="24"/>
          <w:lang w:eastAsia="en-GB"/>
        </w:rPr>
      </w:pPr>
      <w:r w:rsidRPr="0071546E">
        <w:rPr>
          <w:rFonts w:ascii="Arial" w:hAnsi="Arial" w:cs="Arial"/>
          <w:sz w:val="24"/>
          <w:szCs w:val="24"/>
          <w:lang w:eastAsia="en-GB"/>
        </w:rPr>
        <w:t>Similar to the MTT assay, the fluorescein diacetate assay</w:t>
      </w:r>
      <w:r w:rsidR="00A046DD" w:rsidRPr="0071546E">
        <w:rPr>
          <w:rFonts w:ascii="Arial" w:hAnsi="Arial" w:cs="Arial"/>
          <w:sz w:val="24"/>
          <w:szCs w:val="24"/>
          <w:lang w:eastAsia="en-GB"/>
        </w:rPr>
        <w:t xml:space="preserve"> (FDA)</w:t>
      </w:r>
      <w:r w:rsidRPr="0071546E">
        <w:rPr>
          <w:rFonts w:ascii="Arial" w:hAnsi="Arial" w:cs="Arial"/>
          <w:sz w:val="24"/>
          <w:szCs w:val="24"/>
          <w:lang w:eastAsia="en-GB"/>
        </w:rPr>
        <w:t xml:space="preserve"> are mitochondrial permeability dependent assays.</w:t>
      </w:r>
      <w:r w:rsidR="00A046DD" w:rsidRPr="0071546E">
        <w:rPr>
          <w:rFonts w:ascii="Arial" w:hAnsi="Arial" w:cs="Arial"/>
          <w:sz w:val="24"/>
          <w:szCs w:val="24"/>
          <w:lang w:eastAsia="en-GB"/>
        </w:rPr>
        <w:t xml:space="preserve"> Fluorescein diacetate is a no-fluorescent dye but can become fluorescent after hydrolysis by mitochondria reductase enzymes (proteases, lipases and esterase) which converts it to the more fluorescent fluorescein</w:t>
      </w:r>
      <w:r w:rsidR="00AB2695" w:rsidRPr="0071546E">
        <w:rPr>
          <w:color w:val="000000"/>
        </w:rPr>
        <w:t xml:space="preserve"> </w:t>
      </w:r>
      <w:r w:rsidR="00AB2695" w:rsidRPr="0071546E">
        <w:rPr>
          <w:rFonts w:ascii="Arial" w:hAnsi="Arial" w:cs="Arial"/>
          <w:sz w:val="24"/>
          <w:szCs w:val="24"/>
          <w:lang w:eastAsia="en-GB"/>
        </w:rPr>
        <w:t>(Armour, Powell and Boyce, 2008)</w:t>
      </w:r>
      <w:r w:rsidR="00A046DD" w:rsidRPr="0071546E">
        <w:rPr>
          <w:rFonts w:ascii="Arial" w:hAnsi="Arial" w:cs="Arial"/>
          <w:sz w:val="24"/>
          <w:szCs w:val="24"/>
          <w:lang w:eastAsia="en-GB"/>
        </w:rPr>
        <w:t>. Fluorescein can be virtualised inside the cell by either fluorescent microsco</w:t>
      </w:r>
      <w:r w:rsidR="00AB2695" w:rsidRPr="0071546E">
        <w:rPr>
          <w:rFonts w:ascii="Arial" w:hAnsi="Arial" w:cs="Arial"/>
          <w:sz w:val="24"/>
          <w:szCs w:val="24"/>
          <w:lang w:eastAsia="en-GB"/>
        </w:rPr>
        <w:t>py or fluorescence spectroscopy</w:t>
      </w:r>
      <w:r w:rsidR="00B912F5" w:rsidRPr="0071546E">
        <w:rPr>
          <w:rFonts w:ascii="Arial" w:hAnsi="Arial" w:cs="Arial"/>
          <w:sz w:val="24"/>
          <w:szCs w:val="24"/>
          <w:lang w:eastAsia="en-GB"/>
        </w:rPr>
        <w:t xml:space="preserve">. The advantages of using </w:t>
      </w:r>
      <w:r w:rsidR="002C2939" w:rsidRPr="0071546E">
        <w:rPr>
          <w:rFonts w:ascii="Arial" w:hAnsi="Arial" w:cs="Arial"/>
          <w:sz w:val="24"/>
          <w:szCs w:val="24"/>
          <w:lang w:eastAsia="en-GB"/>
        </w:rPr>
        <w:t xml:space="preserve">the </w:t>
      </w:r>
      <w:r w:rsidR="00B912F5" w:rsidRPr="0071546E">
        <w:rPr>
          <w:rFonts w:ascii="Arial" w:hAnsi="Arial" w:cs="Arial"/>
          <w:sz w:val="24"/>
          <w:szCs w:val="24"/>
          <w:lang w:eastAsia="en-GB"/>
        </w:rPr>
        <w:t xml:space="preserve">FDA is adaptability. FDA can be optimised to be adaptable for use with different detection methods </w:t>
      </w:r>
      <w:r w:rsidR="00D336E9" w:rsidRPr="0071546E">
        <w:rPr>
          <w:rFonts w:ascii="Arial" w:hAnsi="Arial" w:cs="Arial"/>
          <w:sz w:val="24"/>
          <w:szCs w:val="24"/>
          <w:lang w:eastAsia="en-GB"/>
        </w:rPr>
        <w:t>i.e.</w:t>
      </w:r>
      <w:r w:rsidR="00B912F5" w:rsidRPr="0071546E">
        <w:rPr>
          <w:rFonts w:ascii="Arial" w:hAnsi="Arial" w:cs="Arial"/>
          <w:sz w:val="24"/>
          <w:szCs w:val="24"/>
          <w:lang w:eastAsia="en-GB"/>
        </w:rPr>
        <w:t xml:space="preserve"> fluorescence microscopy or spectroscopy. </w:t>
      </w:r>
      <w:r w:rsidR="00190FD1" w:rsidRPr="0071546E">
        <w:rPr>
          <w:rFonts w:ascii="Arial" w:hAnsi="Arial" w:cs="Arial"/>
          <w:sz w:val="24"/>
          <w:szCs w:val="24"/>
          <w:lang w:eastAsia="en-GB"/>
        </w:rPr>
        <w:t>However,</w:t>
      </w:r>
      <w:r w:rsidR="00B912F5" w:rsidRPr="0071546E">
        <w:rPr>
          <w:rFonts w:ascii="Arial" w:hAnsi="Arial" w:cs="Arial"/>
          <w:sz w:val="24"/>
          <w:szCs w:val="24"/>
          <w:lang w:eastAsia="en-GB"/>
        </w:rPr>
        <w:t xml:space="preserve"> the limitation of </w:t>
      </w:r>
      <w:r w:rsidR="002C2939" w:rsidRPr="0071546E">
        <w:rPr>
          <w:rFonts w:ascii="Arial" w:hAnsi="Arial" w:cs="Arial"/>
          <w:sz w:val="24"/>
          <w:szCs w:val="24"/>
          <w:lang w:eastAsia="en-GB"/>
        </w:rPr>
        <w:t xml:space="preserve">the </w:t>
      </w:r>
      <w:r w:rsidR="00B912F5" w:rsidRPr="0071546E">
        <w:rPr>
          <w:rFonts w:ascii="Arial" w:hAnsi="Arial" w:cs="Arial"/>
          <w:sz w:val="24"/>
          <w:szCs w:val="24"/>
          <w:lang w:eastAsia="en-GB"/>
        </w:rPr>
        <w:t xml:space="preserve">FDA is similar to MTT. </w:t>
      </w:r>
      <w:r w:rsidR="002C52D3" w:rsidRPr="0071546E">
        <w:rPr>
          <w:rFonts w:ascii="Arial" w:hAnsi="Arial" w:cs="Arial"/>
          <w:sz w:val="24"/>
          <w:szCs w:val="24"/>
          <w:lang w:eastAsia="en-GB"/>
        </w:rPr>
        <w:t xml:space="preserve">It has been reported that common microbial media components like tryptone, peptone and yeast extract all stimulate the hydrolysis of FDA in the absence of viable </w:t>
      </w:r>
      <w:r w:rsidR="001F7EA9" w:rsidRPr="0071546E">
        <w:rPr>
          <w:rFonts w:ascii="Arial" w:hAnsi="Arial" w:cs="Arial"/>
          <w:sz w:val="24"/>
          <w:szCs w:val="24"/>
          <w:lang w:eastAsia="en-GB"/>
        </w:rPr>
        <w:t>cells,</w:t>
      </w:r>
      <w:r w:rsidR="002C52D3" w:rsidRPr="0071546E">
        <w:rPr>
          <w:rFonts w:ascii="Arial" w:hAnsi="Arial" w:cs="Arial"/>
          <w:sz w:val="24"/>
          <w:szCs w:val="24"/>
          <w:lang w:eastAsia="en-GB"/>
        </w:rPr>
        <w:t xml:space="preserve"> as do commonly used solvents like phosphate buffers. As a </w:t>
      </w:r>
      <w:r w:rsidR="00190FD1" w:rsidRPr="0071546E">
        <w:rPr>
          <w:rFonts w:ascii="Arial" w:hAnsi="Arial" w:cs="Arial"/>
          <w:sz w:val="24"/>
          <w:szCs w:val="24"/>
          <w:lang w:eastAsia="en-GB"/>
        </w:rPr>
        <w:t>result,</w:t>
      </w:r>
      <w:r w:rsidR="002C52D3" w:rsidRPr="0071546E">
        <w:rPr>
          <w:rFonts w:ascii="Arial" w:hAnsi="Arial" w:cs="Arial"/>
          <w:sz w:val="24"/>
          <w:szCs w:val="24"/>
          <w:lang w:eastAsia="en-GB"/>
        </w:rPr>
        <w:t xml:space="preserve"> most microbial media promote hydrolysis of FDA in the absence of viable cells</w:t>
      </w:r>
      <w:r w:rsidR="002C52D3" w:rsidRPr="0071546E">
        <w:rPr>
          <w:rFonts w:ascii="Arial" w:hAnsi="Arial" w:cs="Arial"/>
          <w:color w:val="000000"/>
          <w:sz w:val="24"/>
          <w:szCs w:val="24"/>
        </w:rPr>
        <w:t xml:space="preserve"> </w:t>
      </w:r>
      <w:r w:rsidR="002C52D3" w:rsidRPr="0071546E">
        <w:rPr>
          <w:rFonts w:ascii="Arial" w:hAnsi="Arial" w:cs="Arial"/>
          <w:sz w:val="24"/>
          <w:szCs w:val="24"/>
          <w:lang w:eastAsia="en-GB"/>
        </w:rPr>
        <w:t>(Clarke et al., 2001).</w:t>
      </w:r>
    </w:p>
    <w:p w:rsidR="003A0829" w:rsidRPr="0071546E" w:rsidRDefault="003A0829" w:rsidP="00CF13FE">
      <w:pPr>
        <w:spacing w:line="480" w:lineRule="auto"/>
        <w:ind w:left="1021" w:right="454"/>
        <w:jc w:val="both"/>
        <w:rPr>
          <w:rFonts w:ascii="Arial" w:hAnsi="Arial" w:cs="Arial"/>
          <w:sz w:val="24"/>
          <w:szCs w:val="24"/>
          <w:lang w:eastAsia="en-GB"/>
        </w:rPr>
      </w:pPr>
    </w:p>
    <w:p w:rsidR="003A0829" w:rsidRPr="0071546E" w:rsidRDefault="003A0829" w:rsidP="00CF13FE">
      <w:pPr>
        <w:spacing w:line="480" w:lineRule="auto"/>
        <w:ind w:left="1021" w:right="454"/>
        <w:jc w:val="both"/>
        <w:rPr>
          <w:rFonts w:ascii="Arial" w:hAnsi="Arial" w:cs="Arial"/>
          <w:sz w:val="24"/>
          <w:szCs w:val="24"/>
          <w:lang w:eastAsia="en-GB"/>
        </w:rPr>
      </w:pPr>
    </w:p>
    <w:p w:rsidR="003A0829" w:rsidRPr="0071546E" w:rsidRDefault="003A0829" w:rsidP="00CF13FE">
      <w:pPr>
        <w:spacing w:line="480" w:lineRule="auto"/>
        <w:ind w:left="1021" w:right="454"/>
        <w:jc w:val="both"/>
        <w:rPr>
          <w:rFonts w:ascii="Arial" w:hAnsi="Arial" w:cs="Arial"/>
          <w:sz w:val="24"/>
          <w:szCs w:val="24"/>
          <w:lang w:eastAsia="en-GB"/>
        </w:rPr>
      </w:pPr>
    </w:p>
    <w:p w:rsidR="003A0829" w:rsidRPr="0071546E" w:rsidRDefault="003A0829" w:rsidP="00CF13FE">
      <w:pPr>
        <w:spacing w:line="480" w:lineRule="auto"/>
        <w:ind w:left="1021" w:right="454"/>
        <w:jc w:val="both"/>
        <w:rPr>
          <w:rFonts w:ascii="Arial" w:hAnsi="Arial" w:cs="Arial"/>
          <w:sz w:val="24"/>
          <w:szCs w:val="24"/>
          <w:lang w:eastAsia="en-GB"/>
        </w:rPr>
      </w:pPr>
    </w:p>
    <w:tbl>
      <w:tblPr>
        <w:tblStyle w:val="ListTable6Colorful13"/>
        <w:tblW w:w="0" w:type="auto"/>
        <w:tblInd w:w="993" w:type="dxa"/>
        <w:tblLook w:val="04A0" w:firstRow="1" w:lastRow="0" w:firstColumn="1" w:lastColumn="0" w:noHBand="0" w:noVBand="1"/>
      </w:tblPr>
      <w:tblGrid>
        <w:gridCol w:w="7882"/>
      </w:tblGrid>
      <w:tr w:rsidR="00D92865" w:rsidRPr="0071546E" w:rsidTr="005F3F09">
        <w:trPr>
          <w:cnfStyle w:val="100000000000" w:firstRow="1" w:lastRow="0" w:firstColumn="0" w:lastColumn="0" w:oddVBand="0" w:evenVBand="0" w:oddHBand="0" w:evenHBand="0" w:firstRowFirstColumn="0" w:firstRowLastColumn="0" w:lastRowFirstColumn="0" w:lastRowLastColumn="0"/>
          <w:trHeight w:val="9046"/>
        </w:trPr>
        <w:tc>
          <w:tcPr>
            <w:cnfStyle w:val="001000000000" w:firstRow="0" w:lastRow="0" w:firstColumn="1" w:lastColumn="0" w:oddVBand="0" w:evenVBand="0" w:oddHBand="0" w:evenHBand="0" w:firstRowFirstColumn="0" w:firstRowLastColumn="0" w:lastRowFirstColumn="0" w:lastRowLastColumn="0"/>
            <w:tcW w:w="7882" w:type="dxa"/>
          </w:tcPr>
          <w:p w:rsidR="00D92865" w:rsidRPr="0071546E" w:rsidRDefault="00D92865" w:rsidP="00042CB1">
            <w:pPr>
              <w:ind w:left="1021" w:right="454"/>
            </w:pPr>
            <w:r w:rsidRPr="0071546E">
              <w:t xml:space="preserve">  </w:t>
            </w:r>
          </w:p>
          <w:p w:rsidR="003A0829" w:rsidRPr="0071546E" w:rsidRDefault="003A0829" w:rsidP="00042CB1">
            <w:pPr>
              <w:ind w:left="1021" w:right="454"/>
            </w:pPr>
          </w:p>
          <w:p w:rsidR="003A0829" w:rsidRPr="0071546E" w:rsidRDefault="003A0829" w:rsidP="00042CB1">
            <w:pPr>
              <w:ind w:left="1021" w:right="454"/>
            </w:pPr>
          </w:p>
          <w:p w:rsidR="00042CB1" w:rsidRPr="0071546E" w:rsidRDefault="00D92865" w:rsidP="00042CB1">
            <w:pPr>
              <w:ind w:left="1021" w:right="454"/>
            </w:pPr>
            <w:r w:rsidRPr="0071546E">
              <w:t xml:space="preserve">  </w:t>
            </w:r>
            <w:r w:rsidR="005F3F09" w:rsidRPr="0071546E">
              <w:rPr>
                <w:rFonts w:eastAsiaTheme="minorHAnsi"/>
                <w:b w:val="0"/>
                <w:bCs w:val="0"/>
                <w:color w:val="auto"/>
                <w:sz w:val="22"/>
                <w:szCs w:val="22"/>
              </w:rPr>
              <w:object w:dxaOrig="3151" w:dyaOrig="1790">
                <v:shape id="_x0000_i1031" type="#_x0000_t75" style="width:156.75pt;height:120pt" o:ole="">
                  <v:imagedata r:id="rId42" o:title=""/>
                </v:shape>
                <o:OLEObject Type="Embed" ProgID="ChemDraw.Document.6.0" ShapeID="_x0000_i1031" DrawAspect="Content" ObjectID="_1649004618" r:id="rId43"/>
              </w:object>
            </w:r>
            <w:r w:rsidRPr="0071546E">
              <w:t xml:space="preserve">                                   </w:t>
            </w:r>
            <w:r w:rsidR="00042CB1" w:rsidRPr="0071546E">
              <w:t xml:space="preserve">      </w:t>
            </w:r>
          </w:p>
          <w:p w:rsidR="003A0829" w:rsidRPr="0071546E" w:rsidRDefault="00042CB1" w:rsidP="00042CB1">
            <w:pPr>
              <w:ind w:right="454"/>
              <w:rPr>
                <w:b w:val="0"/>
                <w:bCs w:val="0"/>
              </w:rPr>
            </w:pPr>
            <w:r w:rsidRPr="0071546E">
              <w:rPr>
                <w:b w:val="0"/>
                <w:bCs w:val="0"/>
              </w:rPr>
              <w:t xml:space="preserve">           </w:t>
            </w:r>
            <w:r w:rsidR="00D92865" w:rsidRPr="0071546E">
              <w:rPr>
                <w:rFonts w:ascii="Arial" w:hAnsi="Arial" w:cs="Arial"/>
                <w:b w:val="0"/>
                <w:bCs w:val="0"/>
                <w:sz w:val="24"/>
                <w:szCs w:val="24"/>
              </w:rPr>
              <w:t xml:space="preserve">Fluorescein diacetate       </w:t>
            </w:r>
          </w:p>
          <w:p w:rsidR="003A0829" w:rsidRPr="0071546E" w:rsidRDefault="003A0829" w:rsidP="00042CB1">
            <w:pPr>
              <w:ind w:left="1021" w:right="454"/>
            </w:pPr>
          </w:p>
          <w:p w:rsidR="003A0829" w:rsidRPr="0071546E" w:rsidRDefault="003A0829" w:rsidP="00042CB1">
            <w:pPr>
              <w:ind w:left="1021" w:right="454"/>
            </w:pPr>
          </w:p>
          <w:p w:rsidR="003A0829" w:rsidRPr="0071546E" w:rsidRDefault="003A0829" w:rsidP="00042CB1">
            <w:pPr>
              <w:ind w:left="1021" w:right="454"/>
            </w:pPr>
            <w:r w:rsidRPr="0071546E">
              <w:rPr>
                <w:noProof/>
                <w:lang w:eastAsia="en-GB"/>
              </w:rPr>
              <mc:AlternateContent>
                <mc:Choice Requires="wps">
                  <w:drawing>
                    <wp:anchor distT="0" distB="0" distL="114300" distR="114300" simplePos="0" relativeHeight="251731968" behindDoc="0" locked="0" layoutInCell="1" allowOverlap="1">
                      <wp:simplePos x="0" y="0"/>
                      <wp:positionH relativeFrom="column">
                        <wp:posOffset>1816204</wp:posOffset>
                      </wp:positionH>
                      <wp:positionV relativeFrom="paragraph">
                        <wp:posOffset>37412</wp:posOffset>
                      </wp:positionV>
                      <wp:extent cx="0" cy="951723"/>
                      <wp:effectExtent l="76200" t="0" r="76200" b="58420"/>
                      <wp:wrapNone/>
                      <wp:docPr id="63" name="Straight Arrow Connector 63"/>
                      <wp:cNvGraphicFramePr/>
                      <a:graphic xmlns:a="http://schemas.openxmlformats.org/drawingml/2006/main">
                        <a:graphicData uri="http://schemas.microsoft.com/office/word/2010/wordprocessingShape">
                          <wps:wsp>
                            <wps:cNvCnPr/>
                            <wps:spPr>
                              <a:xfrm>
                                <a:off x="0" y="0"/>
                                <a:ext cx="0" cy="9517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945404" id="Straight Arrow Connector 63" o:spid="_x0000_s1026" type="#_x0000_t32" style="position:absolute;margin-left:143pt;margin-top:2.95pt;width:0;height:74.9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" strokecolor="black [3200]" strokeweight=".5pt">
                      <v:stroke endarrow="block" joinstyle="miter"/>
                    </v:shape>
                  </w:pict>
                </mc:Fallback>
              </mc:AlternateContent>
            </w:r>
          </w:p>
          <w:p w:rsidR="003A0829" w:rsidRPr="0071546E" w:rsidRDefault="00012CEA" w:rsidP="00042CB1">
            <w:pPr>
              <w:ind w:left="1021" w:right="454"/>
            </w:pPr>
            <w:r w:rsidRPr="0071546E">
              <w:rPr>
                <w:noProof/>
                <w:lang w:eastAsia="en-GB"/>
              </w:rPr>
              <mc:AlternateContent>
                <mc:Choice Requires="wps">
                  <w:drawing>
                    <wp:anchor distT="0" distB="0" distL="114300" distR="114300" simplePos="0" relativeHeight="251688960" behindDoc="0" locked="0" layoutInCell="1" allowOverlap="1" wp14:anchorId="19002BB6" wp14:editId="36999DFA">
                      <wp:simplePos x="0" y="0"/>
                      <wp:positionH relativeFrom="margin">
                        <wp:posOffset>1929616</wp:posOffset>
                      </wp:positionH>
                      <wp:positionV relativeFrom="paragraph">
                        <wp:posOffset>21740</wp:posOffset>
                      </wp:positionV>
                      <wp:extent cx="1554480" cy="548640"/>
                      <wp:effectExtent l="0" t="0" r="7620" b="3810"/>
                      <wp:wrapNone/>
                      <wp:docPr id="1213" name="Text Box 1213"/>
                      <wp:cNvGraphicFramePr/>
                      <a:graphic xmlns:a="http://schemas.openxmlformats.org/drawingml/2006/main">
                        <a:graphicData uri="http://schemas.microsoft.com/office/word/2010/wordprocessingShape">
                          <wps:wsp>
                            <wps:cNvSpPr txBox="1"/>
                            <wps:spPr>
                              <a:xfrm>
                                <a:off x="0" y="0"/>
                                <a:ext cx="1554480" cy="548640"/>
                              </a:xfrm>
                              <a:prstGeom prst="rect">
                                <a:avLst/>
                              </a:prstGeom>
                              <a:solidFill>
                                <a:sysClr val="window" lastClr="FFFFFF"/>
                              </a:solidFill>
                              <a:ln w="6350">
                                <a:noFill/>
                              </a:ln>
                              <a:effectLst/>
                            </wps:spPr>
                            <wps:txbx>
                              <w:txbxContent>
                                <w:p w:rsidR="00A87A14" w:rsidRPr="00D92865" w:rsidRDefault="00A87A14" w:rsidP="00012CEA">
                                  <w:pPr>
                                    <w:jc w:val="center"/>
                                    <w:rPr>
                                      <w:rFonts w:ascii="Arial" w:hAnsi="Arial" w:cs="Arial"/>
                                      <w:sz w:val="24"/>
                                    </w:rPr>
                                  </w:pPr>
                                  <w:r>
                                    <w:rPr>
                                      <w:rFonts w:ascii="Arial" w:hAnsi="Arial" w:cs="Arial"/>
                                      <w:sz w:val="24"/>
                                    </w:rPr>
                                    <w:t>Mitochondria enzymes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002BB6" id="Text Box 1213" o:spid="_x0000_s1039" type="#_x0000_t202" style="position:absolute;left:0;text-align:left;margin-left:151.95pt;margin-top:1.7pt;width:122.4pt;height:43.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" fillcolor="window" stroked="f" strokeweight=".5pt">
                      <v:textbox>
                        <w:txbxContent>
                          <w:p w:rsidR="00A87A14" w:rsidRPr="00D92865" w:rsidRDefault="00A87A14" w:rsidP="00012CEA">
                            <w:pPr>
                              <w:jc w:val="center"/>
                              <w:rPr>
                                <w:rFonts w:ascii="Arial" w:hAnsi="Arial" w:cs="Arial"/>
                                <w:sz w:val="24"/>
                              </w:rPr>
                            </w:pPr>
                            <w:r>
                              <w:rPr>
                                <w:rFonts w:ascii="Arial" w:hAnsi="Arial" w:cs="Arial"/>
                                <w:sz w:val="24"/>
                              </w:rPr>
                              <w:t>Mitochondria enzymes</w:t>
                            </w:r>
                          </w:p>
                        </w:txbxContent>
                      </v:textbox>
                      <w10:wrap anchorx="margin"/>
                    </v:shape>
                  </w:pict>
                </mc:Fallback>
              </mc:AlternateContent>
            </w:r>
          </w:p>
          <w:p w:rsidR="003A0829" w:rsidRPr="0071546E" w:rsidRDefault="003A0829" w:rsidP="00042CB1">
            <w:pPr>
              <w:ind w:left="1021" w:right="454"/>
            </w:pPr>
          </w:p>
          <w:p w:rsidR="003A0829" w:rsidRPr="0071546E" w:rsidRDefault="003A0829" w:rsidP="00042CB1">
            <w:pPr>
              <w:ind w:left="1021" w:right="454"/>
            </w:pPr>
          </w:p>
          <w:p w:rsidR="003A0829" w:rsidRPr="0071546E" w:rsidRDefault="003A0829" w:rsidP="00042CB1">
            <w:pPr>
              <w:ind w:right="454"/>
            </w:pPr>
          </w:p>
          <w:p w:rsidR="00D92865" w:rsidRPr="0071546E" w:rsidRDefault="00D92865" w:rsidP="00042CB1">
            <w:pPr>
              <w:ind w:left="1021" w:right="454"/>
            </w:pPr>
            <w:r w:rsidRPr="0071546E">
              <w:t xml:space="preserve">      </w:t>
            </w:r>
            <w:r w:rsidR="005F3F09" w:rsidRPr="0071546E">
              <w:rPr>
                <w:rFonts w:eastAsiaTheme="minorHAnsi"/>
                <w:b w:val="0"/>
                <w:bCs w:val="0"/>
                <w:color w:val="auto"/>
                <w:sz w:val="22"/>
                <w:szCs w:val="22"/>
              </w:rPr>
              <w:object w:dxaOrig="2985" w:dyaOrig="2042">
                <v:shape id="_x0000_i1032" type="#_x0000_t75" style="width:159.75pt;height:112.5pt" o:ole="">
                  <v:imagedata r:id="rId44" o:title=""/>
                </v:shape>
                <o:OLEObject Type="Embed" ProgID="ChemDraw.Document.6.0" ShapeID="_x0000_i1032" DrawAspect="Content" ObjectID="_1649004619" r:id="rId45"/>
              </w:object>
            </w:r>
            <w:r w:rsidRPr="0071546E">
              <w:rPr>
                <w:b w:val="0"/>
                <w:bCs w:val="0"/>
              </w:rPr>
              <w:t xml:space="preserve">  </w:t>
            </w:r>
            <w:r w:rsidRPr="0071546E">
              <w:rPr>
                <w:rFonts w:ascii="Arial" w:hAnsi="Arial" w:cs="Arial"/>
                <w:b w:val="0"/>
                <w:bCs w:val="0"/>
                <w:sz w:val="24"/>
              </w:rPr>
              <w:t>Fluorescein</w:t>
            </w:r>
          </w:p>
        </w:tc>
      </w:tr>
      <w:tr w:rsidR="00D92865" w:rsidRPr="0071546E" w:rsidTr="005F3F09">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7882" w:type="dxa"/>
          </w:tcPr>
          <w:p w:rsidR="00D92865" w:rsidRPr="0071546E" w:rsidRDefault="00D92865" w:rsidP="00042CB1">
            <w:pPr>
              <w:ind w:left="1021" w:right="454"/>
              <w:rPr>
                <w:rFonts w:eastAsia="Times New Roman"/>
                <w:lang w:eastAsia="en-GB"/>
              </w:rPr>
            </w:pPr>
          </w:p>
        </w:tc>
      </w:tr>
    </w:tbl>
    <w:p w:rsidR="00C06D01" w:rsidRPr="0071546E" w:rsidRDefault="00D92865" w:rsidP="005F3F09">
      <w:pPr>
        <w:spacing w:line="240" w:lineRule="auto"/>
        <w:ind w:left="1021" w:right="454"/>
        <w:rPr>
          <w:sz w:val="20"/>
          <w:lang w:eastAsia="en-GB"/>
        </w:rPr>
      </w:pPr>
      <w:r w:rsidRPr="0071546E">
        <w:rPr>
          <w:sz w:val="20"/>
          <w:lang w:eastAsia="en-GB"/>
        </w:rPr>
        <w:t>Fig 1.</w:t>
      </w:r>
      <w:r w:rsidR="003D10DA" w:rsidRPr="0071546E">
        <w:rPr>
          <w:sz w:val="20"/>
          <w:lang w:eastAsia="en-GB"/>
        </w:rPr>
        <w:t>1</w:t>
      </w:r>
      <w:r w:rsidR="008E4153" w:rsidRPr="0071546E">
        <w:rPr>
          <w:sz w:val="20"/>
          <w:lang w:eastAsia="en-GB"/>
        </w:rPr>
        <w:t xml:space="preserve">6 </w:t>
      </w:r>
      <w:r w:rsidRPr="0071546E">
        <w:rPr>
          <w:sz w:val="20"/>
          <w:lang w:eastAsia="en-GB"/>
        </w:rPr>
        <w:t>Hydrolysis of fluorescein diacetate to fluorescein by mitochondria enzyme.</w:t>
      </w:r>
    </w:p>
    <w:p w:rsidR="005F3F09" w:rsidRPr="0071546E" w:rsidRDefault="005F3F09" w:rsidP="005F3F09">
      <w:pPr>
        <w:spacing w:line="240" w:lineRule="auto"/>
        <w:ind w:left="1021" w:right="454"/>
        <w:rPr>
          <w:sz w:val="20"/>
          <w:lang w:eastAsia="en-GB"/>
        </w:rPr>
      </w:pPr>
    </w:p>
    <w:p w:rsidR="005F3F09" w:rsidRPr="0071546E" w:rsidRDefault="005F3F09" w:rsidP="005F3F09">
      <w:pPr>
        <w:spacing w:line="240" w:lineRule="auto"/>
        <w:ind w:left="1021" w:right="454"/>
        <w:rPr>
          <w:sz w:val="20"/>
          <w:lang w:eastAsia="en-GB"/>
        </w:rPr>
      </w:pPr>
    </w:p>
    <w:p w:rsidR="005F3F09" w:rsidRPr="0071546E" w:rsidRDefault="005F3F09" w:rsidP="005F3F09">
      <w:pPr>
        <w:rPr>
          <w:lang w:eastAsia="en-GB"/>
        </w:rPr>
      </w:pPr>
    </w:p>
    <w:p w:rsidR="005F3F09" w:rsidRPr="0071546E" w:rsidRDefault="005F3F09" w:rsidP="005F3F09">
      <w:pPr>
        <w:rPr>
          <w:lang w:eastAsia="en-GB"/>
        </w:rPr>
      </w:pPr>
    </w:p>
    <w:p w:rsidR="005F3F09" w:rsidRPr="0071546E" w:rsidRDefault="005F3F09" w:rsidP="005F3F09">
      <w:pPr>
        <w:rPr>
          <w:lang w:eastAsia="en-GB"/>
        </w:rPr>
      </w:pPr>
    </w:p>
    <w:p w:rsidR="003A0829" w:rsidRPr="0071546E" w:rsidRDefault="003A0829" w:rsidP="003A0829">
      <w:pPr>
        <w:rPr>
          <w:lang w:eastAsia="en-GB"/>
        </w:rPr>
      </w:pPr>
    </w:p>
    <w:p w:rsidR="003A0829" w:rsidRPr="0071546E" w:rsidRDefault="003A0829" w:rsidP="003A0829">
      <w:pPr>
        <w:rPr>
          <w:lang w:eastAsia="en-GB"/>
        </w:rPr>
      </w:pPr>
    </w:p>
    <w:p w:rsidR="00CE2E20" w:rsidRPr="0071546E" w:rsidRDefault="002C52D3" w:rsidP="00CF13FE">
      <w:pPr>
        <w:pStyle w:val="Heading2"/>
        <w:ind w:left="1021" w:right="454"/>
      </w:pPr>
      <w:bookmarkStart w:id="40" w:name="_Toc14711410"/>
      <w:r w:rsidRPr="0071546E">
        <w:t>1.6.1.3 Alama</w:t>
      </w:r>
      <w:r w:rsidR="00190FD1" w:rsidRPr="0071546E">
        <w:t>r</w:t>
      </w:r>
      <w:r w:rsidRPr="0071546E">
        <w:t xml:space="preserve"> blue </w:t>
      </w:r>
      <w:r w:rsidR="00F241E4" w:rsidRPr="0071546E">
        <w:t>(</w:t>
      </w:r>
      <w:r w:rsidR="00AB2695" w:rsidRPr="0071546E">
        <w:t>resazurin</w:t>
      </w:r>
      <w:r w:rsidR="00F241E4" w:rsidRPr="0071546E">
        <w:t>) viability assay</w:t>
      </w:r>
      <w:bookmarkEnd w:id="40"/>
    </w:p>
    <w:p w:rsidR="00074A01" w:rsidRPr="0071546E" w:rsidRDefault="00F241E4" w:rsidP="00DD1D5B">
      <w:pPr>
        <w:spacing w:before="240" w:line="480" w:lineRule="auto"/>
        <w:ind w:left="1021" w:right="454"/>
        <w:jc w:val="both"/>
        <w:rPr>
          <w:color w:val="000000"/>
        </w:rPr>
      </w:pPr>
      <w:r w:rsidRPr="0071546E">
        <w:rPr>
          <w:rFonts w:ascii="Arial" w:hAnsi="Arial" w:cs="Arial"/>
          <w:sz w:val="24"/>
          <w:szCs w:val="24"/>
        </w:rPr>
        <w:t xml:space="preserve">Resazurin cell viability assay is relatively simple, sensitive and </w:t>
      </w:r>
      <w:r w:rsidR="00F01C28" w:rsidRPr="0071546E">
        <w:rPr>
          <w:rFonts w:ascii="Arial" w:hAnsi="Arial" w:cs="Arial"/>
          <w:sz w:val="24"/>
          <w:szCs w:val="24"/>
        </w:rPr>
        <w:t>economical</w:t>
      </w:r>
      <w:r w:rsidRPr="0071546E">
        <w:rPr>
          <w:rFonts w:ascii="Arial" w:hAnsi="Arial" w:cs="Arial"/>
          <w:sz w:val="24"/>
          <w:szCs w:val="24"/>
        </w:rPr>
        <w:t>.</w:t>
      </w:r>
      <w:r w:rsidR="00CE2E20" w:rsidRPr="0071546E">
        <w:rPr>
          <w:rFonts w:ascii="Arial" w:hAnsi="Arial" w:cs="Arial"/>
          <w:sz w:val="24"/>
          <w:szCs w:val="24"/>
        </w:rPr>
        <w:t xml:space="preserve"> </w:t>
      </w:r>
      <w:r w:rsidR="00AB2695" w:rsidRPr="0071546E">
        <w:rPr>
          <w:rFonts w:ascii="Arial" w:hAnsi="Arial" w:cs="Arial"/>
          <w:sz w:val="24"/>
          <w:szCs w:val="24"/>
        </w:rPr>
        <w:t>In resazurin assay,</w:t>
      </w:r>
      <w:r w:rsidR="002C2939" w:rsidRPr="0071546E">
        <w:rPr>
          <w:rFonts w:ascii="Arial" w:hAnsi="Arial" w:cs="Arial"/>
          <w:sz w:val="24"/>
          <w:szCs w:val="24"/>
        </w:rPr>
        <w:t xml:space="preserve"> v</w:t>
      </w:r>
      <w:r w:rsidR="00CE2E20" w:rsidRPr="0071546E">
        <w:rPr>
          <w:rFonts w:ascii="Arial" w:hAnsi="Arial" w:cs="Arial"/>
          <w:sz w:val="24"/>
          <w:szCs w:val="24"/>
        </w:rPr>
        <w:t>iable cell</w:t>
      </w:r>
      <w:r w:rsidR="00AB2695" w:rsidRPr="0071546E">
        <w:rPr>
          <w:rFonts w:ascii="Arial" w:hAnsi="Arial" w:cs="Arial"/>
          <w:sz w:val="24"/>
          <w:szCs w:val="24"/>
        </w:rPr>
        <w:t>s</w:t>
      </w:r>
      <w:r w:rsidR="00CE2E20" w:rsidRPr="0071546E">
        <w:rPr>
          <w:rFonts w:ascii="Arial" w:hAnsi="Arial" w:cs="Arial"/>
          <w:sz w:val="24"/>
          <w:szCs w:val="24"/>
        </w:rPr>
        <w:t xml:space="preserve"> </w:t>
      </w:r>
      <w:r w:rsidR="00AB2695" w:rsidRPr="0071546E">
        <w:rPr>
          <w:rFonts w:ascii="Arial" w:hAnsi="Arial" w:cs="Arial"/>
          <w:sz w:val="24"/>
          <w:szCs w:val="24"/>
        </w:rPr>
        <w:t>which are</w:t>
      </w:r>
      <w:r w:rsidR="00CE2E20" w:rsidRPr="0071546E">
        <w:rPr>
          <w:rFonts w:ascii="Arial" w:hAnsi="Arial" w:cs="Arial"/>
          <w:sz w:val="24"/>
          <w:szCs w:val="24"/>
        </w:rPr>
        <w:t xml:space="preserve"> metabolically act</w:t>
      </w:r>
      <w:r w:rsidR="00AB2695" w:rsidRPr="0071546E">
        <w:rPr>
          <w:rFonts w:ascii="Arial" w:hAnsi="Arial" w:cs="Arial"/>
          <w:sz w:val="24"/>
          <w:szCs w:val="24"/>
        </w:rPr>
        <w:t>ive</w:t>
      </w:r>
      <w:r w:rsidR="00CE2E20" w:rsidRPr="0071546E">
        <w:rPr>
          <w:rFonts w:ascii="Arial" w:hAnsi="Arial" w:cs="Arial"/>
          <w:sz w:val="24"/>
          <w:szCs w:val="24"/>
        </w:rPr>
        <w:t xml:space="preserve"> are able to hydrolyse </w:t>
      </w:r>
      <w:r w:rsidR="00AB2695" w:rsidRPr="0071546E">
        <w:rPr>
          <w:rFonts w:ascii="Arial" w:hAnsi="Arial" w:cs="Arial"/>
          <w:sz w:val="24"/>
          <w:szCs w:val="24"/>
        </w:rPr>
        <w:t>(</w:t>
      </w:r>
      <w:r w:rsidR="00CE2E20" w:rsidRPr="0071546E">
        <w:rPr>
          <w:rFonts w:ascii="Arial" w:hAnsi="Arial" w:cs="Arial"/>
          <w:sz w:val="24"/>
          <w:szCs w:val="24"/>
        </w:rPr>
        <w:t>via mitochondria reductase enzyme</w:t>
      </w:r>
      <w:r w:rsidR="00AB2695" w:rsidRPr="0071546E">
        <w:rPr>
          <w:rFonts w:ascii="Arial" w:hAnsi="Arial" w:cs="Arial"/>
          <w:sz w:val="24"/>
          <w:szCs w:val="24"/>
        </w:rPr>
        <w:t xml:space="preserve"> systems)</w:t>
      </w:r>
      <w:r w:rsidR="00CE2E20" w:rsidRPr="0071546E">
        <w:rPr>
          <w:rFonts w:ascii="Arial" w:hAnsi="Arial" w:cs="Arial"/>
          <w:sz w:val="24"/>
          <w:szCs w:val="24"/>
        </w:rPr>
        <w:t xml:space="preserve">, resazurin </w:t>
      </w:r>
      <w:r w:rsidR="00AB2695" w:rsidRPr="0071546E">
        <w:rPr>
          <w:rFonts w:ascii="Arial" w:hAnsi="Arial" w:cs="Arial"/>
          <w:sz w:val="24"/>
          <w:szCs w:val="24"/>
        </w:rPr>
        <w:t>which</w:t>
      </w:r>
      <w:r w:rsidR="00CE2E20" w:rsidRPr="0071546E">
        <w:rPr>
          <w:rFonts w:ascii="Arial" w:hAnsi="Arial" w:cs="Arial"/>
          <w:sz w:val="24"/>
          <w:szCs w:val="24"/>
        </w:rPr>
        <w:t xml:space="preserve"> is a non-fluorescent dye to a fluorescent resorufin</w:t>
      </w:r>
      <w:r w:rsidR="00AB2695" w:rsidRPr="0071546E">
        <w:rPr>
          <w:color w:val="000000"/>
        </w:rPr>
        <w:t xml:space="preserve"> </w:t>
      </w:r>
      <w:r w:rsidR="00AB2695" w:rsidRPr="0071546E">
        <w:rPr>
          <w:rFonts w:ascii="Arial" w:hAnsi="Arial" w:cs="Arial"/>
          <w:sz w:val="24"/>
          <w:szCs w:val="24"/>
        </w:rPr>
        <w:t>(Czekanska, 2011)</w:t>
      </w:r>
      <w:r w:rsidR="00CE2E20" w:rsidRPr="0071546E">
        <w:rPr>
          <w:rFonts w:ascii="Arial" w:hAnsi="Arial" w:cs="Arial"/>
          <w:sz w:val="24"/>
          <w:szCs w:val="24"/>
        </w:rPr>
        <w:t>. The fluorescence intensity is directly pro</w:t>
      </w:r>
      <w:r w:rsidR="00AB2695" w:rsidRPr="0071546E">
        <w:rPr>
          <w:rFonts w:ascii="Arial" w:hAnsi="Arial" w:cs="Arial"/>
          <w:sz w:val="24"/>
          <w:szCs w:val="24"/>
        </w:rPr>
        <w:t xml:space="preserve">portional to the number </w:t>
      </w:r>
      <w:r w:rsidR="00CE2E20" w:rsidRPr="0071546E">
        <w:rPr>
          <w:rFonts w:ascii="Arial" w:hAnsi="Arial" w:cs="Arial"/>
          <w:sz w:val="24"/>
          <w:szCs w:val="24"/>
        </w:rPr>
        <w:t>or viability of cells present in a population.</w:t>
      </w:r>
      <w:r w:rsidR="001000AB" w:rsidRPr="0071546E">
        <w:rPr>
          <w:rFonts w:ascii="Arial" w:hAnsi="Arial" w:cs="Arial"/>
          <w:sz w:val="24"/>
          <w:szCs w:val="24"/>
        </w:rPr>
        <w:t xml:space="preserve"> </w:t>
      </w:r>
      <w:r w:rsidR="001F7EA9" w:rsidRPr="0071546E">
        <w:rPr>
          <w:rFonts w:ascii="Arial" w:hAnsi="Arial" w:cs="Arial"/>
          <w:sz w:val="24"/>
          <w:szCs w:val="24"/>
        </w:rPr>
        <w:t xml:space="preserve">Spectrophotometer, </w:t>
      </w:r>
      <w:r w:rsidR="00AB2695" w:rsidRPr="0071546E">
        <w:rPr>
          <w:rFonts w:ascii="Arial" w:hAnsi="Arial" w:cs="Arial"/>
          <w:sz w:val="24"/>
          <w:szCs w:val="24"/>
        </w:rPr>
        <w:t>spectrofluorometric</w:t>
      </w:r>
      <w:r w:rsidR="001F7EA9" w:rsidRPr="0071546E">
        <w:rPr>
          <w:rFonts w:ascii="Arial" w:hAnsi="Arial" w:cs="Arial"/>
          <w:sz w:val="24"/>
          <w:szCs w:val="24"/>
        </w:rPr>
        <w:t xml:space="preserve"> or spectrophotometric microplate reader can carry out viability detection with Alamar blue</w:t>
      </w:r>
      <w:r w:rsidR="001000AB" w:rsidRPr="0071546E">
        <w:rPr>
          <w:rFonts w:ascii="Arial" w:hAnsi="Arial" w:cs="Arial"/>
          <w:sz w:val="24"/>
          <w:szCs w:val="24"/>
        </w:rPr>
        <w:t xml:space="preserve">. The main advantages of the </w:t>
      </w:r>
      <w:r w:rsidR="002C2939" w:rsidRPr="0071546E">
        <w:rPr>
          <w:rFonts w:ascii="Arial" w:hAnsi="Arial" w:cs="Arial"/>
          <w:sz w:val="24"/>
          <w:szCs w:val="24"/>
        </w:rPr>
        <w:t>A</w:t>
      </w:r>
      <w:r w:rsidR="00A51C50" w:rsidRPr="0071546E">
        <w:rPr>
          <w:rFonts w:ascii="Arial" w:hAnsi="Arial" w:cs="Arial"/>
          <w:sz w:val="24"/>
          <w:szCs w:val="24"/>
        </w:rPr>
        <w:t xml:space="preserve">lamar blue assay </w:t>
      </w:r>
      <w:r w:rsidR="004904E2" w:rsidRPr="0071546E">
        <w:rPr>
          <w:rFonts w:ascii="Arial" w:hAnsi="Arial" w:cs="Arial"/>
          <w:sz w:val="24"/>
          <w:szCs w:val="24"/>
        </w:rPr>
        <w:t>are</w:t>
      </w:r>
      <w:r w:rsidR="00A51C50" w:rsidRPr="0071546E">
        <w:rPr>
          <w:rFonts w:ascii="Arial" w:hAnsi="Arial" w:cs="Arial"/>
          <w:sz w:val="24"/>
          <w:szCs w:val="24"/>
        </w:rPr>
        <w:t xml:space="preserve"> that it is </w:t>
      </w:r>
      <w:r w:rsidR="00885D23" w:rsidRPr="0071546E">
        <w:rPr>
          <w:rFonts w:ascii="Arial" w:hAnsi="Arial" w:cs="Arial"/>
          <w:sz w:val="24"/>
          <w:szCs w:val="24"/>
        </w:rPr>
        <w:t>cost-effective</w:t>
      </w:r>
      <w:r w:rsidR="00A51C50" w:rsidRPr="0071546E">
        <w:rPr>
          <w:rFonts w:ascii="Arial" w:hAnsi="Arial" w:cs="Arial"/>
          <w:sz w:val="24"/>
          <w:szCs w:val="24"/>
        </w:rPr>
        <w:t xml:space="preserve"> and</w:t>
      </w:r>
      <w:r w:rsidR="001000AB" w:rsidRPr="0071546E">
        <w:rPr>
          <w:rFonts w:ascii="Arial" w:hAnsi="Arial" w:cs="Arial"/>
          <w:sz w:val="24"/>
          <w:szCs w:val="24"/>
        </w:rPr>
        <w:t xml:space="preserve"> </w:t>
      </w:r>
      <w:r w:rsidR="00D336E9" w:rsidRPr="0071546E">
        <w:rPr>
          <w:rFonts w:ascii="Arial" w:hAnsi="Arial" w:cs="Arial"/>
          <w:sz w:val="24"/>
          <w:szCs w:val="24"/>
        </w:rPr>
        <w:t>more sensitive than MTT assay</w:t>
      </w:r>
      <w:r w:rsidR="00D336E9" w:rsidRPr="0071546E">
        <w:rPr>
          <w:rFonts w:ascii="Arial" w:hAnsi="Arial" w:cs="Arial"/>
          <w:color w:val="000000"/>
          <w:sz w:val="24"/>
          <w:szCs w:val="24"/>
        </w:rPr>
        <w:t xml:space="preserve"> </w:t>
      </w:r>
      <w:r w:rsidR="00D336E9" w:rsidRPr="0071546E">
        <w:rPr>
          <w:rFonts w:ascii="Arial" w:hAnsi="Arial" w:cs="Arial"/>
          <w:sz w:val="24"/>
          <w:szCs w:val="24"/>
        </w:rPr>
        <w:t>(Aslantürk, 2018)</w:t>
      </w:r>
      <w:r w:rsidR="001000AB" w:rsidRPr="0071546E">
        <w:rPr>
          <w:rFonts w:ascii="Arial" w:hAnsi="Arial" w:cs="Arial"/>
          <w:sz w:val="24"/>
          <w:szCs w:val="24"/>
        </w:rPr>
        <w:t xml:space="preserve">. Furthermore, </w:t>
      </w:r>
      <w:r w:rsidR="002C2939" w:rsidRPr="0071546E">
        <w:rPr>
          <w:rFonts w:ascii="Arial" w:hAnsi="Arial" w:cs="Arial"/>
          <w:sz w:val="24"/>
          <w:szCs w:val="24"/>
        </w:rPr>
        <w:t>A</w:t>
      </w:r>
      <w:r w:rsidR="001000AB" w:rsidRPr="0071546E">
        <w:rPr>
          <w:rFonts w:ascii="Arial" w:hAnsi="Arial" w:cs="Arial"/>
          <w:sz w:val="24"/>
          <w:szCs w:val="24"/>
        </w:rPr>
        <w:t>lamar blue assay can be multiplexed with other assay techniques like caspase assay to get more insight about the mechanism leading to cell death</w:t>
      </w:r>
      <w:r w:rsidR="00D336E9" w:rsidRPr="0071546E">
        <w:rPr>
          <w:rFonts w:ascii="Arial" w:hAnsi="Arial" w:cs="Arial"/>
          <w:color w:val="000000"/>
          <w:sz w:val="24"/>
          <w:szCs w:val="24"/>
        </w:rPr>
        <w:t xml:space="preserve"> </w:t>
      </w:r>
      <w:r w:rsidR="00D336E9" w:rsidRPr="0071546E">
        <w:rPr>
          <w:rFonts w:ascii="Arial" w:hAnsi="Arial" w:cs="Arial"/>
          <w:sz w:val="24"/>
          <w:szCs w:val="24"/>
        </w:rPr>
        <w:t>(Ren et al., 2015)</w:t>
      </w:r>
      <w:r w:rsidR="001000AB" w:rsidRPr="0071546E">
        <w:rPr>
          <w:rFonts w:ascii="Arial" w:hAnsi="Arial" w:cs="Arial"/>
          <w:sz w:val="24"/>
          <w:szCs w:val="24"/>
        </w:rPr>
        <w:t>.</w:t>
      </w:r>
      <w:r w:rsidR="00DC2C9A" w:rsidRPr="0071546E">
        <w:rPr>
          <w:rFonts w:ascii="Arial" w:hAnsi="Arial" w:cs="Arial"/>
          <w:sz w:val="24"/>
          <w:szCs w:val="24"/>
        </w:rPr>
        <w:t xml:space="preserve"> Some limitation of </w:t>
      </w:r>
      <w:r w:rsidR="002C2939" w:rsidRPr="0071546E">
        <w:rPr>
          <w:rFonts w:ascii="Arial" w:hAnsi="Arial" w:cs="Arial"/>
          <w:sz w:val="24"/>
          <w:szCs w:val="24"/>
        </w:rPr>
        <w:t>A</w:t>
      </w:r>
      <w:r w:rsidR="00DC2C9A" w:rsidRPr="0071546E">
        <w:rPr>
          <w:rFonts w:ascii="Arial" w:hAnsi="Arial" w:cs="Arial"/>
          <w:sz w:val="24"/>
          <w:szCs w:val="24"/>
        </w:rPr>
        <w:t xml:space="preserve">lamar blue assay </w:t>
      </w:r>
      <w:r w:rsidR="002C2939" w:rsidRPr="0071546E">
        <w:rPr>
          <w:rFonts w:ascii="Arial" w:hAnsi="Arial" w:cs="Arial"/>
          <w:sz w:val="24"/>
          <w:szCs w:val="24"/>
        </w:rPr>
        <w:t>is</w:t>
      </w:r>
      <w:r w:rsidR="00DC2C9A" w:rsidRPr="0071546E">
        <w:rPr>
          <w:rFonts w:ascii="Arial" w:hAnsi="Arial" w:cs="Arial"/>
          <w:sz w:val="24"/>
          <w:szCs w:val="24"/>
        </w:rPr>
        <w:t xml:space="preserve"> that microbial contamination can result in false</w:t>
      </w:r>
      <w:r w:rsidR="00885D23" w:rsidRPr="0071546E">
        <w:rPr>
          <w:rFonts w:ascii="Arial" w:hAnsi="Arial" w:cs="Arial"/>
          <w:sz w:val="24"/>
          <w:szCs w:val="24"/>
        </w:rPr>
        <w:t>-</w:t>
      </w:r>
      <w:r w:rsidR="00DC2C9A" w:rsidRPr="0071546E">
        <w:rPr>
          <w:rFonts w:ascii="Arial" w:hAnsi="Arial" w:cs="Arial"/>
          <w:sz w:val="24"/>
          <w:szCs w:val="24"/>
        </w:rPr>
        <w:t>positive signals</w:t>
      </w:r>
      <w:r w:rsidR="002C2939" w:rsidRPr="0071546E">
        <w:rPr>
          <w:rFonts w:ascii="Arial" w:hAnsi="Arial" w:cs="Arial"/>
          <w:sz w:val="24"/>
          <w:szCs w:val="24"/>
        </w:rPr>
        <w:t>, therefore,</w:t>
      </w:r>
      <w:r w:rsidR="00DC2C9A" w:rsidRPr="0071546E">
        <w:rPr>
          <w:rFonts w:ascii="Arial" w:hAnsi="Arial" w:cs="Arial"/>
          <w:sz w:val="24"/>
          <w:szCs w:val="24"/>
        </w:rPr>
        <w:t xml:space="preserve"> </w:t>
      </w:r>
      <w:r w:rsidR="002C2939" w:rsidRPr="0071546E">
        <w:rPr>
          <w:rFonts w:ascii="Arial" w:hAnsi="Arial" w:cs="Arial"/>
          <w:sz w:val="24"/>
          <w:szCs w:val="24"/>
        </w:rPr>
        <w:t>A</w:t>
      </w:r>
      <w:r w:rsidR="00DC2C9A" w:rsidRPr="0071546E">
        <w:rPr>
          <w:rFonts w:ascii="Arial" w:hAnsi="Arial" w:cs="Arial"/>
          <w:sz w:val="24"/>
          <w:szCs w:val="24"/>
        </w:rPr>
        <w:t>lamar blue assay must be carried out in an aseptic environment</w:t>
      </w:r>
      <w:r w:rsidR="003218C1" w:rsidRPr="0071546E">
        <w:rPr>
          <w:rFonts w:ascii="Arial" w:hAnsi="Arial" w:cs="Arial"/>
          <w:color w:val="000000"/>
          <w:sz w:val="24"/>
          <w:szCs w:val="24"/>
        </w:rPr>
        <w:t xml:space="preserve"> </w:t>
      </w:r>
      <w:r w:rsidR="003218C1" w:rsidRPr="0071546E">
        <w:rPr>
          <w:rFonts w:ascii="Arial" w:hAnsi="Arial" w:cs="Arial"/>
          <w:sz w:val="24"/>
          <w:szCs w:val="24"/>
        </w:rPr>
        <w:t>(Neufeld et al., 2018)</w:t>
      </w:r>
      <w:r w:rsidR="00DC2C9A" w:rsidRPr="0071546E">
        <w:rPr>
          <w:rFonts w:ascii="Arial" w:hAnsi="Arial" w:cs="Arial"/>
          <w:sz w:val="24"/>
          <w:szCs w:val="24"/>
        </w:rPr>
        <w:t>.</w:t>
      </w:r>
      <w:r w:rsidR="00DD1D5B" w:rsidRPr="0071546E">
        <w:rPr>
          <w:rFonts w:ascii="Arial" w:hAnsi="Arial" w:cs="Arial"/>
          <w:sz w:val="24"/>
          <w:szCs w:val="24"/>
        </w:rPr>
        <w:t xml:space="preserve"> A report</w:t>
      </w:r>
      <w:r w:rsidR="00074A01" w:rsidRPr="0071546E">
        <w:rPr>
          <w:rFonts w:ascii="Arial" w:hAnsi="Arial" w:cs="Arial"/>
          <w:sz w:val="24"/>
          <w:szCs w:val="24"/>
        </w:rPr>
        <w:t xml:space="preserve"> </w:t>
      </w:r>
      <w:r w:rsidR="00DD1D5B" w:rsidRPr="0071546E">
        <w:rPr>
          <w:rFonts w:ascii="Arial" w:hAnsi="Arial" w:cs="Arial"/>
          <w:sz w:val="24"/>
          <w:szCs w:val="24"/>
        </w:rPr>
        <w:t>has</w:t>
      </w:r>
      <w:r w:rsidR="00074A01" w:rsidRPr="0071546E">
        <w:rPr>
          <w:rFonts w:ascii="Arial" w:hAnsi="Arial" w:cs="Arial"/>
          <w:sz w:val="24"/>
          <w:szCs w:val="24"/>
        </w:rPr>
        <w:t xml:space="preserve"> shown that </w:t>
      </w:r>
      <w:r w:rsidR="004904E2" w:rsidRPr="0071546E">
        <w:rPr>
          <w:rFonts w:ascii="Arial" w:hAnsi="Arial" w:cs="Arial"/>
          <w:sz w:val="24"/>
          <w:szCs w:val="24"/>
        </w:rPr>
        <w:t xml:space="preserve">an </w:t>
      </w:r>
      <w:r w:rsidR="00074A01" w:rsidRPr="0071546E">
        <w:rPr>
          <w:rFonts w:ascii="Arial" w:hAnsi="Arial" w:cs="Arial"/>
          <w:sz w:val="24"/>
          <w:szCs w:val="24"/>
        </w:rPr>
        <w:t xml:space="preserve">increased number of cells and prolonged assay times may cause </w:t>
      </w:r>
      <w:r w:rsidR="004904E2" w:rsidRPr="0071546E">
        <w:rPr>
          <w:rFonts w:ascii="Arial" w:hAnsi="Arial" w:cs="Arial"/>
          <w:sz w:val="24"/>
          <w:szCs w:val="24"/>
        </w:rPr>
        <w:t xml:space="preserve">a </w:t>
      </w:r>
      <w:r w:rsidR="00074A01" w:rsidRPr="0071546E">
        <w:rPr>
          <w:rFonts w:ascii="Arial" w:hAnsi="Arial" w:cs="Arial"/>
          <w:sz w:val="24"/>
          <w:szCs w:val="24"/>
        </w:rPr>
        <w:t xml:space="preserve">reduced rate of reduction </w:t>
      </w:r>
      <w:r w:rsidR="00645718" w:rsidRPr="0071546E">
        <w:rPr>
          <w:rFonts w:ascii="Arial" w:hAnsi="Arial" w:cs="Arial"/>
          <w:sz w:val="24"/>
          <w:szCs w:val="24"/>
        </w:rPr>
        <w:t>process (Uzarski et al., 2017).</w:t>
      </w:r>
      <w:r w:rsidR="00074A01" w:rsidRPr="0071546E">
        <w:rPr>
          <w:rFonts w:ascii="Arial" w:hAnsi="Arial" w:cs="Arial"/>
          <w:sz w:val="24"/>
          <w:szCs w:val="24"/>
        </w:rPr>
        <w:t xml:space="preserve"> Although the reduction of resazurin to resorufin is an irreversible, an important and often disregarded by-product might be produced from secondary </w:t>
      </w:r>
      <w:r w:rsidR="00042CB1" w:rsidRPr="0071546E">
        <w:rPr>
          <w:rFonts w:ascii="Arial" w:hAnsi="Arial" w:cs="Arial"/>
          <w:sz w:val="24"/>
          <w:szCs w:val="24"/>
        </w:rPr>
        <w:t>reactions, which</w:t>
      </w:r>
      <w:r w:rsidR="00DD1D5B" w:rsidRPr="0071546E">
        <w:rPr>
          <w:rFonts w:ascii="Arial" w:hAnsi="Arial" w:cs="Arial"/>
          <w:sz w:val="24"/>
          <w:szCs w:val="24"/>
        </w:rPr>
        <w:t xml:space="preserve"> depletes resorufin to a non-</w:t>
      </w:r>
      <w:r w:rsidR="00074A01" w:rsidRPr="0071546E">
        <w:rPr>
          <w:rFonts w:ascii="Arial" w:hAnsi="Arial" w:cs="Arial"/>
          <w:sz w:val="24"/>
          <w:szCs w:val="24"/>
        </w:rPr>
        <w:t>fluorescent and colourless hydro</w:t>
      </w:r>
      <w:r w:rsidR="00DD1D5B" w:rsidRPr="0071546E">
        <w:rPr>
          <w:rFonts w:ascii="Arial" w:hAnsi="Arial" w:cs="Arial"/>
          <w:sz w:val="24"/>
          <w:szCs w:val="24"/>
        </w:rPr>
        <w:t>-</w:t>
      </w:r>
      <w:r w:rsidR="00074A01" w:rsidRPr="0071546E">
        <w:rPr>
          <w:rFonts w:ascii="Arial" w:hAnsi="Arial" w:cs="Arial"/>
          <w:sz w:val="24"/>
          <w:szCs w:val="24"/>
        </w:rPr>
        <w:t>resorufin</w:t>
      </w:r>
      <w:r w:rsidR="00645718" w:rsidRPr="0071546E">
        <w:rPr>
          <w:color w:val="000000"/>
        </w:rPr>
        <w:t xml:space="preserve"> </w:t>
      </w:r>
      <w:r w:rsidR="00645718" w:rsidRPr="0071546E">
        <w:rPr>
          <w:rFonts w:ascii="Arial" w:hAnsi="Arial" w:cs="Arial"/>
          <w:sz w:val="24"/>
          <w:szCs w:val="24"/>
        </w:rPr>
        <w:t>(O'Brien et al., 2000).</w:t>
      </w:r>
      <w:r w:rsidR="00645718" w:rsidRPr="0071546E">
        <w:rPr>
          <w:color w:val="000000"/>
        </w:rPr>
        <w:t xml:space="preserve"> </w:t>
      </w:r>
      <w:r w:rsidR="00074A01" w:rsidRPr="0071546E">
        <w:rPr>
          <w:rFonts w:ascii="Arial" w:hAnsi="Arial" w:cs="Arial"/>
          <w:sz w:val="24"/>
          <w:szCs w:val="24"/>
        </w:rPr>
        <w:t xml:space="preserve">These factors may cause underestimation of </w:t>
      </w:r>
      <w:r w:rsidR="004904E2" w:rsidRPr="0071546E">
        <w:rPr>
          <w:rFonts w:ascii="Arial" w:hAnsi="Arial" w:cs="Arial"/>
          <w:sz w:val="24"/>
          <w:szCs w:val="24"/>
        </w:rPr>
        <w:t>the number</w:t>
      </w:r>
      <w:r w:rsidR="00074A01" w:rsidRPr="0071546E">
        <w:rPr>
          <w:rFonts w:ascii="Arial" w:hAnsi="Arial" w:cs="Arial"/>
          <w:sz w:val="24"/>
          <w:szCs w:val="24"/>
        </w:rPr>
        <w:t xml:space="preserve"> of viable cells when using resazurin assay.</w:t>
      </w:r>
      <w:r w:rsidR="00DC2C9A" w:rsidRPr="0071546E">
        <w:rPr>
          <w:rFonts w:ascii="Arial" w:hAnsi="Arial" w:cs="Arial"/>
          <w:sz w:val="24"/>
          <w:szCs w:val="24"/>
        </w:rPr>
        <w:t xml:space="preserve"> Spectrophotometric absorbance is taken at 570 and 600 nm. Absorbance values can vary depending on the type of microplate used (flat or round bottom)</w:t>
      </w:r>
      <w:r w:rsidR="00430318" w:rsidRPr="0071546E">
        <w:rPr>
          <w:rFonts w:ascii="Arial" w:hAnsi="Arial" w:cs="Arial"/>
          <w:sz w:val="24"/>
          <w:szCs w:val="24"/>
        </w:rPr>
        <w:t xml:space="preserve">. </w:t>
      </w:r>
      <w:r w:rsidR="002C2939" w:rsidRPr="0071546E">
        <w:rPr>
          <w:rFonts w:ascii="Arial" w:hAnsi="Arial" w:cs="Arial"/>
          <w:sz w:val="24"/>
          <w:szCs w:val="24"/>
        </w:rPr>
        <w:t>The f</w:t>
      </w:r>
      <w:r w:rsidR="00430318" w:rsidRPr="0071546E">
        <w:rPr>
          <w:rFonts w:ascii="Arial" w:hAnsi="Arial" w:cs="Arial"/>
          <w:sz w:val="24"/>
          <w:szCs w:val="24"/>
        </w:rPr>
        <w:t xml:space="preserve">luorescence signal is measured at 530 – 560 while </w:t>
      </w:r>
      <w:r w:rsidR="002C2939" w:rsidRPr="0071546E">
        <w:rPr>
          <w:rFonts w:ascii="Arial" w:hAnsi="Arial" w:cs="Arial"/>
          <w:sz w:val="24"/>
          <w:szCs w:val="24"/>
        </w:rPr>
        <w:t xml:space="preserve">the </w:t>
      </w:r>
      <w:r w:rsidR="00430318" w:rsidRPr="0071546E">
        <w:rPr>
          <w:rFonts w:ascii="Arial" w:hAnsi="Arial" w:cs="Arial"/>
          <w:sz w:val="24"/>
          <w:szCs w:val="24"/>
        </w:rPr>
        <w:t>emission wavelength at 590 nm</w:t>
      </w:r>
      <w:r w:rsidR="00074A01" w:rsidRPr="0071546E">
        <w:rPr>
          <w:rFonts w:ascii="Arial" w:hAnsi="Arial" w:cs="Arial"/>
          <w:sz w:val="24"/>
          <w:szCs w:val="24"/>
        </w:rPr>
        <w:t>.</w:t>
      </w:r>
    </w:p>
    <w:p w:rsidR="003D0F83" w:rsidRPr="0071546E" w:rsidRDefault="003D0F83" w:rsidP="00CF13FE">
      <w:pPr>
        <w:spacing w:before="240" w:line="480" w:lineRule="auto"/>
        <w:ind w:left="1021" w:right="454"/>
        <w:jc w:val="both"/>
        <w:rPr>
          <w:rFonts w:ascii="Arial" w:hAnsi="Arial" w:cs="Arial"/>
          <w:sz w:val="24"/>
          <w:szCs w:val="24"/>
        </w:rPr>
      </w:pPr>
    </w:p>
    <w:tbl>
      <w:tblPr>
        <w:tblStyle w:val="ListTable6Colorful4"/>
        <w:tblW w:w="7348" w:type="dxa"/>
        <w:tblInd w:w="1134" w:type="dxa"/>
        <w:tblLook w:val="04A0" w:firstRow="1" w:lastRow="0" w:firstColumn="1" w:lastColumn="0" w:noHBand="0" w:noVBand="1"/>
      </w:tblPr>
      <w:tblGrid>
        <w:gridCol w:w="7348"/>
      </w:tblGrid>
      <w:tr w:rsidR="00430318" w:rsidRPr="0071546E" w:rsidTr="00F01C28">
        <w:trPr>
          <w:cnfStyle w:val="100000000000" w:firstRow="1" w:lastRow="0" w:firstColumn="0" w:lastColumn="0" w:oddVBand="0" w:evenVBand="0" w:oddHBand="0" w:evenHBand="0" w:firstRowFirstColumn="0" w:firstRowLastColumn="0" w:lastRowFirstColumn="0" w:lastRowLastColumn="0"/>
          <w:trHeight w:val="7322"/>
        </w:trPr>
        <w:tc>
          <w:tcPr>
            <w:cnfStyle w:val="001000000000" w:firstRow="0" w:lastRow="0" w:firstColumn="1" w:lastColumn="0" w:oddVBand="0" w:evenVBand="0" w:oddHBand="0" w:evenHBand="0" w:firstRowFirstColumn="0" w:firstRowLastColumn="0" w:lastRowFirstColumn="0" w:lastRowLastColumn="0"/>
            <w:tcW w:w="7348" w:type="dxa"/>
          </w:tcPr>
          <w:p w:rsidR="00430318" w:rsidRPr="0071546E" w:rsidRDefault="00430318" w:rsidP="00CF13FE">
            <w:pPr>
              <w:spacing w:line="240" w:lineRule="atLeast"/>
              <w:ind w:left="1021" w:right="454"/>
            </w:pPr>
          </w:p>
          <w:p w:rsidR="00042CB1" w:rsidRPr="0071546E" w:rsidRDefault="00430318" w:rsidP="00042CB1">
            <w:pPr>
              <w:spacing w:line="240" w:lineRule="atLeast"/>
              <w:ind w:left="1021" w:right="454"/>
            </w:pPr>
            <w:r w:rsidRPr="0071546E">
              <w:rPr>
                <w:rFonts w:eastAsiaTheme="minorHAnsi"/>
                <w:b w:val="0"/>
                <w:bCs w:val="0"/>
                <w:color w:val="auto"/>
                <w:sz w:val="22"/>
                <w:szCs w:val="22"/>
              </w:rPr>
              <w:object w:dxaOrig="3665" w:dyaOrig="1896">
                <v:shape id="_x0000_i1033" type="#_x0000_t75" style="width:181.5pt;height:96pt" o:ole="">
                  <v:imagedata r:id="rId46" o:title=""/>
                </v:shape>
                <o:OLEObject Type="Embed" ProgID="ChemDraw.Document.6.0" ShapeID="_x0000_i1033" DrawAspect="Content" ObjectID="_1649004620" r:id="rId47"/>
              </w:object>
            </w:r>
            <w:r w:rsidR="00042CB1" w:rsidRPr="0071546E">
              <w:t xml:space="preserve">                           </w:t>
            </w:r>
          </w:p>
          <w:p w:rsidR="00042CB1" w:rsidRPr="0071546E" w:rsidRDefault="00042CB1" w:rsidP="00042CB1">
            <w:pPr>
              <w:spacing w:line="240" w:lineRule="atLeast"/>
              <w:ind w:left="1021" w:right="454"/>
            </w:pPr>
          </w:p>
          <w:p w:rsidR="003D0F83" w:rsidRPr="0071546E" w:rsidRDefault="00F01C28" w:rsidP="00042CB1">
            <w:pPr>
              <w:spacing w:line="240" w:lineRule="atLeast"/>
              <w:ind w:left="1021" w:right="454"/>
            </w:pPr>
            <w:r w:rsidRPr="0071546E">
              <w:rPr>
                <w:noProof/>
                <w:lang w:eastAsia="en-GB"/>
              </w:rPr>
              <mc:AlternateContent>
                <mc:Choice Requires="wps">
                  <w:drawing>
                    <wp:anchor distT="0" distB="0" distL="114300" distR="114300" simplePos="0" relativeHeight="251732992" behindDoc="0" locked="0" layoutInCell="1" allowOverlap="1" wp14:anchorId="773ECDCB" wp14:editId="3F69CB66">
                      <wp:simplePos x="0" y="0"/>
                      <wp:positionH relativeFrom="column">
                        <wp:posOffset>1666240</wp:posOffset>
                      </wp:positionH>
                      <wp:positionV relativeFrom="paragraph">
                        <wp:posOffset>20613</wp:posOffset>
                      </wp:positionV>
                      <wp:extent cx="18661" cy="1101012"/>
                      <wp:effectExtent l="57150" t="0" r="57785" b="61595"/>
                      <wp:wrapNone/>
                      <wp:docPr id="69" name="Straight Arrow Connector 69"/>
                      <wp:cNvGraphicFramePr/>
                      <a:graphic xmlns:a="http://schemas.openxmlformats.org/drawingml/2006/main">
                        <a:graphicData uri="http://schemas.microsoft.com/office/word/2010/wordprocessingShape">
                          <wps:wsp>
                            <wps:cNvCnPr/>
                            <wps:spPr>
                              <a:xfrm>
                                <a:off x="0" y="0"/>
                                <a:ext cx="18661" cy="11010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FF3B35" id="Straight Arrow Connector 69" o:spid="_x0000_s1026" type="#_x0000_t32" style="position:absolute;margin-left:131.2pt;margin-top:1.6pt;width:1.45pt;height:86.7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" strokecolor="black [3200]" strokeweight=".5pt">
                      <v:stroke endarrow="block" joinstyle="miter"/>
                    </v:shape>
                  </w:pict>
                </mc:Fallback>
              </mc:AlternateContent>
            </w:r>
            <w:r w:rsidR="003D0F83" w:rsidRPr="0071546E">
              <w:rPr>
                <w:rFonts w:ascii="Arial" w:hAnsi="Arial" w:cs="Arial"/>
                <w:sz w:val="24"/>
              </w:rPr>
              <w:t xml:space="preserve">Resazurin  </w:t>
            </w:r>
          </w:p>
          <w:p w:rsidR="003D0F83" w:rsidRPr="0071546E" w:rsidRDefault="003D0F83" w:rsidP="00CF13FE">
            <w:pPr>
              <w:spacing w:line="240" w:lineRule="atLeast"/>
              <w:ind w:left="1021" w:right="454"/>
            </w:pPr>
          </w:p>
          <w:p w:rsidR="003D0F83" w:rsidRPr="0071546E" w:rsidRDefault="003D0F83" w:rsidP="00CF13FE">
            <w:pPr>
              <w:spacing w:line="240" w:lineRule="atLeast"/>
              <w:ind w:left="1021" w:right="454"/>
            </w:pPr>
          </w:p>
          <w:p w:rsidR="003D0F83" w:rsidRPr="0071546E" w:rsidRDefault="003D0F83" w:rsidP="00CF13FE">
            <w:pPr>
              <w:spacing w:line="240" w:lineRule="atLeast"/>
              <w:ind w:left="1021" w:right="454"/>
            </w:pPr>
            <w:r w:rsidRPr="0071546E">
              <w:rPr>
                <w:noProof/>
                <w:lang w:eastAsia="en-GB"/>
              </w:rPr>
              <mc:AlternateContent>
                <mc:Choice Requires="wps">
                  <w:drawing>
                    <wp:anchor distT="0" distB="0" distL="114300" distR="114300" simplePos="0" relativeHeight="251692032" behindDoc="0" locked="0" layoutInCell="1" allowOverlap="1" wp14:anchorId="307468C9" wp14:editId="7CE4B6D1">
                      <wp:simplePos x="0" y="0"/>
                      <wp:positionH relativeFrom="margin">
                        <wp:posOffset>1785698</wp:posOffset>
                      </wp:positionH>
                      <wp:positionV relativeFrom="paragraph">
                        <wp:posOffset>154020</wp:posOffset>
                      </wp:positionV>
                      <wp:extent cx="1602740" cy="462338"/>
                      <wp:effectExtent l="0" t="0" r="0" b="0"/>
                      <wp:wrapNone/>
                      <wp:docPr id="1025" name="Text Box 1025"/>
                      <wp:cNvGraphicFramePr/>
                      <a:graphic xmlns:a="http://schemas.openxmlformats.org/drawingml/2006/main">
                        <a:graphicData uri="http://schemas.microsoft.com/office/word/2010/wordprocessingShape">
                          <wps:wsp>
                            <wps:cNvSpPr txBox="1"/>
                            <wps:spPr>
                              <a:xfrm>
                                <a:off x="0" y="0"/>
                                <a:ext cx="1602740" cy="462338"/>
                              </a:xfrm>
                              <a:prstGeom prst="rect">
                                <a:avLst/>
                              </a:prstGeom>
                              <a:solidFill>
                                <a:sysClr val="window" lastClr="FFFFFF"/>
                              </a:solidFill>
                              <a:ln w="6350">
                                <a:noFill/>
                              </a:ln>
                              <a:effectLst/>
                            </wps:spPr>
                            <wps:txbx>
                              <w:txbxContent>
                                <w:p w:rsidR="00A87A14" w:rsidRPr="00D92865" w:rsidRDefault="00A87A14" w:rsidP="00430318">
                                  <w:pPr>
                                    <w:jc w:val="center"/>
                                    <w:rPr>
                                      <w:rFonts w:ascii="Arial" w:hAnsi="Arial" w:cs="Arial"/>
                                      <w:sz w:val="24"/>
                                    </w:rPr>
                                  </w:pPr>
                                  <w:r>
                                    <w:rPr>
                                      <w:rFonts w:ascii="Arial" w:hAnsi="Arial" w:cs="Arial"/>
                                      <w:sz w:val="24"/>
                                    </w:rPr>
                                    <w:t>Mitochondria reductase enzymes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7468C9" id="Text Box 1025" o:spid="_x0000_s1040" type="#_x0000_t202" style="position:absolute;left:0;text-align:left;margin-left:140.6pt;margin-top:12.15pt;width:126.2pt;height:36.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" fillcolor="window" stroked="f" strokeweight=".5pt">
                      <v:textbox>
                        <w:txbxContent>
                          <w:p w:rsidR="00A87A14" w:rsidRPr="00D92865" w:rsidRDefault="00A87A14" w:rsidP="00430318">
                            <w:pPr>
                              <w:jc w:val="center"/>
                              <w:rPr>
                                <w:rFonts w:ascii="Arial" w:hAnsi="Arial" w:cs="Arial"/>
                                <w:sz w:val="24"/>
                              </w:rPr>
                            </w:pPr>
                            <w:r>
                              <w:rPr>
                                <w:rFonts w:ascii="Arial" w:hAnsi="Arial" w:cs="Arial"/>
                                <w:sz w:val="24"/>
                              </w:rPr>
                              <w:t>Mitochondria reductase enzymes</w:t>
                            </w:r>
                          </w:p>
                        </w:txbxContent>
                      </v:textbox>
                      <w10:wrap anchorx="margin"/>
                    </v:shape>
                  </w:pict>
                </mc:Fallback>
              </mc:AlternateContent>
            </w:r>
          </w:p>
          <w:p w:rsidR="003D0F83" w:rsidRPr="0071546E" w:rsidRDefault="003D0F83" w:rsidP="00F01C28">
            <w:pPr>
              <w:spacing w:line="240" w:lineRule="atLeast"/>
              <w:ind w:right="454"/>
            </w:pPr>
          </w:p>
          <w:p w:rsidR="003D0F83" w:rsidRPr="0071546E" w:rsidRDefault="003D0F83" w:rsidP="00CF13FE">
            <w:pPr>
              <w:spacing w:line="240" w:lineRule="atLeast"/>
              <w:ind w:left="1021" w:right="454"/>
            </w:pPr>
          </w:p>
          <w:p w:rsidR="00430318" w:rsidRPr="0071546E" w:rsidRDefault="003D0F83" w:rsidP="00CF13FE">
            <w:pPr>
              <w:spacing w:line="240" w:lineRule="atLeast"/>
              <w:ind w:left="1021" w:right="454"/>
            </w:pPr>
            <w:r w:rsidRPr="0071546E">
              <w:t xml:space="preserve">  </w:t>
            </w:r>
            <w:r w:rsidR="00F01C28" w:rsidRPr="0071546E">
              <w:rPr>
                <w:rFonts w:eastAsiaTheme="minorHAnsi"/>
                <w:b w:val="0"/>
                <w:bCs w:val="0"/>
                <w:color w:val="auto"/>
                <w:sz w:val="22"/>
                <w:szCs w:val="22"/>
              </w:rPr>
              <w:object w:dxaOrig="3314" w:dyaOrig="1341">
                <v:shape id="_x0000_i1034" type="#_x0000_t75" style="width:168.75pt;height:81pt" o:ole="">
                  <v:imagedata r:id="rId48" o:title=""/>
                </v:shape>
                <o:OLEObject Type="Embed" ProgID="ChemDraw.Document.6.0" ShapeID="_x0000_i1034" DrawAspect="Content" ObjectID="_1649004621" r:id="rId49"/>
              </w:object>
            </w:r>
          </w:p>
          <w:p w:rsidR="00430318" w:rsidRPr="0071546E" w:rsidRDefault="00430318" w:rsidP="00CF13FE">
            <w:pPr>
              <w:spacing w:line="240" w:lineRule="atLeast"/>
              <w:ind w:left="1021" w:right="454"/>
              <w:rPr>
                <w:rFonts w:ascii="Arial" w:hAnsi="Arial" w:cs="Arial"/>
              </w:rPr>
            </w:pPr>
            <w:r w:rsidRPr="0071546E">
              <w:rPr>
                <w:rFonts w:ascii="Arial" w:hAnsi="Arial" w:cs="Arial"/>
                <w:sz w:val="24"/>
              </w:rPr>
              <w:t xml:space="preserve">   </w:t>
            </w:r>
            <w:r w:rsidR="00F01C28" w:rsidRPr="0071546E">
              <w:rPr>
                <w:rFonts w:ascii="Arial" w:hAnsi="Arial" w:cs="Arial"/>
                <w:sz w:val="24"/>
              </w:rPr>
              <w:t xml:space="preserve">  </w:t>
            </w:r>
            <w:r w:rsidR="003D0F83" w:rsidRPr="0071546E">
              <w:rPr>
                <w:rFonts w:ascii="Arial" w:hAnsi="Arial" w:cs="Arial"/>
                <w:sz w:val="24"/>
              </w:rPr>
              <w:t xml:space="preserve">                </w:t>
            </w:r>
            <w:r w:rsidR="00042CB1" w:rsidRPr="0071546E">
              <w:rPr>
                <w:rFonts w:ascii="Arial" w:hAnsi="Arial" w:cs="Arial"/>
                <w:sz w:val="24"/>
              </w:rPr>
              <w:t xml:space="preserve">                           </w:t>
            </w:r>
            <w:r w:rsidR="00C06D01" w:rsidRPr="0071546E">
              <w:rPr>
                <w:rFonts w:ascii="Arial" w:hAnsi="Arial" w:cs="Arial"/>
                <w:sz w:val="24"/>
              </w:rPr>
              <w:t xml:space="preserve"> </w:t>
            </w:r>
            <w:r w:rsidRPr="0071546E">
              <w:rPr>
                <w:rFonts w:ascii="Arial" w:hAnsi="Arial" w:cs="Arial"/>
                <w:sz w:val="24"/>
              </w:rPr>
              <w:t>Resorufin</w:t>
            </w:r>
          </w:p>
        </w:tc>
      </w:tr>
      <w:tr w:rsidR="00430318" w:rsidRPr="0071546E" w:rsidTr="00F01C28">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7348" w:type="dxa"/>
          </w:tcPr>
          <w:p w:rsidR="00430318" w:rsidRPr="0071546E" w:rsidRDefault="00430318" w:rsidP="00CF13FE">
            <w:pPr>
              <w:spacing w:line="240" w:lineRule="atLeast"/>
              <w:ind w:left="1021" w:right="454"/>
              <w:rPr>
                <w:lang w:eastAsia="en-GB"/>
              </w:rPr>
            </w:pPr>
          </w:p>
        </w:tc>
      </w:tr>
    </w:tbl>
    <w:p w:rsidR="00074A01" w:rsidRPr="0071546E" w:rsidRDefault="008E4153" w:rsidP="00CF13FE">
      <w:pPr>
        <w:spacing w:line="240" w:lineRule="atLeast"/>
        <w:ind w:left="1021" w:right="454"/>
        <w:jc w:val="both"/>
        <w:rPr>
          <w:rFonts w:ascii="Arial" w:hAnsi="Arial" w:cs="Arial"/>
          <w:sz w:val="20"/>
          <w:szCs w:val="24"/>
        </w:rPr>
      </w:pPr>
      <w:r w:rsidRPr="0071546E">
        <w:rPr>
          <w:rFonts w:ascii="Arial" w:hAnsi="Arial" w:cs="Arial"/>
          <w:sz w:val="20"/>
          <w:szCs w:val="24"/>
        </w:rPr>
        <w:t>Fig 1.17 Hydrolysis</w:t>
      </w:r>
      <w:r w:rsidR="00CE26C2" w:rsidRPr="0071546E">
        <w:rPr>
          <w:rFonts w:ascii="Arial" w:hAnsi="Arial" w:cs="Arial"/>
          <w:sz w:val="20"/>
          <w:szCs w:val="24"/>
        </w:rPr>
        <w:t xml:space="preserve"> of non-fluorescent resazurin by mitochondria reductase enzymes to fluorescent resorufin</w:t>
      </w:r>
    </w:p>
    <w:p w:rsidR="003D0F83" w:rsidRPr="0071546E" w:rsidRDefault="003D0F83" w:rsidP="00CF13FE">
      <w:pPr>
        <w:spacing w:line="240" w:lineRule="atLeast"/>
        <w:ind w:left="1021" w:right="454"/>
        <w:jc w:val="both"/>
        <w:rPr>
          <w:rFonts w:ascii="Arial" w:hAnsi="Arial" w:cs="Arial"/>
          <w:sz w:val="20"/>
          <w:szCs w:val="24"/>
        </w:rPr>
      </w:pPr>
    </w:p>
    <w:p w:rsidR="003D0F83" w:rsidRPr="0071546E" w:rsidRDefault="003D0F83" w:rsidP="00CF13FE">
      <w:pPr>
        <w:spacing w:line="240" w:lineRule="atLeast"/>
        <w:ind w:left="1021" w:right="454"/>
        <w:jc w:val="both"/>
        <w:rPr>
          <w:rFonts w:ascii="Arial" w:hAnsi="Arial" w:cs="Arial"/>
          <w:sz w:val="20"/>
          <w:szCs w:val="24"/>
        </w:rPr>
      </w:pPr>
    </w:p>
    <w:p w:rsidR="00F01C28" w:rsidRPr="0071546E" w:rsidRDefault="00F01C28" w:rsidP="00CF13FE">
      <w:pPr>
        <w:spacing w:line="240" w:lineRule="atLeast"/>
        <w:ind w:left="1021" w:right="454"/>
        <w:jc w:val="both"/>
        <w:rPr>
          <w:rFonts w:ascii="Arial" w:hAnsi="Arial" w:cs="Arial"/>
          <w:sz w:val="20"/>
          <w:szCs w:val="24"/>
        </w:rPr>
      </w:pPr>
    </w:p>
    <w:p w:rsidR="00DD1D5B" w:rsidRPr="0071546E" w:rsidRDefault="00DD1D5B" w:rsidP="00CF13FE">
      <w:pPr>
        <w:spacing w:line="240" w:lineRule="atLeast"/>
        <w:ind w:left="1021" w:right="454"/>
        <w:jc w:val="both"/>
        <w:rPr>
          <w:rFonts w:ascii="Arial" w:hAnsi="Arial" w:cs="Arial"/>
          <w:sz w:val="20"/>
          <w:szCs w:val="24"/>
        </w:rPr>
      </w:pPr>
    </w:p>
    <w:p w:rsidR="00DD1D5B" w:rsidRPr="0071546E" w:rsidRDefault="00DD1D5B" w:rsidP="00CF13FE">
      <w:pPr>
        <w:spacing w:line="240" w:lineRule="atLeast"/>
        <w:ind w:left="1021" w:right="454"/>
        <w:jc w:val="both"/>
        <w:rPr>
          <w:rFonts w:ascii="Arial" w:hAnsi="Arial" w:cs="Arial"/>
          <w:sz w:val="20"/>
          <w:szCs w:val="24"/>
        </w:rPr>
      </w:pPr>
    </w:p>
    <w:p w:rsidR="00DD1D5B" w:rsidRPr="0071546E" w:rsidRDefault="00DD1D5B" w:rsidP="00CF13FE">
      <w:pPr>
        <w:spacing w:line="240" w:lineRule="atLeast"/>
        <w:ind w:left="1021" w:right="454"/>
        <w:jc w:val="both"/>
        <w:rPr>
          <w:rFonts w:ascii="Arial" w:hAnsi="Arial" w:cs="Arial"/>
          <w:sz w:val="20"/>
          <w:szCs w:val="24"/>
        </w:rPr>
      </w:pPr>
    </w:p>
    <w:p w:rsidR="00DD1D5B" w:rsidRPr="0071546E" w:rsidRDefault="00DD1D5B" w:rsidP="00CF13FE">
      <w:pPr>
        <w:spacing w:line="240" w:lineRule="atLeast"/>
        <w:ind w:left="1021" w:right="454"/>
        <w:jc w:val="both"/>
        <w:rPr>
          <w:rFonts w:ascii="Arial" w:hAnsi="Arial" w:cs="Arial"/>
          <w:sz w:val="20"/>
          <w:szCs w:val="24"/>
        </w:rPr>
      </w:pPr>
    </w:p>
    <w:p w:rsidR="00F01C28" w:rsidRPr="0071546E" w:rsidRDefault="00F01C28" w:rsidP="00CF13FE">
      <w:pPr>
        <w:spacing w:line="240" w:lineRule="atLeast"/>
        <w:ind w:left="1021" w:right="454"/>
        <w:jc w:val="both"/>
        <w:rPr>
          <w:rFonts w:ascii="Arial" w:hAnsi="Arial" w:cs="Arial"/>
          <w:sz w:val="20"/>
          <w:szCs w:val="24"/>
        </w:rPr>
      </w:pPr>
    </w:p>
    <w:p w:rsidR="00725033" w:rsidRPr="0071546E" w:rsidRDefault="00F241E4" w:rsidP="00CF13FE">
      <w:pPr>
        <w:pStyle w:val="Heading2"/>
        <w:ind w:left="1021" w:right="454"/>
      </w:pPr>
      <w:bookmarkStart w:id="41" w:name="_Toc14711411"/>
      <w:r w:rsidRPr="0071546E">
        <w:t>1.6.1.4</w:t>
      </w:r>
      <w:r w:rsidR="00725033" w:rsidRPr="0071546E">
        <w:t xml:space="preserve"> The ATP bioluminescence assay</w:t>
      </w:r>
      <w:bookmarkEnd w:id="41"/>
    </w:p>
    <w:p w:rsidR="003218C1" w:rsidRPr="0071546E" w:rsidRDefault="00725033" w:rsidP="00CF13FE">
      <w:pPr>
        <w:spacing w:line="480" w:lineRule="auto"/>
        <w:ind w:left="1021" w:right="454"/>
        <w:jc w:val="both"/>
        <w:rPr>
          <w:rFonts w:ascii="Arial" w:hAnsi="Arial" w:cs="Arial"/>
          <w:sz w:val="24"/>
          <w:szCs w:val="24"/>
          <w:lang w:eastAsia="en-GB"/>
        </w:rPr>
      </w:pPr>
      <w:r w:rsidRPr="0071546E">
        <w:rPr>
          <w:rFonts w:ascii="Arial" w:hAnsi="Arial" w:cs="Arial"/>
          <w:sz w:val="24"/>
          <w:szCs w:val="24"/>
          <w:lang w:eastAsia="en-GB"/>
        </w:rPr>
        <w:t>Adenosine triphosphate (9- β-D- ribofuranosyl adenine-5” –triphosphate or - β-D- ribofuranosyl-6-amino purine- 5”-triphosphate) - a nucleotide, and an adenosine triphosphate ester derived from adenine and ribose – is the main energy molecule in the cells of all liv</w:t>
      </w:r>
      <w:r w:rsidR="004849AE" w:rsidRPr="0071546E">
        <w:rPr>
          <w:rFonts w:ascii="Arial" w:hAnsi="Arial" w:cs="Arial"/>
          <w:sz w:val="24"/>
          <w:szCs w:val="24"/>
          <w:lang w:eastAsia="en-GB"/>
        </w:rPr>
        <w:t xml:space="preserve">ing </w:t>
      </w:r>
      <w:r w:rsidR="004D76E5" w:rsidRPr="0071546E">
        <w:rPr>
          <w:rFonts w:ascii="Arial" w:hAnsi="Arial" w:cs="Arial"/>
          <w:sz w:val="24"/>
          <w:szCs w:val="24"/>
          <w:lang w:eastAsia="en-GB"/>
        </w:rPr>
        <w:t>things (Wang et al., 2016)</w:t>
      </w:r>
      <w:r w:rsidRPr="0071546E">
        <w:rPr>
          <w:rFonts w:ascii="Arial" w:hAnsi="Arial" w:cs="Arial"/>
          <w:sz w:val="24"/>
          <w:szCs w:val="24"/>
          <w:lang w:eastAsia="en-GB"/>
        </w:rPr>
        <w:t>. The division of one or two phosphate groups during the hydrolysis of ATP is followed by the release of energy. In living things, ATP transfers energy to other biomolecules after hydrolysis to its low-energy analogues (ADP and AMP), which in turn gain energy by phosphorylation and subsequent re-transformation to ATP</w:t>
      </w:r>
      <w:r w:rsidR="00846460" w:rsidRPr="0071546E">
        <w:rPr>
          <w:rFonts w:ascii="Arial" w:hAnsi="Arial" w:cs="Arial"/>
          <w:color w:val="000000"/>
          <w:sz w:val="24"/>
          <w:szCs w:val="24"/>
        </w:rPr>
        <w:t xml:space="preserve"> </w:t>
      </w:r>
      <w:r w:rsidR="00846460" w:rsidRPr="0071546E">
        <w:rPr>
          <w:rFonts w:ascii="Arial" w:hAnsi="Arial" w:cs="Arial"/>
          <w:sz w:val="24"/>
          <w:szCs w:val="24"/>
          <w:lang w:eastAsia="en-GB"/>
        </w:rPr>
        <w:t>(Rajendran et al., 2016)</w:t>
      </w:r>
      <w:r w:rsidRPr="0071546E">
        <w:rPr>
          <w:rFonts w:ascii="Arial" w:hAnsi="Arial" w:cs="Arial"/>
          <w:sz w:val="24"/>
          <w:szCs w:val="24"/>
          <w:lang w:eastAsia="en-GB"/>
        </w:rPr>
        <w:t>. Th</w:t>
      </w:r>
      <w:r w:rsidR="00846460" w:rsidRPr="0071546E">
        <w:rPr>
          <w:rFonts w:ascii="Arial" w:hAnsi="Arial" w:cs="Arial"/>
          <w:sz w:val="24"/>
          <w:szCs w:val="24"/>
          <w:lang w:eastAsia="en-GB"/>
        </w:rPr>
        <w:t>e intracellular content of ATP in</w:t>
      </w:r>
      <w:r w:rsidRPr="0071546E">
        <w:rPr>
          <w:rFonts w:ascii="Arial" w:hAnsi="Arial" w:cs="Arial"/>
          <w:sz w:val="24"/>
          <w:szCs w:val="24"/>
          <w:lang w:eastAsia="en-GB"/>
        </w:rPr>
        <w:t xml:space="preserve"> cells is the major indicator of cell viability</w:t>
      </w:r>
      <w:r w:rsidR="00846460" w:rsidRPr="0071546E">
        <w:rPr>
          <w:rFonts w:ascii="Arial" w:hAnsi="Arial" w:cs="Arial"/>
          <w:color w:val="000000"/>
          <w:sz w:val="24"/>
          <w:szCs w:val="24"/>
        </w:rPr>
        <w:t xml:space="preserve"> </w:t>
      </w:r>
      <w:r w:rsidR="00846460" w:rsidRPr="0071546E">
        <w:rPr>
          <w:rFonts w:ascii="Arial" w:hAnsi="Arial" w:cs="Arial"/>
          <w:sz w:val="24"/>
          <w:szCs w:val="24"/>
          <w:lang w:eastAsia="en-GB"/>
        </w:rPr>
        <w:t>(Bajerski et al., 2018)</w:t>
      </w:r>
      <w:r w:rsidRPr="0071546E">
        <w:rPr>
          <w:rFonts w:ascii="Arial" w:hAnsi="Arial" w:cs="Arial"/>
          <w:sz w:val="24"/>
          <w:szCs w:val="24"/>
          <w:lang w:eastAsia="en-GB"/>
        </w:rPr>
        <w:t xml:space="preserve">. When cells die, the synthesis of ATP is inhibited. Though its hydrolysis can continue for a while, hence the intracellular content of ATP of a dead cell drops quickly to </w:t>
      </w:r>
      <w:r w:rsidR="00067404" w:rsidRPr="0071546E">
        <w:rPr>
          <w:rFonts w:ascii="Arial" w:hAnsi="Arial" w:cs="Arial"/>
          <w:sz w:val="24"/>
          <w:szCs w:val="24"/>
          <w:lang w:eastAsia="en-GB"/>
        </w:rPr>
        <w:t>zero (Verrax et al., 2011)</w:t>
      </w:r>
      <w:r w:rsidRPr="0071546E">
        <w:rPr>
          <w:rFonts w:ascii="Arial" w:hAnsi="Arial" w:cs="Arial"/>
          <w:sz w:val="24"/>
          <w:szCs w:val="24"/>
          <w:lang w:eastAsia="en-GB"/>
        </w:rPr>
        <w:t xml:space="preserve">. The amount of ATP in the cell of microorganisms is quite high and ranges from 500 to 10,000 µg /g of dry </w:t>
      </w:r>
      <w:r w:rsidR="0027677C" w:rsidRPr="0071546E">
        <w:rPr>
          <w:rFonts w:ascii="Arial" w:hAnsi="Arial" w:cs="Arial"/>
          <w:sz w:val="24"/>
          <w:szCs w:val="24"/>
          <w:lang w:eastAsia="en-GB"/>
        </w:rPr>
        <w:t>biomass or</w:t>
      </w:r>
      <w:r w:rsidRPr="0071546E">
        <w:rPr>
          <w:rFonts w:ascii="Arial" w:hAnsi="Arial" w:cs="Arial"/>
          <w:sz w:val="24"/>
          <w:szCs w:val="24"/>
          <w:lang w:eastAsia="en-GB"/>
        </w:rPr>
        <w:t xml:space="preserve"> around 10</w:t>
      </w:r>
      <w:r w:rsidRPr="0071546E">
        <w:rPr>
          <w:rFonts w:ascii="Arial" w:hAnsi="Arial" w:cs="Arial"/>
          <w:sz w:val="24"/>
          <w:szCs w:val="24"/>
          <w:vertAlign w:val="superscript"/>
          <w:lang w:eastAsia="en-GB"/>
        </w:rPr>
        <w:t xml:space="preserve">-19 </w:t>
      </w:r>
      <w:r w:rsidRPr="0071546E">
        <w:rPr>
          <w:rFonts w:ascii="Arial" w:hAnsi="Arial" w:cs="Arial"/>
          <w:sz w:val="24"/>
          <w:szCs w:val="24"/>
          <w:lang w:eastAsia="en-GB"/>
        </w:rPr>
        <w:t>to 10</w:t>
      </w:r>
      <w:r w:rsidRPr="0071546E">
        <w:rPr>
          <w:rFonts w:ascii="Arial" w:hAnsi="Arial" w:cs="Arial"/>
          <w:sz w:val="24"/>
          <w:szCs w:val="24"/>
          <w:vertAlign w:val="superscript"/>
          <w:lang w:eastAsia="en-GB"/>
        </w:rPr>
        <w:t>-15</w:t>
      </w:r>
      <w:r w:rsidRPr="0071546E">
        <w:rPr>
          <w:rFonts w:ascii="Arial" w:hAnsi="Arial" w:cs="Arial"/>
          <w:sz w:val="24"/>
          <w:szCs w:val="24"/>
          <w:lang w:eastAsia="en-GB"/>
        </w:rPr>
        <w:t xml:space="preserve"> mole of ATP per cel</w:t>
      </w:r>
      <w:r w:rsidR="0027677C" w:rsidRPr="0071546E">
        <w:rPr>
          <w:rFonts w:ascii="Arial" w:hAnsi="Arial" w:cs="Arial"/>
          <w:sz w:val="24"/>
          <w:szCs w:val="24"/>
          <w:lang w:eastAsia="en-GB"/>
        </w:rPr>
        <w:t>l (Lomakina, Modestova and Ugarova, 2015)</w:t>
      </w:r>
      <w:r w:rsidRPr="0071546E">
        <w:rPr>
          <w:rFonts w:ascii="Arial" w:hAnsi="Arial" w:cs="Arial"/>
          <w:sz w:val="24"/>
          <w:szCs w:val="24"/>
          <w:lang w:eastAsia="en-GB"/>
        </w:rPr>
        <w:t xml:space="preserve">. This can vary depending on the type of cell, the size and physiological conditions encountered by the cell. Cellular response to chemo-physiological stress ultimately changes the levels of intracellular ATP.  </w:t>
      </w:r>
      <w:r w:rsidR="0027677C" w:rsidRPr="0071546E">
        <w:rPr>
          <w:rFonts w:ascii="Arial" w:hAnsi="Arial" w:cs="Arial"/>
          <w:sz w:val="24"/>
          <w:szCs w:val="24"/>
          <w:lang w:eastAsia="en-GB"/>
        </w:rPr>
        <w:t>The ATP assay is different from the mitochondria reductase</w:t>
      </w:r>
      <w:r w:rsidR="002C2939" w:rsidRPr="0071546E">
        <w:rPr>
          <w:rFonts w:ascii="Arial" w:hAnsi="Arial" w:cs="Arial"/>
          <w:sz w:val="24"/>
          <w:szCs w:val="24"/>
          <w:lang w:eastAsia="en-GB"/>
        </w:rPr>
        <w:t>-</w:t>
      </w:r>
      <w:r w:rsidR="0027677C" w:rsidRPr="0071546E">
        <w:rPr>
          <w:rFonts w:ascii="Arial" w:hAnsi="Arial" w:cs="Arial"/>
          <w:sz w:val="24"/>
          <w:szCs w:val="24"/>
          <w:lang w:eastAsia="en-GB"/>
        </w:rPr>
        <w:t>dependent assay because of the high specificity of ATP to</w:t>
      </w:r>
      <w:r w:rsidR="00DD1D5B" w:rsidRPr="0071546E">
        <w:rPr>
          <w:rFonts w:ascii="Arial" w:hAnsi="Arial" w:cs="Arial"/>
          <w:sz w:val="24"/>
          <w:szCs w:val="24"/>
          <w:lang w:eastAsia="en-GB"/>
        </w:rPr>
        <w:t xml:space="preserve"> its substrate,</w:t>
      </w:r>
      <w:r w:rsidR="0027677C" w:rsidRPr="0071546E">
        <w:rPr>
          <w:rFonts w:ascii="Arial" w:hAnsi="Arial" w:cs="Arial"/>
          <w:sz w:val="24"/>
          <w:szCs w:val="24"/>
          <w:lang w:eastAsia="en-GB"/>
        </w:rPr>
        <w:t xml:space="preserve"> lucifera</w:t>
      </w:r>
      <w:r w:rsidR="00DD1D5B" w:rsidRPr="0071546E">
        <w:rPr>
          <w:rFonts w:ascii="Arial" w:hAnsi="Arial" w:cs="Arial"/>
          <w:sz w:val="24"/>
          <w:szCs w:val="24"/>
          <w:lang w:eastAsia="en-GB"/>
        </w:rPr>
        <w:t>se enzyme.</w:t>
      </w:r>
      <w:r w:rsidR="0027677C" w:rsidRPr="0071546E">
        <w:rPr>
          <w:rFonts w:ascii="Arial" w:hAnsi="Arial" w:cs="Arial"/>
          <w:sz w:val="24"/>
          <w:szCs w:val="24"/>
          <w:lang w:eastAsia="en-GB"/>
        </w:rPr>
        <w:t xml:space="preserve"> </w:t>
      </w:r>
    </w:p>
    <w:tbl>
      <w:tblPr>
        <w:tblStyle w:val="ListTable6Colorful4"/>
        <w:tblpPr w:leftFromText="180" w:rightFromText="180" w:horzAnchor="margin" w:tblpX="851" w:tblpY="-486"/>
        <w:tblW w:w="0" w:type="auto"/>
        <w:tblLook w:val="04A0" w:firstRow="1" w:lastRow="0" w:firstColumn="1" w:lastColumn="0" w:noHBand="0" w:noVBand="1"/>
      </w:tblPr>
      <w:tblGrid>
        <w:gridCol w:w="8061"/>
      </w:tblGrid>
      <w:tr w:rsidR="003D0F83" w:rsidRPr="0071546E" w:rsidTr="003D0F83">
        <w:trPr>
          <w:cnfStyle w:val="100000000000" w:firstRow="1" w:lastRow="0" w:firstColumn="0" w:lastColumn="0" w:oddVBand="0" w:evenVBand="0" w:oddHBand="0" w:evenHBand="0" w:firstRowFirstColumn="0" w:firstRowLastColumn="0" w:lastRowFirstColumn="0" w:lastRowLastColumn="0"/>
          <w:trHeight w:val="11579"/>
        </w:trPr>
        <w:tc>
          <w:tcPr>
            <w:cnfStyle w:val="001000000000" w:firstRow="0" w:lastRow="0" w:firstColumn="1" w:lastColumn="0" w:oddVBand="0" w:evenVBand="0" w:oddHBand="0" w:evenHBand="0" w:firstRowFirstColumn="0" w:firstRowLastColumn="0" w:lastRowFirstColumn="0" w:lastRowLastColumn="0"/>
            <w:tcW w:w="8061" w:type="dxa"/>
          </w:tcPr>
          <w:p w:rsidR="003D0F83" w:rsidRPr="0071546E" w:rsidRDefault="00D169D6" w:rsidP="003D0F83">
            <w:pPr>
              <w:spacing w:line="240" w:lineRule="atLeast"/>
              <w:ind w:right="454"/>
            </w:pPr>
            <w:r w:rsidRPr="0071546E">
              <w:rPr>
                <w:noProof/>
                <w:lang w:eastAsia="en-GB"/>
              </w:rPr>
              <mc:AlternateContent>
                <mc:Choice Requires="wps">
                  <w:drawing>
                    <wp:anchor distT="0" distB="0" distL="114300" distR="114300" simplePos="0" relativeHeight="251736064" behindDoc="0" locked="0" layoutInCell="1" allowOverlap="1" wp14:anchorId="4041DCBE" wp14:editId="39BE44C8">
                      <wp:simplePos x="0" y="0"/>
                      <wp:positionH relativeFrom="column">
                        <wp:posOffset>668432</wp:posOffset>
                      </wp:positionH>
                      <wp:positionV relativeFrom="paragraph">
                        <wp:posOffset>1863451</wp:posOffset>
                      </wp:positionV>
                      <wp:extent cx="819397" cy="225631"/>
                      <wp:effectExtent l="0" t="0" r="0" b="3175"/>
                      <wp:wrapNone/>
                      <wp:docPr id="1034" name="Text Box 1034"/>
                      <wp:cNvGraphicFramePr/>
                      <a:graphic xmlns:a="http://schemas.openxmlformats.org/drawingml/2006/main">
                        <a:graphicData uri="http://schemas.microsoft.com/office/word/2010/wordprocessingShape">
                          <wps:wsp>
                            <wps:cNvSpPr txBox="1"/>
                            <wps:spPr>
                              <a:xfrm>
                                <a:off x="0" y="0"/>
                                <a:ext cx="819397" cy="225631"/>
                              </a:xfrm>
                              <a:prstGeom prst="rect">
                                <a:avLst/>
                              </a:prstGeom>
                              <a:solidFill>
                                <a:sysClr val="window" lastClr="FFFFFF"/>
                              </a:solidFill>
                              <a:ln w="6350">
                                <a:noFill/>
                              </a:ln>
                              <a:effectLst/>
                            </wps:spPr>
                            <wps:txbx>
                              <w:txbxContent>
                                <w:p w:rsidR="00A87A14" w:rsidRPr="00061596" w:rsidRDefault="00A87A14" w:rsidP="003D0F83">
                                  <w:pPr>
                                    <w:rPr>
                                      <w:rFonts w:ascii="Arial" w:hAnsi="Arial" w:cs="Arial"/>
                                      <w:sz w:val="24"/>
                                    </w:rPr>
                                  </w:pPr>
                                  <w:r w:rsidRPr="00061596">
                                    <w:rPr>
                                      <w:rFonts w:ascii="Arial" w:hAnsi="Arial" w:cs="Arial"/>
                                      <w:sz w:val="24"/>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1DCBE" id="Text Box 1034" o:spid="_x0000_s1041" type="#_x0000_t202" style="position:absolute;margin-left:52.65pt;margin-top:146.75pt;width:64.5pt;height:17.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" fillcolor="window" stroked="f" strokeweight=".5pt">
                      <v:textbox>
                        <w:txbxContent>
                          <w:p w:rsidR="00A87A14" w:rsidRPr="00061596" w:rsidRDefault="00A87A14" w:rsidP="003D0F83">
                            <w:pPr>
                              <w:rPr>
                                <w:rFonts w:ascii="Arial" w:hAnsi="Arial" w:cs="Arial"/>
                                <w:sz w:val="24"/>
                              </w:rPr>
                            </w:pPr>
                            <w:r w:rsidRPr="00061596">
                              <w:rPr>
                                <w:rFonts w:ascii="Arial" w:hAnsi="Arial" w:cs="Arial"/>
                                <w:sz w:val="24"/>
                              </w:rPr>
                              <w:t>ATP</w:t>
                            </w:r>
                          </w:p>
                        </w:txbxContent>
                      </v:textbox>
                    </v:shape>
                  </w:pict>
                </mc:Fallback>
              </mc:AlternateContent>
            </w:r>
            <w:r w:rsidR="003D0F83" w:rsidRPr="0071546E">
              <w:rPr>
                <w:noProof/>
                <w:lang w:eastAsia="en-GB"/>
              </w:rPr>
              <mc:AlternateContent>
                <mc:Choice Requires="wps">
                  <w:drawing>
                    <wp:anchor distT="0" distB="0" distL="114300" distR="114300" simplePos="0" relativeHeight="251735040" behindDoc="0" locked="0" layoutInCell="1" allowOverlap="1" wp14:anchorId="53618BBD" wp14:editId="603ABEC1">
                      <wp:simplePos x="0" y="0"/>
                      <wp:positionH relativeFrom="column">
                        <wp:posOffset>2078886</wp:posOffset>
                      </wp:positionH>
                      <wp:positionV relativeFrom="paragraph">
                        <wp:posOffset>638797</wp:posOffset>
                      </wp:positionV>
                      <wp:extent cx="522515" cy="335902"/>
                      <wp:effectExtent l="0" t="0" r="0" b="7620"/>
                      <wp:wrapNone/>
                      <wp:docPr id="1028" name="Text Box 1028"/>
                      <wp:cNvGraphicFramePr/>
                      <a:graphic xmlns:a="http://schemas.openxmlformats.org/drawingml/2006/main">
                        <a:graphicData uri="http://schemas.microsoft.com/office/word/2010/wordprocessingShape">
                          <wps:wsp>
                            <wps:cNvSpPr txBox="1"/>
                            <wps:spPr>
                              <a:xfrm>
                                <a:off x="0" y="0"/>
                                <a:ext cx="522515" cy="335902"/>
                              </a:xfrm>
                              <a:prstGeom prst="rect">
                                <a:avLst/>
                              </a:prstGeom>
                              <a:solidFill>
                                <a:sysClr val="window" lastClr="FFFFFF"/>
                              </a:solidFill>
                              <a:ln w="6350">
                                <a:noFill/>
                              </a:ln>
                              <a:effectLst/>
                            </wps:spPr>
                            <wps:txbx>
                              <w:txbxContent>
                                <w:p w:rsidR="00A87A14" w:rsidRPr="00061596" w:rsidRDefault="00A87A14" w:rsidP="003D0F83">
                                  <w:pPr>
                                    <w:jc w:val="center"/>
                                    <w:rPr>
                                      <w:rFonts w:ascii="Arial" w:hAnsi="Arial" w:cs="Arial"/>
                                      <w:sz w:val="32"/>
                                    </w:rPr>
                                  </w:pPr>
                                  <w:r w:rsidRPr="00061596">
                                    <w:rPr>
                                      <w:rFonts w:ascii="Arial" w:hAnsi="Arial" w:cs="Arial"/>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618BBD" id="Text Box 1028" o:spid="_x0000_s1042" type="#_x0000_t202" style="position:absolute;margin-left:163.7pt;margin-top:50.3pt;width:41.15pt;height:26.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" fillcolor="window" stroked="f" strokeweight=".5pt">
                      <v:textbox>
                        <w:txbxContent>
                          <w:p w:rsidR="00A87A14" w:rsidRPr="00061596" w:rsidRDefault="00A87A14" w:rsidP="003D0F83">
                            <w:pPr>
                              <w:jc w:val="center"/>
                              <w:rPr>
                                <w:rFonts w:ascii="Arial" w:hAnsi="Arial" w:cs="Arial"/>
                                <w:sz w:val="32"/>
                              </w:rPr>
                            </w:pPr>
                            <w:r w:rsidRPr="00061596">
                              <w:rPr>
                                <w:rFonts w:ascii="Arial" w:hAnsi="Arial" w:cs="Arial"/>
                                <w:sz w:val="32"/>
                              </w:rPr>
                              <w:t>+</w:t>
                            </w:r>
                          </w:p>
                        </w:txbxContent>
                      </v:textbox>
                    </v:shape>
                  </w:pict>
                </mc:Fallback>
              </mc:AlternateContent>
            </w:r>
            <w:r w:rsidR="003D0F83" w:rsidRPr="0071546E">
              <w:rPr>
                <w:noProof/>
                <w:lang w:eastAsia="en-GB"/>
              </w:rPr>
              <mc:AlternateContent>
                <mc:Choice Requires="wps">
                  <w:drawing>
                    <wp:anchor distT="0" distB="0" distL="114300" distR="114300" simplePos="0" relativeHeight="251746304" behindDoc="0" locked="0" layoutInCell="1" allowOverlap="1" wp14:anchorId="6BB11D8F" wp14:editId="04C7D5F6">
                      <wp:simplePos x="0" y="0"/>
                      <wp:positionH relativeFrom="column">
                        <wp:posOffset>2927985</wp:posOffset>
                      </wp:positionH>
                      <wp:positionV relativeFrom="paragraph">
                        <wp:posOffset>2033270</wp:posOffset>
                      </wp:positionV>
                      <wp:extent cx="0" cy="279400"/>
                      <wp:effectExtent l="76200" t="38100" r="57150" b="25400"/>
                      <wp:wrapNone/>
                      <wp:docPr id="26" name="Straight Arrow Connector 26"/>
                      <wp:cNvGraphicFramePr/>
                      <a:graphic xmlns:a="http://schemas.openxmlformats.org/drawingml/2006/main">
                        <a:graphicData uri="http://schemas.microsoft.com/office/word/2010/wordprocessingShape">
                          <wps:wsp>
                            <wps:cNvCnPr/>
                            <wps:spPr>
                              <a:xfrm flipV="1">
                                <a:off x="0" y="0"/>
                                <a:ext cx="0" cy="279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2AD792" id="Straight Arrow Connector 26" o:spid="_x0000_s1026" type="#_x0000_t32" style="position:absolute;margin-left:230.55pt;margin-top:160.1pt;width:0;height:22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" strokecolor="windowText" strokeweight=".5pt">
                      <v:stroke endarrow="block" joinstyle="miter"/>
                    </v:shape>
                  </w:pict>
                </mc:Fallback>
              </mc:AlternateContent>
            </w:r>
            <w:r w:rsidR="003D0F83" w:rsidRPr="0071546E">
              <w:rPr>
                <w:noProof/>
                <w:lang w:eastAsia="en-GB"/>
              </w:rPr>
              <mc:AlternateContent>
                <mc:Choice Requires="wps">
                  <w:drawing>
                    <wp:anchor distT="0" distB="0" distL="114300" distR="114300" simplePos="0" relativeHeight="251745280" behindDoc="0" locked="0" layoutInCell="1" allowOverlap="1" wp14:anchorId="0167FE23" wp14:editId="0D8D27EF">
                      <wp:simplePos x="0" y="0"/>
                      <wp:positionH relativeFrom="column">
                        <wp:posOffset>3055620</wp:posOffset>
                      </wp:positionH>
                      <wp:positionV relativeFrom="paragraph">
                        <wp:posOffset>2093595</wp:posOffset>
                      </wp:positionV>
                      <wp:extent cx="9525" cy="266700"/>
                      <wp:effectExtent l="38100" t="0" r="66675" b="57150"/>
                      <wp:wrapNone/>
                      <wp:docPr id="19" name="Straight Arrow Connector 19"/>
                      <wp:cNvGraphicFramePr/>
                      <a:graphic xmlns:a="http://schemas.openxmlformats.org/drawingml/2006/main">
                        <a:graphicData uri="http://schemas.microsoft.com/office/word/2010/wordprocessingShape">
                          <wps:wsp>
                            <wps:cNvCnPr/>
                            <wps:spPr>
                              <a:xfrm>
                                <a:off x="0" y="0"/>
                                <a:ext cx="9525"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D16714" id="Straight Arrow Connector 19" o:spid="_x0000_s1026" type="#_x0000_t32" style="position:absolute;margin-left:240.6pt;margin-top:164.85pt;width:.75pt;height:21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" strokecolor="windowText" strokeweight=".5pt">
                      <v:stroke endarrow="block" joinstyle="miter"/>
                    </v:shape>
                  </w:pict>
                </mc:Fallback>
              </mc:AlternateContent>
            </w:r>
            <w:r w:rsidR="003D0F83" w:rsidRPr="0071546E">
              <w:rPr>
                <w:noProof/>
                <w:lang w:eastAsia="en-GB"/>
              </w:rPr>
              <mc:AlternateContent>
                <mc:Choice Requires="wps">
                  <w:drawing>
                    <wp:anchor distT="0" distB="0" distL="114300" distR="114300" simplePos="0" relativeHeight="251737088" behindDoc="0" locked="0" layoutInCell="1" allowOverlap="1" wp14:anchorId="7B41BD89" wp14:editId="24112193">
                      <wp:simplePos x="0" y="0"/>
                      <wp:positionH relativeFrom="column">
                        <wp:posOffset>4123410</wp:posOffset>
                      </wp:positionH>
                      <wp:positionV relativeFrom="paragraph">
                        <wp:posOffset>1668071</wp:posOffset>
                      </wp:positionV>
                      <wp:extent cx="819397" cy="296883"/>
                      <wp:effectExtent l="0" t="0" r="0" b="8255"/>
                      <wp:wrapNone/>
                      <wp:docPr id="1035" name="Text Box 1035"/>
                      <wp:cNvGraphicFramePr/>
                      <a:graphic xmlns:a="http://schemas.openxmlformats.org/drawingml/2006/main">
                        <a:graphicData uri="http://schemas.microsoft.com/office/word/2010/wordprocessingShape">
                          <wps:wsp>
                            <wps:cNvSpPr txBox="1"/>
                            <wps:spPr>
                              <a:xfrm>
                                <a:off x="0" y="0"/>
                                <a:ext cx="819397" cy="296883"/>
                              </a:xfrm>
                              <a:prstGeom prst="rect">
                                <a:avLst/>
                              </a:prstGeom>
                              <a:solidFill>
                                <a:sysClr val="window" lastClr="FFFFFF"/>
                              </a:solidFill>
                              <a:ln w="6350">
                                <a:noFill/>
                              </a:ln>
                              <a:effectLst/>
                            </wps:spPr>
                            <wps:txbx>
                              <w:txbxContent>
                                <w:p w:rsidR="00A87A14" w:rsidRPr="00061596" w:rsidRDefault="00A87A14" w:rsidP="003D0F83">
                                  <w:pPr>
                                    <w:rPr>
                                      <w:rFonts w:ascii="Arial" w:hAnsi="Arial" w:cs="Arial"/>
                                      <w:sz w:val="24"/>
                                    </w:rPr>
                                  </w:pPr>
                                  <w:r>
                                    <w:rPr>
                                      <w:rFonts w:ascii="Arial" w:hAnsi="Arial" w:cs="Arial"/>
                                      <w:sz w:val="24"/>
                                    </w:rPr>
                                    <w:t>Luciferin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41BD89" id="Text Box 1035" o:spid="_x0000_s1043" type="#_x0000_t202" style="position:absolute;margin-left:324.7pt;margin-top:131.35pt;width:64.5pt;height:23.4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" fillcolor="window" stroked="f" strokeweight=".5pt">
                      <v:textbox>
                        <w:txbxContent>
                          <w:p w:rsidR="00A87A14" w:rsidRPr="00061596" w:rsidRDefault="00A87A14" w:rsidP="003D0F83">
                            <w:pPr>
                              <w:rPr>
                                <w:rFonts w:ascii="Arial" w:hAnsi="Arial" w:cs="Arial"/>
                                <w:sz w:val="24"/>
                              </w:rPr>
                            </w:pPr>
                            <w:r>
                              <w:rPr>
                                <w:rFonts w:ascii="Arial" w:hAnsi="Arial" w:cs="Arial"/>
                                <w:sz w:val="24"/>
                              </w:rPr>
                              <w:t>Luciferin</w:t>
                            </w:r>
                          </w:p>
                        </w:txbxContent>
                      </v:textbox>
                    </v:shape>
                  </w:pict>
                </mc:Fallback>
              </mc:AlternateContent>
            </w:r>
            <w:r w:rsidR="003D0F83" w:rsidRPr="0071546E">
              <w:rPr>
                <w:rFonts w:eastAsiaTheme="minorHAnsi"/>
                <w:b w:val="0"/>
                <w:bCs w:val="0"/>
                <w:color w:val="auto"/>
                <w:sz w:val="22"/>
                <w:szCs w:val="22"/>
              </w:rPr>
              <w:object w:dxaOrig="5381" w:dyaOrig="2741">
                <v:shape id="_x0000_i1035" type="#_x0000_t75" style="width:201pt;height:2in" o:ole="">
                  <v:imagedata r:id="rId50" o:title=""/>
                </v:shape>
                <o:OLEObject Type="Embed" ProgID="ChemDraw.Document.6.0" ShapeID="_x0000_i1035" DrawAspect="Content" ObjectID="_1649004622" r:id="rId51"/>
              </w:object>
            </w:r>
            <w:r w:rsidR="003D0F83" w:rsidRPr="0071546E">
              <w:t xml:space="preserve">   </w:t>
            </w:r>
            <w:r w:rsidRPr="0071546E">
              <w:rPr>
                <w:rFonts w:eastAsiaTheme="minorHAnsi"/>
                <w:b w:val="0"/>
                <w:bCs w:val="0"/>
                <w:color w:val="auto"/>
                <w:sz w:val="22"/>
                <w:szCs w:val="22"/>
              </w:rPr>
              <w:object w:dxaOrig="2919" w:dyaOrig="1983">
                <v:shape id="_x0000_i1036" type="#_x0000_t75" style="width:127.5pt;height:126.75pt" o:ole="">
                  <v:imagedata r:id="rId52" o:title=""/>
                </v:shape>
                <o:OLEObject Type="Embed" ProgID="ChemDraw.Document.6.0" ShapeID="_x0000_i1036" DrawAspect="Content" ObjectID="_1649004623" r:id="rId53"/>
              </w:object>
            </w:r>
          </w:p>
          <w:p w:rsidR="003D0F83" w:rsidRPr="0071546E" w:rsidRDefault="003D0F83" w:rsidP="003D0F83">
            <w:pPr>
              <w:spacing w:line="240" w:lineRule="atLeast"/>
              <w:ind w:right="454"/>
            </w:pPr>
            <w:r w:rsidRPr="0071546E">
              <w:t xml:space="preserve">                                          </w:t>
            </w:r>
          </w:p>
          <w:p w:rsidR="003D0F83" w:rsidRPr="0071546E" w:rsidRDefault="003D0F83" w:rsidP="003D0F83">
            <w:pPr>
              <w:spacing w:line="240" w:lineRule="atLeast"/>
              <w:ind w:left="1021" w:right="454"/>
            </w:pPr>
            <w:r w:rsidRPr="0071546E">
              <w:rPr>
                <w:noProof/>
                <w:lang w:eastAsia="en-GB"/>
              </w:rPr>
              <mc:AlternateContent>
                <mc:Choice Requires="wps">
                  <w:drawing>
                    <wp:anchor distT="0" distB="0" distL="114300" distR="114300" simplePos="0" relativeHeight="251738112" behindDoc="0" locked="0" layoutInCell="1" allowOverlap="1" wp14:anchorId="48B4DDEF" wp14:editId="5DB30246">
                      <wp:simplePos x="0" y="0"/>
                      <wp:positionH relativeFrom="column">
                        <wp:posOffset>1761503</wp:posOffset>
                      </wp:positionH>
                      <wp:positionV relativeFrom="paragraph">
                        <wp:posOffset>6960</wp:posOffset>
                      </wp:positionV>
                      <wp:extent cx="1007706" cy="242596"/>
                      <wp:effectExtent l="0" t="0" r="2540" b="5080"/>
                      <wp:wrapNone/>
                      <wp:docPr id="1038" name="Text Box 1038"/>
                      <wp:cNvGraphicFramePr/>
                      <a:graphic xmlns:a="http://schemas.openxmlformats.org/drawingml/2006/main">
                        <a:graphicData uri="http://schemas.microsoft.com/office/word/2010/wordprocessingShape">
                          <wps:wsp>
                            <wps:cNvSpPr txBox="1"/>
                            <wps:spPr>
                              <a:xfrm>
                                <a:off x="0" y="0"/>
                                <a:ext cx="1007706" cy="242596"/>
                              </a:xfrm>
                              <a:prstGeom prst="rect">
                                <a:avLst/>
                              </a:prstGeom>
                              <a:solidFill>
                                <a:sysClr val="window" lastClr="FFFFFF"/>
                              </a:solidFill>
                              <a:ln w="6350">
                                <a:noFill/>
                              </a:ln>
                              <a:effectLst/>
                            </wps:spPr>
                            <wps:txbx>
                              <w:txbxContent>
                                <w:p w:rsidR="00A87A14" w:rsidRPr="00061596" w:rsidRDefault="00A87A14" w:rsidP="003D0F83">
                                  <w:pPr>
                                    <w:jc w:val="center"/>
                                    <w:rPr>
                                      <w:rFonts w:ascii="Arial" w:hAnsi="Arial" w:cs="Arial"/>
                                      <w:sz w:val="24"/>
                                      <w:vertAlign w:val="superscript"/>
                                    </w:rPr>
                                  </w:pPr>
                                  <w:r>
                                    <w:rPr>
                                      <w:rFonts w:ascii="Arial" w:hAnsi="Arial" w:cs="Arial"/>
                                      <w:sz w:val="24"/>
                                    </w:rPr>
                                    <w:t>Luciferase + mg</w:t>
                                  </w:r>
                                  <w:r>
                                    <w:rPr>
                                      <w:rFonts w:ascii="Arial" w:hAnsi="Arial" w:cs="Arial"/>
                                      <w:sz w:val="24"/>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B4DDEF" id="Text Box 1038" o:spid="_x0000_s1044" type="#_x0000_t202" style="position:absolute;left:0;text-align:left;margin-left:138.7pt;margin-top:.55pt;width:79.35pt;height:19.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" fillcolor="window" stroked="f" strokeweight=".5pt">
                      <v:textbox>
                        <w:txbxContent>
                          <w:p w:rsidR="00A87A14" w:rsidRPr="00061596" w:rsidRDefault="00A87A14" w:rsidP="003D0F83">
                            <w:pPr>
                              <w:jc w:val="center"/>
                              <w:rPr>
                                <w:rFonts w:ascii="Arial" w:hAnsi="Arial" w:cs="Arial"/>
                                <w:sz w:val="24"/>
                                <w:vertAlign w:val="superscript"/>
                              </w:rPr>
                            </w:pPr>
                            <w:r>
                              <w:rPr>
                                <w:rFonts w:ascii="Arial" w:hAnsi="Arial" w:cs="Arial"/>
                                <w:sz w:val="24"/>
                              </w:rPr>
                              <w:t>Luciferase + mg</w:t>
                            </w:r>
                            <w:r>
                              <w:rPr>
                                <w:rFonts w:ascii="Arial" w:hAnsi="Arial" w:cs="Arial"/>
                                <w:sz w:val="24"/>
                                <w:vertAlign w:val="superscript"/>
                              </w:rPr>
                              <w:t>++</w:t>
                            </w:r>
                          </w:p>
                        </w:txbxContent>
                      </v:textbox>
                    </v:shape>
                  </w:pict>
                </mc:Fallback>
              </mc:AlternateContent>
            </w:r>
            <w:r w:rsidRPr="0071546E">
              <w:rPr>
                <w:noProof/>
                <w:lang w:eastAsia="en-GB"/>
              </w:rPr>
              <mc:AlternateContent>
                <mc:Choice Requires="wps">
                  <w:drawing>
                    <wp:anchor distT="0" distB="0" distL="114300" distR="114300" simplePos="0" relativeHeight="251742208" behindDoc="0" locked="0" layoutInCell="1" allowOverlap="1" wp14:anchorId="376B1936" wp14:editId="22B30808">
                      <wp:simplePos x="0" y="0"/>
                      <wp:positionH relativeFrom="column">
                        <wp:posOffset>2832372</wp:posOffset>
                      </wp:positionH>
                      <wp:positionV relativeFrom="paragraph">
                        <wp:posOffset>2351042</wp:posOffset>
                      </wp:positionV>
                      <wp:extent cx="463138" cy="427511"/>
                      <wp:effectExtent l="0" t="0" r="0" b="0"/>
                      <wp:wrapNone/>
                      <wp:docPr id="1044" name="Text Box 1044"/>
                      <wp:cNvGraphicFramePr/>
                      <a:graphic xmlns:a="http://schemas.openxmlformats.org/drawingml/2006/main">
                        <a:graphicData uri="http://schemas.microsoft.com/office/word/2010/wordprocessingShape">
                          <wps:wsp>
                            <wps:cNvSpPr txBox="1"/>
                            <wps:spPr>
                              <a:xfrm>
                                <a:off x="0" y="0"/>
                                <a:ext cx="463138" cy="427511"/>
                              </a:xfrm>
                              <a:prstGeom prst="rect">
                                <a:avLst/>
                              </a:prstGeom>
                              <a:solidFill>
                                <a:sysClr val="window" lastClr="FFFFFF"/>
                              </a:solidFill>
                              <a:ln w="6350">
                                <a:noFill/>
                              </a:ln>
                              <a:effectLst/>
                            </wps:spPr>
                            <wps:txbx>
                              <w:txbxContent>
                                <w:p w:rsidR="00A87A14" w:rsidRPr="001757D1" w:rsidRDefault="00A87A14" w:rsidP="003D0F83">
                                  <w:pPr>
                                    <w:jc w:val="center"/>
                                    <w:rPr>
                                      <w:rFonts w:ascii="Arial" w:hAnsi="Arial" w:cs="Arial"/>
                                      <w:sz w:val="32"/>
                                      <w:vertAlign w:val="subscript"/>
                                    </w:rPr>
                                  </w:pPr>
                                  <w:r>
                                    <w:rPr>
                                      <w:rFonts w:ascii="Arial" w:hAnsi="Arial" w:cs="Arial"/>
                                      <w:sz w:val="32"/>
                                    </w:rPr>
                                    <w:t>O</w:t>
                                  </w:r>
                                  <w:r>
                                    <w:rPr>
                                      <w:rFonts w:ascii="Arial" w:hAnsi="Arial" w:cs="Arial"/>
                                      <w:sz w:val="32"/>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6B1936" id="Text Box 1044" o:spid="_x0000_s1045" type="#_x0000_t202" style="position:absolute;left:0;text-align:left;margin-left:223pt;margin-top:185.1pt;width:36.45pt;height:33.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" fillcolor="window" stroked="f" strokeweight=".5pt">
                      <v:textbox>
                        <w:txbxContent>
                          <w:p w:rsidR="00A87A14" w:rsidRPr="001757D1" w:rsidRDefault="00A87A14" w:rsidP="003D0F83">
                            <w:pPr>
                              <w:jc w:val="center"/>
                              <w:rPr>
                                <w:rFonts w:ascii="Arial" w:hAnsi="Arial" w:cs="Arial"/>
                                <w:sz w:val="32"/>
                                <w:vertAlign w:val="subscript"/>
                              </w:rPr>
                            </w:pPr>
                            <w:r>
                              <w:rPr>
                                <w:rFonts w:ascii="Arial" w:hAnsi="Arial" w:cs="Arial"/>
                                <w:sz w:val="32"/>
                              </w:rPr>
                              <w:t>O</w:t>
                            </w:r>
                            <w:r>
                              <w:rPr>
                                <w:rFonts w:ascii="Arial" w:hAnsi="Arial" w:cs="Arial"/>
                                <w:sz w:val="32"/>
                                <w:vertAlign w:val="subscript"/>
                              </w:rPr>
                              <w:t>2</w:t>
                            </w:r>
                          </w:p>
                        </w:txbxContent>
                      </v:textbox>
                    </v:shape>
                  </w:pict>
                </mc:Fallback>
              </mc:AlternateContent>
            </w:r>
            <w:r w:rsidRPr="0071546E">
              <w:rPr>
                <w:noProof/>
                <w:lang w:eastAsia="en-GB"/>
              </w:rPr>
              <mc:AlternateContent>
                <mc:Choice Requires="wps">
                  <w:drawing>
                    <wp:anchor distT="0" distB="0" distL="114300" distR="114300" simplePos="0" relativeHeight="251739136" behindDoc="0" locked="0" layoutInCell="1" allowOverlap="1" wp14:anchorId="74695824" wp14:editId="086751F8">
                      <wp:simplePos x="0" y="0"/>
                      <wp:positionH relativeFrom="column">
                        <wp:posOffset>3354796</wp:posOffset>
                      </wp:positionH>
                      <wp:positionV relativeFrom="paragraph">
                        <wp:posOffset>1463675</wp:posOffset>
                      </wp:positionV>
                      <wp:extent cx="1306285" cy="332303"/>
                      <wp:effectExtent l="0" t="0" r="8255" b="0"/>
                      <wp:wrapNone/>
                      <wp:docPr id="1039" name="Text Box 1039"/>
                      <wp:cNvGraphicFramePr/>
                      <a:graphic xmlns:a="http://schemas.openxmlformats.org/drawingml/2006/main">
                        <a:graphicData uri="http://schemas.microsoft.com/office/word/2010/wordprocessingShape">
                          <wps:wsp>
                            <wps:cNvSpPr txBox="1"/>
                            <wps:spPr>
                              <a:xfrm>
                                <a:off x="0" y="0"/>
                                <a:ext cx="1306285" cy="332303"/>
                              </a:xfrm>
                              <a:prstGeom prst="rect">
                                <a:avLst/>
                              </a:prstGeom>
                              <a:solidFill>
                                <a:sysClr val="window" lastClr="FFFFFF"/>
                              </a:solidFill>
                              <a:ln w="6350">
                                <a:noFill/>
                              </a:ln>
                              <a:effectLst/>
                            </wps:spPr>
                            <wps:txbx>
                              <w:txbxContent>
                                <w:p w:rsidR="00A87A14" w:rsidRPr="00061596" w:rsidRDefault="00A87A14" w:rsidP="003D0F83">
                                  <w:pPr>
                                    <w:rPr>
                                      <w:rFonts w:ascii="Arial" w:hAnsi="Arial" w:cs="Arial"/>
                                      <w:sz w:val="24"/>
                                    </w:rPr>
                                  </w:pPr>
                                  <w:r>
                                    <w:rPr>
                                      <w:rFonts w:ascii="Arial" w:hAnsi="Arial" w:cs="Arial"/>
                                      <w:sz w:val="24"/>
                                    </w:rPr>
                                    <w:t>Adenyl-luciferin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695824" id="Text Box 1039" o:spid="_x0000_s1046" type="#_x0000_t202" style="position:absolute;left:0;text-align:left;margin-left:264.15pt;margin-top:115.25pt;width:102.85pt;height:26.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" fillcolor="window" stroked="f" strokeweight=".5pt">
                      <v:textbox>
                        <w:txbxContent>
                          <w:p w:rsidR="00A87A14" w:rsidRPr="00061596" w:rsidRDefault="00A87A14" w:rsidP="003D0F83">
                            <w:pPr>
                              <w:rPr>
                                <w:rFonts w:ascii="Arial" w:hAnsi="Arial" w:cs="Arial"/>
                                <w:sz w:val="24"/>
                              </w:rPr>
                            </w:pPr>
                            <w:r>
                              <w:rPr>
                                <w:rFonts w:ascii="Arial" w:hAnsi="Arial" w:cs="Arial"/>
                                <w:sz w:val="24"/>
                              </w:rPr>
                              <w:t>Adenyl-luciferin</w:t>
                            </w:r>
                          </w:p>
                        </w:txbxContent>
                      </v:textbox>
                    </v:shape>
                  </w:pict>
                </mc:Fallback>
              </mc:AlternateContent>
            </w:r>
            <w:r w:rsidRPr="0071546E">
              <w:rPr>
                <w:noProof/>
                <w:lang w:eastAsia="en-GB"/>
              </w:rPr>
              <mc:AlternateContent>
                <mc:Choice Requires="wps">
                  <w:drawing>
                    <wp:anchor distT="0" distB="0" distL="114300" distR="114300" simplePos="0" relativeHeight="251741184" behindDoc="0" locked="0" layoutInCell="1" allowOverlap="1" wp14:anchorId="7EC0585A" wp14:editId="340A7CEA">
                      <wp:simplePos x="0" y="0"/>
                      <wp:positionH relativeFrom="column">
                        <wp:posOffset>3030880</wp:posOffset>
                      </wp:positionH>
                      <wp:positionV relativeFrom="paragraph">
                        <wp:posOffset>2782059</wp:posOffset>
                      </wp:positionV>
                      <wp:extent cx="1306195" cy="332303"/>
                      <wp:effectExtent l="0" t="0" r="8255" b="0"/>
                      <wp:wrapNone/>
                      <wp:docPr id="1042" name="Text Box 1042"/>
                      <wp:cNvGraphicFramePr/>
                      <a:graphic xmlns:a="http://schemas.openxmlformats.org/drawingml/2006/main">
                        <a:graphicData uri="http://schemas.microsoft.com/office/word/2010/wordprocessingShape">
                          <wps:wsp>
                            <wps:cNvSpPr txBox="1"/>
                            <wps:spPr>
                              <a:xfrm>
                                <a:off x="0" y="0"/>
                                <a:ext cx="1306195" cy="332303"/>
                              </a:xfrm>
                              <a:prstGeom prst="rect">
                                <a:avLst/>
                              </a:prstGeom>
                              <a:solidFill>
                                <a:sysClr val="window" lastClr="FFFFFF"/>
                              </a:solidFill>
                              <a:ln w="6350">
                                <a:noFill/>
                              </a:ln>
                              <a:effectLst/>
                            </wps:spPr>
                            <wps:txbx>
                              <w:txbxContent>
                                <w:p w:rsidR="00A87A14" w:rsidRPr="00061596" w:rsidRDefault="00A87A14" w:rsidP="003D0F83">
                                  <w:pPr>
                                    <w:rPr>
                                      <w:rFonts w:ascii="Arial" w:hAnsi="Arial" w:cs="Arial"/>
                                      <w:sz w:val="24"/>
                                    </w:rPr>
                                  </w:pPr>
                                  <w:r>
                                    <w:rPr>
                                      <w:rFonts w:ascii="Arial" w:hAnsi="Arial" w:cs="Arial"/>
                                      <w:sz w:val="24"/>
                                    </w:rPr>
                                    <w:t>Luminescence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C0585A" id="Text Box 1042" o:spid="_x0000_s1047" type="#_x0000_t202" style="position:absolute;left:0;text-align:left;margin-left:238.65pt;margin-top:219.05pt;width:102.85pt;height:26.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" fillcolor="window" stroked="f" strokeweight=".5pt">
                      <v:textbox>
                        <w:txbxContent>
                          <w:p w:rsidR="00A87A14" w:rsidRPr="00061596" w:rsidRDefault="00A87A14" w:rsidP="003D0F83">
                            <w:pPr>
                              <w:rPr>
                                <w:rFonts w:ascii="Arial" w:hAnsi="Arial" w:cs="Arial"/>
                                <w:sz w:val="24"/>
                              </w:rPr>
                            </w:pPr>
                            <w:r>
                              <w:rPr>
                                <w:rFonts w:ascii="Arial" w:hAnsi="Arial" w:cs="Arial"/>
                                <w:sz w:val="24"/>
                              </w:rPr>
                              <w:t>Luminescence</w:t>
                            </w:r>
                          </w:p>
                        </w:txbxContent>
                      </v:textbox>
                    </v:shape>
                  </w:pict>
                </mc:Fallback>
              </mc:AlternateContent>
            </w:r>
            <w:r w:rsidRPr="0071546E">
              <w:rPr>
                <w:noProof/>
                <w:lang w:eastAsia="en-GB"/>
              </w:rPr>
              <mc:AlternateContent>
                <mc:Choice Requires="wps">
                  <w:drawing>
                    <wp:anchor distT="0" distB="0" distL="114300" distR="114300" simplePos="0" relativeHeight="251740160" behindDoc="0" locked="0" layoutInCell="1" allowOverlap="1" wp14:anchorId="1166FF8B" wp14:editId="37662581">
                      <wp:simplePos x="0" y="0"/>
                      <wp:positionH relativeFrom="column">
                        <wp:posOffset>3740727</wp:posOffset>
                      </wp:positionH>
                      <wp:positionV relativeFrom="paragraph">
                        <wp:posOffset>726696</wp:posOffset>
                      </wp:positionV>
                      <wp:extent cx="795647" cy="427511"/>
                      <wp:effectExtent l="0" t="0" r="5080" b="0"/>
                      <wp:wrapNone/>
                      <wp:docPr id="1040" name="Text Box 1040"/>
                      <wp:cNvGraphicFramePr/>
                      <a:graphic xmlns:a="http://schemas.openxmlformats.org/drawingml/2006/main">
                        <a:graphicData uri="http://schemas.microsoft.com/office/word/2010/wordprocessingShape">
                          <wps:wsp>
                            <wps:cNvSpPr txBox="1"/>
                            <wps:spPr>
                              <a:xfrm>
                                <a:off x="0" y="0"/>
                                <a:ext cx="795647" cy="427511"/>
                              </a:xfrm>
                              <a:prstGeom prst="rect">
                                <a:avLst/>
                              </a:prstGeom>
                              <a:solidFill>
                                <a:sysClr val="window" lastClr="FFFFFF"/>
                              </a:solidFill>
                              <a:ln w="6350">
                                <a:noFill/>
                              </a:ln>
                              <a:effectLst/>
                            </wps:spPr>
                            <wps:txbx>
                              <w:txbxContent>
                                <w:p w:rsidR="00A87A14" w:rsidRPr="00061596" w:rsidRDefault="00A87A14" w:rsidP="003D0F83">
                                  <w:pPr>
                                    <w:jc w:val="center"/>
                                    <w:rPr>
                                      <w:rFonts w:ascii="Arial" w:hAnsi="Arial" w:cs="Arial"/>
                                      <w:sz w:val="32"/>
                                      <w:vertAlign w:val="subscript"/>
                                    </w:rPr>
                                  </w:pPr>
                                  <w:r w:rsidRPr="00061596">
                                    <w:rPr>
                                      <w:rFonts w:ascii="Arial" w:hAnsi="Arial" w:cs="Arial"/>
                                      <w:sz w:val="32"/>
                                    </w:rPr>
                                    <w:t>+</w:t>
                                  </w:r>
                                  <w:r>
                                    <w:rPr>
                                      <w:rFonts w:ascii="Arial" w:hAnsi="Arial" w:cs="Arial"/>
                                      <w:sz w:val="32"/>
                                    </w:rPr>
                                    <w:t xml:space="preserve"> PP</w:t>
                                  </w:r>
                                  <w:r>
                                    <w:rPr>
                                      <w:rFonts w:ascii="Arial" w:hAnsi="Arial" w:cs="Arial"/>
                                      <w:sz w:val="32"/>
                                      <w:vertAlign w:val="subscript"/>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66FF8B" id="Text Box 1040" o:spid="_x0000_s1048" type="#_x0000_t202" style="position:absolute;left:0;text-align:left;margin-left:294.55pt;margin-top:57.2pt;width:62.65pt;height:33.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" fillcolor="window" stroked="f" strokeweight=".5pt">
                      <v:textbox>
                        <w:txbxContent>
                          <w:p w:rsidR="00A87A14" w:rsidRPr="00061596" w:rsidRDefault="00A87A14" w:rsidP="003D0F83">
                            <w:pPr>
                              <w:jc w:val="center"/>
                              <w:rPr>
                                <w:rFonts w:ascii="Arial" w:hAnsi="Arial" w:cs="Arial"/>
                                <w:sz w:val="32"/>
                                <w:vertAlign w:val="subscript"/>
                              </w:rPr>
                            </w:pPr>
                            <w:r w:rsidRPr="00061596">
                              <w:rPr>
                                <w:rFonts w:ascii="Arial" w:hAnsi="Arial" w:cs="Arial"/>
                                <w:sz w:val="32"/>
                              </w:rPr>
                              <w:t>+</w:t>
                            </w:r>
                            <w:r>
                              <w:rPr>
                                <w:rFonts w:ascii="Arial" w:hAnsi="Arial" w:cs="Arial"/>
                                <w:sz w:val="32"/>
                              </w:rPr>
                              <w:t xml:space="preserve"> PP</w:t>
                            </w:r>
                            <w:r>
                              <w:rPr>
                                <w:rFonts w:ascii="Arial" w:hAnsi="Arial" w:cs="Arial"/>
                                <w:sz w:val="32"/>
                                <w:vertAlign w:val="subscript"/>
                              </w:rPr>
                              <w:t>I</w:t>
                            </w:r>
                          </w:p>
                        </w:txbxContent>
                      </v:textbox>
                    </v:shape>
                  </w:pict>
                </mc:Fallback>
              </mc:AlternateContent>
            </w:r>
            <w:r w:rsidRPr="0071546E">
              <w:t xml:space="preserve">                                           </w:t>
            </w:r>
            <w:r w:rsidRPr="0071546E">
              <w:rPr>
                <w:rFonts w:eastAsiaTheme="minorHAnsi"/>
                <w:b w:val="0"/>
                <w:bCs w:val="0"/>
                <w:color w:val="auto"/>
                <w:sz w:val="22"/>
                <w:szCs w:val="22"/>
              </w:rPr>
              <w:object w:dxaOrig="3005" w:dyaOrig="4258">
                <v:shape id="_x0000_i1037" type="#_x0000_t75" style="width:178.5pt;height:203.25pt" o:ole="">
                  <v:imagedata r:id="rId54" o:title=""/>
                </v:shape>
                <o:OLEObject Type="Embed" ProgID="ChemDraw.Document.6.0" ShapeID="_x0000_i1037" DrawAspect="Content" ObjectID="_1649004624" r:id="rId55"/>
              </w:object>
            </w:r>
          </w:p>
          <w:p w:rsidR="003D0F83" w:rsidRPr="0071546E" w:rsidRDefault="003D0F83" w:rsidP="003D0F83">
            <w:pPr>
              <w:spacing w:line="240" w:lineRule="atLeast"/>
              <w:ind w:left="1021" w:right="454"/>
            </w:pPr>
            <w:r w:rsidRPr="0071546E">
              <w:rPr>
                <w:noProof/>
                <w:lang w:eastAsia="en-GB"/>
              </w:rPr>
              <mc:AlternateContent>
                <mc:Choice Requires="wps">
                  <w:drawing>
                    <wp:anchor distT="0" distB="0" distL="114300" distR="114300" simplePos="0" relativeHeight="251747328" behindDoc="0" locked="0" layoutInCell="1" allowOverlap="1" wp14:anchorId="4947E576" wp14:editId="663AAF70">
                      <wp:simplePos x="0" y="0"/>
                      <wp:positionH relativeFrom="column">
                        <wp:posOffset>2740271</wp:posOffset>
                      </wp:positionH>
                      <wp:positionV relativeFrom="paragraph">
                        <wp:posOffset>120067</wp:posOffset>
                      </wp:positionV>
                      <wp:extent cx="0" cy="438150"/>
                      <wp:effectExtent l="76200" t="0" r="57150" b="57150"/>
                      <wp:wrapNone/>
                      <wp:docPr id="27" name="Straight Arrow Connector 27"/>
                      <wp:cNvGraphicFramePr/>
                      <a:graphic xmlns:a="http://schemas.openxmlformats.org/drawingml/2006/main">
                        <a:graphicData uri="http://schemas.microsoft.com/office/word/2010/wordprocessingShape">
                          <wps:wsp>
                            <wps:cNvCnPr/>
                            <wps:spPr>
                              <a:xfrm>
                                <a:off x="0" y="0"/>
                                <a:ext cx="0" cy="438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B8D00" id="Straight Arrow Connector 27" o:spid="_x0000_s1026" type="#_x0000_t32" style="position:absolute;margin-left:215.75pt;margin-top:9.45pt;width:0;height:34.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" strokecolor="windowText" strokeweight=".5pt">
                      <v:stroke endarrow="block" joinstyle="miter"/>
                    </v:shape>
                  </w:pict>
                </mc:Fallback>
              </mc:AlternateContent>
            </w:r>
          </w:p>
          <w:p w:rsidR="003D0F83" w:rsidRPr="0071546E" w:rsidRDefault="003D0F83" w:rsidP="003D0F83">
            <w:pPr>
              <w:spacing w:line="240" w:lineRule="atLeast"/>
              <w:ind w:left="1021" w:right="454"/>
            </w:pPr>
          </w:p>
          <w:p w:rsidR="003D0F83" w:rsidRPr="0071546E" w:rsidRDefault="00E5461B" w:rsidP="003D0F83">
            <w:pPr>
              <w:spacing w:line="240" w:lineRule="atLeast"/>
              <w:ind w:left="1021" w:right="454"/>
            </w:pPr>
            <w:r w:rsidRPr="0071546E">
              <w:rPr>
                <w:noProof/>
                <w:lang w:eastAsia="en-GB"/>
              </w:rPr>
              <mc:AlternateContent>
                <mc:Choice Requires="wps">
                  <w:drawing>
                    <wp:anchor distT="0" distB="0" distL="114300" distR="114300" simplePos="0" relativeHeight="251744256" behindDoc="0" locked="0" layoutInCell="1" allowOverlap="1" wp14:anchorId="6336BBA9" wp14:editId="45CA290C">
                      <wp:simplePos x="0" y="0"/>
                      <wp:positionH relativeFrom="column">
                        <wp:posOffset>3798570</wp:posOffset>
                      </wp:positionH>
                      <wp:positionV relativeFrom="paragraph">
                        <wp:posOffset>1274820</wp:posOffset>
                      </wp:positionV>
                      <wp:extent cx="1315075" cy="559837"/>
                      <wp:effectExtent l="0" t="0" r="0" b="0"/>
                      <wp:wrapNone/>
                      <wp:docPr id="1046" name="Text Box 1046"/>
                      <wp:cNvGraphicFramePr/>
                      <a:graphic xmlns:a="http://schemas.openxmlformats.org/drawingml/2006/main">
                        <a:graphicData uri="http://schemas.microsoft.com/office/word/2010/wordprocessingShape">
                          <wps:wsp>
                            <wps:cNvSpPr txBox="1"/>
                            <wps:spPr>
                              <a:xfrm>
                                <a:off x="0" y="0"/>
                                <a:ext cx="1315075" cy="559837"/>
                              </a:xfrm>
                              <a:prstGeom prst="rect">
                                <a:avLst/>
                              </a:prstGeom>
                              <a:solidFill>
                                <a:sysClr val="window" lastClr="FFFFFF"/>
                              </a:solidFill>
                              <a:ln w="6350">
                                <a:noFill/>
                              </a:ln>
                              <a:effectLst/>
                            </wps:spPr>
                            <wps:txbx>
                              <w:txbxContent>
                                <w:p w:rsidR="00A87A14" w:rsidRPr="00B27C36" w:rsidRDefault="00A87A14" w:rsidP="003D0F83">
                                  <w:pPr>
                                    <w:jc w:val="center"/>
                                    <w:rPr>
                                      <w:rFonts w:ascii="Arial" w:hAnsi="Arial" w:cs="Arial"/>
                                      <w:sz w:val="24"/>
                                      <w:vertAlign w:val="subscript"/>
                                    </w:rPr>
                                  </w:pPr>
                                  <w:r>
                                    <w:rPr>
                                      <w:rFonts w:ascii="Arial" w:hAnsi="Arial" w:cs="Arial"/>
                                      <w:sz w:val="24"/>
                                    </w:rPr>
                                    <w:t xml:space="preserve">+ </w:t>
                                  </w:r>
                                  <w:r w:rsidRPr="00B27C36">
                                    <w:rPr>
                                      <w:rFonts w:ascii="Arial" w:hAnsi="Arial" w:cs="Arial"/>
                                      <w:sz w:val="24"/>
                                    </w:rPr>
                                    <w:t>H</w:t>
                                  </w:r>
                                  <w:r>
                                    <w:rPr>
                                      <w:rFonts w:ascii="Arial" w:hAnsi="Arial" w:cs="Arial"/>
                                      <w:sz w:val="24"/>
                                      <w:vertAlign w:val="subscript"/>
                                    </w:rPr>
                                    <w:t>2</w:t>
                                  </w:r>
                                  <w:r w:rsidRPr="00B27C36">
                                    <w:rPr>
                                      <w:rFonts w:ascii="Arial" w:hAnsi="Arial" w:cs="Arial"/>
                                      <w:sz w:val="24"/>
                                    </w:rPr>
                                    <w:t>O</w:t>
                                  </w:r>
                                  <w:r>
                                    <w:rPr>
                                      <w:rFonts w:ascii="Arial" w:hAnsi="Arial" w:cs="Arial"/>
                                      <w:sz w:val="24"/>
                                    </w:rPr>
                                    <w:t xml:space="preserve"> + CO</w:t>
                                  </w:r>
                                  <w:r>
                                    <w:rPr>
                                      <w:rFonts w:ascii="Arial" w:hAnsi="Arial" w:cs="Arial"/>
                                      <w:sz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36BBA9" id="Text Box 1046" o:spid="_x0000_s1049" type="#_x0000_t202" style="position:absolute;left:0;text-align:left;margin-left:299.1pt;margin-top:100.4pt;width:103.55pt;height:44.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" fillcolor="window" stroked="f" strokeweight=".5pt">
                      <v:textbox>
                        <w:txbxContent>
                          <w:p w:rsidR="00A87A14" w:rsidRPr="00B27C36" w:rsidRDefault="00A87A14" w:rsidP="003D0F83">
                            <w:pPr>
                              <w:jc w:val="center"/>
                              <w:rPr>
                                <w:rFonts w:ascii="Arial" w:hAnsi="Arial" w:cs="Arial"/>
                                <w:sz w:val="24"/>
                                <w:vertAlign w:val="subscript"/>
                              </w:rPr>
                            </w:pPr>
                            <w:r>
                              <w:rPr>
                                <w:rFonts w:ascii="Arial" w:hAnsi="Arial" w:cs="Arial"/>
                                <w:sz w:val="24"/>
                              </w:rPr>
                              <w:t xml:space="preserve">+ </w:t>
                            </w:r>
                            <w:r w:rsidRPr="00B27C36">
                              <w:rPr>
                                <w:rFonts w:ascii="Arial" w:hAnsi="Arial" w:cs="Arial"/>
                                <w:sz w:val="24"/>
                              </w:rPr>
                              <w:t>H</w:t>
                            </w:r>
                            <w:r>
                              <w:rPr>
                                <w:rFonts w:ascii="Arial" w:hAnsi="Arial" w:cs="Arial"/>
                                <w:sz w:val="24"/>
                                <w:vertAlign w:val="subscript"/>
                              </w:rPr>
                              <w:t>2</w:t>
                            </w:r>
                            <w:r w:rsidRPr="00B27C36">
                              <w:rPr>
                                <w:rFonts w:ascii="Arial" w:hAnsi="Arial" w:cs="Arial"/>
                                <w:sz w:val="24"/>
                              </w:rPr>
                              <w:t>O</w:t>
                            </w:r>
                            <w:r>
                              <w:rPr>
                                <w:rFonts w:ascii="Arial" w:hAnsi="Arial" w:cs="Arial"/>
                                <w:sz w:val="24"/>
                              </w:rPr>
                              <w:t xml:space="preserve"> + CO</w:t>
                            </w:r>
                            <w:r>
                              <w:rPr>
                                <w:rFonts w:ascii="Arial" w:hAnsi="Arial" w:cs="Arial"/>
                                <w:sz w:val="24"/>
                                <w:vertAlign w:val="subscript"/>
                              </w:rPr>
                              <w:t>2</w:t>
                            </w:r>
                          </w:p>
                        </w:txbxContent>
                      </v:textbox>
                    </v:shape>
                  </w:pict>
                </mc:Fallback>
              </mc:AlternateContent>
            </w:r>
            <w:r w:rsidR="003D0F83" w:rsidRPr="0071546E">
              <w:rPr>
                <w:noProof/>
                <w:lang w:eastAsia="en-GB"/>
              </w:rPr>
              <mc:AlternateContent>
                <mc:Choice Requires="wps">
                  <w:drawing>
                    <wp:anchor distT="0" distB="0" distL="114300" distR="114300" simplePos="0" relativeHeight="251743232" behindDoc="0" locked="0" layoutInCell="1" allowOverlap="1" wp14:anchorId="64B98D91" wp14:editId="3D78ED5C">
                      <wp:simplePos x="0" y="0"/>
                      <wp:positionH relativeFrom="margin">
                        <wp:posOffset>250698</wp:posOffset>
                      </wp:positionH>
                      <wp:positionV relativeFrom="paragraph">
                        <wp:posOffset>945134</wp:posOffset>
                      </wp:positionV>
                      <wp:extent cx="1306285" cy="308758"/>
                      <wp:effectExtent l="0" t="0" r="8255" b="0"/>
                      <wp:wrapNone/>
                      <wp:docPr id="1045" name="Text Box 1045"/>
                      <wp:cNvGraphicFramePr/>
                      <a:graphic xmlns:a="http://schemas.openxmlformats.org/drawingml/2006/main">
                        <a:graphicData uri="http://schemas.microsoft.com/office/word/2010/wordprocessingShape">
                          <wps:wsp>
                            <wps:cNvSpPr txBox="1"/>
                            <wps:spPr>
                              <a:xfrm>
                                <a:off x="0" y="0"/>
                                <a:ext cx="1306285" cy="308758"/>
                              </a:xfrm>
                              <a:prstGeom prst="rect">
                                <a:avLst/>
                              </a:prstGeom>
                              <a:solidFill>
                                <a:sysClr val="window" lastClr="FFFFFF"/>
                              </a:solidFill>
                              <a:ln w="6350">
                                <a:noFill/>
                              </a:ln>
                              <a:effectLst/>
                            </wps:spPr>
                            <wps:txbx>
                              <w:txbxContent>
                                <w:p w:rsidR="00A87A14" w:rsidRPr="00061596" w:rsidRDefault="00A87A14" w:rsidP="003D0F83">
                                  <w:pPr>
                                    <w:rPr>
                                      <w:rFonts w:ascii="Arial" w:hAnsi="Arial" w:cs="Arial"/>
                                      <w:sz w:val="24"/>
                                    </w:rPr>
                                  </w:pPr>
                                  <w:r>
                                    <w:rPr>
                                      <w:rFonts w:ascii="Arial" w:hAnsi="Arial" w:cs="Arial"/>
                                      <w:sz w:val="24"/>
                                    </w:rPr>
                                    <w:t>Oxyluciferin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B98D91" id="Text Box 1045" o:spid="_x0000_s1050" type="#_x0000_t202" style="position:absolute;left:0;text-align:left;margin-left:19.75pt;margin-top:74.4pt;width:102.85pt;height:24.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" fillcolor="window" stroked="f" strokeweight=".5pt">
                      <v:textbox>
                        <w:txbxContent>
                          <w:p w:rsidR="00A87A14" w:rsidRPr="00061596" w:rsidRDefault="00A87A14" w:rsidP="003D0F83">
                            <w:pPr>
                              <w:rPr>
                                <w:rFonts w:ascii="Arial" w:hAnsi="Arial" w:cs="Arial"/>
                                <w:sz w:val="24"/>
                              </w:rPr>
                            </w:pPr>
                            <w:r>
                              <w:rPr>
                                <w:rFonts w:ascii="Arial" w:hAnsi="Arial" w:cs="Arial"/>
                                <w:sz w:val="24"/>
                              </w:rPr>
                              <w:t>Oxyluciferin</w:t>
                            </w:r>
                          </w:p>
                        </w:txbxContent>
                      </v:textbox>
                      <w10:wrap anchorx="margin"/>
                    </v:shape>
                  </w:pict>
                </mc:Fallback>
              </mc:AlternateContent>
            </w:r>
            <w:r w:rsidR="003D0F83" w:rsidRPr="0071546E">
              <w:t xml:space="preserve">                                       </w:t>
            </w:r>
            <w:r w:rsidR="003D0F83" w:rsidRPr="0071546E">
              <w:rPr>
                <w:rFonts w:eastAsiaTheme="minorHAnsi"/>
                <w:b w:val="0"/>
                <w:bCs w:val="0"/>
                <w:color w:val="auto"/>
                <w:sz w:val="22"/>
                <w:szCs w:val="22"/>
              </w:rPr>
              <w:object w:dxaOrig="4200" w:dyaOrig="1435">
                <v:shape id="_x0000_i1038" type="#_x0000_t75" style="width:211.5pt;height:99.75pt" o:ole="">
                  <v:imagedata r:id="rId56" o:title=""/>
                </v:shape>
                <o:OLEObject Type="Embed" ProgID="ChemDraw.Document.6.0" ShapeID="_x0000_i1038" DrawAspect="Content" ObjectID="_1649004625" r:id="rId57"/>
              </w:object>
            </w:r>
            <w:r w:rsidR="003D0F83" w:rsidRPr="0071546E">
              <w:t xml:space="preserve"> </w:t>
            </w:r>
          </w:p>
          <w:p w:rsidR="003D0F83" w:rsidRPr="0071546E" w:rsidRDefault="003D0F83" w:rsidP="003D0F83">
            <w:pPr>
              <w:spacing w:line="240" w:lineRule="atLeast"/>
              <w:ind w:left="1021" w:right="454"/>
            </w:pPr>
          </w:p>
        </w:tc>
      </w:tr>
    </w:tbl>
    <w:p w:rsidR="003218C1" w:rsidRPr="0071546E" w:rsidRDefault="003218C1" w:rsidP="003D0F83">
      <w:pPr>
        <w:spacing w:line="240" w:lineRule="atLeast"/>
        <w:ind w:right="454"/>
        <w:jc w:val="both"/>
        <w:rPr>
          <w:rFonts w:ascii="Arial" w:hAnsi="Arial" w:cs="Arial"/>
          <w:sz w:val="24"/>
          <w:szCs w:val="24"/>
          <w:lang w:eastAsia="en-GB"/>
        </w:rPr>
      </w:pPr>
    </w:p>
    <w:p w:rsidR="007B69E3" w:rsidRPr="0071546E" w:rsidRDefault="008E4153" w:rsidP="003D0F83">
      <w:pPr>
        <w:spacing w:line="240" w:lineRule="atLeast"/>
        <w:ind w:left="1021" w:right="454"/>
        <w:jc w:val="both"/>
      </w:pPr>
      <w:r w:rsidRPr="0071546E">
        <w:t xml:space="preserve">Fig 1.18 </w:t>
      </w:r>
      <w:r w:rsidR="00B27C36" w:rsidRPr="0071546E">
        <w:t xml:space="preserve">Adenosine triphosphate assay </w:t>
      </w:r>
      <w:r w:rsidR="007B69E3" w:rsidRPr="0071546E">
        <w:t xml:space="preserve">reaction. ATP is hydrolysed and light is emitted when firefly luciferase catalyses the oxidation of D-luciferin in a reversible reaction. In the second reaction ATP is the </w:t>
      </w:r>
      <w:r w:rsidR="003A5481" w:rsidRPr="0071546E">
        <w:t>rate-limiting</w:t>
      </w:r>
      <w:r w:rsidR="007B69E3" w:rsidRPr="0071546E">
        <w:t xml:space="preserve"> enzyme, </w:t>
      </w:r>
      <w:r w:rsidR="002C2939" w:rsidRPr="0071546E">
        <w:t xml:space="preserve">the </w:t>
      </w:r>
      <w:r w:rsidR="007B69E3" w:rsidRPr="0071546E">
        <w:t>light produced is directly proportional to ATP produced.</w:t>
      </w:r>
    </w:p>
    <w:p w:rsidR="00D83B55" w:rsidRPr="0071546E" w:rsidRDefault="00D83B55" w:rsidP="00CF13FE">
      <w:pPr>
        <w:ind w:left="1021" w:right="454"/>
      </w:pPr>
    </w:p>
    <w:p w:rsidR="00D83B55" w:rsidRPr="0071546E" w:rsidRDefault="00D83B55" w:rsidP="00CF13FE">
      <w:pPr>
        <w:ind w:left="1021" w:right="454"/>
      </w:pPr>
    </w:p>
    <w:p w:rsidR="009465D3" w:rsidRPr="0071546E" w:rsidRDefault="009465D3" w:rsidP="003D0F83">
      <w:pPr>
        <w:ind w:right="454"/>
      </w:pPr>
      <w:r w:rsidRPr="0071546E">
        <w:br w:type="page"/>
      </w:r>
    </w:p>
    <w:p w:rsidR="00725033" w:rsidRPr="0071546E" w:rsidRDefault="00725033" w:rsidP="00CF13FE">
      <w:pPr>
        <w:pStyle w:val="Heading2"/>
        <w:ind w:left="1021" w:right="454"/>
      </w:pPr>
      <w:bookmarkStart w:id="42" w:name="_Toc14711412"/>
      <w:r w:rsidRPr="0071546E">
        <w:t>1.7 Cell lysis</w:t>
      </w:r>
      <w:bookmarkEnd w:id="42"/>
    </w:p>
    <w:p w:rsidR="006C0307" w:rsidRPr="0071546E" w:rsidRDefault="00725033" w:rsidP="004E3710">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Intracellular ATP is not accessible to </w:t>
      </w:r>
      <w:r w:rsidR="004904E2"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luciferase enzyme because luciferase ca</w:t>
      </w:r>
      <w:r w:rsidR="004E3710" w:rsidRPr="0071546E">
        <w:rPr>
          <w:rFonts w:ascii="Arial" w:eastAsia="Times New Roman" w:hAnsi="Arial" w:cs="Arial"/>
          <w:sz w:val="24"/>
          <w:szCs w:val="24"/>
          <w:lang w:eastAsia="en-GB"/>
        </w:rPr>
        <w:t>nnot penetrate microbial cell walls</w:t>
      </w:r>
      <w:r w:rsidR="00067404" w:rsidRPr="0071546E">
        <w:rPr>
          <w:rFonts w:ascii="Arial" w:eastAsia="Times New Roman" w:hAnsi="Arial" w:cs="Arial"/>
          <w:sz w:val="24"/>
          <w:szCs w:val="24"/>
          <w:lang w:eastAsia="en-GB"/>
        </w:rPr>
        <w:t xml:space="preserve"> (Kato et al., 2011)</w:t>
      </w:r>
      <w:r w:rsidRPr="0071546E">
        <w:rPr>
          <w:rFonts w:ascii="Arial" w:eastAsia="Times New Roman" w:hAnsi="Arial" w:cs="Arial"/>
          <w:sz w:val="24"/>
          <w:szCs w:val="24"/>
          <w:lang w:eastAsia="en-GB"/>
        </w:rPr>
        <w:t xml:space="preserve">. Reagents that increase permeability or disrupt the cell wall of these microbes are required. The type of cell analysed and the requirements of a particular analysis primarily determine the choice of lysis approach. There are several methods of extracting intracellular proteins from cells. These methods are grouped into three: physical methods (sonication) chemical methods (detergent and acid lysis) and the enzymatic methods </w:t>
      </w:r>
      <w:r w:rsidR="002324A0" w:rsidRPr="0071546E">
        <w:rPr>
          <w:rFonts w:ascii="Arial" w:eastAsia="Times New Roman" w:hAnsi="Arial" w:cs="Arial"/>
          <w:sz w:val="24"/>
          <w:szCs w:val="24"/>
          <w:lang w:eastAsia="en-GB"/>
        </w:rPr>
        <w:t>(Brown and Audet, 2008).</w:t>
      </w:r>
      <w:r w:rsidR="004E3710" w:rsidRPr="0071546E">
        <w:rPr>
          <w:rFonts w:ascii="Arial" w:eastAsia="Times New Roman" w:hAnsi="Arial" w:cs="Arial"/>
          <w:sz w:val="24"/>
          <w:szCs w:val="24"/>
          <w:lang w:eastAsia="en-GB"/>
        </w:rPr>
        <w:t xml:space="preserve"> Some assay methods require controlled lysis, </w:t>
      </w:r>
      <w:r w:rsidR="00885D23" w:rsidRPr="0071546E">
        <w:rPr>
          <w:rFonts w:ascii="Arial" w:eastAsia="Times New Roman" w:hAnsi="Arial" w:cs="Arial"/>
          <w:sz w:val="24"/>
          <w:szCs w:val="24"/>
          <w:lang w:eastAsia="en-GB"/>
        </w:rPr>
        <w:t>e</w:t>
      </w:r>
      <w:r w:rsidR="004E3710" w:rsidRPr="0071546E">
        <w:rPr>
          <w:rFonts w:ascii="Arial" w:eastAsia="Times New Roman" w:hAnsi="Arial" w:cs="Arial"/>
          <w:sz w:val="24"/>
          <w:szCs w:val="24"/>
          <w:lang w:eastAsia="en-GB"/>
        </w:rPr>
        <w:t>specially if target intracellular protein or enzyme must be extracted intact. In ATP assay</w:t>
      </w:r>
      <w:r w:rsidR="00110230" w:rsidRPr="0071546E">
        <w:rPr>
          <w:rFonts w:ascii="Arial" w:eastAsia="Times New Roman" w:hAnsi="Arial" w:cs="Arial"/>
          <w:sz w:val="24"/>
          <w:szCs w:val="24"/>
          <w:lang w:eastAsia="en-GB"/>
        </w:rPr>
        <w:t>, for example,</w:t>
      </w:r>
      <w:r w:rsidR="004E3710" w:rsidRPr="0071546E">
        <w:rPr>
          <w:rFonts w:ascii="Arial" w:eastAsia="Times New Roman" w:hAnsi="Arial" w:cs="Arial"/>
          <w:sz w:val="24"/>
          <w:szCs w:val="24"/>
          <w:lang w:eastAsia="en-GB"/>
        </w:rPr>
        <w:t xml:space="preserve"> ATP must be released in a controlled manner to preserve its activity. </w:t>
      </w:r>
      <w:r w:rsidR="002324A0"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An ideal extractant or lysis reagents used for ATP assay should rapidly extract ATP, be able to inactivate enzymes that participate in the interconversion of adenine nucleotide inside the cell, should maintain the original ATP level upon extraction, during storage and analysis should not exhibit an inhibitory effect on luciferase enzyme during measurement of ATP</w:t>
      </w:r>
      <w:r w:rsidR="006C0307" w:rsidRPr="0071546E">
        <w:rPr>
          <w:rFonts w:ascii="Arial" w:eastAsia="Times New Roman" w:hAnsi="Arial" w:cs="Arial"/>
          <w:sz w:val="24"/>
          <w:szCs w:val="24"/>
          <w:lang w:eastAsia="en-GB"/>
        </w:rPr>
        <w:t xml:space="preserve"> (Henderson, 2018)</w:t>
      </w:r>
      <w:r w:rsidRPr="0071546E">
        <w:rPr>
          <w:rFonts w:ascii="Arial" w:eastAsia="Times New Roman" w:hAnsi="Arial" w:cs="Arial"/>
          <w:sz w:val="24"/>
          <w:szCs w:val="24"/>
          <w:lang w:eastAsia="en-GB"/>
        </w:rPr>
        <w:t xml:space="preserve">. Different compounds </w:t>
      </w:r>
      <w:r w:rsidR="00885D23" w:rsidRPr="0071546E">
        <w:rPr>
          <w:rFonts w:ascii="Arial" w:eastAsia="Times New Roman" w:hAnsi="Arial" w:cs="Arial"/>
          <w:sz w:val="24"/>
          <w:szCs w:val="24"/>
          <w:lang w:eastAsia="en-GB"/>
        </w:rPr>
        <w:t xml:space="preserve">and methods </w:t>
      </w:r>
      <w:r w:rsidRPr="0071546E">
        <w:rPr>
          <w:rFonts w:ascii="Arial" w:eastAsia="Times New Roman" w:hAnsi="Arial" w:cs="Arial"/>
          <w:sz w:val="24"/>
          <w:szCs w:val="24"/>
          <w:lang w:eastAsia="en-GB"/>
        </w:rPr>
        <w:t>are used to extract ATP from microbial cells</w:t>
      </w:r>
      <w:r w:rsidR="00885D23" w:rsidRPr="0071546E">
        <w:rPr>
          <w:rFonts w:ascii="Arial" w:eastAsia="Times New Roman" w:hAnsi="Arial" w:cs="Arial"/>
          <w:sz w:val="24"/>
          <w:szCs w:val="24"/>
          <w:lang w:eastAsia="en-GB"/>
        </w:rPr>
        <w:t xml:space="preserve"> example Chemical lysis</w:t>
      </w:r>
      <w:r w:rsidRPr="0071546E">
        <w:rPr>
          <w:rFonts w:ascii="Arial" w:eastAsia="Times New Roman" w:hAnsi="Arial" w:cs="Arial"/>
          <w:sz w:val="24"/>
          <w:szCs w:val="24"/>
          <w:lang w:eastAsia="en-GB"/>
        </w:rPr>
        <w:t xml:space="preserve">: detergents, strong </w:t>
      </w:r>
      <w:r w:rsidR="00067404" w:rsidRPr="0071546E">
        <w:rPr>
          <w:rFonts w:ascii="Arial" w:eastAsia="Times New Roman" w:hAnsi="Arial" w:cs="Arial"/>
          <w:sz w:val="24"/>
          <w:szCs w:val="24"/>
          <w:lang w:eastAsia="en-GB"/>
        </w:rPr>
        <w:t>acids (</w:t>
      </w:r>
      <w:r w:rsidRPr="0071546E">
        <w:rPr>
          <w:rFonts w:ascii="Arial" w:eastAsia="Times New Roman" w:hAnsi="Arial" w:cs="Arial"/>
          <w:sz w:val="24"/>
          <w:szCs w:val="24"/>
          <w:lang w:eastAsia="en-GB"/>
        </w:rPr>
        <w:t xml:space="preserve">perchloric acid and trichloroacetic acid), organic solvents </w:t>
      </w:r>
      <w:r w:rsidR="00067404" w:rsidRPr="0071546E">
        <w:rPr>
          <w:rFonts w:ascii="Arial" w:eastAsia="Times New Roman" w:hAnsi="Arial" w:cs="Arial"/>
          <w:sz w:val="24"/>
          <w:szCs w:val="24"/>
          <w:lang w:eastAsia="en-GB"/>
        </w:rPr>
        <w:t>(butanol</w:t>
      </w:r>
      <w:r w:rsidRPr="0071546E">
        <w:rPr>
          <w:rFonts w:ascii="Arial" w:eastAsia="Times New Roman" w:hAnsi="Arial" w:cs="Arial"/>
          <w:sz w:val="24"/>
          <w:szCs w:val="24"/>
          <w:lang w:eastAsia="en-GB"/>
        </w:rPr>
        <w:t>, DMSO, chloroform)</w:t>
      </w:r>
      <w:r w:rsidR="00135710" w:rsidRPr="0071546E">
        <w:rPr>
          <w:color w:val="000000"/>
        </w:rPr>
        <w:t xml:space="preserve"> </w:t>
      </w:r>
      <w:r w:rsidR="00135710" w:rsidRPr="0071546E">
        <w:rPr>
          <w:rFonts w:ascii="Arial" w:eastAsia="Times New Roman" w:hAnsi="Arial" w:cs="Arial"/>
          <w:sz w:val="24"/>
          <w:szCs w:val="24"/>
          <w:lang w:eastAsia="en-GB"/>
        </w:rPr>
        <w:t>(Shehadul Islam, Aryasomayajula and Selvaganapathy, 2017)</w:t>
      </w:r>
      <w:r w:rsidRPr="0071546E">
        <w:rPr>
          <w:rFonts w:ascii="Arial" w:eastAsia="Times New Roman" w:hAnsi="Arial" w:cs="Arial"/>
          <w:sz w:val="24"/>
          <w:szCs w:val="24"/>
          <w:lang w:eastAsia="en-GB"/>
        </w:rPr>
        <w:t>.</w:t>
      </w:r>
      <w:r w:rsidR="00885D23" w:rsidRPr="0071546E">
        <w:rPr>
          <w:rFonts w:ascii="Arial" w:eastAsia="Times New Roman" w:hAnsi="Arial" w:cs="Arial"/>
          <w:sz w:val="24"/>
          <w:szCs w:val="24"/>
          <w:lang w:eastAsia="en-GB"/>
        </w:rPr>
        <w:t xml:space="preserve"> Mechanical lysis using ultrasonic vibrations that burst microbial cell wall (sonication).</w:t>
      </w:r>
      <w:r w:rsidRPr="0071546E">
        <w:rPr>
          <w:rFonts w:ascii="Arial" w:eastAsia="Times New Roman" w:hAnsi="Arial" w:cs="Arial"/>
          <w:sz w:val="24"/>
          <w:szCs w:val="24"/>
          <w:lang w:eastAsia="en-GB"/>
        </w:rPr>
        <w:t xml:space="preserve"> The choice of these methods will depend on their characteristic as listed above and the strength of the target cell wall but m</w:t>
      </w:r>
      <w:r w:rsidR="002C2939" w:rsidRPr="0071546E">
        <w:rPr>
          <w:rFonts w:ascii="Arial" w:eastAsia="Times New Roman" w:hAnsi="Arial" w:cs="Arial"/>
          <w:sz w:val="24"/>
          <w:szCs w:val="24"/>
          <w:lang w:eastAsia="en-GB"/>
        </w:rPr>
        <w:t>o</w:t>
      </w:r>
      <w:r w:rsidRPr="0071546E">
        <w:rPr>
          <w:rFonts w:ascii="Arial" w:eastAsia="Times New Roman" w:hAnsi="Arial" w:cs="Arial"/>
          <w:sz w:val="24"/>
          <w:szCs w:val="24"/>
          <w:lang w:eastAsia="en-GB"/>
        </w:rPr>
        <w:t xml:space="preserve">st importantly the reaction of the extractant with luciferase enzyme. </w:t>
      </w:r>
    </w:p>
    <w:p w:rsidR="00725033" w:rsidRPr="0071546E" w:rsidRDefault="00725033" w:rsidP="00CF13FE">
      <w:pPr>
        <w:pStyle w:val="Heading2"/>
        <w:ind w:left="1021" w:right="454"/>
      </w:pPr>
      <w:bookmarkStart w:id="43" w:name="_Toc14711413"/>
      <w:r w:rsidRPr="0071546E">
        <w:t xml:space="preserve">1.7.1 </w:t>
      </w:r>
      <w:r w:rsidR="00D445A9" w:rsidRPr="0071546E">
        <w:t xml:space="preserve">Enzymatic lysis; </w:t>
      </w:r>
      <w:r w:rsidRPr="0071546E">
        <w:t>Lysozyme</w:t>
      </w:r>
      <w:bookmarkEnd w:id="43"/>
    </w:p>
    <w:p w:rsidR="00725033" w:rsidRPr="0071546E" w:rsidRDefault="00725033"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The use of enzyme systems, which offers biological specificity to the proc</w:t>
      </w:r>
      <w:r w:rsidR="004E3710" w:rsidRPr="0071546E">
        <w:rPr>
          <w:rFonts w:ascii="Arial" w:eastAsia="Times New Roman" w:hAnsi="Arial" w:cs="Arial"/>
          <w:sz w:val="24"/>
          <w:szCs w:val="24"/>
          <w:lang w:eastAsia="en-GB"/>
        </w:rPr>
        <w:t>ess of cell lysis</w:t>
      </w:r>
      <w:r w:rsidRPr="0071546E">
        <w:rPr>
          <w:rFonts w:ascii="Arial" w:eastAsia="Times New Roman" w:hAnsi="Arial" w:cs="Arial"/>
          <w:sz w:val="24"/>
          <w:szCs w:val="24"/>
          <w:lang w:eastAsia="en-GB"/>
        </w:rPr>
        <w:t xml:space="preserve">, </w:t>
      </w:r>
      <w:r w:rsidR="007F754F" w:rsidRPr="0071546E">
        <w:rPr>
          <w:rFonts w:ascii="Arial" w:eastAsia="Times New Roman" w:hAnsi="Arial" w:cs="Arial"/>
          <w:sz w:val="24"/>
          <w:szCs w:val="24"/>
          <w:lang w:eastAsia="en-GB"/>
        </w:rPr>
        <w:t>has shown</w:t>
      </w:r>
      <w:r w:rsidRPr="0071546E">
        <w:rPr>
          <w:rFonts w:ascii="Arial" w:eastAsia="Times New Roman" w:hAnsi="Arial" w:cs="Arial"/>
          <w:sz w:val="24"/>
          <w:szCs w:val="24"/>
          <w:lang w:eastAsia="en-GB"/>
        </w:rPr>
        <w:t xml:space="preserve"> remarkable promise as a method of controlled</w:t>
      </w:r>
      <w:r w:rsidR="007F754F" w:rsidRPr="0071546E">
        <w:rPr>
          <w:rFonts w:ascii="Arial" w:eastAsia="Times New Roman" w:hAnsi="Arial" w:cs="Arial"/>
          <w:sz w:val="24"/>
          <w:szCs w:val="24"/>
          <w:lang w:eastAsia="en-GB"/>
        </w:rPr>
        <w:t xml:space="preserve"> cell</w:t>
      </w:r>
      <w:r w:rsidRPr="0071546E">
        <w:rPr>
          <w:rFonts w:ascii="Arial" w:eastAsia="Times New Roman" w:hAnsi="Arial" w:cs="Arial"/>
          <w:sz w:val="24"/>
          <w:szCs w:val="24"/>
          <w:lang w:eastAsia="en-GB"/>
        </w:rPr>
        <w:t xml:space="preserve"> lysis and selective product release </w:t>
      </w:r>
      <w:r w:rsidR="00360244" w:rsidRPr="0071546E">
        <w:rPr>
          <w:rFonts w:ascii="Arial" w:eastAsia="Times New Roman" w:hAnsi="Arial" w:cs="Arial"/>
          <w:sz w:val="24"/>
          <w:szCs w:val="24"/>
          <w:lang w:val="en" w:eastAsia="en-GB"/>
        </w:rPr>
        <w:t>(Salazar and Asenjo, 2019)</w:t>
      </w:r>
      <w:r w:rsidRPr="0071546E">
        <w:rPr>
          <w:rFonts w:ascii="Arial" w:eastAsia="Times New Roman" w:hAnsi="Arial" w:cs="Arial"/>
          <w:sz w:val="24"/>
          <w:szCs w:val="24"/>
          <w:lang w:eastAsia="en-GB"/>
        </w:rPr>
        <w:t>. Lysozyme is a globular protein wi</w:t>
      </w:r>
      <w:r w:rsidR="007F754F" w:rsidRPr="0071546E">
        <w:rPr>
          <w:rFonts w:ascii="Arial" w:eastAsia="Times New Roman" w:hAnsi="Arial" w:cs="Arial"/>
          <w:sz w:val="24"/>
          <w:szCs w:val="24"/>
          <w:lang w:eastAsia="en-GB"/>
        </w:rPr>
        <w:t xml:space="preserve">th a </w:t>
      </w:r>
      <w:r w:rsidR="00D445A9" w:rsidRPr="0071546E">
        <w:rPr>
          <w:rFonts w:ascii="Arial" w:eastAsia="Times New Roman" w:hAnsi="Arial" w:cs="Arial"/>
          <w:sz w:val="24"/>
          <w:szCs w:val="24"/>
          <w:lang w:eastAsia="en-GB"/>
        </w:rPr>
        <w:t xml:space="preserve">molecular </w:t>
      </w:r>
      <w:r w:rsidR="007F754F" w:rsidRPr="0071546E">
        <w:rPr>
          <w:rFonts w:ascii="Arial" w:eastAsia="Times New Roman" w:hAnsi="Arial" w:cs="Arial"/>
          <w:sz w:val="24"/>
          <w:szCs w:val="24"/>
          <w:lang w:eastAsia="en-GB"/>
        </w:rPr>
        <w:t>weight of about 14.4kDa. Lysozyme is</w:t>
      </w:r>
      <w:r w:rsidRPr="0071546E">
        <w:rPr>
          <w:rFonts w:ascii="Arial" w:eastAsia="Times New Roman" w:hAnsi="Arial" w:cs="Arial"/>
          <w:sz w:val="24"/>
          <w:szCs w:val="24"/>
          <w:lang w:eastAsia="en-GB"/>
        </w:rPr>
        <w:t xml:space="preserve"> a bacteriolytic enzyme because of its ability to lyse certain bacteria cells </w:t>
      </w:r>
      <w:r w:rsidR="00D445A9" w:rsidRPr="0071546E">
        <w:rPr>
          <w:rFonts w:ascii="Arial" w:eastAsia="Times New Roman" w:hAnsi="Arial" w:cs="Arial"/>
          <w:sz w:val="24"/>
          <w:szCs w:val="24"/>
          <w:lang w:eastAsia="en-GB"/>
        </w:rPr>
        <w:t>(Levashov et al., 2019)</w:t>
      </w:r>
      <w:r w:rsidRPr="0071546E">
        <w:rPr>
          <w:rFonts w:ascii="Arial" w:eastAsia="Times New Roman" w:hAnsi="Arial" w:cs="Arial"/>
          <w:sz w:val="24"/>
          <w:szCs w:val="24"/>
          <w:lang w:eastAsia="en-GB"/>
        </w:rPr>
        <w:t>. The bacteriostatic and bacteriolytic characteristics of lysozyme have made it an interesting enzyme in medicine, pharmaceutics and agriculture. Lysozyme finds its key application as an antimicrobial enzyme in cheese, also used</w:t>
      </w:r>
      <w:r w:rsidR="00AA173A" w:rsidRPr="0071546E">
        <w:rPr>
          <w:rFonts w:ascii="Arial" w:eastAsia="Times New Roman" w:hAnsi="Arial" w:cs="Arial"/>
          <w:sz w:val="24"/>
          <w:szCs w:val="24"/>
          <w:lang w:eastAsia="en-GB"/>
        </w:rPr>
        <w:t xml:space="preserve"> as an antibiotic in poultry (Abdel-Latif et al., 2017). </w:t>
      </w:r>
      <w:r w:rsidRPr="0071546E">
        <w:rPr>
          <w:rFonts w:ascii="Arial" w:eastAsia="Times New Roman" w:hAnsi="Arial" w:cs="Arial"/>
          <w:sz w:val="24"/>
          <w:szCs w:val="24"/>
          <w:lang w:eastAsia="en-GB"/>
        </w:rPr>
        <w:t>It has been reported, the ability of lys</w:t>
      </w:r>
      <w:r w:rsidR="00AA173A" w:rsidRPr="0071546E">
        <w:rPr>
          <w:rFonts w:ascii="Arial" w:eastAsia="Times New Roman" w:hAnsi="Arial" w:cs="Arial"/>
          <w:sz w:val="24"/>
          <w:szCs w:val="24"/>
          <w:lang w:eastAsia="en-GB"/>
        </w:rPr>
        <w:t>ozyme to inhibit HIV in-vitro (Lee-Huang et al., 1999)</w:t>
      </w:r>
      <w:r w:rsidRPr="0071546E">
        <w:rPr>
          <w:rFonts w:ascii="Arial" w:eastAsia="Times New Roman" w:hAnsi="Arial" w:cs="Arial"/>
          <w:sz w:val="24"/>
          <w:szCs w:val="24"/>
          <w:lang w:eastAsia="en-GB"/>
        </w:rPr>
        <w:t>. Hen’s egg</w:t>
      </w:r>
      <w:r w:rsidR="00563D9A"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white lysozyme (HEWL) is the main commercially manufactured type of lysozyme not particularly because of its abundance in hen’s egg white but because it is easily purified from, hens egg white in a cost</w:t>
      </w:r>
      <w:r w:rsidR="002C2939" w:rsidRPr="0071546E">
        <w:rPr>
          <w:rFonts w:ascii="Arial" w:eastAsia="Times New Roman" w:hAnsi="Arial" w:cs="Arial"/>
          <w:sz w:val="24"/>
          <w:szCs w:val="24"/>
          <w:lang w:eastAsia="en-GB"/>
        </w:rPr>
        <w:t>-</w:t>
      </w:r>
      <w:r w:rsidR="005C4DA0" w:rsidRPr="0071546E">
        <w:rPr>
          <w:rFonts w:ascii="Arial" w:eastAsia="Times New Roman" w:hAnsi="Arial" w:cs="Arial"/>
          <w:sz w:val="24"/>
          <w:szCs w:val="24"/>
          <w:lang w:eastAsia="en-GB"/>
        </w:rPr>
        <w:t>effective way</w:t>
      </w:r>
      <w:r w:rsidR="005C4DA0" w:rsidRPr="0071546E">
        <w:rPr>
          <w:color w:val="000000"/>
        </w:rPr>
        <w:t xml:space="preserve"> </w:t>
      </w:r>
      <w:r w:rsidR="005C4DA0" w:rsidRPr="0071546E">
        <w:rPr>
          <w:rFonts w:ascii="Arial" w:eastAsia="Times New Roman" w:hAnsi="Arial" w:cs="Arial"/>
          <w:sz w:val="24"/>
          <w:szCs w:val="24"/>
          <w:lang w:eastAsia="en-GB"/>
        </w:rPr>
        <w:t>(Dekina, 2015)</w:t>
      </w:r>
      <w:r w:rsidR="00FD7012" w:rsidRPr="0071546E">
        <w:rPr>
          <w:rFonts w:ascii="Arial" w:eastAsia="Times New Roman" w:hAnsi="Arial" w:cs="Arial"/>
          <w:sz w:val="24"/>
          <w:szCs w:val="24"/>
          <w:lang w:eastAsia="en-GB"/>
        </w:rPr>
        <w:t>.</w:t>
      </w:r>
      <w:r w:rsidR="004E3710" w:rsidRPr="0071546E">
        <w:rPr>
          <w:rFonts w:ascii="Arial" w:eastAsia="Times New Roman" w:hAnsi="Arial" w:cs="Arial"/>
          <w:sz w:val="24"/>
          <w:szCs w:val="24"/>
          <w:lang w:eastAsia="en-GB"/>
        </w:rPr>
        <w:t xml:space="preserve"> </w:t>
      </w:r>
      <w:r w:rsidR="00D54BEE" w:rsidRPr="0071546E">
        <w:rPr>
          <w:rFonts w:ascii="Arial" w:eastAsia="Times New Roman" w:hAnsi="Arial" w:cs="Arial"/>
          <w:sz w:val="24"/>
          <w:szCs w:val="24"/>
          <w:lang w:eastAsia="en-GB"/>
        </w:rPr>
        <w:t>Lysozyme is</w:t>
      </w:r>
      <w:r w:rsidR="00EB64B0" w:rsidRPr="0071546E">
        <w:rPr>
          <w:rFonts w:ascii="Arial" w:eastAsia="Times New Roman" w:hAnsi="Arial" w:cs="Arial"/>
          <w:sz w:val="24"/>
          <w:szCs w:val="24"/>
          <w:lang w:eastAsia="en-GB"/>
        </w:rPr>
        <w:t xml:space="preserve"> sta</w:t>
      </w:r>
      <w:r w:rsidR="00D54BEE" w:rsidRPr="0071546E">
        <w:rPr>
          <w:rFonts w:ascii="Arial" w:eastAsia="Times New Roman" w:hAnsi="Arial" w:cs="Arial"/>
          <w:sz w:val="24"/>
          <w:szCs w:val="24"/>
          <w:lang w:eastAsia="en-GB"/>
        </w:rPr>
        <w:t>b</w:t>
      </w:r>
      <w:r w:rsidR="00EB64B0" w:rsidRPr="0071546E">
        <w:rPr>
          <w:rFonts w:ascii="Arial" w:eastAsia="Times New Roman" w:hAnsi="Arial" w:cs="Arial"/>
          <w:sz w:val="24"/>
          <w:szCs w:val="24"/>
          <w:lang w:eastAsia="en-GB"/>
        </w:rPr>
        <w:t>le at</w:t>
      </w:r>
      <w:r w:rsidR="00D54BEE" w:rsidRPr="0071546E">
        <w:rPr>
          <w:rFonts w:ascii="Arial" w:eastAsia="Times New Roman" w:hAnsi="Arial" w:cs="Arial"/>
          <w:sz w:val="24"/>
          <w:szCs w:val="24"/>
          <w:lang w:eastAsia="en-GB"/>
        </w:rPr>
        <w:t xml:space="preserve"> optimal</w:t>
      </w:r>
      <w:r w:rsidR="00EB64B0" w:rsidRPr="0071546E">
        <w:rPr>
          <w:rFonts w:ascii="Arial" w:eastAsia="Times New Roman" w:hAnsi="Arial" w:cs="Arial"/>
          <w:sz w:val="24"/>
          <w:szCs w:val="24"/>
          <w:lang w:eastAsia="en-GB"/>
        </w:rPr>
        <w:t xml:space="preserve"> physiochemical </w:t>
      </w:r>
      <w:r w:rsidR="00D54BEE" w:rsidRPr="0071546E">
        <w:rPr>
          <w:rFonts w:ascii="Arial" w:eastAsia="Times New Roman" w:hAnsi="Arial" w:cs="Arial"/>
          <w:sz w:val="24"/>
          <w:szCs w:val="24"/>
          <w:lang w:eastAsia="en-GB"/>
        </w:rPr>
        <w:t xml:space="preserve">environments were most proteins and enzymes remain </w:t>
      </w:r>
      <w:r w:rsidR="007B5D39" w:rsidRPr="0071546E">
        <w:rPr>
          <w:rFonts w:ascii="Arial" w:eastAsia="Times New Roman" w:hAnsi="Arial" w:cs="Arial"/>
          <w:sz w:val="24"/>
          <w:szCs w:val="24"/>
          <w:lang w:eastAsia="en-GB"/>
        </w:rPr>
        <w:t>stable (James and McManus, 2012)</w:t>
      </w:r>
      <w:r w:rsidR="00EB64B0" w:rsidRPr="0071546E">
        <w:rPr>
          <w:rFonts w:ascii="Arial" w:eastAsia="Times New Roman" w:hAnsi="Arial" w:cs="Arial"/>
          <w:sz w:val="24"/>
          <w:szCs w:val="24"/>
          <w:lang w:eastAsia="en-GB"/>
        </w:rPr>
        <w:t xml:space="preserve">. </w:t>
      </w:r>
      <w:r w:rsidR="00D54BEE" w:rsidRPr="0071546E">
        <w:rPr>
          <w:rFonts w:ascii="Arial" w:eastAsia="Times New Roman" w:hAnsi="Arial" w:cs="Arial"/>
          <w:sz w:val="24"/>
          <w:szCs w:val="24"/>
          <w:lang w:eastAsia="en-GB"/>
        </w:rPr>
        <w:t xml:space="preserve">At a pH range of </w:t>
      </w:r>
      <w:r w:rsidR="00EB64B0" w:rsidRPr="0071546E">
        <w:rPr>
          <w:rFonts w:ascii="Arial" w:eastAsia="Times New Roman" w:hAnsi="Arial" w:cs="Arial"/>
          <w:sz w:val="24"/>
          <w:szCs w:val="24"/>
          <w:lang w:eastAsia="en-GB"/>
        </w:rPr>
        <w:t>5.2 to 7.0 and temperatures not exceeding 50</w:t>
      </w:r>
      <w:r w:rsidR="00EB64B0" w:rsidRPr="0071546E">
        <w:rPr>
          <w:rFonts w:ascii="Arial" w:eastAsia="Times New Roman" w:hAnsi="Arial" w:cs="Arial"/>
          <w:sz w:val="24"/>
          <w:szCs w:val="24"/>
          <w:vertAlign w:val="superscript"/>
          <w:lang w:eastAsia="en-GB"/>
        </w:rPr>
        <w:t>o</w:t>
      </w:r>
      <w:r w:rsidR="00EB64B0" w:rsidRPr="0071546E">
        <w:rPr>
          <w:rFonts w:ascii="Arial" w:eastAsia="Times New Roman" w:hAnsi="Arial" w:cs="Arial"/>
          <w:sz w:val="24"/>
          <w:szCs w:val="24"/>
          <w:lang w:eastAsia="en-GB"/>
        </w:rPr>
        <w:t>C</w:t>
      </w:r>
      <w:r w:rsidR="00D54BEE" w:rsidRPr="0071546E">
        <w:rPr>
          <w:rFonts w:ascii="Arial" w:eastAsia="Times New Roman" w:hAnsi="Arial" w:cs="Arial"/>
          <w:sz w:val="24"/>
          <w:szCs w:val="24"/>
          <w:lang w:eastAsia="en-GB"/>
        </w:rPr>
        <w:t xml:space="preserve"> most enzymes and proteins are not denatured</w:t>
      </w:r>
      <w:r w:rsidR="00EB64B0" w:rsidRPr="0071546E">
        <w:rPr>
          <w:rFonts w:ascii="Arial" w:eastAsia="Times New Roman" w:hAnsi="Arial" w:cs="Arial"/>
          <w:sz w:val="24"/>
          <w:szCs w:val="24"/>
          <w:lang w:eastAsia="en-GB"/>
        </w:rPr>
        <w:t>.</w:t>
      </w:r>
    </w:p>
    <w:p w:rsidR="00D54BEE" w:rsidRPr="0071546E" w:rsidRDefault="005C4DA0"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        Reports suggest</w:t>
      </w:r>
      <w:r w:rsidR="00725033" w:rsidRPr="0071546E">
        <w:rPr>
          <w:rFonts w:ascii="Arial" w:eastAsia="Times New Roman" w:hAnsi="Arial" w:cs="Arial"/>
          <w:sz w:val="24"/>
          <w:szCs w:val="24"/>
          <w:lang w:eastAsia="en-GB"/>
        </w:rPr>
        <w:t xml:space="preserve"> that lysozyme is most stable at 5.2 pH and its activity is significantly affected at lowe</w:t>
      </w:r>
      <w:r w:rsidRPr="0071546E">
        <w:rPr>
          <w:rFonts w:ascii="Arial" w:eastAsia="Times New Roman" w:hAnsi="Arial" w:cs="Arial"/>
          <w:sz w:val="24"/>
          <w:szCs w:val="24"/>
          <w:lang w:eastAsia="en-GB"/>
        </w:rPr>
        <w:t xml:space="preserve">r </w:t>
      </w:r>
      <w:r w:rsidR="00FD7012" w:rsidRPr="0071546E">
        <w:rPr>
          <w:rFonts w:ascii="Arial" w:eastAsia="Times New Roman" w:hAnsi="Arial" w:cs="Arial"/>
          <w:sz w:val="24"/>
          <w:szCs w:val="24"/>
          <w:lang w:eastAsia="en-GB"/>
        </w:rPr>
        <w:t>pH</w:t>
      </w:r>
      <w:r w:rsidR="00FD7012" w:rsidRPr="0071546E">
        <w:rPr>
          <w:color w:val="000000"/>
        </w:rPr>
        <w:t xml:space="preserve"> </w:t>
      </w:r>
      <w:r w:rsidR="00FD7012" w:rsidRPr="0071546E">
        <w:rPr>
          <w:rFonts w:ascii="Arial" w:eastAsia="Times New Roman" w:hAnsi="Arial" w:cs="Arial"/>
          <w:sz w:val="24"/>
          <w:szCs w:val="24"/>
          <w:lang w:eastAsia="en-GB"/>
        </w:rPr>
        <w:t>(Venkataramani, Truntzer and Coleman, 2013).</w:t>
      </w:r>
      <w:r w:rsidR="00725033" w:rsidRPr="0071546E">
        <w:rPr>
          <w:rFonts w:ascii="Arial" w:eastAsia="Times New Roman" w:hAnsi="Arial" w:cs="Arial"/>
          <w:sz w:val="24"/>
          <w:szCs w:val="24"/>
          <w:lang w:eastAsia="en-GB"/>
        </w:rPr>
        <w:t xml:space="preserve"> </w:t>
      </w:r>
    </w:p>
    <w:p w:rsidR="00D54BEE" w:rsidRPr="0071546E" w:rsidRDefault="00D54BEE" w:rsidP="00CF13FE">
      <w:pPr>
        <w:spacing w:after="0" w:line="480" w:lineRule="auto"/>
        <w:ind w:left="1021" w:right="454"/>
        <w:jc w:val="both"/>
        <w:rPr>
          <w:rFonts w:ascii="Arial" w:eastAsia="Times New Roman" w:hAnsi="Arial" w:cs="Arial"/>
          <w:sz w:val="24"/>
          <w:szCs w:val="24"/>
          <w:lang w:eastAsia="en-GB"/>
        </w:rPr>
      </w:pPr>
    </w:p>
    <w:p w:rsidR="00D54BEE" w:rsidRPr="0071546E" w:rsidRDefault="00D54BEE" w:rsidP="00CF13FE">
      <w:pPr>
        <w:spacing w:after="0" w:line="480" w:lineRule="auto"/>
        <w:ind w:left="1021" w:right="454"/>
        <w:jc w:val="both"/>
        <w:rPr>
          <w:rFonts w:ascii="Arial" w:eastAsia="Times New Roman" w:hAnsi="Arial" w:cs="Arial"/>
          <w:sz w:val="24"/>
          <w:szCs w:val="24"/>
          <w:lang w:eastAsia="en-GB"/>
        </w:rPr>
      </w:pPr>
    </w:p>
    <w:p w:rsidR="002A182F" w:rsidRPr="0071546E" w:rsidRDefault="00D86980"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Lysozyme is found in bodily fluid and tissues of humans and animals such as saliva, mucus, human milk, cytoplasmic granules of macrophages and in polymorpho</w:t>
      </w:r>
      <w:r w:rsidR="002A182F" w:rsidRPr="0071546E">
        <w:rPr>
          <w:rFonts w:ascii="Arial" w:eastAsia="Times New Roman" w:hAnsi="Arial" w:cs="Arial"/>
          <w:sz w:val="24"/>
          <w:szCs w:val="24"/>
          <w:lang w:eastAsia="en-GB"/>
        </w:rPr>
        <w:t>nucl</w:t>
      </w:r>
      <w:r w:rsidRPr="0071546E">
        <w:rPr>
          <w:rFonts w:ascii="Arial" w:eastAsia="Times New Roman" w:hAnsi="Arial" w:cs="Arial"/>
          <w:sz w:val="24"/>
          <w:szCs w:val="24"/>
          <w:lang w:eastAsia="en-GB"/>
        </w:rPr>
        <w:t>ear neutrophils (PMNs)</w:t>
      </w:r>
      <w:r w:rsidR="002A182F" w:rsidRPr="0071546E">
        <w:rPr>
          <w:rFonts w:ascii="Arial" w:eastAsia="Times New Roman" w:hAnsi="Arial" w:cs="Arial"/>
          <w:sz w:val="24"/>
          <w:szCs w:val="24"/>
          <w:lang w:eastAsia="en-GB"/>
        </w:rPr>
        <w:t>. Lysozyme is also a major component of the human tear (McDermott, 2013). The mean concentration of lysozyme in the eye is about 0.5 to 1.4 mg/</w:t>
      </w:r>
      <w:r w:rsidR="00C87D88" w:rsidRPr="0071546E">
        <w:rPr>
          <w:rFonts w:ascii="Arial" w:eastAsia="Times New Roman" w:hAnsi="Arial" w:cs="Arial"/>
          <w:sz w:val="24"/>
          <w:szCs w:val="24"/>
          <w:lang w:eastAsia="en-GB"/>
        </w:rPr>
        <w:t>ml.</w:t>
      </w:r>
    </w:p>
    <w:p w:rsidR="002C2462" w:rsidRPr="0071546E" w:rsidRDefault="00FD7012" w:rsidP="003D0F83">
      <w:pPr>
        <w:spacing w:after="0" w:line="480" w:lineRule="auto"/>
        <w:ind w:left="1021" w:right="454"/>
        <w:jc w:val="both"/>
        <w:rPr>
          <w:noProof/>
          <w:lang w:eastAsia="en-GB"/>
        </w:rPr>
      </w:pPr>
      <w:r w:rsidRPr="0071546E">
        <w:rPr>
          <w:rFonts w:ascii="Arial" w:eastAsia="Times New Roman" w:hAnsi="Arial" w:cs="Arial"/>
          <w:sz w:val="24"/>
          <w:szCs w:val="24"/>
          <w:lang w:eastAsia="en-GB"/>
        </w:rPr>
        <w:t>Though</w:t>
      </w:r>
      <w:r w:rsidR="00725033" w:rsidRPr="0071546E">
        <w:rPr>
          <w:rFonts w:ascii="Arial" w:eastAsia="Times New Roman" w:hAnsi="Arial" w:cs="Arial"/>
          <w:sz w:val="24"/>
          <w:szCs w:val="24"/>
          <w:lang w:eastAsia="en-GB"/>
        </w:rPr>
        <w:t xml:space="preserve"> it is a </w:t>
      </w:r>
      <w:r w:rsidR="005171D0" w:rsidRPr="0071546E">
        <w:rPr>
          <w:rFonts w:ascii="Arial" w:eastAsia="Times New Roman" w:hAnsi="Arial" w:cs="Arial"/>
          <w:sz w:val="24"/>
          <w:szCs w:val="24"/>
          <w:lang w:eastAsia="en-GB"/>
        </w:rPr>
        <w:t>general,</w:t>
      </w:r>
      <w:r w:rsidR="00725033" w:rsidRPr="0071546E">
        <w:rPr>
          <w:rFonts w:ascii="Arial" w:eastAsia="Times New Roman" w:hAnsi="Arial" w:cs="Arial"/>
          <w:sz w:val="24"/>
          <w:szCs w:val="24"/>
          <w:lang w:eastAsia="en-GB"/>
        </w:rPr>
        <w:t xml:space="preserve"> believe lysozyme in the human eye protects the eye against microbial </w:t>
      </w:r>
      <w:r w:rsidR="005171D0" w:rsidRPr="0071546E">
        <w:rPr>
          <w:rFonts w:ascii="Arial" w:eastAsia="Times New Roman" w:hAnsi="Arial" w:cs="Arial"/>
          <w:sz w:val="24"/>
          <w:szCs w:val="24"/>
          <w:lang w:eastAsia="en-GB"/>
        </w:rPr>
        <w:t>infections;</w:t>
      </w:r>
      <w:r w:rsidR="00725033" w:rsidRPr="0071546E">
        <w:rPr>
          <w:rFonts w:ascii="Arial" w:eastAsia="Times New Roman" w:hAnsi="Arial" w:cs="Arial"/>
          <w:sz w:val="24"/>
          <w:szCs w:val="24"/>
          <w:lang w:eastAsia="en-GB"/>
        </w:rPr>
        <w:t xml:space="preserve"> its role in eye disease has not </w:t>
      </w:r>
      <w:r w:rsidR="00D06D59" w:rsidRPr="0071546E">
        <w:rPr>
          <w:rFonts w:ascii="Arial" w:eastAsia="Times New Roman" w:hAnsi="Arial" w:cs="Arial"/>
          <w:sz w:val="24"/>
          <w:szCs w:val="24"/>
          <w:lang w:eastAsia="en-GB"/>
        </w:rPr>
        <w:t>been established</w:t>
      </w:r>
      <w:r w:rsidR="00C87D88" w:rsidRPr="0071546E">
        <w:rPr>
          <w:rFonts w:ascii="Arial" w:eastAsia="Times New Roman" w:hAnsi="Arial" w:cs="Arial"/>
          <w:sz w:val="24"/>
          <w:szCs w:val="24"/>
          <w:lang w:eastAsia="en-GB"/>
        </w:rPr>
        <w:t xml:space="preserve"> (Meyer et al 1948)</w:t>
      </w:r>
      <w:r w:rsidR="00725033" w:rsidRPr="0071546E">
        <w:rPr>
          <w:rFonts w:ascii="Arial" w:eastAsia="Times New Roman" w:hAnsi="Arial" w:cs="Arial"/>
          <w:sz w:val="24"/>
          <w:szCs w:val="24"/>
          <w:lang w:eastAsia="en-GB"/>
        </w:rPr>
        <w:t xml:space="preserve">. </w:t>
      </w:r>
      <w:r w:rsidR="00C87D88" w:rsidRPr="0071546E">
        <w:rPr>
          <w:rFonts w:ascii="Arial" w:eastAsia="Times New Roman" w:hAnsi="Arial" w:cs="Arial"/>
          <w:sz w:val="24"/>
          <w:szCs w:val="24"/>
          <w:lang w:eastAsia="en-GB"/>
        </w:rPr>
        <w:t>S</w:t>
      </w:r>
      <w:r w:rsidR="00D06D59" w:rsidRPr="0071546E">
        <w:rPr>
          <w:rFonts w:ascii="Arial" w:eastAsia="Times New Roman" w:hAnsi="Arial" w:cs="Arial"/>
          <w:sz w:val="24"/>
          <w:szCs w:val="24"/>
          <w:lang w:eastAsia="en-GB"/>
        </w:rPr>
        <w:t>tudies have shown that there is no significant difference in the levels of lysozyme found in the tears of individuals with bacteria, viral or fungi keratitis with normal subjects (Sen and Sarin, 1982).</w:t>
      </w:r>
      <w:r w:rsidR="003D0F83" w:rsidRPr="0071546E">
        <w:rPr>
          <w:rFonts w:ascii="Arial" w:eastAsia="Times New Roman" w:hAnsi="Arial" w:cs="Arial"/>
          <w:sz w:val="24"/>
          <w:szCs w:val="24"/>
          <w:lang w:eastAsia="en-GB"/>
        </w:rPr>
        <w:t xml:space="preserve"> </w:t>
      </w:r>
    </w:p>
    <w:p w:rsidR="00B65E23" w:rsidRPr="0071546E" w:rsidRDefault="00B65E23" w:rsidP="003D0F83">
      <w:pPr>
        <w:spacing w:after="0" w:line="480" w:lineRule="auto"/>
        <w:ind w:left="1021" w:right="454"/>
        <w:jc w:val="both"/>
        <w:rPr>
          <w:noProof/>
          <w:lang w:eastAsia="en-GB"/>
        </w:rPr>
      </w:pPr>
    </w:p>
    <w:p w:rsidR="00B65E23" w:rsidRPr="0071546E" w:rsidRDefault="00B65E23" w:rsidP="003D0F83">
      <w:pPr>
        <w:spacing w:after="0" w:line="480" w:lineRule="auto"/>
        <w:ind w:left="1021" w:right="454"/>
        <w:jc w:val="both"/>
        <w:rPr>
          <w:rFonts w:ascii="Arial" w:eastAsia="Times New Roman" w:hAnsi="Arial" w:cs="Arial"/>
          <w:sz w:val="24"/>
          <w:szCs w:val="24"/>
          <w:lang w:eastAsia="en-GB"/>
        </w:rPr>
      </w:pPr>
      <w:r w:rsidRPr="0071546E">
        <w:rPr>
          <w:noProof/>
          <w:lang w:eastAsia="en-GB"/>
        </w:rPr>
        <w:drawing>
          <wp:inline distT="0" distB="0" distL="0" distR="0" wp14:anchorId="4F52630D" wp14:editId="26AECC08">
            <wp:extent cx="4816549" cy="4454525"/>
            <wp:effectExtent l="0" t="0" r="3175" b="317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44023" cy="4479934"/>
                    </a:xfrm>
                    <a:prstGeom prst="rect">
                      <a:avLst/>
                    </a:prstGeom>
                  </pic:spPr>
                </pic:pic>
              </a:graphicData>
            </a:graphic>
          </wp:inline>
        </w:drawing>
      </w:r>
    </w:p>
    <w:p w:rsidR="00537FBA" w:rsidRPr="0071546E" w:rsidRDefault="00B65E23" w:rsidP="00537FBA">
      <w:pPr>
        <w:spacing w:after="0" w:line="240" w:lineRule="auto"/>
        <w:ind w:left="1021" w:right="454"/>
        <w:jc w:val="both"/>
      </w:pPr>
      <w:r w:rsidRPr="0071546E">
        <w:rPr>
          <w:rFonts w:ascii="Arial" w:eastAsia="Times New Roman" w:hAnsi="Arial" w:cs="Arial"/>
          <w:sz w:val="20"/>
          <w:szCs w:val="20"/>
          <w:lang w:eastAsia="en-GB"/>
        </w:rPr>
        <w:t>Fig 1.19</w:t>
      </w:r>
      <w:r w:rsidR="009B7013" w:rsidRPr="0071546E">
        <w:rPr>
          <w:rFonts w:ascii="Arial" w:eastAsia="Times New Roman" w:hAnsi="Arial" w:cs="Arial"/>
          <w:sz w:val="20"/>
          <w:szCs w:val="20"/>
          <w:lang w:eastAsia="en-GB"/>
        </w:rPr>
        <w:t>.</w:t>
      </w:r>
      <w:r w:rsidRPr="0071546E">
        <w:rPr>
          <w:rFonts w:ascii="Arial" w:eastAsia="Times New Roman" w:hAnsi="Arial" w:cs="Arial"/>
          <w:sz w:val="20"/>
          <w:szCs w:val="20"/>
          <w:lang w:eastAsia="en-GB"/>
        </w:rPr>
        <w:t xml:space="preserve"> </w:t>
      </w:r>
      <w:r w:rsidR="00537FBA" w:rsidRPr="0071546E">
        <w:rPr>
          <w:rFonts w:ascii="Arial" w:eastAsia="Times New Roman" w:hAnsi="Arial" w:cs="Arial"/>
          <w:sz w:val="20"/>
          <w:szCs w:val="20"/>
          <w:lang w:eastAsia="en-GB"/>
        </w:rPr>
        <w:t xml:space="preserve">The tertiary structure of the human </w:t>
      </w:r>
      <w:r w:rsidR="009B7013" w:rsidRPr="0071546E">
        <w:rPr>
          <w:rFonts w:ascii="Arial" w:eastAsia="Times New Roman" w:hAnsi="Arial" w:cs="Arial"/>
          <w:sz w:val="20"/>
          <w:szCs w:val="20"/>
          <w:lang w:eastAsia="en-GB"/>
        </w:rPr>
        <w:t>lysozyme.The</w:t>
      </w:r>
      <w:r w:rsidR="009B7013" w:rsidRPr="0071546E">
        <w:rPr>
          <w:sz w:val="20"/>
          <w:szCs w:val="20"/>
        </w:rPr>
        <w:t xml:space="preserve"> α</w:t>
      </w:r>
      <w:r w:rsidR="00537FBA" w:rsidRPr="0071546E">
        <w:rPr>
          <w:rFonts w:ascii="Arial" w:eastAsia="Times New Roman" w:hAnsi="Arial" w:cs="Arial"/>
          <w:sz w:val="20"/>
          <w:szCs w:val="20"/>
          <w:lang w:eastAsia="en-GB"/>
        </w:rPr>
        <w:t xml:space="preserve"> – helix structure is represented with the letter H and C6 – C188, C30 – C116, C65 – C81 and C77 – C95 shows the disulphide bonds.</w:t>
      </w:r>
      <w:r w:rsidR="00537FBA" w:rsidRPr="0071546E">
        <w:t xml:space="preserve"> Image adapted from (Jafari and Mehrnejad, 2016)</w:t>
      </w:r>
    </w:p>
    <w:p w:rsidR="00C87D88" w:rsidRPr="0071546E" w:rsidRDefault="00537FBA" w:rsidP="00537FBA">
      <w:pPr>
        <w:spacing w:after="0" w:line="240" w:lineRule="auto"/>
        <w:ind w:left="1021" w:right="454"/>
        <w:jc w:val="both"/>
        <w:rPr>
          <w:rFonts w:ascii="Arial" w:eastAsia="Times New Roman" w:hAnsi="Arial" w:cs="Arial"/>
          <w:sz w:val="20"/>
          <w:szCs w:val="20"/>
          <w:lang w:eastAsia="en-GB"/>
        </w:rPr>
      </w:pPr>
      <w:r w:rsidRPr="0071546E">
        <w:rPr>
          <w:rFonts w:ascii="Arial" w:eastAsia="Times New Roman" w:hAnsi="Arial" w:cs="Arial"/>
          <w:sz w:val="20"/>
          <w:szCs w:val="20"/>
          <w:lang w:eastAsia="en-GB"/>
        </w:rPr>
        <w:t xml:space="preserve"> </w:t>
      </w:r>
    </w:p>
    <w:p w:rsidR="00C87D88" w:rsidRPr="0071546E" w:rsidRDefault="00C87D88" w:rsidP="00B65E23">
      <w:pPr>
        <w:spacing w:after="0" w:line="480" w:lineRule="auto"/>
        <w:ind w:right="454"/>
        <w:jc w:val="both"/>
        <w:rPr>
          <w:rFonts w:ascii="Arial" w:eastAsia="Times New Roman" w:hAnsi="Arial" w:cs="Arial"/>
          <w:sz w:val="24"/>
          <w:szCs w:val="24"/>
          <w:lang w:eastAsia="en-GB"/>
        </w:rPr>
      </w:pPr>
    </w:p>
    <w:p w:rsidR="00885D23" w:rsidRPr="0071546E" w:rsidRDefault="00885D23" w:rsidP="00B65E23">
      <w:pPr>
        <w:spacing w:after="0" w:line="480" w:lineRule="auto"/>
        <w:ind w:right="454"/>
        <w:jc w:val="both"/>
        <w:rPr>
          <w:rFonts w:ascii="Arial" w:eastAsia="Times New Roman" w:hAnsi="Arial" w:cs="Arial"/>
          <w:sz w:val="24"/>
          <w:szCs w:val="24"/>
          <w:lang w:eastAsia="en-GB"/>
        </w:rPr>
      </w:pPr>
    </w:p>
    <w:p w:rsidR="00885D23" w:rsidRPr="0071546E" w:rsidRDefault="00885D23" w:rsidP="00B65E23">
      <w:pPr>
        <w:spacing w:after="0" w:line="480" w:lineRule="auto"/>
        <w:ind w:right="454"/>
        <w:jc w:val="both"/>
        <w:rPr>
          <w:rFonts w:ascii="Arial" w:eastAsia="Times New Roman" w:hAnsi="Arial" w:cs="Arial"/>
          <w:sz w:val="24"/>
          <w:szCs w:val="24"/>
          <w:lang w:eastAsia="en-GB"/>
        </w:rPr>
      </w:pPr>
    </w:p>
    <w:p w:rsidR="00885D23" w:rsidRPr="0071546E" w:rsidRDefault="00885D23" w:rsidP="00B65E23">
      <w:pPr>
        <w:spacing w:after="0" w:line="480" w:lineRule="auto"/>
        <w:ind w:right="454"/>
        <w:jc w:val="both"/>
        <w:rPr>
          <w:rFonts w:ascii="Arial" w:eastAsia="Times New Roman" w:hAnsi="Arial" w:cs="Arial"/>
          <w:sz w:val="24"/>
          <w:szCs w:val="24"/>
          <w:lang w:eastAsia="en-GB"/>
        </w:rPr>
      </w:pPr>
    </w:p>
    <w:p w:rsidR="00885D23" w:rsidRPr="0071546E" w:rsidRDefault="00885D23" w:rsidP="00B65E23">
      <w:pPr>
        <w:spacing w:after="0" w:line="480" w:lineRule="auto"/>
        <w:ind w:right="454"/>
        <w:jc w:val="both"/>
        <w:rPr>
          <w:rFonts w:ascii="Arial" w:eastAsia="Times New Roman" w:hAnsi="Arial" w:cs="Arial"/>
          <w:sz w:val="24"/>
          <w:szCs w:val="24"/>
          <w:lang w:eastAsia="en-GB"/>
        </w:rPr>
      </w:pPr>
    </w:p>
    <w:p w:rsidR="00885D23" w:rsidRPr="0071546E" w:rsidRDefault="00885D23" w:rsidP="00B65E23">
      <w:pPr>
        <w:spacing w:after="0" w:line="480" w:lineRule="auto"/>
        <w:ind w:right="454"/>
        <w:jc w:val="both"/>
        <w:rPr>
          <w:rFonts w:ascii="Arial" w:eastAsia="Times New Roman" w:hAnsi="Arial" w:cs="Arial"/>
          <w:sz w:val="24"/>
          <w:szCs w:val="24"/>
          <w:lang w:eastAsia="en-GB"/>
        </w:rPr>
      </w:pPr>
    </w:p>
    <w:p w:rsidR="00885D23" w:rsidRPr="0071546E" w:rsidRDefault="00885D23" w:rsidP="00B65E23">
      <w:pPr>
        <w:spacing w:after="0" w:line="480" w:lineRule="auto"/>
        <w:ind w:right="454"/>
        <w:jc w:val="both"/>
        <w:rPr>
          <w:rFonts w:ascii="Arial" w:eastAsia="Times New Roman" w:hAnsi="Arial" w:cs="Arial"/>
          <w:sz w:val="24"/>
          <w:szCs w:val="24"/>
          <w:lang w:eastAsia="en-GB"/>
        </w:rPr>
      </w:pPr>
    </w:p>
    <w:p w:rsidR="00885D23" w:rsidRPr="0071546E" w:rsidRDefault="00885D23" w:rsidP="00B65E23">
      <w:pPr>
        <w:spacing w:after="0" w:line="480" w:lineRule="auto"/>
        <w:ind w:right="454"/>
        <w:jc w:val="both"/>
        <w:rPr>
          <w:rFonts w:ascii="Arial" w:eastAsia="Times New Roman" w:hAnsi="Arial" w:cs="Arial"/>
          <w:sz w:val="24"/>
          <w:szCs w:val="24"/>
          <w:lang w:eastAsia="en-GB"/>
        </w:rPr>
      </w:pPr>
    </w:p>
    <w:p w:rsidR="00885D23" w:rsidRPr="0071546E" w:rsidRDefault="00885D23" w:rsidP="00B65E23">
      <w:pPr>
        <w:spacing w:after="0" w:line="480" w:lineRule="auto"/>
        <w:ind w:right="454"/>
        <w:jc w:val="both"/>
        <w:rPr>
          <w:rFonts w:ascii="Arial" w:eastAsia="Times New Roman" w:hAnsi="Arial" w:cs="Arial"/>
          <w:sz w:val="24"/>
          <w:szCs w:val="24"/>
          <w:lang w:eastAsia="en-GB"/>
        </w:rPr>
      </w:pPr>
    </w:p>
    <w:p w:rsidR="00537FBA" w:rsidRPr="0071546E" w:rsidRDefault="00537FBA" w:rsidP="00B65E23">
      <w:pPr>
        <w:spacing w:after="0" w:line="480" w:lineRule="auto"/>
        <w:ind w:right="454"/>
        <w:jc w:val="both"/>
        <w:rPr>
          <w:rFonts w:ascii="Arial" w:eastAsia="Times New Roman" w:hAnsi="Arial" w:cs="Arial"/>
          <w:sz w:val="24"/>
          <w:szCs w:val="24"/>
          <w:lang w:eastAsia="en-GB"/>
        </w:rPr>
      </w:pPr>
    </w:p>
    <w:p w:rsidR="00F446C5" w:rsidRPr="0071546E" w:rsidRDefault="00F446C5" w:rsidP="00CF13FE">
      <w:pPr>
        <w:spacing w:after="0" w:line="480" w:lineRule="auto"/>
        <w:ind w:left="1021" w:right="454"/>
        <w:jc w:val="both"/>
        <w:rPr>
          <w:rFonts w:ascii="Arial" w:eastAsia="Times New Roman" w:hAnsi="Arial" w:cs="Arial"/>
          <w:b/>
          <w:sz w:val="24"/>
          <w:szCs w:val="24"/>
          <w:lang w:eastAsia="en-GB"/>
        </w:rPr>
      </w:pPr>
      <w:r w:rsidRPr="0071546E">
        <w:rPr>
          <w:rFonts w:ascii="Arial" w:eastAsia="Times New Roman" w:hAnsi="Arial" w:cs="Arial"/>
          <w:b/>
          <w:sz w:val="24"/>
          <w:szCs w:val="24"/>
          <w:lang w:eastAsia="en-GB"/>
        </w:rPr>
        <w:t xml:space="preserve">1.7.2 Lysis of </w:t>
      </w:r>
      <w:r w:rsidR="00432D1D" w:rsidRPr="0071546E">
        <w:rPr>
          <w:rFonts w:ascii="Arial" w:eastAsia="Times New Roman" w:hAnsi="Arial" w:cs="Arial"/>
          <w:b/>
          <w:i/>
          <w:sz w:val="24"/>
          <w:szCs w:val="24"/>
          <w:lang w:eastAsia="en-GB"/>
        </w:rPr>
        <w:t>Acanthamoeba</w:t>
      </w:r>
      <w:r w:rsidRPr="0071546E">
        <w:rPr>
          <w:rFonts w:ascii="Arial" w:eastAsia="Times New Roman" w:hAnsi="Arial" w:cs="Arial"/>
          <w:b/>
          <w:sz w:val="24"/>
          <w:szCs w:val="24"/>
          <w:lang w:eastAsia="en-GB"/>
        </w:rPr>
        <w:t xml:space="preserve"> cysts. Lysozyme?</w:t>
      </w:r>
    </w:p>
    <w:p w:rsidR="003D0F83" w:rsidRPr="0071546E" w:rsidRDefault="00F446C5" w:rsidP="0008671A">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The ability of lysosome to lyse </w:t>
      </w:r>
      <w:r w:rsidR="00432D1D" w:rsidRPr="0071546E">
        <w:rPr>
          <w:rFonts w:ascii="Arial" w:eastAsia="Times New Roman" w:hAnsi="Arial" w:cs="Arial"/>
          <w:i/>
          <w:sz w:val="24"/>
          <w:szCs w:val="24"/>
          <w:lang w:eastAsia="en-GB"/>
        </w:rPr>
        <w:t>Acanthamoeba</w:t>
      </w:r>
      <w:r w:rsidR="0008671A" w:rsidRPr="0071546E">
        <w:rPr>
          <w:rFonts w:ascii="Arial" w:eastAsia="Times New Roman" w:hAnsi="Arial" w:cs="Arial"/>
          <w:sz w:val="24"/>
          <w:szCs w:val="24"/>
          <w:lang w:eastAsia="en-GB"/>
        </w:rPr>
        <w:t xml:space="preserve"> cyst cell wall could</w:t>
      </w:r>
      <w:r w:rsidRPr="0071546E">
        <w:rPr>
          <w:rFonts w:ascii="Arial" w:eastAsia="Times New Roman" w:hAnsi="Arial" w:cs="Arial"/>
          <w:sz w:val="24"/>
          <w:szCs w:val="24"/>
          <w:lang w:eastAsia="en-GB"/>
        </w:rPr>
        <w:t xml:space="preserve"> be because of its specificity to the cell wall components of the cysts. It is established </w:t>
      </w:r>
      <w:r w:rsidR="0008671A" w:rsidRPr="0071546E">
        <w:rPr>
          <w:rFonts w:ascii="Arial" w:eastAsia="Times New Roman" w:hAnsi="Arial" w:cs="Arial"/>
          <w:sz w:val="24"/>
          <w:szCs w:val="24"/>
          <w:lang w:eastAsia="en-GB"/>
        </w:rPr>
        <w:t>t</w:t>
      </w:r>
      <w:r w:rsidRPr="0071546E">
        <w:rPr>
          <w:rFonts w:ascii="Arial" w:eastAsia="Times New Roman" w:hAnsi="Arial" w:cs="Arial"/>
          <w:sz w:val="24"/>
          <w:szCs w:val="24"/>
          <w:lang w:eastAsia="en-GB"/>
        </w:rPr>
        <w:t xml:space="preserve">hat the cell wall of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contains </w:t>
      </w:r>
      <w:r w:rsidRPr="0071546E">
        <w:rPr>
          <w:rFonts w:ascii="Arial" w:eastAsia="Times New Roman" w:hAnsi="Arial" w:cs="Arial"/>
          <w:bCs/>
          <w:iCs/>
          <w:sz w:val="24"/>
          <w:szCs w:val="24"/>
          <w:lang w:eastAsia="en-GB"/>
        </w:rPr>
        <w:t>polysaccharides</w:t>
      </w:r>
      <w:r w:rsidRPr="0071546E">
        <w:rPr>
          <w:rFonts w:ascii="Arial" w:eastAsia="Times New Roman" w:hAnsi="Arial" w:cs="Arial"/>
          <w:sz w:val="24"/>
          <w:szCs w:val="24"/>
          <w:lang w:eastAsia="en-GB"/>
        </w:rPr>
        <w:t xml:space="preserve"> like galactose cellulose, chitin and other sugars. (Murti, 1973; Dudley, Alsam and Khan, 2007; Lorenzo-Morales et al., 2008; Anwar, Khan and Siddiqui, 2018; Garajová et al., 2019). Lysozyme</w:t>
      </w:r>
      <w:r w:rsidR="0008671A" w:rsidRPr="0071546E">
        <w:rPr>
          <w:rFonts w:ascii="Arial" w:eastAsia="Times New Roman" w:hAnsi="Arial" w:cs="Arial"/>
          <w:sz w:val="24"/>
          <w:szCs w:val="24"/>
          <w:lang w:eastAsia="en-GB"/>
        </w:rPr>
        <w:t xml:space="preserve"> is a muramidase and</w:t>
      </w:r>
      <w:r w:rsidRPr="0071546E">
        <w:rPr>
          <w:rFonts w:ascii="Arial" w:eastAsia="Times New Roman" w:hAnsi="Arial" w:cs="Arial"/>
          <w:sz w:val="24"/>
          <w:szCs w:val="24"/>
          <w:lang w:eastAsia="en-GB"/>
        </w:rPr>
        <w:t xml:space="preserve"> specifically hydrolyse β- 1-4 linkages between </w:t>
      </w:r>
      <w:r w:rsidRPr="0071546E">
        <w:rPr>
          <w:rFonts w:ascii="Arial" w:eastAsia="Times New Roman" w:hAnsi="Arial" w:cs="Arial"/>
          <w:i/>
          <w:sz w:val="24"/>
          <w:szCs w:val="24"/>
          <w:lang w:eastAsia="en-GB"/>
        </w:rPr>
        <w:t>N-acetyl glucosamine</w:t>
      </w:r>
      <w:r w:rsidRPr="0071546E">
        <w:rPr>
          <w:rFonts w:ascii="Arial" w:eastAsia="Times New Roman" w:hAnsi="Arial" w:cs="Arial"/>
          <w:sz w:val="24"/>
          <w:szCs w:val="24"/>
          <w:lang w:eastAsia="en-GB"/>
        </w:rPr>
        <w:t xml:space="preserve"> (</w:t>
      </w:r>
      <w:r w:rsidRPr="0071546E">
        <w:rPr>
          <w:rFonts w:ascii="Arial" w:eastAsia="Times New Roman" w:hAnsi="Arial" w:cs="Arial"/>
          <w:i/>
          <w:sz w:val="24"/>
          <w:szCs w:val="24"/>
          <w:lang w:eastAsia="en-GB"/>
        </w:rPr>
        <w:t>NAG</w:t>
      </w:r>
      <w:r w:rsidRPr="0071546E">
        <w:rPr>
          <w:rFonts w:ascii="Arial" w:eastAsia="Times New Roman" w:hAnsi="Arial" w:cs="Arial"/>
          <w:sz w:val="24"/>
          <w:szCs w:val="24"/>
          <w:lang w:eastAsia="en-GB"/>
        </w:rPr>
        <w:t xml:space="preserve">) and </w:t>
      </w:r>
      <w:r w:rsidRPr="0071546E">
        <w:rPr>
          <w:rFonts w:ascii="Arial" w:eastAsia="Times New Roman" w:hAnsi="Arial" w:cs="Arial"/>
          <w:i/>
          <w:sz w:val="24"/>
          <w:szCs w:val="24"/>
          <w:lang w:eastAsia="en-GB"/>
        </w:rPr>
        <w:t>N- acetyl muramic</w:t>
      </w:r>
      <w:r w:rsidRPr="0071546E">
        <w:rPr>
          <w:rFonts w:ascii="Arial" w:eastAsia="Times New Roman" w:hAnsi="Arial" w:cs="Arial"/>
          <w:sz w:val="24"/>
          <w:szCs w:val="24"/>
          <w:lang w:eastAsia="en-GB"/>
        </w:rPr>
        <w:t xml:space="preserve"> acid (</w:t>
      </w:r>
      <w:r w:rsidRPr="0071546E">
        <w:rPr>
          <w:rFonts w:ascii="Arial" w:eastAsia="Times New Roman" w:hAnsi="Arial" w:cs="Arial"/>
          <w:i/>
          <w:sz w:val="24"/>
          <w:szCs w:val="24"/>
          <w:lang w:eastAsia="en-GB"/>
        </w:rPr>
        <w:t>NAM</w:t>
      </w:r>
      <w:r w:rsidRPr="0071546E">
        <w:rPr>
          <w:rFonts w:ascii="Arial" w:eastAsia="Times New Roman" w:hAnsi="Arial" w:cs="Arial"/>
          <w:sz w:val="24"/>
          <w:szCs w:val="24"/>
          <w:lang w:eastAsia="en-GB"/>
        </w:rPr>
        <w:t>).</w:t>
      </w:r>
      <w:r w:rsidR="0008671A" w:rsidRPr="0071546E">
        <w:rPr>
          <w:rFonts w:ascii="Arial" w:eastAsia="Times New Roman" w:hAnsi="Arial" w:cs="Arial"/>
          <w:sz w:val="24"/>
          <w:szCs w:val="24"/>
          <w:lang w:eastAsia="en-GB"/>
        </w:rPr>
        <w:t xml:space="preserve"> Th</w:t>
      </w:r>
      <w:r w:rsidR="00885D23" w:rsidRPr="0071546E">
        <w:rPr>
          <w:rFonts w:ascii="Arial" w:eastAsia="Times New Roman" w:hAnsi="Arial" w:cs="Arial"/>
          <w:sz w:val="24"/>
          <w:szCs w:val="24"/>
          <w:lang w:eastAsia="en-GB"/>
        </w:rPr>
        <w:t>is</w:t>
      </w:r>
      <w:r w:rsidR="0008671A" w:rsidRPr="0071546E">
        <w:rPr>
          <w:rFonts w:ascii="Arial" w:eastAsia="Times New Roman" w:hAnsi="Arial" w:cs="Arial"/>
          <w:sz w:val="24"/>
          <w:szCs w:val="24"/>
          <w:lang w:eastAsia="en-GB"/>
        </w:rPr>
        <w:t xml:space="preserve"> β- 1-4 linkages are present in polysaccharide sugars like cellulose chitin, galactose and other sugars and </w:t>
      </w:r>
      <w:r w:rsidR="00110230" w:rsidRPr="0071546E">
        <w:rPr>
          <w:rFonts w:ascii="Arial" w:eastAsia="Times New Roman" w:hAnsi="Arial" w:cs="Arial"/>
          <w:sz w:val="24"/>
          <w:szCs w:val="24"/>
          <w:lang w:eastAsia="en-GB"/>
        </w:rPr>
        <w:t>are</w:t>
      </w:r>
      <w:r w:rsidR="0008671A" w:rsidRPr="0071546E">
        <w:rPr>
          <w:rFonts w:ascii="Arial" w:eastAsia="Times New Roman" w:hAnsi="Arial" w:cs="Arial"/>
          <w:sz w:val="24"/>
          <w:szCs w:val="24"/>
          <w:lang w:eastAsia="en-GB"/>
        </w:rPr>
        <w:t xml:space="preserve"> expected to be the substrate for lysozyme. </w:t>
      </w:r>
      <w:r w:rsidRPr="0071546E">
        <w:rPr>
          <w:rFonts w:ascii="Arial" w:eastAsia="Times New Roman" w:hAnsi="Arial" w:cs="Arial"/>
          <w:sz w:val="24"/>
          <w:szCs w:val="24"/>
          <w:lang w:eastAsia="en-GB"/>
        </w:rPr>
        <w:t xml:space="preserve"> The structural resemblance of lysozyme to chitinases have been reported and this structural resemblance gives some lysozyme the capacity to hydrolyse chitins. (Wohlkönig et al., 2010). Other reports have suggested the specificity of lysozyme to glucose-glucose linkages (Zehavi et al., 1968; Alcorlo et al., 2017). </w:t>
      </w:r>
    </w:p>
    <w:p w:rsidR="0008671A" w:rsidRPr="0071546E" w:rsidRDefault="00374867" w:rsidP="00374867">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Zehavi </w:t>
      </w:r>
      <w:r w:rsidR="00885D23" w:rsidRPr="0071546E">
        <w:rPr>
          <w:rFonts w:ascii="Arial" w:eastAsia="Times New Roman" w:hAnsi="Arial" w:cs="Arial"/>
          <w:sz w:val="24"/>
          <w:szCs w:val="24"/>
          <w:lang w:eastAsia="en-GB"/>
        </w:rPr>
        <w:t>et al (1968) reported</w:t>
      </w:r>
      <w:r w:rsidR="00F446C5" w:rsidRPr="0071546E">
        <w:rPr>
          <w:rFonts w:ascii="Arial" w:eastAsia="Times New Roman" w:hAnsi="Arial" w:cs="Arial"/>
          <w:sz w:val="24"/>
          <w:szCs w:val="24"/>
          <w:lang w:eastAsia="en-GB"/>
        </w:rPr>
        <w:t xml:space="preserve"> that the active site of lysozyme can accommodate six sugars</w:t>
      </w:r>
      <w:r w:rsidR="0008671A" w:rsidRPr="0071546E">
        <w:rPr>
          <w:rFonts w:ascii="Arial" w:eastAsia="Times New Roman" w:hAnsi="Arial" w:cs="Arial"/>
          <w:sz w:val="24"/>
          <w:szCs w:val="24"/>
          <w:lang w:eastAsia="en-GB"/>
        </w:rPr>
        <w:t xml:space="preserve"> and that </w:t>
      </w:r>
      <w:r w:rsidRPr="0071546E">
        <w:rPr>
          <w:rFonts w:ascii="Arial" w:eastAsia="Times New Roman" w:hAnsi="Arial" w:cs="Arial"/>
          <w:sz w:val="24"/>
          <w:szCs w:val="24"/>
          <w:lang w:eastAsia="en-GB"/>
        </w:rPr>
        <w:t>the hydrolysis</w:t>
      </w:r>
      <w:r w:rsidR="00F446C5" w:rsidRPr="0071546E">
        <w:rPr>
          <w:rFonts w:ascii="Arial" w:eastAsia="Times New Roman" w:hAnsi="Arial" w:cs="Arial"/>
          <w:sz w:val="24"/>
          <w:szCs w:val="24"/>
          <w:lang w:eastAsia="en-GB"/>
        </w:rPr>
        <w:t xml:space="preserve"> of </w:t>
      </w:r>
      <w:r w:rsidR="002C2939" w:rsidRPr="0071546E">
        <w:rPr>
          <w:rFonts w:ascii="Arial" w:eastAsia="Times New Roman" w:hAnsi="Arial" w:cs="Arial"/>
          <w:sz w:val="24"/>
          <w:szCs w:val="24"/>
          <w:lang w:eastAsia="en-GB"/>
        </w:rPr>
        <w:t xml:space="preserve">the </w:t>
      </w:r>
      <w:r w:rsidR="00F446C5" w:rsidRPr="0071546E">
        <w:rPr>
          <w:rFonts w:ascii="Arial" w:eastAsia="Times New Roman" w:hAnsi="Arial" w:cs="Arial"/>
          <w:sz w:val="24"/>
          <w:szCs w:val="24"/>
          <w:lang w:eastAsia="en-GB"/>
        </w:rPr>
        <w:t>glycose-glucose bond is 50 times slower compared to NAG and NAM</w:t>
      </w:r>
      <w:r w:rsidRPr="0071546E">
        <w:rPr>
          <w:rFonts w:ascii="Arial" w:eastAsia="Times New Roman" w:hAnsi="Arial" w:cs="Arial"/>
          <w:sz w:val="24"/>
          <w:szCs w:val="24"/>
          <w:lang w:eastAsia="en-GB"/>
        </w:rPr>
        <w:t>.  We assume</w:t>
      </w:r>
      <w:r w:rsidR="00F446C5" w:rsidRPr="0071546E">
        <w:rPr>
          <w:rFonts w:ascii="Arial" w:eastAsia="Times New Roman" w:hAnsi="Arial" w:cs="Arial"/>
          <w:sz w:val="24"/>
          <w:szCs w:val="24"/>
          <w:lang w:eastAsia="en-GB"/>
        </w:rPr>
        <w:t xml:space="preserve"> that the reason behind lysozymes ability to hydrolyse </w:t>
      </w:r>
      <w:r w:rsidR="00432D1D" w:rsidRPr="0071546E">
        <w:rPr>
          <w:rFonts w:ascii="Arial" w:eastAsia="Times New Roman" w:hAnsi="Arial" w:cs="Arial"/>
          <w:i/>
          <w:sz w:val="24"/>
          <w:szCs w:val="24"/>
          <w:lang w:eastAsia="en-GB"/>
        </w:rPr>
        <w:t>Acanthamoeba</w:t>
      </w:r>
      <w:r w:rsidR="00F446C5"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 xml:space="preserve">cyst cell wall is its specificity to β- 1-4 linkages which are found in chitin and </w:t>
      </w:r>
      <w:r w:rsidR="00F446C5" w:rsidRPr="0071546E">
        <w:rPr>
          <w:rFonts w:ascii="Arial" w:eastAsia="Times New Roman" w:hAnsi="Arial" w:cs="Arial"/>
          <w:sz w:val="24"/>
          <w:szCs w:val="24"/>
          <w:lang w:eastAsia="en-GB"/>
        </w:rPr>
        <w:t xml:space="preserve">cellulose </w:t>
      </w:r>
      <w:r w:rsidRPr="0071546E">
        <w:rPr>
          <w:rFonts w:ascii="Arial" w:eastAsia="Times New Roman" w:hAnsi="Arial" w:cs="Arial"/>
          <w:sz w:val="24"/>
          <w:szCs w:val="24"/>
          <w:lang w:eastAsia="en-GB"/>
        </w:rPr>
        <w:t xml:space="preserve">the major polysaccharides found in </w:t>
      </w:r>
      <w:r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cysts cell wall. Future scientific work will be needed to verify this hypothesis.</w:t>
      </w:r>
    </w:p>
    <w:p w:rsidR="00374867" w:rsidRPr="0071546E" w:rsidRDefault="00374867" w:rsidP="00374867">
      <w:pPr>
        <w:spacing w:after="0" w:line="480" w:lineRule="auto"/>
        <w:ind w:left="1021" w:right="454"/>
        <w:jc w:val="both"/>
        <w:rPr>
          <w:rFonts w:ascii="Arial" w:hAnsi="Arial" w:cs="Arial"/>
          <w:b/>
          <w:sz w:val="24"/>
          <w:szCs w:val="24"/>
        </w:rPr>
      </w:pPr>
    </w:p>
    <w:p w:rsidR="0008671A" w:rsidRPr="0071546E" w:rsidRDefault="0008671A" w:rsidP="00CF13FE">
      <w:pPr>
        <w:spacing w:line="480" w:lineRule="auto"/>
        <w:ind w:left="1021" w:right="454"/>
        <w:rPr>
          <w:rFonts w:ascii="Arial" w:hAnsi="Arial" w:cs="Arial"/>
          <w:b/>
          <w:sz w:val="24"/>
          <w:szCs w:val="24"/>
        </w:rPr>
      </w:pPr>
    </w:p>
    <w:p w:rsidR="00725033" w:rsidRPr="0071546E" w:rsidRDefault="00725033" w:rsidP="00CF13FE">
      <w:pPr>
        <w:spacing w:line="480" w:lineRule="auto"/>
        <w:ind w:left="1021" w:right="454"/>
        <w:rPr>
          <w:rFonts w:ascii="Arial" w:hAnsi="Arial" w:cs="Arial"/>
          <w:b/>
          <w:sz w:val="24"/>
          <w:szCs w:val="24"/>
        </w:rPr>
      </w:pPr>
      <w:r w:rsidRPr="0071546E">
        <w:rPr>
          <w:rFonts w:ascii="Arial" w:hAnsi="Arial" w:cs="Arial"/>
          <w:b/>
          <w:sz w:val="24"/>
          <w:szCs w:val="24"/>
        </w:rPr>
        <w:t>1.8 Drugs and compound for susceptibility assays.</w:t>
      </w:r>
    </w:p>
    <w:p w:rsidR="00885D23" w:rsidRPr="0071546E" w:rsidRDefault="00725033" w:rsidP="00CF13FE">
      <w:pPr>
        <w:spacing w:line="480" w:lineRule="auto"/>
        <w:ind w:left="1021" w:right="454"/>
        <w:jc w:val="both"/>
        <w:rPr>
          <w:rFonts w:ascii="Arial" w:hAnsi="Arial" w:cs="Arial"/>
          <w:sz w:val="24"/>
          <w:szCs w:val="24"/>
        </w:rPr>
      </w:pPr>
      <w:r w:rsidRPr="0071546E">
        <w:rPr>
          <w:rFonts w:ascii="Arial" w:hAnsi="Arial" w:cs="Arial"/>
          <w:sz w:val="24"/>
          <w:szCs w:val="24"/>
        </w:rPr>
        <w:t xml:space="preserve">The response of </w:t>
      </w:r>
      <w:r w:rsidR="00432D1D" w:rsidRPr="0071546E">
        <w:rPr>
          <w:rFonts w:ascii="Arial" w:hAnsi="Arial" w:cs="Arial"/>
          <w:i/>
          <w:sz w:val="24"/>
          <w:szCs w:val="24"/>
        </w:rPr>
        <w:t>Acanthamoeba</w:t>
      </w:r>
      <w:r w:rsidRPr="0071546E">
        <w:rPr>
          <w:rFonts w:ascii="Arial" w:hAnsi="Arial" w:cs="Arial"/>
          <w:sz w:val="24"/>
          <w:szCs w:val="24"/>
        </w:rPr>
        <w:t xml:space="preserve"> to different compounds has been studied and reported see</w:t>
      </w:r>
      <w:r w:rsidR="00885D23" w:rsidRPr="0071546E">
        <w:rPr>
          <w:rFonts w:ascii="Arial" w:hAnsi="Arial" w:cs="Arial"/>
          <w:sz w:val="24"/>
          <w:szCs w:val="24"/>
        </w:rPr>
        <w:t xml:space="preserve"> page 21</w:t>
      </w:r>
      <w:r w:rsidRPr="0071546E">
        <w:rPr>
          <w:rFonts w:ascii="Arial" w:hAnsi="Arial" w:cs="Arial"/>
          <w:sz w:val="24"/>
          <w:szCs w:val="24"/>
        </w:rPr>
        <w:t>. Typically, most</w:t>
      </w:r>
      <w:r w:rsidR="00FE4D6F" w:rsidRPr="0071546E">
        <w:rPr>
          <w:rFonts w:ascii="Arial" w:hAnsi="Arial" w:cs="Arial"/>
          <w:sz w:val="24"/>
          <w:szCs w:val="24"/>
        </w:rPr>
        <w:t xml:space="preserve"> susceptibility assay </w:t>
      </w:r>
      <w:r w:rsidR="00223381" w:rsidRPr="0071546E">
        <w:rPr>
          <w:rFonts w:ascii="Arial" w:hAnsi="Arial" w:cs="Arial"/>
          <w:sz w:val="24"/>
          <w:szCs w:val="24"/>
        </w:rPr>
        <w:t xml:space="preserve">reports with </w:t>
      </w:r>
      <w:r w:rsidR="00223381" w:rsidRPr="0071546E">
        <w:rPr>
          <w:rFonts w:ascii="Arial" w:hAnsi="Arial" w:cs="Arial"/>
          <w:i/>
          <w:sz w:val="24"/>
          <w:szCs w:val="24"/>
        </w:rPr>
        <w:t>Acanthamoeba</w:t>
      </w:r>
      <w:r w:rsidRPr="0071546E">
        <w:rPr>
          <w:rFonts w:ascii="Arial" w:hAnsi="Arial" w:cs="Arial"/>
          <w:sz w:val="24"/>
          <w:szCs w:val="24"/>
        </w:rPr>
        <w:t xml:space="preserve"> rely on </w:t>
      </w:r>
      <w:r w:rsidR="004904E2" w:rsidRPr="0071546E">
        <w:rPr>
          <w:rFonts w:ascii="Arial" w:hAnsi="Arial" w:cs="Arial"/>
          <w:sz w:val="24"/>
          <w:szCs w:val="24"/>
        </w:rPr>
        <w:t xml:space="preserve">the </w:t>
      </w:r>
      <w:r w:rsidRPr="0071546E">
        <w:rPr>
          <w:rFonts w:ascii="Arial" w:hAnsi="Arial" w:cs="Arial"/>
          <w:sz w:val="24"/>
          <w:szCs w:val="24"/>
        </w:rPr>
        <w:t xml:space="preserve">terminal </w:t>
      </w:r>
      <w:r w:rsidR="00580FC0" w:rsidRPr="0071546E">
        <w:rPr>
          <w:rFonts w:ascii="Arial" w:hAnsi="Arial" w:cs="Arial"/>
          <w:sz w:val="24"/>
          <w:szCs w:val="24"/>
        </w:rPr>
        <w:t>sub</w:t>
      </w:r>
      <w:r w:rsidR="00FE4D6F" w:rsidRPr="0071546E">
        <w:rPr>
          <w:rFonts w:ascii="Arial" w:hAnsi="Arial" w:cs="Arial"/>
          <w:sz w:val="24"/>
          <w:szCs w:val="24"/>
        </w:rPr>
        <w:t>-</w:t>
      </w:r>
      <w:r w:rsidR="00580FC0" w:rsidRPr="0071546E">
        <w:rPr>
          <w:rFonts w:ascii="Arial" w:hAnsi="Arial" w:cs="Arial"/>
          <w:sz w:val="24"/>
          <w:szCs w:val="24"/>
        </w:rPr>
        <w:t>culturing</w:t>
      </w:r>
      <w:r w:rsidR="00537B8B" w:rsidRPr="0071546E">
        <w:rPr>
          <w:rFonts w:ascii="Arial" w:hAnsi="Arial" w:cs="Arial"/>
          <w:sz w:val="24"/>
          <w:szCs w:val="24"/>
        </w:rPr>
        <w:t xml:space="preserve"> of cyst</w:t>
      </w:r>
      <w:r w:rsidRPr="0071546E">
        <w:rPr>
          <w:rFonts w:ascii="Arial" w:hAnsi="Arial" w:cs="Arial"/>
          <w:sz w:val="24"/>
          <w:szCs w:val="24"/>
        </w:rPr>
        <w:t xml:space="preserve"> cells expose to test compounds to determine its viability</w:t>
      </w:r>
      <w:r w:rsidR="00FE4D6F" w:rsidRPr="0071546E">
        <w:rPr>
          <w:rFonts w:ascii="Arial" w:hAnsi="Arial" w:cs="Arial"/>
          <w:sz w:val="24"/>
          <w:szCs w:val="24"/>
        </w:rPr>
        <w:t>, otherwise known as regrowth assay</w:t>
      </w:r>
      <w:r w:rsidR="00223381" w:rsidRPr="0071546E">
        <w:rPr>
          <w:color w:val="000000"/>
        </w:rPr>
        <w:t xml:space="preserve"> </w:t>
      </w:r>
      <w:r w:rsidR="00223381" w:rsidRPr="0071546E">
        <w:rPr>
          <w:rFonts w:ascii="Arial" w:hAnsi="Arial" w:cs="Arial"/>
          <w:sz w:val="24"/>
          <w:szCs w:val="24"/>
        </w:rPr>
        <w:t>(Baig, Iqbal and Khan, 2013)</w:t>
      </w:r>
      <w:r w:rsidRPr="0071546E">
        <w:rPr>
          <w:rFonts w:ascii="Arial" w:hAnsi="Arial" w:cs="Arial"/>
          <w:sz w:val="24"/>
          <w:szCs w:val="24"/>
        </w:rPr>
        <w:t xml:space="preserve">. Though </w:t>
      </w:r>
      <w:r w:rsidR="00580FC0" w:rsidRPr="0071546E">
        <w:rPr>
          <w:rFonts w:ascii="Arial" w:hAnsi="Arial" w:cs="Arial"/>
          <w:sz w:val="24"/>
          <w:szCs w:val="24"/>
        </w:rPr>
        <w:t>effective, it</w:t>
      </w:r>
      <w:r w:rsidRPr="0071546E">
        <w:rPr>
          <w:rFonts w:ascii="Arial" w:hAnsi="Arial" w:cs="Arial"/>
          <w:sz w:val="24"/>
          <w:szCs w:val="24"/>
        </w:rPr>
        <w:t xml:space="preserve"> lacks statistical information regarding </w:t>
      </w:r>
      <w:r w:rsidR="002C2939" w:rsidRPr="0071546E">
        <w:rPr>
          <w:rFonts w:ascii="Arial" w:hAnsi="Arial" w:cs="Arial"/>
          <w:sz w:val="24"/>
          <w:szCs w:val="24"/>
        </w:rPr>
        <w:t xml:space="preserve">the </w:t>
      </w:r>
      <w:r w:rsidRPr="0071546E">
        <w:rPr>
          <w:rFonts w:ascii="Arial" w:hAnsi="Arial" w:cs="Arial"/>
          <w:sz w:val="24"/>
          <w:szCs w:val="24"/>
        </w:rPr>
        <w:t xml:space="preserve">response pattern of </w:t>
      </w:r>
      <w:r w:rsidR="002C2939" w:rsidRPr="0071546E">
        <w:rPr>
          <w:rFonts w:ascii="Arial" w:hAnsi="Arial" w:cs="Arial"/>
          <w:sz w:val="24"/>
          <w:szCs w:val="24"/>
        </w:rPr>
        <w:t xml:space="preserve">an </w:t>
      </w:r>
      <w:r w:rsidRPr="0071546E">
        <w:rPr>
          <w:rFonts w:ascii="Arial" w:hAnsi="Arial" w:cs="Arial"/>
          <w:sz w:val="24"/>
          <w:szCs w:val="24"/>
        </w:rPr>
        <w:t>amoeba to these drugs. As explained earlier not all viability assay method can be adaptable for both morphological form and bec</w:t>
      </w:r>
      <w:r w:rsidR="00537B8B" w:rsidRPr="0071546E">
        <w:rPr>
          <w:rFonts w:ascii="Arial" w:hAnsi="Arial" w:cs="Arial"/>
          <w:sz w:val="24"/>
          <w:szCs w:val="24"/>
        </w:rPr>
        <w:t>ause of this, the response kinetics of potential active therapeutic</w:t>
      </w:r>
      <w:r w:rsidRPr="0071546E">
        <w:rPr>
          <w:rFonts w:ascii="Arial" w:hAnsi="Arial" w:cs="Arial"/>
          <w:sz w:val="24"/>
          <w:szCs w:val="24"/>
        </w:rPr>
        <w:t xml:space="preserve"> compounds </w:t>
      </w:r>
      <w:r w:rsidR="00537B8B" w:rsidRPr="0071546E">
        <w:rPr>
          <w:rFonts w:ascii="Arial" w:hAnsi="Arial" w:cs="Arial"/>
          <w:sz w:val="24"/>
          <w:szCs w:val="24"/>
        </w:rPr>
        <w:t xml:space="preserve">against </w:t>
      </w:r>
      <w:r w:rsidR="00537B8B" w:rsidRPr="0071546E">
        <w:rPr>
          <w:rFonts w:ascii="Arial" w:hAnsi="Arial" w:cs="Arial"/>
          <w:i/>
          <w:sz w:val="24"/>
          <w:szCs w:val="24"/>
        </w:rPr>
        <w:t>Acanthamoeba</w:t>
      </w:r>
      <w:r w:rsidR="00537B8B" w:rsidRPr="0071546E">
        <w:rPr>
          <w:rFonts w:ascii="Arial" w:hAnsi="Arial" w:cs="Arial"/>
          <w:sz w:val="24"/>
          <w:szCs w:val="24"/>
        </w:rPr>
        <w:t xml:space="preserve"> cysts have not been established</w:t>
      </w:r>
      <w:r w:rsidRPr="0071546E">
        <w:rPr>
          <w:rFonts w:ascii="Arial" w:hAnsi="Arial" w:cs="Arial"/>
          <w:sz w:val="24"/>
          <w:szCs w:val="24"/>
        </w:rPr>
        <w:t>.  To close these gaps, it was</w:t>
      </w:r>
      <w:r w:rsidR="00537B8B" w:rsidRPr="0071546E">
        <w:rPr>
          <w:rFonts w:ascii="Arial" w:hAnsi="Arial" w:cs="Arial"/>
          <w:sz w:val="24"/>
          <w:szCs w:val="24"/>
        </w:rPr>
        <w:t xml:space="preserve"> important to develop a susceptibility assay method which not only shows,</w:t>
      </w:r>
      <w:r w:rsidR="00C92497" w:rsidRPr="0071546E">
        <w:rPr>
          <w:rFonts w:ascii="Arial" w:hAnsi="Arial" w:cs="Arial"/>
          <w:sz w:val="24"/>
          <w:szCs w:val="24"/>
        </w:rPr>
        <w:t xml:space="preserve"> cytotoxicity but also presents its kinetics</w:t>
      </w:r>
      <w:r w:rsidRPr="0071546E">
        <w:rPr>
          <w:rFonts w:ascii="Arial" w:hAnsi="Arial" w:cs="Arial"/>
          <w:sz w:val="24"/>
          <w:szCs w:val="24"/>
        </w:rPr>
        <w:t xml:space="preserve">. </w:t>
      </w:r>
      <w:r w:rsidR="00C92497" w:rsidRPr="0071546E">
        <w:rPr>
          <w:rFonts w:ascii="Arial" w:hAnsi="Arial" w:cs="Arial"/>
          <w:sz w:val="24"/>
          <w:szCs w:val="24"/>
        </w:rPr>
        <w:t xml:space="preserve"> Four anti-microbial compounds were used as </w:t>
      </w:r>
      <w:r w:rsidR="00110230" w:rsidRPr="0071546E">
        <w:rPr>
          <w:rFonts w:ascii="Arial" w:hAnsi="Arial" w:cs="Arial"/>
          <w:sz w:val="24"/>
          <w:szCs w:val="24"/>
        </w:rPr>
        <w:t xml:space="preserve">a </w:t>
      </w:r>
      <w:r w:rsidR="00C92497" w:rsidRPr="0071546E">
        <w:rPr>
          <w:rFonts w:ascii="Arial" w:hAnsi="Arial" w:cs="Arial"/>
          <w:sz w:val="24"/>
          <w:szCs w:val="24"/>
        </w:rPr>
        <w:t xml:space="preserve">test: </w:t>
      </w:r>
      <w:r w:rsidR="00DE4D94" w:rsidRPr="0071546E">
        <w:rPr>
          <w:rFonts w:ascii="Arial" w:hAnsi="Arial" w:cs="Arial"/>
          <w:sz w:val="24"/>
          <w:szCs w:val="24"/>
        </w:rPr>
        <w:t>povidone</w:t>
      </w:r>
      <w:r w:rsidR="00563D9A" w:rsidRPr="0071546E">
        <w:rPr>
          <w:rFonts w:ascii="Arial" w:hAnsi="Arial" w:cs="Arial"/>
          <w:sz w:val="24"/>
          <w:szCs w:val="24"/>
        </w:rPr>
        <w:t>-</w:t>
      </w:r>
      <w:r w:rsidR="00DE4D94" w:rsidRPr="0071546E">
        <w:rPr>
          <w:rFonts w:ascii="Arial" w:hAnsi="Arial" w:cs="Arial"/>
          <w:sz w:val="24"/>
          <w:szCs w:val="24"/>
        </w:rPr>
        <w:t>iodine, c</w:t>
      </w:r>
      <w:r w:rsidR="00C4402E" w:rsidRPr="0071546E">
        <w:rPr>
          <w:rFonts w:ascii="Arial" w:hAnsi="Arial" w:cs="Arial"/>
          <w:sz w:val="24"/>
          <w:szCs w:val="24"/>
        </w:rPr>
        <w:t>aspofungin, m</w:t>
      </w:r>
      <w:r w:rsidRPr="0071546E">
        <w:rPr>
          <w:rFonts w:ascii="Arial" w:hAnsi="Arial" w:cs="Arial"/>
          <w:sz w:val="24"/>
          <w:szCs w:val="24"/>
        </w:rPr>
        <w:t xml:space="preserve">iltefosine and amphotericin B. </w:t>
      </w:r>
      <w:r w:rsidR="00885D23" w:rsidRPr="0071546E">
        <w:rPr>
          <w:rFonts w:ascii="Arial" w:hAnsi="Arial" w:cs="Arial"/>
          <w:sz w:val="24"/>
          <w:szCs w:val="24"/>
        </w:rPr>
        <w:t>These compounds were selected considering they all exhibit a different mode of action, hence validates and shows reproducibility of assay during different biochemical reactions.</w:t>
      </w:r>
    </w:p>
    <w:p w:rsidR="00885D23" w:rsidRPr="0071546E" w:rsidRDefault="00885D23" w:rsidP="00CF13FE">
      <w:pPr>
        <w:spacing w:line="480" w:lineRule="auto"/>
        <w:ind w:left="1021" w:right="454"/>
        <w:jc w:val="both"/>
        <w:rPr>
          <w:rFonts w:ascii="Arial" w:hAnsi="Arial" w:cs="Arial"/>
          <w:sz w:val="24"/>
          <w:szCs w:val="24"/>
        </w:rPr>
      </w:pPr>
    </w:p>
    <w:p w:rsidR="00885D23" w:rsidRPr="0071546E" w:rsidRDefault="00885D23" w:rsidP="00CF13FE">
      <w:pPr>
        <w:spacing w:line="480" w:lineRule="auto"/>
        <w:ind w:left="1021" w:right="454"/>
        <w:jc w:val="both"/>
        <w:rPr>
          <w:rFonts w:ascii="Arial" w:hAnsi="Arial" w:cs="Arial"/>
          <w:sz w:val="24"/>
          <w:szCs w:val="24"/>
        </w:rPr>
      </w:pPr>
    </w:p>
    <w:p w:rsidR="00885D23" w:rsidRPr="0071546E" w:rsidRDefault="00885D23" w:rsidP="00CF13FE">
      <w:pPr>
        <w:spacing w:line="480" w:lineRule="auto"/>
        <w:ind w:left="1021" w:right="454"/>
        <w:jc w:val="both"/>
        <w:rPr>
          <w:rFonts w:ascii="Arial" w:hAnsi="Arial" w:cs="Arial"/>
          <w:sz w:val="24"/>
          <w:szCs w:val="24"/>
        </w:rPr>
      </w:pPr>
    </w:p>
    <w:p w:rsidR="00885D23" w:rsidRPr="0071546E" w:rsidRDefault="00885D23" w:rsidP="00CF13FE">
      <w:pPr>
        <w:spacing w:line="480" w:lineRule="auto"/>
        <w:ind w:left="1021" w:right="454"/>
        <w:jc w:val="both"/>
        <w:rPr>
          <w:rFonts w:ascii="Arial" w:hAnsi="Arial" w:cs="Arial"/>
          <w:sz w:val="24"/>
          <w:szCs w:val="24"/>
        </w:rPr>
      </w:pPr>
    </w:p>
    <w:p w:rsidR="00885D23" w:rsidRPr="0071546E" w:rsidRDefault="00885D23" w:rsidP="00885D23">
      <w:pPr>
        <w:spacing w:line="480" w:lineRule="auto"/>
        <w:ind w:right="454"/>
        <w:jc w:val="both"/>
        <w:rPr>
          <w:rFonts w:ascii="Arial" w:hAnsi="Arial" w:cs="Arial"/>
          <w:sz w:val="24"/>
          <w:szCs w:val="24"/>
        </w:rPr>
      </w:pPr>
    </w:p>
    <w:p w:rsidR="00725033" w:rsidRPr="0071546E" w:rsidRDefault="00725033" w:rsidP="00CF13FE">
      <w:pPr>
        <w:pStyle w:val="Heading2"/>
        <w:ind w:left="1021" w:right="454"/>
      </w:pPr>
      <w:bookmarkStart w:id="44" w:name="_Toc14711414"/>
      <w:r w:rsidRPr="0071546E">
        <w:t>1.8.1 Povidone</w:t>
      </w:r>
      <w:r w:rsidR="002C2939" w:rsidRPr="0071546E">
        <w:t>-</w:t>
      </w:r>
      <w:r w:rsidRPr="0071546E">
        <w:t>iodine</w:t>
      </w:r>
      <w:bookmarkEnd w:id="44"/>
    </w:p>
    <w:p w:rsidR="00885D23" w:rsidRPr="0071546E" w:rsidRDefault="00725033" w:rsidP="00885D23">
      <w:pPr>
        <w:spacing w:line="480" w:lineRule="auto"/>
        <w:ind w:left="1021" w:right="454"/>
        <w:jc w:val="both"/>
        <w:rPr>
          <w:rFonts w:ascii="Arial" w:hAnsi="Arial" w:cs="Arial"/>
          <w:sz w:val="24"/>
          <w:szCs w:val="24"/>
        </w:rPr>
      </w:pPr>
      <w:r w:rsidRPr="0071546E">
        <w:rPr>
          <w:rFonts w:ascii="Arial" w:hAnsi="Arial" w:cs="Arial"/>
          <w:sz w:val="24"/>
          <w:szCs w:val="24"/>
        </w:rPr>
        <w:t>Povidone</w:t>
      </w:r>
      <w:r w:rsidR="002C2939" w:rsidRPr="0071546E">
        <w:rPr>
          <w:rFonts w:ascii="Arial" w:hAnsi="Arial" w:cs="Arial"/>
          <w:sz w:val="24"/>
          <w:szCs w:val="24"/>
        </w:rPr>
        <w:t>-</w:t>
      </w:r>
      <w:r w:rsidRPr="0071546E">
        <w:rPr>
          <w:rFonts w:ascii="Arial" w:hAnsi="Arial" w:cs="Arial"/>
          <w:sz w:val="24"/>
          <w:szCs w:val="24"/>
        </w:rPr>
        <w:t>iodine is a compound containing an iodine complex and a water-soluble polymer called polyvinylpyrrolidone. It is an io</w:t>
      </w:r>
      <w:r w:rsidR="002C2939" w:rsidRPr="0071546E">
        <w:rPr>
          <w:rFonts w:ascii="Arial" w:hAnsi="Arial" w:cs="Arial"/>
          <w:sz w:val="24"/>
          <w:szCs w:val="24"/>
        </w:rPr>
        <w:t>n</w:t>
      </w:r>
      <w:r w:rsidRPr="0071546E">
        <w:rPr>
          <w:rFonts w:ascii="Arial" w:hAnsi="Arial" w:cs="Arial"/>
          <w:sz w:val="24"/>
          <w:szCs w:val="24"/>
        </w:rPr>
        <w:t xml:space="preserve">ophore because it is a carrier of iodine. Iodine is </w:t>
      </w:r>
      <w:r w:rsidR="002C2939" w:rsidRPr="0071546E">
        <w:rPr>
          <w:rFonts w:ascii="Arial" w:hAnsi="Arial" w:cs="Arial"/>
          <w:sz w:val="24"/>
          <w:szCs w:val="24"/>
        </w:rPr>
        <w:t>an</w:t>
      </w:r>
      <w:r w:rsidRPr="0071546E">
        <w:rPr>
          <w:rFonts w:ascii="Arial" w:hAnsi="Arial" w:cs="Arial"/>
          <w:sz w:val="24"/>
          <w:szCs w:val="24"/>
        </w:rPr>
        <w:t xml:space="preserve"> active molecule that causes antimicrobial effects. </w:t>
      </w:r>
      <w:r w:rsidR="002C2939" w:rsidRPr="0071546E">
        <w:rPr>
          <w:rFonts w:ascii="Arial" w:hAnsi="Arial" w:cs="Arial"/>
          <w:sz w:val="24"/>
          <w:szCs w:val="24"/>
        </w:rPr>
        <w:t>The p</w:t>
      </w:r>
      <w:r w:rsidRPr="0071546E">
        <w:rPr>
          <w:rFonts w:ascii="Arial" w:hAnsi="Arial" w:cs="Arial"/>
          <w:sz w:val="24"/>
          <w:szCs w:val="24"/>
        </w:rPr>
        <w:t xml:space="preserve">ovidone-iodine complex is a powerful antimicrobial disinfectant, which has shown strong anti-amoebic properties in </w:t>
      </w:r>
      <w:r w:rsidRPr="0071546E">
        <w:rPr>
          <w:rFonts w:ascii="Arial" w:hAnsi="Arial" w:cs="Arial"/>
          <w:i/>
          <w:sz w:val="24"/>
          <w:szCs w:val="24"/>
        </w:rPr>
        <w:t>in-vitro</w:t>
      </w:r>
      <w:r w:rsidR="00C4402E" w:rsidRPr="0071546E">
        <w:rPr>
          <w:rFonts w:ascii="Arial" w:hAnsi="Arial" w:cs="Arial"/>
          <w:sz w:val="24"/>
          <w:szCs w:val="24"/>
        </w:rPr>
        <w:t xml:space="preserve"> experiments (Padzik et al., 2018). The</w:t>
      </w:r>
      <w:r w:rsidRPr="0071546E">
        <w:rPr>
          <w:rFonts w:ascii="Arial" w:hAnsi="Arial" w:cs="Arial"/>
          <w:sz w:val="24"/>
          <w:szCs w:val="24"/>
        </w:rPr>
        <w:t xml:space="preserve"> antimicrobial action of povidone ensues after the dissociation of iodine from the </w:t>
      </w:r>
      <w:r w:rsidR="002F03D1" w:rsidRPr="0071546E">
        <w:rPr>
          <w:rFonts w:ascii="Arial" w:hAnsi="Arial" w:cs="Arial"/>
          <w:sz w:val="24"/>
          <w:szCs w:val="24"/>
        </w:rPr>
        <w:t xml:space="preserve">povidone-iodine </w:t>
      </w:r>
      <w:r w:rsidRPr="0071546E">
        <w:rPr>
          <w:rFonts w:ascii="Arial" w:hAnsi="Arial" w:cs="Arial"/>
          <w:sz w:val="24"/>
          <w:szCs w:val="24"/>
        </w:rPr>
        <w:t>complex. When in its free form, iodine rapidly penetrates the cell wall of microbes and interacts with the nucleotides, proteins and fatty acids in the cytoplasm. This interaction results in the disruption of the structure and the synthesis of nucleic acid. Thought the exact interaction mechanism is not particularly clear, iodine thought to cause the oxidation of nucleotides fatty acids in the cell membranes of microbe. Additionally, free iodine from the PVP-complex interrupts the functions of the key metabolic enzymes in the respiratory chain, causing them to beco</w:t>
      </w:r>
      <w:r w:rsidR="00D32381" w:rsidRPr="0071546E">
        <w:rPr>
          <w:rFonts w:ascii="Arial" w:hAnsi="Arial" w:cs="Arial"/>
          <w:sz w:val="24"/>
          <w:szCs w:val="24"/>
        </w:rPr>
        <w:t>me denatured and neutralised</w:t>
      </w:r>
      <w:r w:rsidR="002F03D1" w:rsidRPr="0071546E">
        <w:rPr>
          <w:rFonts w:ascii="Arial" w:hAnsi="Arial" w:cs="Arial"/>
          <w:sz w:val="24"/>
          <w:szCs w:val="24"/>
        </w:rPr>
        <w:t xml:space="preserve">. </w:t>
      </w:r>
      <w:r w:rsidRPr="0071546E">
        <w:rPr>
          <w:rFonts w:ascii="Arial" w:hAnsi="Arial" w:cs="Arial"/>
          <w:sz w:val="24"/>
          <w:szCs w:val="24"/>
        </w:rPr>
        <w:t xml:space="preserve">The antimicrobial effects of povidone against </w:t>
      </w:r>
      <w:r w:rsidR="00432D1D" w:rsidRPr="0071546E">
        <w:rPr>
          <w:rFonts w:ascii="Arial" w:hAnsi="Arial" w:cs="Arial"/>
          <w:i/>
          <w:sz w:val="24"/>
          <w:szCs w:val="24"/>
        </w:rPr>
        <w:t>Acanthamoeba</w:t>
      </w:r>
      <w:r w:rsidRPr="0071546E">
        <w:rPr>
          <w:rFonts w:ascii="Arial" w:hAnsi="Arial" w:cs="Arial"/>
          <w:sz w:val="24"/>
          <w:szCs w:val="24"/>
        </w:rPr>
        <w:t xml:space="preserve"> ha</w:t>
      </w:r>
      <w:r w:rsidR="002C2939" w:rsidRPr="0071546E">
        <w:rPr>
          <w:rFonts w:ascii="Arial" w:hAnsi="Arial" w:cs="Arial"/>
          <w:sz w:val="24"/>
          <w:szCs w:val="24"/>
        </w:rPr>
        <w:t>ve</w:t>
      </w:r>
      <w:r w:rsidRPr="0071546E">
        <w:rPr>
          <w:rFonts w:ascii="Arial" w:hAnsi="Arial" w:cs="Arial"/>
          <w:sz w:val="24"/>
          <w:szCs w:val="24"/>
        </w:rPr>
        <w:t xml:space="preserve"> been reported (Gatti et al., 1998; Marcin </w:t>
      </w:r>
      <w:r w:rsidRPr="0071546E">
        <w:rPr>
          <w:rFonts w:ascii="Arial" w:hAnsi="Arial" w:cs="Arial"/>
          <w:i/>
          <w:sz w:val="24"/>
          <w:szCs w:val="24"/>
        </w:rPr>
        <w:t>et al</w:t>
      </w:r>
      <w:r w:rsidR="002F03D1" w:rsidRPr="0071546E">
        <w:rPr>
          <w:rFonts w:ascii="Arial" w:hAnsi="Arial" w:cs="Arial"/>
          <w:sz w:val="24"/>
          <w:szCs w:val="24"/>
        </w:rPr>
        <w:t>., 2018).</w:t>
      </w:r>
      <w:r w:rsidRPr="0071546E">
        <w:rPr>
          <w:rFonts w:ascii="Arial" w:hAnsi="Arial" w:cs="Arial"/>
          <w:sz w:val="24"/>
          <w:szCs w:val="24"/>
        </w:rPr>
        <w:t xml:space="preserve"> </w:t>
      </w:r>
      <w:r w:rsidR="00885D23" w:rsidRPr="0071546E">
        <w:rPr>
          <w:rFonts w:ascii="Arial" w:hAnsi="Arial" w:cs="Arial"/>
          <w:sz w:val="24"/>
          <w:szCs w:val="24"/>
        </w:rPr>
        <w:t xml:space="preserve">Marcin et al (2018) exposed Axenically cultivated </w:t>
      </w:r>
      <w:r w:rsidR="00885D23" w:rsidRPr="0071546E">
        <w:rPr>
          <w:rFonts w:ascii="Arial" w:hAnsi="Arial" w:cs="Arial"/>
          <w:i/>
          <w:iCs/>
          <w:sz w:val="24"/>
          <w:szCs w:val="24"/>
        </w:rPr>
        <w:t>Acanthamoeba castellanii</w:t>
      </w:r>
      <w:r w:rsidR="00885D23" w:rsidRPr="0071546E">
        <w:rPr>
          <w:rFonts w:ascii="Arial" w:hAnsi="Arial" w:cs="Arial"/>
          <w:sz w:val="24"/>
          <w:szCs w:val="24"/>
        </w:rPr>
        <w:t>, to different concentrations of povidone-iodine, chlorhexidine digluconate or toyocamycin. The In-vitro population dynamics of the different strains of amoeba were monitored and compared to those of control cultures via microscopy and cell count.</w:t>
      </w:r>
    </w:p>
    <w:p w:rsidR="00655193" w:rsidRPr="0071546E" w:rsidRDefault="00885D23" w:rsidP="00885D23">
      <w:pPr>
        <w:spacing w:line="480" w:lineRule="auto"/>
        <w:ind w:left="1021" w:right="454"/>
        <w:jc w:val="both"/>
        <w:rPr>
          <w:rFonts w:ascii="Arial" w:hAnsi="Arial" w:cs="Arial"/>
          <w:sz w:val="24"/>
          <w:szCs w:val="24"/>
        </w:rPr>
      </w:pPr>
      <w:r w:rsidRPr="0071546E">
        <w:rPr>
          <w:rFonts w:ascii="Arial" w:hAnsi="Arial" w:cs="Arial"/>
          <w:sz w:val="24"/>
          <w:szCs w:val="24"/>
        </w:rPr>
        <w:t xml:space="preserve">The results </w:t>
      </w:r>
      <w:r w:rsidR="00725033" w:rsidRPr="0071546E">
        <w:rPr>
          <w:rFonts w:ascii="Arial" w:hAnsi="Arial" w:cs="Arial"/>
          <w:sz w:val="24"/>
          <w:szCs w:val="24"/>
        </w:rPr>
        <w:t>showed that the amoeb</w:t>
      </w:r>
      <w:r w:rsidR="002C2939" w:rsidRPr="0071546E">
        <w:rPr>
          <w:rFonts w:ascii="Arial" w:hAnsi="Arial" w:cs="Arial"/>
          <w:sz w:val="24"/>
          <w:szCs w:val="24"/>
        </w:rPr>
        <w:t>i</w:t>
      </w:r>
      <w:r w:rsidR="00725033" w:rsidRPr="0071546E">
        <w:rPr>
          <w:rFonts w:ascii="Arial" w:hAnsi="Arial" w:cs="Arial"/>
          <w:sz w:val="24"/>
          <w:szCs w:val="24"/>
        </w:rPr>
        <w:t>cidal efficacy of povidone on both the cyst and trophozoites was higher when compared</w:t>
      </w:r>
      <w:r w:rsidR="002F03D1" w:rsidRPr="0071546E">
        <w:rPr>
          <w:rFonts w:ascii="Arial" w:hAnsi="Arial" w:cs="Arial"/>
          <w:sz w:val="24"/>
          <w:szCs w:val="24"/>
        </w:rPr>
        <w:t xml:space="preserve"> to chlorhexidine. Gatti </w:t>
      </w:r>
      <w:r w:rsidRPr="0071546E">
        <w:rPr>
          <w:rFonts w:ascii="Arial" w:hAnsi="Arial" w:cs="Arial"/>
          <w:sz w:val="24"/>
          <w:szCs w:val="24"/>
        </w:rPr>
        <w:t>et al (1998),</w:t>
      </w:r>
      <w:r w:rsidR="002F03D1" w:rsidRPr="0071546E">
        <w:rPr>
          <w:rFonts w:ascii="Arial" w:hAnsi="Arial" w:cs="Arial"/>
          <w:sz w:val="24"/>
          <w:szCs w:val="24"/>
        </w:rPr>
        <w:t xml:space="preserve"> showed</w:t>
      </w:r>
      <w:r w:rsidR="00725033" w:rsidRPr="0071546E">
        <w:rPr>
          <w:rFonts w:ascii="Arial" w:hAnsi="Arial" w:cs="Arial"/>
          <w:sz w:val="24"/>
          <w:szCs w:val="24"/>
        </w:rPr>
        <w:t xml:space="preserve"> that unlike chlorhexidine</w:t>
      </w:r>
      <w:r w:rsidR="002C2939" w:rsidRPr="0071546E">
        <w:rPr>
          <w:rFonts w:ascii="Arial" w:hAnsi="Arial" w:cs="Arial"/>
          <w:sz w:val="24"/>
          <w:szCs w:val="24"/>
        </w:rPr>
        <w:t xml:space="preserve">, there </w:t>
      </w:r>
      <w:r w:rsidR="00725033" w:rsidRPr="0071546E">
        <w:rPr>
          <w:rFonts w:ascii="Arial" w:hAnsi="Arial" w:cs="Arial"/>
          <w:sz w:val="24"/>
          <w:szCs w:val="24"/>
        </w:rPr>
        <w:t>w</w:t>
      </w:r>
      <w:r w:rsidR="002C2939" w:rsidRPr="0071546E">
        <w:rPr>
          <w:rFonts w:ascii="Arial" w:hAnsi="Arial" w:cs="Arial"/>
          <w:sz w:val="24"/>
          <w:szCs w:val="24"/>
        </w:rPr>
        <w:t>ere</w:t>
      </w:r>
      <w:r w:rsidR="00725033" w:rsidRPr="0071546E">
        <w:rPr>
          <w:rFonts w:ascii="Arial" w:hAnsi="Arial" w:cs="Arial"/>
          <w:sz w:val="24"/>
          <w:szCs w:val="24"/>
        </w:rPr>
        <w:t xml:space="preserve"> no strain</w:t>
      </w:r>
      <w:r w:rsidR="002C2939" w:rsidRPr="0071546E">
        <w:rPr>
          <w:rFonts w:ascii="Arial" w:hAnsi="Arial" w:cs="Arial"/>
          <w:sz w:val="24"/>
          <w:szCs w:val="24"/>
        </w:rPr>
        <w:t>-</w:t>
      </w:r>
      <w:r w:rsidR="00725033" w:rsidRPr="0071546E">
        <w:rPr>
          <w:rFonts w:ascii="Arial" w:hAnsi="Arial" w:cs="Arial"/>
          <w:sz w:val="24"/>
          <w:szCs w:val="24"/>
        </w:rPr>
        <w:t>dependent variations to response to 250</w:t>
      </w:r>
      <w:r w:rsidR="00D32381" w:rsidRPr="0071546E">
        <w:rPr>
          <w:rFonts w:ascii="Arial" w:hAnsi="Arial" w:cs="Arial"/>
          <w:sz w:val="24"/>
          <w:szCs w:val="24"/>
        </w:rPr>
        <w:t xml:space="preserve"> </w:t>
      </w:r>
      <w:r w:rsidR="00725033" w:rsidRPr="0071546E">
        <w:rPr>
          <w:rFonts w:ascii="Arial" w:hAnsi="Arial" w:cs="Arial"/>
          <w:sz w:val="24"/>
          <w:szCs w:val="24"/>
        </w:rPr>
        <w:t>mg/L povidone</w:t>
      </w:r>
      <w:r w:rsidR="002C2939" w:rsidRPr="0071546E">
        <w:rPr>
          <w:rFonts w:ascii="Arial" w:hAnsi="Arial" w:cs="Arial"/>
          <w:sz w:val="24"/>
          <w:szCs w:val="24"/>
        </w:rPr>
        <w:t>-</w:t>
      </w:r>
      <w:r w:rsidR="00725033" w:rsidRPr="0071546E">
        <w:rPr>
          <w:rFonts w:ascii="Arial" w:hAnsi="Arial" w:cs="Arial"/>
          <w:sz w:val="24"/>
          <w:szCs w:val="24"/>
        </w:rPr>
        <w:t xml:space="preserve">iodine on tested </w:t>
      </w:r>
      <w:r w:rsidR="00432D1D" w:rsidRPr="0071546E">
        <w:rPr>
          <w:rFonts w:ascii="Arial" w:hAnsi="Arial" w:cs="Arial"/>
          <w:i/>
          <w:sz w:val="24"/>
          <w:szCs w:val="24"/>
        </w:rPr>
        <w:t>Acanthamoeba</w:t>
      </w:r>
      <w:r w:rsidR="00725033" w:rsidRPr="0071546E">
        <w:rPr>
          <w:rFonts w:ascii="Arial" w:hAnsi="Arial" w:cs="Arial"/>
          <w:sz w:val="24"/>
          <w:szCs w:val="24"/>
        </w:rPr>
        <w:t xml:space="preserve"> strains. In another report, and in agreement with previous studies (Carrijo-Carvalho </w:t>
      </w:r>
      <w:r w:rsidR="00725033" w:rsidRPr="0071546E">
        <w:rPr>
          <w:rFonts w:ascii="Arial" w:hAnsi="Arial" w:cs="Arial"/>
          <w:i/>
          <w:sz w:val="24"/>
          <w:szCs w:val="24"/>
        </w:rPr>
        <w:t>et al</w:t>
      </w:r>
      <w:r w:rsidR="00725033" w:rsidRPr="0071546E">
        <w:rPr>
          <w:rFonts w:ascii="Arial" w:hAnsi="Arial" w:cs="Arial"/>
          <w:sz w:val="24"/>
          <w:szCs w:val="24"/>
        </w:rPr>
        <w:t xml:space="preserve">., 2017) confirm the minimum inhibitory concentration of </w:t>
      </w:r>
      <w:r w:rsidR="00432D1D" w:rsidRPr="0071546E">
        <w:rPr>
          <w:rFonts w:ascii="Arial" w:hAnsi="Arial" w:cs="Arial"/>
          <w:i/>
          <w:sz w:val="24"/>
          <w:szCs w:val="24"/>
        </w:rPr>
        <w:t>Acanthamoeba</w:t>
      </w:r>
      <w:r w:rsidR="00725033" w:rsidRPr="0071546E">
        <w:rPr>
          <w:rFonts w:ascii="Arial" w:hAnsi="Arial" w:cs="Arial"/>
          <w:sz w:val="24"/>
          <w:szCs w:val="24"/>
        </w:rPr>
        <w:t xml:space="preserve"> cyst to be within the range reported by (Gatti et al., 1998). Though povidone has shown excellent importance as an antimicrobial disinfectant, its use as a drug is curtailed by its toxicology profile</w:t>
      </w:r>
      <w:r w:rsidR="00725033" w:rsidRPr="0071546E">
        <w:rPr>
          <w:rFonts w:ascii="Arial" w:hAnsi="Arial" w:cs="Arial"/>
          <w:color w:val="000000"/>
          <w:sz w:val="24"/>
          <w:szCs w:val="24"/>
        </w:rPr>
        <w:t xml:space="preserve"> </w:t>
      </w:r>
      <w:r w:rsidR="00725033" w:rsidRPr="0071546E">
        <w:rPr>
          <w:rFonts w:ascii="Arial" w:hAnsi="Arial" w:cs="Arial"/>
          <w:sz w:val="24"/>
          <w:szCs w:val="24"/>
        </w:rPr>
        <w:t xml:space="preserve">(Sato et al., 2013). Sato and co-workers showed that 24hours exposure of HeLa cells as (a model of epithelial cells and rat oral mucosa), caused toxicity at </w:t>
      </w:r>
      <w:r w:rsidR="002C2939" w:rsidRPr="0071546E">
        <w:rPr>
          <w:rFonts w:ascii="Arial" w:hAnsi="Arial" w:cs="Arial"/>
          <w:sz w:val="24"/>
          <w:szCs w:val="24"/>
        </w:rPr>
        <w:t xml:space="preserve">a </w:t>
      </w:r>
      <w:r w:rsidR="00725033" w:rsidRPr="0071546E">
        <w:rPr>
          <w:rFonts w:ascii="Arial" w:hAnsi="Arial" w:cs="Arial"/>
          <w:sz w:val="24"/>
          <w:szCs w:val="24"/>
        </w:rPr>
        <w:t xml:space="preserve">sub-clinical concentration  </w:t>
      </w:r>
    </w:p>
    <w:tbl>
      <w:tblPr>
        <w:tblStyle w:val="ListTable6Colorful2"/>
        <w:tblW w:w="0" w:type="auto"/>
        <w:tblInd w:w="993" w:type="dxa"/>
        <w:tblLook w:val="04A0" w:firstRow="1" w:lastRow="0" w:firstColumn="1" w:lastColumn="0" w:noHBand="0" w:noVBand="1"/>
      </w:tblPr>
      <w:tblGrid>
        <w:gridCol w:w="7713"/>
      </w:tblGrid>
      <w:tr w:rsidR="00655193" w:rsidRPr="0071546E" w:rsidTr="005E66C7">
        <w:trPr>
          <w:cnfStyle w:val="100000000000" w:firstRow="1" w:lastRow="0" w:firstColumn="0" w:lastColumn="0" w:oddVBand="0" w:evenVBand="0" w:oddHBand="0" w:evenHBand="0" w:firstRowFirstColumn="0" w:firstRowLastColumn="0" w:lastRowFirstColumn="0" w:lastRowLastColumn="0"/>
          <w:trHeight w:val="2992"/>
        </w:trPr>
        <w:tc>
          <w:tcPr>
            <w:cnfStyle w:val="001000000000" w:firstRow="0" w:lastRow="0" w:firstColumn="1" w:lastColumn="0" w:oddVBand="0" w:evenVBand="0" w:oddHBand="0" w:evenHBand="0" w:firstRowFirstColumn="0" w:firstRowLastColumn="0" w:lastRowFirstColumn="0" w:lastRowLastColumn="0"/>
            <w:tcW w:w="7713" w:type="dxa"/>
          </w:tcPr>
          <w:p w:rsidR="00655193" w:rsidRPr="0071546E" w:rsidRDefault="005E66C7" w:rsidP="00CF13FE">
            <w:pPr>
              <w:spacing w:line="480" w:lineRule="auto"/>
              <w:ind w:left="1021" w:right="454"/>
              <w:jc w:val="both"/>
              <w:rPr>
                <w:rFonts w:ascii="Arial" w:eastAsia="Times New Roman" w:hAnsi="Arial" w:cs="Arial"/>
                <w:sz w:val="24"/>
                <w:szCs w:val="24"/>
                <w:lang w:eastAsia="en-GB"/>
              </w:rPr>
            </w:pPr>
            <w:r w:rsidRPr="0071546E">
              <w:rPr>
                <w:rFonts w:ascii="Arial" w:eastAsiaTheme="minorHAnsi" w:hAnsi="Arial" w:cs="Arial"/>
                <w:b w:val="0"/>
                <w:bCs w:val="0"/>
                <w:color w:val="auto"/>
                <w:sz w:val="24"/>
                <w:szCs w:val="24"/>
              </w:rPr>
              <w:object w:dxaOrig="1778" w:dyaOrig="1977">
                <v:shape id="_x0000_i1039" type="#_x0000_t75" style="width:150pt;height:118.5pt" o:ole="">
                  <v:imagedata r:id="rId59" o:title=""/>
                </v:shape>
                <o:OLEObject Type="Embed" ProgID="ChemDraw.Document.6.0" ShapeID="_x0000_i1039" DrawAspect="Content" ObjectID="_1649004626" r:id="rId60"/>
              </w:object>
            </w:r>
          </w:p>
        </w:tc>
      </w:tr>
      <w:tr w:rsidR="00655193" w:rsidRPr="0071546E" w:rsidTr="005E66C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713" w:type="dxa"/>
          </w:tcPr>
          <w:p w:rsidR="00655193" w:rsidRPr="0071546E" w:rsidRDefault="00655193" w:rsidP="00CF13FE">
            <w:pPr>
              <w:spacing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Povidone</w:t>
            </w:r>
            <w:r w:rsidR="002C2939"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iodine complex</w:t>
            </w:r>
          </w:p>
        </w:tc>
      </w:tr>
    </w:tbl>
    <w:p w:rsidR="002F03D1" w:rsidRPr="0071546E" w:rsidRDefault="00CE26C2" w:rsidP="003D0F83">
      <w:pPr>
        <w:spacing w:before="100" w:after="0" w:line="240" w:lineRule="auto"/>
        <w:ind w:left="1021" w:right="454"/>
        <w:jc w:val="both"/>
        <w:rPr>
          <w:rFonts w:ascii="Arial" w:eastAsia="Times New Roman" w:hAnsi="Arial" w:cs="Arial"/>
          <w:sz w:val="20"/>
          <w:szCs w:val="24"/>
          <w:lang w:eastAsia="en-GB"/>
        </w:rPr>
      </w:pPr>
      <w:r w:rsidRPr="0071546E">
        <w:rPr>
          <w:rFonts w:ascii="Arial" w:eastAsia="Times New Roman" w:hAnsi="Arial" w:cs="Arial"/>
          <w:sz w:val="20"/>
          <w:szCs w:val="24"/>
          <w:lang w:eastAsia="en-GB"/>
        </w:rPr>
        <w:t xml:space="preserve">Fig </w:t>
      </w:r>
      <w:r w:rsidR="00B65E23" w:rsidRPr="0071546E">
        <w:rPr>
          <w:rFonts w:ascii="Arial" w:eastAsia="Times New Roman" w:hAnsi="Arial" w:cs="Arial"/>
          <w:sz w:val="20"/>
          <w:szCs w:val="24"/>
          <w:lang w:eastAsia="en-GB"/>
        </w:rPr>
        <w:t>1.20</w:t>
      </w:r>
      <w:r w:rsidR="00DD3B9A" w:rsidRPr="0071546E">
        <w:rPr>
          <w:rFonts w:ascii="Arial" w:eastAsia="Times New Roman" w:hAnsi="Arial" w:cs="Arial"/>
          <w:sz w:val="20"/>
          <w:szCs w:val="24"/>
          <w:lang w:eastAsia="en-GB"/>
        </w:rPr>
        <w:t xml:space="preserve"> Structure</w:t>
      </w:r>
      <w:r w:rsidRPr="0071546E">
        <w:rPr>
          <w:rFonts w:ascii="Arial" w:eastAsia="Times New Roman" w:hAnsi="Arial" w:cs="Arial"/>
          <w:sz w:val="20"/>
          <w:szCs w:val="24"/>
          <w:lang w:eastAsia="en-GB"/>
        </w:rPr>
        <w:t xml:space="preserve"> of the povidone-iodine complex. Chemical formulas: 2-pyrrolidinone, 1- ethenyl-, homopolymer, a compound with iodine; 1-vinyl-2-pyrrolidinone polymer, compound with iodine.</w:t>
      </w:r>
    </w:p>
    <w:p w:rsidR="003D0F83" w:rsidRPr="0071546E" w:rsidRDefault="003D0F83" w:rsidP="003D0F83">
      <w:pPr>
        <w:spacing w:before="100" w:after="0" w:line="240" w:lineRule="auto"/>
        <w:ind w:left="1021" w:right="454"/>
        <w:jc w:val="both"/>
        <w:rPr>
          <w:rFonts w:ascii="Arial" w:eastAsia="Times New Roman" w:hAnsi="Arial" w:cs="Arial"/>
          <w:sz w:val="20"/>
          <w:szCs w:val="24"/>
          <w:lang w:eastAsia="en-GB"/>
        </w:rPr>
      </w:pPr>
    </w:p>
    <w:p w:rsidR="00885D23" w:rsidRPr="0071546E" w:rsidRDefault="00885D23" w:rsidP="003D0F83">
      <w:pPr>
        <w:spacing w:before="100" w:after="0" w:line="240" w:lineRule="auto"/>
        <w:ind w:left="1021" w:right="454"/>
        <w:jc w:val="both"/>
        <w:rPr>
          <w:rFonts w:ascii="Arial" w:eastAsia="Times New Roman" w:hAnsi="Arial" w:cs="Arial"/>
          <w:sz w:val="20"/>
          <w:szCs w:val="24"/>
          <w:lang w:eastAsia="en-GB"/>
        </w:rPr>
      </w:pPr>
    </w:p>
    <w:p w:rsidR="00885D23" w:rsidRPr="0071546E" w:rsidRDefault="00885D23" w:rsidP="003D0F83">
      <w:pPr>
        <w:spacing w:before="100" w:after="0" w:line="240" w:lineRule="auto"/>
        <w:ind w:left="1021" w:right="454"/>
        <w:jc w:val="both"/>
        <w:rPr>
          <w:rFonts w:ascii="Arial" w:eastAsia="Times New Roman" w:hAnsi="Arial" w:cs="Arial"/>
          <w:sz w:val="20"/>
          <w:szCs w:val="24"/>
          <w:lang w:eastAsia="en-GB"/>
        </w:rPr>
      </w:pPr>
    </w:p>
    <w:p w:rsidR="00885D23" w:rsidRPr="0071546E" w:rsidRDefault="00885D23" w:rsidP="003D0F83">
      <w:pPr>
        <w:spacing w:before="100" w:after="0" w:line="240" w:lineRule="auto"/>
        <w:ind w:left="1021" w:right="454"/>
        <w:jc w:val="both"/>
        <w:rPr>
          <w:rFonts w:ascii="Arial" w:eastAsia="Times New Roman" w:hAnsi="Arial" w:cs="Arial"/>
          <w:sz w:val="20"/>
          <w:szCs w:val="24"/>
          <w:lang w:eastAsia="en-GB"/>
        </w:rPr>
      </w:pPr>
    </w:p>
    <w:p w:rsidR="00885D23" w:rsidRPr="0071546E" w:rsidRDefault="00885D23" w:rsidP="003D0F83">
      <w:pPr>
        <w:spacing w:before="100" w:after="0" w:line="240" w:lineRule="auto"/>
        <w:ind w:left="1021" w:right="454"/>
        <w:jc w:val="both"/>
        <w:rPr>
          <w:rFonts w:ascii="Arial" w:eastAsia="Times New Roman" w:hAnsi="Arial" w:cs="Arial"/>
          <w:sz w:val="20"/>
          <w:szCs w:val="24"/>
          <w:lang w:eastAsia="en-GB"/>
        </w:rPr>
      </w:pPr>
    </w:p>
    <w:p w:rsidR="00885D23" w:rsidRPr="0071546E" w:rsidRDefault="00885D23" w:rsidP="003D0F83">
      <w:pPr>
        <w:spacing w:before="100" w:after="0" w:line="240" w:lineRule="auto"/>
        <w:ind w:left="1021" w:right="454"/>
        <w:jc w:val="both"/>
        <w:rPr>
          <w:rFonts w:ascii="Arial" w:eastAsia="Times New Roman" w:hAnsi="Arial" w:cs="Arial"/>
          <w:sz w:val="20"/>
          <w:szCs w:val="24"/>
          <w:lang w:eastAsia="en-GB"/>
        </w:rPr>
      </w:pPr>
    </w:p>
    <w:p w:rsidR="00885D23" w:rsidRPr="0071546E" w:rsidRDefault="00885D23" w:rsidP="003D0F83">
      <w:pPr>
        <w:spacing w:before="100" w:after="0" w:line="240" w:lineRule="auto"/>
        <w:ind w:left="1021" w:right="454"/>
        <w:jc w:val="both"/>
        <w:rPr>
          <w:rFonts w:ascii="Arial" w:eastAsia="Times New Roman" w:hAnsi="Arial" w:cs="Arial"/>
          <w:sz w:val="20"/>
          <w:szCs w:val="24"/>
          <w:lang w:eastAsia="en-GB"/>
        </w:rPr>
      </w:pPr>
    </w:p>
    <w:p w:rsidR="00885D23" w:rsidRPr="0071546E" w:rsidRDefault="00885D23" w:rsidP="003D0F83">
      <w:pPr>
        <w:spacing w:before="100" w:after="0" w:line="240" w:lineRule="auto"/>
        <w:ind w:left="1021" w:right="454"/>
        <w:jc w:val="both"/>
        <w:rPr>
          <w:rFonts w:ascii="Arial" w:eastAsia="Times New Roman" w:hAnsi="Arial" w:cs="Arial"/>
          <w:sz w:val="20"/>
          <w:szCs w:val="24"/>
          <w:lang w:eastAsia="en-GB"/>
        </w:rPr>
      </w:pPr>
    </w:p>
    <w:p w:rsidR="00725033" w:rsidRPr="0071546E" w:rsidRDefault="00725033" w:rsidP="00CF13FE">
      <w:pPr>
        <w:pStyle w:val="Heading2"/>
        <w:ind w:left="1021" w:right="454"/>
      </w:pPr>
      <w:bookmarkStart w:id="45" w:name="_Toc14711415"/>
      <w:r w:rsidRPr="0071546E">
        <w:t>1.8.2 Caspofungin</w:t>
      </w:r>
      <w:bookmarkEnd w:id="45"/>
      <w:r w:rsidRPr="0071546E">
        <w:t xml:space="preserve"> </w:t>
      </w:r>
    </w:p>
    <w:p w:rsidR="00655193" w:rsidRPr="0071546E" w:rsidRDefault="00725033" w:rsidP="00CF13FE">
      <w:pPr>
        <w:spacing w:line="480" w:lineRule="auto"/>
        <w:ind w:left="1021" w:right="454"/>
        <w:jc w:val="both"/>
        <w:rPr>
          <w:rFonts w:ascii="Arial" w:hAnsi="Arial" w:cs="Arial"/>
          <w:sz w:val="24"/>
          <w:szCs w:val="24"/>
        </w:rPr>
      </w:pPr>
      <w:r w:rsidRPr="0071546E">
        <w:rPr>
          <w:rFonts w:ascii="Arial" w:hAnsi="Arial" w:cs="Arial"/>
          <w:sz w:val="24"/>
          <w:szCs w:val="24"/>
        </w:rPr>
        <w:t xml:space="preserve">Caspofungin (brand name Cancidas worldwide) is among the newest class of antifungal drugs manufactured by Merck &amp; CO., Inc. James Balkovec, Regina Black and Frances A. Bouffard discovered Caspofungin. It is a class of antifungal </w:t>
      </w:r>
      <w:r w:rsidR="0025168E" w:rsidRPr="0071546E">
        <w:rPr>
          <w:rFonts w:ascii="Arial" w:hAnsi="Arial" w:cs="Arial"/>
          <w:sz w:val="24"/>
          <w:szCs w:val="24"/>
        </w:rPr>
        <w:t>drug known as the echinocandins</w:t>
      </w:r>
      <w:r w:rsidR="0025168E" w:rsidRPr="0071546E">
        <w:rPr>
          <w:color w:val="000000"/>
        </w:rPr>
        <w:t xml:space="preserve"> </w:t>
      </w:r>
      <w:r w:rsidR="0025168E" w:rsidRPr="0071546E">
        <w:rPr>
          <w:rFonts w:ascii="Arial" w:hAnsi="Arial" w:cs="Arial"/>
          <w:sz w:val="24"/>
          <w:szCs w:val="24"/>
        </w:rPr>
        <w:t>(Grover, 2010).</w:t>
      </w:r>
      <w:r w:rsidRPr="0071546E">
        <w:rPr>
          <w:rFonts w:ascii="Arial" w:hAnsi="Arial" w:cs="Arial"/>
          <w:sz w:val="24"/>
          <w:szCs w:val="24"/>
        </w:rPr>
        <w:t xml:space="preserve"> Caspofungin inhibits the synthesis of β (1, 3)-d-glucan found in the fungal cell wall, by non-competitive inhibition of (1, 3)-d-glucan synthase</w:t>
      </w:r>
      <w:r w:rsidR="00123892" w:rsidRPr="0071546E">
        <w:rPr>
          <w:color w:val="000000"/>
        </w:rPr>
        <w:t xml:space="preserve"> </w:t>
      </w:r>
      <w:r w:rsidR="00123892" w:rsidRPr="0071546E">
        <w:rPr>
          <w:rFonts w:ascii="Arial" w:hAnsi="Arial" w:cs="Arial"/>
          <w:sz w:val="24"/>
          <w:szCs w:val="24"/>
        </w:rPr>
        <w:t>(McCormack and Perry, 2005)</w:t>
      </w:r>
      <w:r w:rsidRPr="0071546E">
        <w:rPr>
          <w:rFonts w:ascii="Arial" w:hAnsi="Arial" w:cs="Arial"/>
          <w:sz w:val="24"/>
          <w:szCs w:val="24"/>
        </w:rPr>
        <w:t xml:space="preserve">. </w:t>
      </w:r>
      <w:r w:rsidR="00123892" w:rsidRPr="0071546E">
        <w:rPr>
          <w:rFonts w:ascii="Arial" w:hAnsi="Arial" w:cs="Arial"/>
          <w:sz w:val="24"/>
          <w:szCs w:val="24"/>
        </w:rPr>
        <w:t xml:space="preserve"> The </w:t>
      </w:r>
      <w:r w:rsidRPr="0071546E">
        <w:rPr>
          <w:rFonts w:ascii="Arial" w:hAnsi="Arial" w:cs="Arial"/>
          <w:sz w:val="24"/>
          <w:szCs w:val="24"/>
        </w:rPr>
        <w:t>(1, 3)-d-glucan in the fu</w:t>
      </w:r>
      <w:r w:rsidR="002C2939" w:rsidRPr="0071546E">
        <w:rPr>
          <w:rFonts w:ascii="Arial" w:hAnsi="Arial" w:cs="Arial"/>
          <w:sz w:val="24"/>
          <w:szCs w:val="24"/>
        </w:rPr>
        <w:t>n</w:t>
      </w:r>
      <w:r w:rsidRPr="0071546E">
        <w:rPr>
          <w:rFonts w:ascii="Arial" w:hAnsi="Arial" w:cs="Arial"/>
          <w:sz w:val="24"/>
          <w:szCs w:val="24"/>
        </w:rPr>
        <w:t xml:space="preserve">gal cell wall forms a solid three-dimensional matrix, which maintains the mechanical straight and shape of the cell wall. Blocking the synthesis of β (1, 3)-d-glucan affects the fungi in two ways. Blockade of the important steps in the synthesis of the cell wall can cause the fungi to stop growing while the fungicidal effects arise as a result of </w:t>
      </w:r>
      <w:r w:rsidR="002C2939" w:rsidRPr="0071546E">
        <w:rPr>
          <w:rFonts w:ascii="Arial" w:hAnsi="Arial" w:cs="Arial"/>
          <w:sz w:val="24"/>
          <w:szCs w:val="24"/>
        </w:rPr>
        <w:t xml:space="preserve">the </w:t>
      </w:r>
      <w:r w:rsidRPr="0071546E">
        <w:rPr>
          <w:rFonts w:ascii="Arial" w:hAnsi="Arial" w:cs="Arial"/>
          <w:sz w:val="24"/>
          <w:szCs w:val="24"/>
        </w:rPr>
        <w:t>loss of cellular integrity</w:t>
      </w:r>
      <w:r w:rsidR="00123892" w:rsidRPr="0071546E">
        <w:rPr>
          <w:color w:val="000000"/>
        </w:rPr>
        <w:t xml:space="preserve"> </w:t>
      </w:r>
      <w:r w:rsidR="00123892" w:rsidRPr="0071546E">
        <w:rPr>
          <w:rFonts w:ascii="Arial" w:hAnsi="Arial" w:cs="Arial"/>
          <w:sz w:val="24"/>
          <w:szCs w:val="24"/>
        </w:rPr>
        <w:t>(Moreno-Velásquez et al., 2017)</w:t>
      </w:r>
      <w:r w:rsidRPr="0071546E">
        <w:rPr>
          <w:rFonts w:ascii="Arial" w:hAnsi="Arial" w:cs="Arial"/>
          <w:sz w:val="24"/>
          <w:szCs w:val="24"/>
        </w:rPr>
        <w:t>. Loss of cellular integrity reduces the mechanical robustness of the cell, making it difficult for the fungi to repel intracellular osmotic pressure, causing bursting of the fungal cell. This mode of action is different from other anti-fungal, which typically act on the polyenes, azoles or terbinafine or inhibit DNA or protein synthesis (5 – fluorocytosine). Caspofungin effectively inhibited Candida spp., including resistant species (</w:t>
      </w:r>
      <w:r w:rsidRPr="0071546E">
        <w:rPr>
          <w:rFonts w:ascii="Arial" w:hAnsi="Arial" w:cs="Arial"/>
          <w:i/>
          <w:sz w:val="24"/>
          <w:szCs w:val="24"/>
        </w:rPr>
        <w:t>Candida krusei</w:t>
      </w:r>
      <w:r w:rsidRPr="0071546E">
        <w:rPr>
          <w:rFonts w:ascii="Arial" w:hAnsi="Arial" w:cs="Arial"/>
          <w:sz w:val="24"/>
          <w:szCs w:val="24"/>
        </w:rPr>
        <w:t xml:space="preserve">) and less susceptible isolates (Candida dubliniensis, </w:t>
      </w:r>
      <w:r w:rsidR="002C2939" w:rsidRPr="0071546E">
        <w:rPr>
          <w:rFonts w:ascii="Arial" w:hAnsi="Arial" w:cs="Arial"/>
          <w:sz w:val="24"/>
          <w:szCs w:val="24"/>
        </w:rPr>
        <w:t>C</w:t>
      </w:r>
      <w:r w:rsidRPr="0071546E">
        <w:rPr>
          <w:rFonts w:ascii="Arial" w:hAnsi="Arial" w:cs="Arial"/>
          <w:sz w:val="24"/>
          <w:szCs w:val="24"/>
        </w:rPr>
        <w:t xml:space="preserve">andida glabrata), to azoles and amphotericin B. (Vazquez et al., 1997). </w:t>
      </w:r>
    </w:p>
    <w:p w:rsidR="005E66C7" w:rsidRPr="0071546E" w:rsidRDefault="005E66C7" w:rsidP="005E66C7">
      <w:pPr>
        <w:spacing w:line="480" w:lineRule="auto"/>
        <w:ind w:left="1021" w:right="454"/>
        <w:jc w:val="both"/>
        <w:rPr>
          <w:rFonts w:ascii="Arial" w:hAnsi="Arial" w:cs="Arial"/>
          <w:sz w:val="24"/>
          <w:szCs w:val="24"/>
        </w:rPr>
      </w:pPr>
    </w:p>
    <w:p w:rsidR="005E66C7" w:rsidRPr="0071546E" w:rsidRDefault="00725033" w:rsidP="005E66C7">
      <w:pPr>
        <w:spacing w:line="480" w:lineRule="auto"/>
        <w:ind w:left="1021" w:right="454"/>
        <w:jc w:val="both"/>
        <w:rPr>
          <w:rFonts w:ascii="Arial" w:hAnsi="Arial" w:cs="Arial"/>
          <w:sz w:val="24"/>
          <w:szCs w:val="24"/>
        </w:rPr>
      </w:pPr>
      <w:r w:rsidRPr="0071546E">
        <w:rPr>
          <w:rFonts w:ascii="Arial" w:hAnsi="Arial" w:cs="Arial"/>
          <w:sz w:val="24"/>
          <w:szCs w:val="24"/>
        </w:rPr>
        <w:t>The amoeb</w:t>
      </w:r>
      <w:r w:rsidR="002C2939" w:rsidRPr="0071546E">
        <w:rPr>
          <w:rFonts w:ascii="Arial" w:hAnsi="Arial" w:cs="Arial"/>
          <w:sz w:val="24"/>
          <w:szCs w:val="24"/>
        </w:rPr>
        <w:t>i</w:t>
      </w:r>
      <w:r w:rsidRPr="0071546E">
        <w:rPr>
          <w:rFonts w:ascii="Arial" w:hAnsi="Arial" w:cs="Arial"/>
          <w:sz w:val="24"/>
          <w:szCs w:val="24"/>
        </w:rPr>
        <w:t xml:space="preserve">cidal activity of Caspofungin against the cyst and trophozoites of </w:t>
      </w:r>
      <w:r w:rsidR="00432D1D" w:rsidRPr="0071546E">
        <w:rPr>
          <w:rFonts w:ascii="Arial" w:hAnsi="Arial" w:cs="Arial"/>
          <w:i/>
          <w:sz w:val="24"/>
          <w:szCs w:val="24"/>
        </w:rPr>
        <w:t>Acanthamoeba</w:t>
      </w:r>
      <w:r w:rsidRPr="0071546E">
        <w:rPr>
          <w:rFonts w:ascii="Arial" w:hAnsi="Arial" w:cs="Arial"/>
          <w:sz w:val="24"/>
          <w:szCs w:val="24"/>
        </w:rPr>
        <w:t xml:space="preserve"> as reported by (Bouyer et al., 2006), </w:t>
      </w:r>
      <w:r w:rsidR="005E66C7" w:rsidRPr="0071546E">
        <w:rPr>
          <w:rFonts w:ascii="Arial" w:hAnsi="Arial" w:cs="Arial"/>
          <w:sz w:val="24"/>
          <w:szCs w:val="24"/>
        </w:rPr>
        <w:t xml:space="preserve">Trophozoites and cysts of </w:t>
      </w:r>
      <w:r w:rsidR="005E66C7" w:rsidRPr="0071546E">
        <w:rPr>
          <w:rFonts w:ascii="Arial" w:hAnsi="Arial" w:cs="Arial"/>
          <w:i/>
          <w:iCs/>
          <w:sz w:val="24"/>
          <w:szCs w:val="24"/>
        </w:rPr>
        <w:t>Acanthamoeba castellanii, Acanthamoeba culbertsoni</w:t>
      </w:r>
      <w:r w:rsidR="005E66C7" w:rsidRPr="0071546E">
        <w:rPr>
          <w:rFonts w:ascii="Arial" w:hAnsi="Arial" w:cs="Arial"/>
          <w:sz w:val="24"/>
          <w:szCs w:val="24"/>
        </w:rPr>
        <w:t xml:space="preserve"> and </w:t>
      </w:r>
      <w:r w:rsidR="005E66C7" w:rsidRPr="0071546E">
        <w:rPr>
          <w:rFonts w:ascii="Arial" w:hAnsi="Arial" w:cs="Arial"/>
          <w:i/>
          <w:iCs/>
          <w:sz w:val="24"/>
          <w:szCs w:val="24"/>
        </w:rPr>
        <w:t>Acanthamoeba polyphaga</w:t>
      </w:r>
      <w:r w:rsidR="005E66C7" w:rsidRPr="0071546E">
        <w:rPr>
          <w:rFonts w:ascii="Arial" w:hAnsi="Arial" w:cs="Arial"/>
          <w:sz w:val="24"/>
          <w:szCs w:val="24"/>
        </w:rPr>
        <w:t xml:space="preserve"> were exposed to caspofungin at concentrations varying from 16 to 500 mg/L. and the viability of the trophozoites and cysts was established at 12, 24- and 48-hours using microscopy and toluidine staining method.</w:t>
      </w:r>
    </w:p>
    <w:tbl>
      <w:tblPr>
        <w:tblStyle w:val="ListTable6Colorful2"/>
        <w:tblpPr w:leftFromText="180" w:rightFromText="180" w:vertAnchor="text" w:horzAnchor="margin" w:tblpXSpec="center" w:tblpY="2274"/>
        <w:tblW w:w="6967" w:type="dxa"/>
        <w:tblLayout w:type="fixed"/>
        <w:tblLook w:val="04A0" w:firstRow="1" w:lastRow="0" w:firstColumn="1" w:lastColumn="0" w:noHBand="0" w:noVBand="1"/>
      </w:tblPr>
      <w:tblGrid>
        <w:gridCol w:w="6967"/>
      </w:tblGrid>
      <w:tr w:rsidR="005E66C7" w:rsidRPr="0071546E" w:rsidTr="005E66C7">
        <w:trPr>
          <w:cnfStyle w:val="100000000000" w:firstRow="1" w:lastRow="0" w:firstColumn="0" w:lastColumn="0" w:oddVBand="0" w:evenVBand="0" w:oddHBand="0" w:evenHBand="0" w:firstRowFirstColumn="0" w:firstRowLastColumn="0" w:lastRowFirstColumn="0" w:lastRowLastColumn="0"/>
          <w:trHeight w:val="4076"/>
        </w:trPr>
        <w:tc>
          <w:tcPr>
            <w:cnfStyle w:val="001000000000" w:firstRow="0" w:lastRow="0" w:firstColumn="1" w:lastColumn="0" w:oddVBand="0" w:evenVBand="0" w:oddHBand="0" w:evenHBand="0" w:firstRowFirstColumn="0" w:firstRowLastColumn="0" w:lastRowFirstColumn="0" w:lastRowLastColumn="0"/>
            <w:tcW w:w="6967" w:type="dxa"/>
          </w:tcPr>
          <w:p w:rsidR="005E66C7" w:rsidRPr="0071546E" w:rsidRDefault="005E66C7" w:rsidP="005E66C7">
            <w:pPr>
              <w:spacing w:line="240" w:lineRule="atLeast"/>
              <w:ind w:right="454"/>
              <w:jc w:val="both"/>
              <w:rPr>
                <w:rFonts w:ascii="Arial" w:eastAsiaTheme="minorHAnsi" w:hAnsi="Arial" w:cs="Arial"/>
                <w:color w:val="auto"/>
                <w:sz w:val="24"/>
                <w:szCs w:val="24"/>
              </w:rPr>
            </w:pPr>
          </w:p>
          <w:p w:rsidR="005E66C7" w:rsidRPr="0071546E" w:rsidRDefault="005E66C7" w:rsidP="005E66C7">
            <w:pPr>
              <w:spacing w:line="240" w:lineRule="atLeast"/>
              <w:ind w:right="454"/>
              <w:jc w:val="both"/>
              <w:rPr>
                <w:rFonts w:ascii="Arial" w:eastAsia="Times New Roman" w:hAnsi="Arial" w:cs="Arial"/>
                <w:bCs w:val="0"/>
                <w:sz w:val="24"/>
                <w:szCs w:val="24"/>
                <w:lang w:eastAsia="en-GB"/>
              </w:rPr>
            </w:pPr>
            <w:r w:rsidRPr="0071546E">
              <w:rPr>
                <w:rFonts w:ascii="Arial" w:eastAsiaTheme="minorHAnsi" w:hAnsi="Arial" w:cs="Arial"/>
                <w:b w:val="0"/>
                <w:bCs w:val="0"/>
                <w:color w:val="auto"/>
                <w:sz w:val="24"/>
                <w:szCs w:val="24"/>
              </w:rPr>
              <w:object w:dxaOrig="6487" w:dyaOrig="4809">
                <v:shape id="_x0000_i1040" type="#_x0000_t75" style="width:211.5pt;height:168pt" o:ole="">
                  <v:imagedata r:id="rId61" o:title=""/>
                </v:shape>
                <o:OLEObject Type="Embed" ProgID="ChemDraw.Document.6.0" ShapeID="_x0000_i1040" DrawAspect="Content" ObjectID="_1649004627" r:id="rId62"/>
              </w:object>
            </w:r>
          </w:p>
        </w:tc>
      </w:tr>
      <w:tr w:rsidR="005E66C7" w:rsidRPr="0071546E" w:rsidTr="005E66C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967" w:type="dxa"/>
          </w:tcPr>
          <w:p w:rsidR="005E66C7" w:rsidRPr="0071546E" w:rsidRDefault="005E66C7" w:rsidP="005E66C7">
            <w:pPr>
              <w:spacing w:line="240" w:lineRule="atLeast"/>
              <w:ind w:right="454"/>
              <w:rPr>
                <w:rFonts w:ascii="Arial" w:eastAsia="Times New Roman" w:hAnsi="Arial" w:cs="Arial"/>
                <w:bCs w:val="0"/>
                <w:lang w:eastAsia="en-GB"/>
              </w:rPr>
            </w:pPr>
            <w:r w:rsidRPr="0071546E">
              <w:rPr>
                <w:rFonts w:ascii="Arial" w:eastAsia="Times New Roman" w:hAnsi="Arial" w:cs="Arial"/>
                <w:sz w:val="24"/>
                <w:szCs w:val="24"/>
                <w:lang w:eastAsia="en-GB"/>
              </w:rPr>
              <w:t xml:space="preserve">                                         Caspofungin</w:t>
            </w:r>
          </w:p>
        </w:tc>
      </w:tr>
    </w:tbl>
    <w:p w:rsidR="00725033" w:rsidRPr="0071546E" w:rsidRDefault="005E66C7" w:rsidP="00CF13FE">
      <w:pPr>
        <w:spacing w:line="480" w:lineRule="auto"/>
        <w:ind w:left="1021" w:right="454"/>
        <w:jc w:val="both"/>
        <w:rPr>
          <w:rFonts w:ascii="Arial" w:hAnsi="Arial" w:cs="Arial"/>
          <w:sz w:val="24"/>
          <w:szCs w:val="24"/>
        </w:rPr>
      </w:pPr>
      <w:r w:rsidRPr="0071546E">
        <w:rPr>
          <w:rFonts w:ascii="Arial" w:hAnsi="Arial" w:cs="Arial"/>
          <w:sz w:val="24"/>
          <w:szCs w:val="24"/>
        </w:rPr>
        <w:t xml:space="preserve">Results </w:t>
      </w:r>
      <w:r w:rsidR="00725033" w:rsidRPr="0071546E">
        <w:rPr>
          <w:rFonts w:ascii="Arial" w:hAnsi="Arial" w:cs="Arial"/>
          <w:sz w:val="24"/>
          <w:szCs w:val="24"/>
        </w:rPr>
        <w:t xml:space="preserve">showed that a 100% eradication of </w:t>
      </w:r>
      <w:r w:rsidR="00432D1D" w:rsidRPr="0071546E">
        <w:rPr>
          <w:rFonts w:ascii="Arial" w:hAnsi="Arial" w:cs="Arial"/>
          <w:sz w:val="24"/>
          <w:szCs w:val="24"/>
        </w:rPr>
        <w:t>Acanthamoeba</w:t>
      </w:r>
      <w:r w:rsidR="00725033" w:rsidRPr="0071546E">
        <w:rPr>
          <w:rFonts w:ascii="Arial" w:hAnsi="Arial" w:cs="Arial"/>
          <w:sz w:val="24"/>
          <w:szCs w:val="24"/>
        </w:rPr>
        <w:t xml:space="preserve"> cysts and trophozoites occurred when incubated with 500mg/L Caspofungin. This agrees to a recent report by (Siddiqui, Aqeel and Khan, 2016) and both are synonymous with results from the present study.</w:t>
      </w:r>
    </w:p>
    <w:p w:rsidR="00655193" w:rsidRPr="0071546E" w:rsidRDefault="00655193" w:rsidP="00CF13FE">
      <w:pPr>
        <w:ind w:left="1021" w:right="454"/>
      </w:pPr>
    </w:p>
    <w:p w:rsidR="00655193" w:rsidRPr="0071546E" w:rsidRDefault="00655193" w:rsidP="009C2D9B">
      <w:pPr>
        <w:spacing w:before="100" w:after="0" w:line="240" w:lineRule="atLeast"/>
        <w:ind w:left="1021" w:right="454"/>
        <w:jc w:val="both"/>
        <w:rPr>
          <w:rFonts w:ascii="Arial" w:eastAsia="Times New Roman" w:hAnsi="Arial" w:cs="Arial"/>
          <w:sz w:val="24"/>
          <w:szCs w:val="24"/>
          <w:lang w:eastAsia="en-GB"/>
        </w:rPr>
      </w:pPr>
    </w:p>
    <w:p w:rsidR="005E66C7" w:rsidRPr="0071546E" w:rsidRDefault="005E66C7" w:rsidP="009C2D9B">
      <w:pPr>
        <w:spacing w:before="100" w:after="0" w:line="240" w:lineRule="atLeast"/>
        <w:ind w:left="1021" w:right="454"/>
        <w:jc w:val="both"/>
        <w:rPr>
          <w:rFonts w:ascii="Arial" w:eastAsia="Times New Roman" w:hAnsi="Arial" w:cs="Arial"/>
          <w:sz w:val="20"/>
          <w:szCs w:val="20"/>
          <w:lang w:eastAsia="en-GB"/>
        </w:rPr>
      </w:pPr>
    </w:p>
    <w:p w:rsidR="005E66C7" w:rsidRPr="0071546E" w:rsidRDefault="005E66C7" w:rsidP="009C2D9B">
      <w:pPr>
        <w:spacing w:before="100" w:after="0" w:line="240" w:lineRule="atLeast"/>
        <w:ind w:left="1021" w:right="454"/>
        <w:jc w:val="both"/>
        <w:rPr>
          <w:rFonts w:ascii="Arial" w:eastAsia="Times New Roman" w:hAnsi="Arial" w:cs="Arial"/>
          <w:sz w:val="20"/>
          <w:szCs w:val="20"/>
          <w:lang w:eastAsia="en-GB"/>
        </w:rPr>
      </w:pPr>
    </w:p>
    <w:p w:rsidR="005E66C7" w:rsidRPr="0071546E" w:rsidRDefault="005E66C7" w:rsidP="009C2D9B">
      <w:pPr>
        <w:spacing w:before="100" w:after="0" w:line="240" w:lineRule="atLeast"/>
        <w:ind w:left="1021" w:right="454"/>
        <w:jc w:val="both"/>
        <w:rPr>
          <w:rFonts w:ascii="Arial" w:eastAsia="Times New Roman" w:hAnsi="Arial" w:cs="Arial"/>
          <w:sz w:val="20"/>
          <w:szCs w:val="20"/>
          <w:lang w:eastAsia="en-GB"/>
        </w:rPr>
      </w:pPr>
    </w:p>
    <w:p w:rsidR="005E66C7" w:rsidRPr="0071546E" w:rsidRDefault="005E66C7" w:rsidP="009C2D9B">
      <w:pPr>
        <w:spacing w:before="100" w:after="0" w:line="240" w:lineRule="atLeast"/>
        <w:ind w:left="1021" w:right="454"/>
        <w:jc w:val="both"/>
        <w:rPr>
          <w:rFonts w:ascii="Arial" w:eastAsia="Times New Roman" w:hAnsi="Arial" w:cs="Arial"/>
          <w:sz w:val="20"/>
          <w:szCs w:val="20"/>
          <w:lang w:eastAsia="en-GB"/>
        </w:rPr>
      </w:pPr>
    </w:p>
    <w:p w:rsidR="005E66C7" w:rsidRPr="0071546E" w:rsidRDefault="005E66C7" w:rsidP="009C2D9B">
      <w:pPr>
        <w:spacing w:before="100" w:after="0" w:line="240" w:lineRule="atLeast"/>
        <w:ind w:left="1021" w:right="454"/>
        <w:jc w:val="both"/>
        <w:rPr>
          <w:rFonts w:ascii="Arial" w:eastAsia="Times New Roman" w:hAnsi="Arial" w:cs="Arial"/>
          <w:sz w:val="20"/>
          <w:szCs w:val="20"/>
          <w:lang w:eastAsia="en-GB"/>
        </w:rPr>
      </w:pPr>
    </w:p>
    <w:p w:rsidR="005E66C7" w:rsidRPr="0071546E" w:rsidRDefault="005E66C7" w:rsidP="009C2D9B">
      <w:pPr>
        <w:spacing w:before="100" w:after="0" w:line="240" w:lineRule="atLeast"/>
        <w:ind w:left="1021" w:right="454"/>
        <w:jc w:val="both"/>
        <w:rPr>
          <w:rFonts w:ascii="Arial" w:eastAsia="Times New Roman" w:hAnsi="Arial" w:cs="Arial"/>
          <w:sz w:val="20"/>
          <w:szCs w:val="20"/>
          <w:lang w:eastAsia="en-GB"/>
        </w:rPr>
      </w:pPr>
    </w:p>
    <w:p w:rsidR="005E66C7" w:rsidRPr="0071546E" w:rsidRDefault="005E66C7" w:rsidP="009C2D9B">
      <w:pPr>
        <w:spacing w:before="100" w:after="0" w:line="240" w:lineRule="atLeast"/>
        <w:ind w:left="1021" w:right="454"/>
        <w:jc w:val="both"/>
        <w:rPr>
          <w:rFonts w:ascii="Arial" w:eastAsia="Times New Roman" w:hAnsi="Arial" w:cs="Arial"/>
          <w:sz w:val="20"/>
          <w:szCs w:val="20"/>
          <w:lang w:eastAsia="en-GB"/>
        </w:rPr>
      </w:pPr>
    </w:p>
    <w:p w:rsidR="005E66C7" w:rsidRPr="0071546E" w:rsidRDefault="005E66C7" w:rsidP="009C2D9B">
      <w:pPr>
        <w:spacing w:before="100" w:after="0" w:line="240" w:lineRule="atLeast"/>
        <w:ind w:left="1021" w:right="454"/>
        <w:jc w:val="both"/>
        <w:rPr>
          <w:rFonts w:ascii="Arial" w:eastAsia="Times New Roman" w:hAnsi="Arial" w:cs="Arial"/>
          <w:sz w:val="20"/>
          <w:szCs w:val="20"/>
          <w:lang w:eastAsia="en-GB"/>
        </w:rPr>
      </w:pPr>
    </w:p>
    <w:p w:rsidR="005E66C7" w:rsidRPr="0071546E" w:rsidRDefault="005E66C7" w:rsidP="009C2D9B">
      <w:pPr>
        <w:spacing w:before="100" w:after="0" w:line="240" w:lineRule="atLeast"/>
        <w:ind w:left="1021" w:right="454"/>
        <w:jc w:val="both"/>
        <w:rPr>
          <w:rFonts w:ascii="Arial" w:eastAsia="Times New Roman" w:hAnsi="Arial" w:cs="Arial"/>
          <w:sz w:val="20"/>
          <w:szCs w:val="20"/>
          <w:lang w:eastAsia="en-GB"/>
        </w:rPr>
      </w:pPr>
    </w:p>
    <w:p w:rsidR="005E66C7" w:rsidRPr="0071546E" w:rsidRDefault="005E66C7" w:rsidP="009C2D9B">
      <w:pPr>
        <w:spacing w:before="100" w:after="0" w:line="240" w:lineRule="atLeast"/>
        <w:ind w:left="1021" w:right="454"/>
        <w:jc w:val="both"/>
        <w:rPr>
          <w:rFonts w:ascii="Arial" w:eastAsia="Times New Roman" w:hAnsi="Arial" w:cs="Arial"/>
          <w:sz w:val="20"/>
          <w:szCs w:val="20"/>
          <w:lang w:eastAsia="en-GB"/>
        </w:rPr>
      </w:pPr>
    </w:p>
    <w:p w:rsidR="005E66C7" w:rsidRPr="0071546E" w:rsidRDefault="005E66C7" w:rsidP="009C2D9B">
      <w:pPr>
        <w:spacing w:before="100" w:after="0" w:line="240" w:lineRule="atLeast"/>
        <w:ind w:left="1021" w:right="454"/>
        <w:jc w:val="both"/>
        <w:rPr>
          <w:rFonts w:ascii="Arial" w:eastAsia="Times New Roman" w:hAnsi="Arial" w:cs="Arial"/>
          <w:sz w:val="20"/>
          <w:szCs w:val="20"/>
          <w:lang w:eastAsia="en-GB"/>
        </w:rPr>
      </w:pPr>
    </w:p>
    <w:p w:rsidR="00655193" w:rsidRPr="0071546E" w:rsidRDefault="00655193" w:rsidP="009C2D9B">
      <w:pPr>
        <w:spacing w:before="100" w:after="0" w:line="240" w:lineRule="atLeast"/>
        <w:ind w:left="1021" w:right="454"/>
        <w:jc w:val="both"/>
        <w:rPr>
          <w:rFonts w:ascii="Arial" w:eastAsia="Times New Roman" w:hAnsi="Arial" w:cs="Arial"/>
          <w:sz w:val="20"/>
          <w:szCs w:val="20"/>
          <w:lang w:eastAsia="en-GB"/>
        </w:rPr>
      </w:pPr>
      <w:r w:rsidRPr="0071546E">
        <w:rPr>
          <w:rFonts w:ascii="Arial" w:eastAsia="Times New Roman" w:hAnsi="Arial" w:cs="Arial"/>
          <w:sz w:val="20"/>
          <w:szCs w:val="20"/>
          <w:lang w:eastAsia="en-GB"/>
        </w:rPr>
        <w:t xml:space="preserve">Fig </w:t>
      </w:r>
      <w:r w:rsidR="003D10DA" w:rsidRPr="0071546E">
        <w:rPr>
          <w:rFonts w:ascii="Arial" w:eastAsia="Times New Roman" w:hAnsi="Arial" w:cs="Arial"/>
          <w:sz w:val="20"/>
          <w:szCs w:val="20"/>
          <w:lang w:eastAsia="en-GB"/>
        </w:rPr>
        <w:t>1.2</w:t>
      </w:r>
      <w:r w:rsidR="00B65E23" w:rsidRPr="0071546E">
        <w:rPr>
          <w:rFonts w:ascii="Arial" w:eastAsia="Times New Roman" w:hAnsi="Arial" w:cs="Arial"/>
          <w:sz w:val="20"/>
          <w:szCs w:val="20"/>
          <w:lang w:eastAsia="en-GB"/>
        </w:rPr>
        <w:t>1</w:t>
      </w:r>
      <w:r w:rsidR="00DD3B9A" w:rsidRPr="0071546E">
        <w:rPr>
          <w:rFonts w:ascii="Arial" w:eastAsia="Times New Roman" w:hAnsi="Arial" w:cs="Arial"/>
          <w:sz w:val="20"/>
          <w:szCs w:val="20"/>
          <w:lang w:eastAsia="en-GB"/>
        </w:rPr>
        <w:t xml:space="preserve"> </w:t>
      </w:r>
      <w:r w:rsidRPr="0071546E">
        <w:rPr>
          <w:rFonts w:ascii="Arial" w:eastAsia="Times New Roman" w:hAnsi="Arial" w:cs="Arial"/>
          <w:sz w:val="20"/>
          <w:szCs w:val="20"/>
          <w:lang w:eastAsia="en-GB"/>
        </w:rPr>
        <w:t>Structure of caspofungin.</w:t>
      </w:r>
      <w:r w:rsidRPr="0071546E">
        <w:rPr>
          <w:rFonts w:ascii="Arial" w:eastAsiaTheme="minorEastAsia" w:hAnsi="Arial" w:cs="Arial"/>
          <w:sz w:val="20"/>
          <w:szCs w:val="20"/>
        </w:rPr>
        <w:t xml:space="preserve"> </w:t>
      </w:r>
      <w:r w:rsidRPr="0071546E">
        <w:rPr>
          <w:rFonts w:ascii="Arial" w:eastAsia="Times New Roman" w:hAnsi="Arial" w:cs="Arial"/>
          <w:sz w:val="20"/>
          <w:szCs w:val="20"/>
          <w:lang w:eastAsia="en-GB"/>
        </w:rPr>
        <w:t>Formerly code</w:t>
      </w:r>
      <w:r w:rsidR="002C2939" w:rsidRPr="0071546E">
        <w:rPr>
          <w:rFonts w:ascii="Arial" w:eastAsia="Times New Roman" w:hAnsi="Arial" w:cs="Arial"/>
          <w:sz w:val="20"/>
          <w:szCs w:val="20"/>
          <w:lang w:eastAsia="en-GB"/>
        </w:rPr>
        <w:t>-</w:t>
      </w:r>
      <w:r w:rsidRPr="0071546E">
        <w:rPr>
          <w:rFonts w:ascii="Arial" w:eastAsia="Times New Roman" w:hAnsi="Arial" w:cs="Arial"/>
          <w:sz w:val="20"/>
          <w:szCs w:val="20"/>
          <w:lang w:eastAsia="en-GB"/>
        </w:rPr>
        <w:t>named L-743,872 and MK-0991, caspofungin is a polypeptide antifungal. It is a glucan synthesis inhibitor of the echinocandin structural class</w:t>
      </w:r>
    </w:p>
    <w:p w:rsidR="00655193" w:rsidRPr="0071546E" w:rsidRDefault="00655193" w:rsidP="00CF13FE">
      <w:pPr>
        <w:spacing w:line="240" w:lineRule="atLeast"/>
        <w:ind w:left="1021" w:right="454"/>
      </w:pPr>
    </w:p>
    <w:p w:rsidR="00885D23" w:rsidRPr="0071546E" w:rsidRDefault="00885D23" w:rsidP="00CF13FE">
      <w:pPr>
        <w:spacing w:line="240" w:lineRule="atLeast"/>
        <w:ind w:left="1021" w:right="454"/>
      </w:pPr>
    </w:p>
    <w:p w:rsidR="005E66C7" w:rsidRPr="0071546E" w:rsidRDefault="005E66C7" w:rsidP="005E66C7">
      <w:pPr>
        <w:spacing w:line="240" w:lineRule="atLeast"/>
        <w:ind w:right="454"/>
      </w:pPr>
    </w:p>
    <w:p w:rsidR="005E66C7" w:rsidRPr="0071546E" w:rsidRDefault="005E66C7" w:rsidP="00CF13FE">
      <w:pPr>
        <w:spacing w:line="240" w:lineRule="atLeast"/>
        <w:ind w:left="1021" w:right="454"/>
      </w:pPr>
    </w:p>
    <w:p w:rsidR="00655193" w:rsidRPr="0071546E" w:rsidRDefault="00655193" w:rsidP="00CF13FE">
      <w:pPr>
        <w:ind w:left="1021" w:right="454"/>
        <w:rPr>
          <w:lang w:eastAsia="en-GB"/>
        </w:rPr>
      </w:pPr>
    </w:p>
    <w:p w:rsidR="00725033" w:rsidRPr="0071546E" w:rsidRDefault="00725033" w:rsidP="00CF13FE">
      <w:pPr>
        <w:pStyle w:val="Heading2"/>
        <w:ind w:left="1021" w:right="454"/>
      </w:pPr>
      <w:bookmarkStart w:id="46" w:name="_Toc14711416"/>
      <w:r w:rsidRPr="0071546E">
        <w:t>1.8.3 Amphotericin B</w:t>
      </w:r>
      <w:bookmarkEnd w:id="46"/>
      <w:r w:rsidRPr="0071546E">
        <w:t xml:space="preserve"> </w:t>
      </w:r>
    </w:p>
    <w:p w:rsidR="005E66C7" w:rsidRPr="0071546E" w:rsidRDefault="00725033" w:rsidP="005E66C7">
      <w:pPr>
        <w:spacing w:line="480" w:lineRule="auto"/>
        <w:ind w:left="1021" w:right="454"/>
        <w:jc w:val="both"/>
        <w:rPr>
          <w:rFonts w:ascii="Arial" w:hAnsi="Arial" w:cs="Arial"/>
          <w:sz w:val="24"/>
          <w:szCs w:val="24"/>
        </w:rPr>
      </w:pPr>
      <w:r w:rsidRPr="0071546E">
        <w:rPr>
          <w:rFonts w:ascii="Arial" w:hAnsi="Arial" w:cs="Arial"/>
          <w:sz w:val="24"/>
          <w:szCs w:val="24"/>
        </w:rPr>
        <w:t xml:space="preserve">Amphotericin B is a polyene antifungal antibiotic synthesised from </w:t>
      </w:r>
      <w:r w:rsidR="009C1359" w:rsidRPr="0071546E">
        <w:rPr>
          <w:rFonts w:ascii="Arial" w:hAnsi="Arial" w:cs="Arial"/>
          <w:i/>
          <w:sz w:val="24"/>
          <w:szCs w:val="24"/>
        </w:rPr>
        <w:t xml:space="preserve">Streptomyces nodosus </w:t>
      </w:r>
      <w:r w:rsidR="009C1359" w:rsidRPr="0071546E">
        <w:rPr>
          <w:rFonts w:ascii="Arial" w:hAnsi="Arial" w:cs="Arial"/>
          <w:sz w:val="24"/>
          <w:szCs w:val="24"/>
        </w:rPr>
        <w:t>(Torrado et al., 2008).</w:t>
      </w:r>
      <w:r w:rsidRPr="0071546E">
        <w:rPr>
          <w:rFonts w:ascii="Arial" w:hAnsi="Arial" w:cs="Arial"/>
          <w:i/>
          <w:sz w:val="24"/>
          <w:szCs w:val="24"/>
        </w:rPr>
        <w:t xml:space="preserve"> </w:t>
      </w:r>
      <w:r w:rsidRPr="0071546E">
        <w:rPr>
          <w:rFonts w:ascii="Arial" w:hAnsi="Arial" w:cs="Arial"/>
          <w:sz w:val="24"/>
          <w:szCs w:val="24"/>
        </w:rPr>
        <w:t>Amphotericin B exhibits broad-spectrum antifungal activity</w:t>
      </w:r>
      <w:r w:rsidR="002D1CCC" w:rsidRPr="0071546E">
        <w:rPr>
          <w:rFonts w:ascii="Arial" w:hAnsi="Arial" w:cs="Arial"/>
          <w:sz w:val="24"/>
          <w:szCs w:val="24"/>
        </w:rPr>
        <w:t xml:space="preserve"> against many fungal species</w:t>
      </w:r>
      <w:r w:rsidRPr="0071546E">
        <w:rPr>
          <w:rFonts w:ascii="Arial" w:hAnsi="Arial" w:cs="Arial"/>
          <w:sz w:val="24"/>
          <w:szCs w:val="24"/>
        </w:rPr>
        <w:t xml:space="preserve">. The mechanism of action of Amphotericin B is by inhibiting the fungal cell wall synthesis, due to its specificity to sterols, especially ergosterol. Binding to ergosterol creates a transmembrane channel, which amplifies permeability of monovalent cations. Binding ergosterol disrupts the fungal cell wall causing the formation of pores that allows leakage of vital nutrients from </w:t>
      </w:r>
      <w:r w:rsidR="002C2939" w:rsidRPr="0071546E">
        <w:rPr>
          <w:rFonts w:ascii="Arial" w:hAnsi="Arial" w:cs="Arial"/>
          <w:sz w:val="24"/>
          <w:szCs w:val="24"/>
        </w:rPr>
        <w:t xml:space="preserve">the </w:t>
      </w:r>
      <w:r w:rsidRPr="0071546E">
        <w:rPr>
          <w:rFonts w:ascii="Arial" w:hAnsi="Arial" w:cs="Arial"/>
          <w:sz w:val="24"/>
          <w:szCs w:val="24"/>
        </w:rPr>
        <w:t>fungal cell. Amphotericin B also has oxidant activity, which interrupts cellular metabolism, inhibits proton ATPase pumps, depletes cellular energy reserves, and promotes lipid peroxidation causing severe membrane fragility and ion leakage</w:t>
      </w:r>
      <w:r w:rsidRPr="0071546E">
        <w:rPr>
          <w:rFonts w:ascii="Arial" w:hAnsi="Arial" w:cs="Arial"/>
          <w:color w:val="000000"/>
          <w:sz w:val="24"/>
          <w:szCs w:val="24"/>
        </w:rPr>
        <w:t xml:space="preserve"> </w:t>
      </w:r>
      <w:r w:rsidRPr="0071546E">
        <w:rPr>
          <w:rFonts w:ascii="Arial" w:hAnsi="Arial" w:cs="Arial"/>
          <w:sz w:val="24"/>
          <w:szCs w:val="24"/>
        </w:rPr>
        <w:t xml:space="preserve">(Yaffe and Aranda, 2011). The susceptibility of </w:t>
      </w:r>
      <w:r w:rsidR="00432D1D" w:rsidRPr="0071546E">
        <w:rPr>
          <w:rFonts w:ascii="Arial" w:hAnsi="Arial" w:cs="Arial"/>
          <w:i/>
          <w:sz w:val="24"/>
          <w:szCs w:val="24"/>
        </w:rPr>
        <w:t>Acanthamoeba</w:t>
      </w:r>
      <w:r w:rsidRPr="0071546E">
        <w:rPr>
          <w:rFonts w:ascii="Arial" w:hAnsi="Arial" w:cs="Arial"/>
          <w:sz w:val="24"/>
          <w:szCs w:val="24"/>
        </w:rPr>
        <w:t xml:space="preserve"> cysts and trophozoites to Amphotericin B published in an article by (Siddiqui, Aqeel and Khan, 2016). Recent reports showed that ergosterol was one of the key sterols found in </w:t>
      </w:r>
      <w:r w:rsidR="00432D1D" w:rsidRPr="0071546E">
        <w:rPr>
          <w:rFonts w:ascii="Arial" w:hAnsi="Arial" w:cs="Arial"/>
          <w:i/>
          <w:sz w:val="24"/>
          <w:szCs w:val="24"/>
        </w:rPr>
        <w:t>Acanthamoeba</w:t>
      </w:r>
      <w:r w:rsidRPr="0071546E">
        <w:rPr>
          <w:rFonts w:ascii="Arial" w:hAnsi="Arial" w:cs="Arial"/>
          <w:sz w:val="24"/>
          <w:szCs w:val="24"/>
        </w:rPr>
        <w:t xml:space="preserve"> spp.</w:t>
      </w:r>
      <w:r w:rsidRPr="0071546E">
        <w:rPr>
          <w:rFonts w:ascii="Arial" w:hAnsi="Arial" w:cs="Arial"/>
          <w:color w:val="000000"/>
          <w:sz w:val="24"/>
          <w:szCs w:val="24"/>
        </w:rPr>
        <w:t xml:space="preserve"> </w:t>
      </w:r>
      <w:r w:rsidRPr="0071546E">
        <w:rPr>
          <w:rFonts w:ascii="Arial" w:hAnsi="Arial" w:cs="Arial"/>
          <w:sz w:val="24"/>
          <w:szCs w:val="24"/>
        </w:rPr>
        <w:t xml:space="preserve">(Thomson et al., 2017). Using GCMS, Thomson et al showed that the sterol biosynthesis pathway was present in </w:t>
      </w:r>
      <w:r w:rsidR="00432D1D" w:rsidRPr="0071546E">
        <w:rPr>
          <w:rFonts w:ascii="Arial" w:hAnsi="Arial" w:cs="Arial"/>
          <w:i/>
          <w:sz w:val="24"/>
          <w:szCs w:val="24"/>
        </w:rPr>
        <w:t>Acanthamoeba</w:t>
      </w:r>
      <w:r w:rsidRPr="0071546E">
        <w:rPr>
          <w:rFonts w:ascii="Arial" w:hAnsi="Arial" w:cs="Arial"/>
          <w:sz w:val="24"/>
          <w:szCs w:val="24"/>
        </w:rPr>
        <w:t xml:space="preserve">, which explains its susceptibility to amphotericin B. Interestingly; several azole antifungal drugs are known to inhibit the production of sterol by blocking sterol 14-α-demethylase. </w:t>
      </w:r>
    </w:p>
    <w:p w:rsidR="005E66C7" w:rsidRPr="0071546E" w:rsidRDefault="005E66C7" w:rsidP="005E66C7">
      <w:pPr>
        <w:spacing w:line="480" w:lineRule="auto"/>
        <w:ind w:left="1021" w:right="454"/>
        <w:jc w:val="both"/>
        <w:rPr>
          <w:rFonts w:ascii="Arial" w:hAnsi="Arial" w:cs="Arial"/>
          <w:sz w:val="24"/>
          <w:szCs w:val="24"/>
        </w:rPr>
      </w:pPr>
    </w:p>
    <w:p w:rsidR="005E66C7" w:rsidRPr="0071546E" w:rsidRDefault="005E66C7" w:rsidP="005E66C7">
      <w:pPr>
        <w:spacing w:line="480" w:lineRule="auto"/>
        <w:ind w:left="1021" w:right="454"/>
        <w:jc w:val="both"/>
        <w:rPr>
          <w:rFonts w:ascii="Arial" w:hAnsi="Arial" w:cs="Arial"/>
          <w:sz w:val="24"/>
          <w:szCs w:val="24"/>
        </w:rPr>
      </w:pPr>
    </w:p>
    <w:p w:rsidR="00655193" w:rsidRPr="0071546E" w:rsidRDefault="00725033" w:rsidP="005E66C7">
      <w:pPr>
        <w:spacing w:line="480" w:lineRule="auto"/>
        <w:ind w:left="1021" w:right="454"/>
        <w:jc w:val="both"/>
        <w:rPr>
          <w:rFonts w:ascii="Arial" w:hAnsi="Arial" w:cs="Arial"/>
          <w:sz w:val="24"/>
          <w:szCs w:val="24"/>
        </w:rPr>
      </w:pPr>
      <w:r w:rsidRPr="0071546E">
        <w:rPr>
          <w:rFonts w:ascii="Arial" w:hAnsi="Arial" w:cs="Arial"/>
          <w:sz w:val="24"/>
          <w:szCs w:val="24"/>
        </w:rPr>
        <w:t>While this w</w:t>
      </w:r>
      <w:r w:rsidR="00266AFE" w:rsidRPr="0071546E">
        <w:rPr>
          <w:rFonts w:ascii="Arial" w:hAnsi="Arial" w:cs="Arial"/>
          <w:sz w:val="24"/>
          <w:szCs w:val="24"/>
        </w:rPr>
        <w:t>ill have a direct effect on</w:t>
      </w:r>
      <w:r w:rsidRPr="0071546E">
        <w:rPr>
          <w:rFonts w:ascii="Arial" w:hAnsi="Arial" w:cs="Arial"/>
          <w:sz w:val="24"/>
          <w:szCs w:val="24"/>
        </w:rPr>
        <w:t xml:space="preserve"> compromising the integrity of the </w:t>
      </w:r>
      <w:r w:rsidR="00432D1D" w:rsidRPr="0071546E">
        <w:rPr>
          <w:rFonts w:ascii="Arial" w:hAnsi="Arial" w:cs="Arial"/>
          <w:i/>
          <w:sz w:val="24"/>
          <w:szCs w:val="24"/>
        </w:rPr>
        <w:t>Acanthamoeba</w:t>
      </w:r>
      <w:r w:rsidRPr="0071546E">
        <w:rPr>
          <w:rFonts w:ascii="Arial" w:hAnsi="Arial" w:cs="Arial"/>
          <w:sz w:val="24"/>
          <w:szCs w:val="24"/>
        </w:rPr>
        <w:t xml:space="preserve"> cell membranes, there are other possible mechanism</w:t>
      </w:r>
      <w:r w:rsidR="002C2939" w:rsidRPr="0071546E">
        <w:rPr>
          <w:rFonts w:ascii="Arial" w:hAnsi="Arial" w:cs="Arial"/>
          <w:sz w:val="24"/>
          <w:szCs w:val="24"/>
        </w:rPr>
        <w:t>s</w:t>
      </w:r>
      <w:r w:rsidRPr="0071546E">
        <w:rPr>
          <w:rFonts w:ascii="Arial" w:hAnsi="Arial" w:cs="Arial"/>
          <w:sz w:val="24"/>
          <w:szCs w:val="24"/>
        </w:rPr>
        <w:t xml:space="preserve"> of anti-</w:t>
      </w:r>
      <w:r w:rsidR="00432D1D" w:rsidRPr="0071546E">
        <w:rPr>
          <w:rFonts w:ascii="Arial" w:hAnsi="Arial" w:cs="Arial"/>
          <w:i/>
          <w:sz w:val="24"/>
          <w:szCs w:val="24"/>
        </w:rPr>
        <w:t>Acanthamoeba</w:t>
      </w:r>
      <w:r w:rsidRPr="0071546E">
        <w:rPr>
          <w:rFonts w:ascii="Arial" w:hAnsi="Arial" w:cs="Arial"/>
          <w:i/>
          <w:sz w:val="24"/>
          <w:szCs w:val="24"/>
        </w:rPr>
        <w:t xml:space="preserve"> </w:t>
      </w:r>
      <w:r w:rsidR="00AA7F9F" w:rsidRPr="0071546E">
        <w:rPr>
          <w:rFonts w:ascii="Arial" w:hAnsi="Arial" w:cs="Arial"/>
          <w:sz w:val="24"/>
          <w:szCs w:val="24"/>
        </w:rPr>
        <w:t>properties by a</w:t>
      </w:r>
      <w:r w:rsidRPr="0071546E">
        <w:rPr>
          <w:rFonts w:ascii="Arial" w:hAnsi="Arial" w:cs="Arial"/>
          <w:sz w:val="24"/>
          <w:szCs w:val="24"/>
        </w:rPr>
        <w:t xml:space="preserve">mphotericin B, which includes </w:t>
      </w:r>
      <w:r w:rsidR="002C2939" w:rsidRPr="0071546E">
        <w:rPr>
          <w:rFonts w:ascii="Arial" w:hAnsi="Arial" w:cs="Arial"/>
          <w:sz w:val="24"/>
          <w:szCs w:val="24"/>
        </w:rPr>
        <w:t xml:space="preserve">a </w:t>
      </w:r>
      <w:r w:rsidRPr="0071546E">
        <w:rPr>
          <w:rFonts w:ascii="Arial" w:hAnsi="Arial" w:cs="Arial"/>
          <w:sz w:val="24"/>
          <w:szCs w:val="24"/>
        </w:rPr>
        <w:t xml:space="preserve">build-up of toxic metabolites of ergosterol. Notably, all azole antifungals that are specific inhibitors of sterol 14-α-demethylase have shown efficacy in </w:t>
      </w:r>
      <w:r w:rsidR="002C2939" w:rsidRPr="0071546E">
        <w:rPr>
          <w:rFonts w:ascii="Arial" w:hAnsi="Arial" w:cs="Arial"/>
          <w:sz w:val="24"/>
          <w:szCs w:val="24"/>
        </w:rPr>
        <w:t xml:space="preserve">the </w:t>
      </w:r>
      <w:r w:rsidRPr="0071546E">
        <w:rPr>
          <w:rFonts w:ascii="Arial" w:hAnsi="Arial" w:cs="Arial"/>
          <w:sz w:val="24"/>
          <w:szCs w:val="24"/>
        </w:rPr>
        <w:t xml:space="preserve">treatment of patients with </w:t>
      </w:r>
      <w:r w:rsidR="00432D1D" w:rsidRPr="0071546E">
        <w:rPr>
          <w:rFonts w:ascii="Arial" w:hAnsi="Arial" w:cs="Arial"/>
          <w:i/>
          <w:sz w:val="24"/>
          <w:szCs w:val="24"/>
        </w:rPr>
        <w:t>Acanthamoeba</w:t>
      </w:r>
      <w:r w:rsidRPr="0071546E">
        <w:rPr>
          <w:rFonts w:ascii="Arial" w:hAnsi="Arial" w:cs="Arial"/>
          <w:sz w:val="24"/>
          <w:szCs w:val="24"/>
        </w:rPr>
        <w:t xml:space="preserve"> infections</w:t>
      </w:r>
      <w:r w:rsidRPr="0071546E">
        <w:rPr>
          <w:rFonts w:ascii="Arial" w:hAnsi="Arial" w:cs="Arial"/>
          <w:color w:val="000000"/>
          <w:sz w:val="24"/>
          <w:szCs w:val="24"/>
        </w:rPr>
        <w:t xml:space="preserve"> </w:t>
      </w:r>
      <w:r w:rsidRPr="0071546E">
        <w:rPr>
          <w:rFonts w:ascii="Arial" w:hAnsi="Arial" w:cs="Arial"/>
          <w:sz w:val="24"/>
          <w:szCs w:val="24"/>
        </w:rPr>
        <w:t>(Lamb et al., 201</w:t>
      </w:r>
      <w:r w:rsidR="00655193" w:rsidRPr="0071546E">
        <w:rPr>
          <w:rFonts w:ascii="Arial" w:hAnsi="Arial" w:cs="Arial"/>
          <w:sz w:val="24"/>
          <w:szCs w:val="24"/>
        </w:rPr>
        <w:t xml:space="preserve">5).  </w:t>
      </w:r>
    </w:p>
    <w:tbl>
      <w:tblPr>
        <w:tblStyle w:val="ListTable6Colorful2"/>
        <w:tblW w:w="0" w:type="auto"/>
        <w:tblInd w:w="993" w:type="dxa"/>
        <w:tblLook w:val="04A0" w:firstRow="1" w:lastRow="0" w:firstColumn="1" w:lastColumn="0" w:noHBand="0" w:noVBand="1"/>
      </w:tblPr>
      <w:tblGrid>
        <w:gridCol w:w="7573"/>
      </w:tblGrid>
      <w:tr w:rsidR="00655193" w:rsidRPr="0071546E" w:rsidTr="00C046AC">
        <w:trPr>
          <w:cnfStyle w:val="100000000000" w:firstRow="1" w:lastRow="0" w:firstColumn="0" w:lastColumn="0" w:oddVBand="0" w:evenVBand="0" w:oddHBand="0" w:evenHBand="0" w:firstRowFirstColumn="0" w:firstRowLastColumn="0" w:lastRowFirstColumn="0" w:lastRowLastColumn="0"/>
          <w:trHeight w:val="4571"/>
        </w:trPr>
        <w:tc>
          <w:tcPr>
            <w:cnfStyle w:val="001000000000" w:firstRow="0" w:lastRow="0" w:firstColumn="1" w:lastColumn="0" w:oddVBand="0" w:evenVBand="0" w:oddHBand="0" w:evenHBand="0" w:firstRowFirstColumn="0" w:firstRowLastColumn="0" w:lastRowFirstColumn="0" w:lastRowLastColumn="0"/>
            <w:tcW w:w="7573" w:type="dxa"/>
          </w:tcPr>
          <w:p w:rsidR="00655193" w:rsidRPr="0071546E" w:rsidRDefault="00C046AC" w:rsidP="009C2D9B">
            <w:pPr>
              <w:spacing w:line="240" w:lineRule="atLeast"/>
              <w:ind w:right="454"/>
              <w:jc w:val="both"/>
              <w:rPr>
                <w:rFonts w:ascii="Arial" w:eastAsia="Times New Roman" w:hAnsi="Arial" w:cs="Arial"/>
                <w:sz w:val="24"/>
                <w:szCs w:val="24"/>
                <w:lang w:eastAsia="en-GB"/>
              </w:rPr>
            </w:pPr>
            <w:r w:rsidRPr="0071546E">
              <w:rPr>
                <w:rFonts w:ascii="Arial" w:eastAsiaTheme="minorHAnsi" w:hAnsi="Arial" w:cs="Arial"/>
                <w:b w:val="0"/>
                <w:bCs w:val="0"/>
                <w:color w:val="auto"/>
                <w:sz w:val="24"/>
                <w:szCs w:val="24"/>
              </w:rPr>
              <w:object w:dxaOrig="6317" w:dyaOrig="3814">
                <v:shape id="_x0000_i1041" type="#_x0000_t75" style="width:298.5pt;height:219pt" o:ole="">
                  <v:imagedata r:id="rId63" o:title=""/>
                </v:shape>
                <o:OLEObject Type="Embed" ProgID="ChemDraw.Document.6.0" ShapeID="_x0000_i1041" DrawAspect="Content" ObjectID="_1649004628" r:id="rId64"/>
              </w:object>
            </w:r>
          </w:p>
        </w:tc>
      </w:tr>
      <w:tr w:rsidR="00655193" w:rsidRPr="0071546E" w:rsidTr="00C046AC">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7573" w:type="dxa"/>
          </w:tcPr>
          <w:p w:rsidR="00655193" w:rsidRPr="0071546E" w:rsidRDefault="00655193" w:rsidP="009C2D9B">
            <w:pPr>
              <w:spacing w:line="240" w:lineRule="atLeast"/>
              <w:ind w:left="1021" w:right="454"/>
              <w:jc w:val="both"/>
              <w:rPr>
                <w:rFonts w:ascii="Arial" w:eastAsia="Times New Roman" w:hAnsi="Arial" w:cs="Arial"/>
                <w:b w:val="0"/>
                <w:sz w:val="24"/>
                <w:szCs w:val="24"/>
                <w:lang w:eastAsia="en-GB"/>
              </w:rPr>
            </w:pPr>
            <w:r w:rsidRPr="0071546E">
              <w:rPr>
                <w:rFonts w:ascii="Arial" w:eastAsia="Times New Roman" w:hAnsi="Arial" w:cs="Arial"/>
                <w:b w:val="0"/>
                <w:sz w:val="24"/>
                <w:szCs w:val="24"/>
                <w:lang w:eastAsia="en-GB"/>
              </w:rPr>
              <w:t>Amphotericin B</w:t>
            </w:r>
          </w:p>
        </w:tc>
      </w:tr>
    </w:tbl>
    <w:p w:rsidR="00655193" w:rsidRPr="0071546E" w:rsidRDefault="00655193" w:rsidP="009C2D9B">
      <w:pPr>
        <w:spacing w:before="100" w:after="0" w:line="240" w:lineRule="atLeast"/>
        <w:ind w:left="1021" w:right="454"/>
        <w:jc w:val="both"/>
        <w:rPr>
          <w:rFonts w:ascii="Arial" w:eastAsia="Times New Roman" w:hAnsi="Arial" w:cs="Arial"/>
          <w:sz w:val="24"/>
          <w:szCs w:val="24"/>
          <w:lang w:eastAsia="en-GB"/>
        </w:rPr>
      </w:pPr>
    </w:p>
    <w:p w:rsidR="00655193" w:rsidRPr="0071546E" w:rsidRDefault="00B65E23" w:rsidP="009C2D9B">
      <w:pPr>
        <w:spacing w:before="100" w:after="0" w:line="240" w:lineRule="atLeast"/>
        <w:ind w:left="1021" w:right="454"/>
        <w:jc w:val="both"/>
        <w:rPr>
          <w:rFonts w:ascii="Arial" w:eastAsia="Times New Roman" w:hAnsi="Arial" w:cs="Arial"/>
          <w:sz w:val="20"/>
          <w:szCs w:val="20"/>
          <w:lang w:eastAsia="en-GB"/>
        </w:rPr>
      </w:pPr>
      <w:r w:rsidRPr="0071546E">
        <w:rPr>
          <w:rFonts w:ascii="Arial" w:eastAsia="Times New Roman" w:hAnsi="Arial" w:cs="Arial"/>
          <w:sz w:val="20"/>
          <w:szCs w:val="20"/>
          <w:lang w:eastAsia="en-GB"/>
        </w:rPr>
        <w:t>Fig 1.22</w:t>
      </w:r>
      <w:r w:rsidR="00655193" w:rsidRPr="0071546E">
        <w:rPr>
          <w:rFonts w:ascii="Arial" w:eastAsia="Times New Roman" w:hAnsi="Arial" w:cs="Arial"/>
          <w:sz w:val="20"/>
          <w:szCs w:val="20"/>
          <w:lang w:eastAsia="en-GB"/>
        </w:rPr>
        <w:t xml:space="preserve"> Structure of amphotericin B.</w:t>
      </w:r>
      <w:r w:rsidR="00655193" w:rsidRPr="0071546E">
        <w:rPr>
          <w:rFonts w:ascii="Arial" w:eastAsiaTheme="minorEastAsia" w:hAnsi="Arial" w:cs="Arial"/>
          <w:sz w:val="20"/>
          <w:szCs w:val="20"/>
        </w:rPr>
        <w:t xml:space="preserve"> The carbon chains of polyenes are synthesised from acetate and propionate units by polyketide synthases (PKSs). </w:t>
      </w:r>
      <w:r w:rsidR="00655193" w:rsidRPr="0071546E">
        <w:rPr>
          <w:rFonts w:ascii="Arial" w:eastAsia="Times New Roman" w:hAnsi="Arial" w:cs="Arial"/>
          <w:sz w:val="20"/>
          <w:szCs w:val="20"/>
          <w:lang w:eastAsia="en-GB"/>
        </w:rPr>
        <w:t>The final product is a unique functionalised acyl chain that may cycle and undergo further modification by hydroxylation, methylation and glycosylation.</w:t>
      </w:r>
    </w:p>
    <w:p w:rsidR="00655193" w:rsidRPr="0071546E" w:rsidRDefault="00266AFE" w:rsidP="00CF13FE">
      <w:pPr>
        <w:ind w:left="1021" w:right="454"/>
        <w:rPr>
          <w:rFonts w:ascii="Arial" w:eastAsia="Times New Roman" w:hAnsi="Arial" w:cs="Arial"/>
          <w:b/>
          <w:sz w:val="20"/>
          <w:szCs w:val="20"/>
          <w:lang w:eastAsia="en-GB"/>
        </w:rPr>
      </w:pPr>
      <w:r w:rsidRPr="0071546E">
        <w:rPr>
          <w:rFonts w:ascii="Arial" w:eastAsia="Times New Roman" w:hAnsi="Arial" w:cs="Arial"/>
          <w:b/>
          <w:noProof/>
          <w:sz w:val="24"/>
          <w:szCs w:val="24"/>
          <w:lang w:eastAsia="en-GB"/>
        </w:rPr>
        <mc:AlternateContent>
          <mc:Choice Requires="wps">
            <w:drawing>
              <wp:anchor distT="0" distB="0" distL="114300" distR="114300" simplePos="0" relativeHeight="251755520" behindDoc="0" locked="0" layoutInCell="1" allowOverlap="1">
                <wp:simplePos x="0" y="0"/>
                <wp:positionH relativeFrom="page">
                  <wp:align>left</wp:align>
                </wp:positionH>
                <wp:positionV relativeFrom="paragraph">
                  <wp:posOffset>5003556</wp:posOffset>
                </wp:positionV>
                <wp:extent cx="7552267" cy="10656711"/>
                <wp:effectExtent l="0" t="0" r="10795" b="11430"/>
                <wp:wrapNone/>
                <wp:docPr id="1189" name="Rectangle 1189"/>
                <wp:cNvGraphicFramePr/>
                <a:graphic xmlns:a="http://schemas.openxmlformats.org/drawingml/2006/main">
                  <a:graphicData uri="http://schemas.microsoft.com/office/word/2010/wordprocessingShape">
                    <wps:wsp>
                      <wps:cNvSpPr/>
                      <wps:spPr>
                        <a:xfrm>
                          <a:off x="0" y="0"/>
                          <a:ext cx="7552267" cy="10656711"/>
                        </a:xfrm>
                        <a:prstGeom prst="rect">
                          <a:avLst/>
                        </a:prstGeom>
                        <a:no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A227D1" id="Rectangle 1189" o:spid="_x0000_s1026" style="position:absolute;margin-left:0;margin-top:394pt;width:594.65pt;height:839.1pt;z-index:2517555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" filled="f" strokecolor="#a5a5a5 [3206]" strokeweight=".5pt">
                <w10:wrap anchorx="page"/>
              </v:rect>
            </w:pict>
          </mc:Fallback>
        </mc:AlternateContent>
      </w:r>
      <w:r w:rsidR="00655193" w:rsidRPr="0071546E">
        <w:rPr>
          <w:rFonts w:ascii="Arial" w:eastAsia="Times New Roman" w:hAnsi="Arial" w:cs="Arial"/>
          <w:b/>
          <w:sz w:val="20"/>
          <w:szCs w:val="20"/>
          <w:lang w:eastAsia="en-GB"/>
        </w:rPr>
        <w:br w:type="page"/>
      </w:r>
    </w:p>
    <w:p w:rsidR="00725033" w:rsidRPr="0071546E" w:rsidRDefault="00725033" w:rsidP="00CF13FE">
      <w:pPr>
        <w:pStyle w:val="Heading2"/>
        <w:ind w:left="1021" w:right="454"/>
      </w:pPr>
      <w:bookmarkStart w:id="47" w:name="_Toc14711417"/>
      <w:r w:rsidRPr="0071546E">
        <w:t>1.8.4 Miltefosine</w:t>
      </w:r>
      <w:bookmarkEnd w:id="47"/>
    </w:p>
    <w:p w:rsidR="00266AFE" w:rsidRPr="0071546E" w:rsidRDefault="00725033" w:rsidP="00CF13FE">
      <w:pPr>
        <w:spacing w:line="480" w:lineRule="auto"/>
        <w:ind w:left="1021" w:right="454"/>
        <w:jc w:val="both"/>
        <w:rPr>
          <w:rFonts w:ascii="Arial" w:hAnsi="Arial" w:cs="Arial"/>
          <w:sz w:val="24"/>
          <w:szCs w:val="24"/>
        </w:rPr>
      </w:pPr>
      <w:r w:rsidRPr="0071546E">
        <w:rPr>
          <w:rFonts w:ascii="Arial" w:hAnsi="Arial" w:cs="Arial"/>
          <w:sz w:val="24"/>
          <w:szCs w:val="24"/>
        </w:rPr>
        <w:t>Miltefosine, a phosphoryl ester of hexadecanol, a membrane acting alkyl phospholipid, an oral agent originally manufactured for the treatment of breast cancer and other solid tumours; however, its use as an antineoplastic agent was hindered due to dose</w:t>
      </w:r>
      <w:r w:rsidR="002C2939" w:rsidRPr="0071546E">
        <w:rPr>
          <w:rFonts w:ascii="Arial" w:hAnsi="Arial" w:cs="Arial"/>
          <w:sz w:val="24"/>
          <w:szCs w:val="24"/>
        </w:rPr>
        <w:t>-</w:t>
      </w:r>
      <w:r w:rsidRPr="0071546E">
        <w:rPr>
          <w:rFonts w:ascii="Arial" w:hAnsi="Arial" w:cs="Arial"/>
          <w:sz w:val="24"/>
          <w:szCs w:val="24"/>
        </w:rPr>
        <w:t xml:space="preserve">limiting gastrointestinal toxicity. The precise mode of action of Miltefosine has been </w:t>
      </w:r>
      <w:r w:rsidR="00475797" w:rsidRPr="0071546E">
        <w:rPr>
          <w:rFonts w:ascii="Arial" w:hAnsi="Arial" w:cs="Arial"/>
          <w:sz w:val="24"/>
          <w:szCs w:val="24"/>
        </w:rPr>
        <w:t xml:space="preserve">a </w:t>
      </w:r>
      <w:r w:rsidRPr="0071546E">
        <w:rPr>
          <w:rFonts w:ascii="Arial" w:hAnsi="Arial" w:cs="Arial"/>
          <w:sz w:val="24"/>
          <w:szCs w:val="24"/>
        </w:rPr>
        <w:t xml:space="preserve">subject of debate. Typically, Miltefosine </w:t>
      </w:r>
      <w:r w:rsidR="00475797" w:rsidRPr="0071546E">
        <w:rPr>
          <w:rFonts w:ascii="Arial" w:hAnsi="Arial" w:cs="Arial"/>
          <w:sz w:val="24"/>
          <w:szCs w:val="24"/>
        </w:rPr>
        <w:t>is</w:t>
      </w:r>
      <w:r w:rsidRPr="0071546E">
        <w:rPr>
          <w:rFonts w:ascii="Arial" w:hAnsi="Arial" w:cs="Arial"/>
          <w:sz w:val="24"/>
          <w:szCs w:val="24"/>
        </w:rPr>
        <w:t xml:space="preserve"> an inhibitor of protein kinase B in humans, which is part of </w:t>
      </w:r>
      <w:r w:rsidR="002C2939" w:rsidRPr="0071546E">
        <w:rPr>
          <w:rFonts w:ascii="Arial" w:hAnsi="Arial" w:cs="Arial"/>
          <w:sz w:val="24"/>
          <w:szCs w:val="24"/>
        </w:rPr>
        <w:t xml:space="preserve">the </w:t>
      </w:r>
      <w:r w:rsidRPr="0071546E">
        <w:rPr>
          <w:rFonts w:ascii="Arial" w:hAnsi="Arial" w:cs="Arial"/>
          <w:sz w:val="24"/>
          <w:szCs w:val="24"/>
        </w:rPr>
        <w:t>apoptosis signalling pathway</w:t>
      </w:r>
      <w:r w:rsidRPr="0071546E">
        <w:rPr>
          <w:rFonts w:ascii="Arial" w:hAnsi="Arial" w:cs="Arial"/>
          <w:color w:val="000000"/>
          <w:sz w:val="24"/>
          <w:szCs w:val="24"/>
        </w:rPr>
        <w:t xml:space="preserve"> </w:t>
      </w:r>
      <w:r w:rsidRPr="0071546E">
        <w:rPr>
          <w:rFonts w:ascii="Arial" w:hAnsi="Arial" w:cs="Arial"/>
          <w:sz w:val="24"/>
          <w:szCs w:val="24"/>
        </w:rPr>
        <w:t xml:space="preserve">(Ruiter et al., 2003). However, these pathways are absent in parasites susceptible to Miltefosine </w:t>
      </w:r>
      <w:r w:rsidR="00475797" w:rsidRPr="0071546E">
        <w:rPr>
          <w:rFonts w:ascii="Arial" w:hAnsi="Arial" w:cs="Arial"/>
          <w:sz w:val="24"/>
          <w:szCs w:val="24"/>
        </w:rPr>
        <w:t xml:space="preserve">e.g </w:t>
      </w:r>
      <w:r w:rsidRPr="0071546E">
        <w:rPr>
          <w:rFonts w:ascii="Arial" w:hAnsi="Arial" w:cs="Arial"/>
          <w:sz w:val="24"/>
          <w:szCs w:val="24"/>
        </w:rPr>
        <w:t>(Leishmania). Other postulations for the mechanism of action of Miltefosine on Leishmania are lipid alteration by intercalation, modulation of macrophage activation factors.</w:t>
      </w:r>
      <w:r w:rsidRPr="0071546E">
        <w:rPr>
          <w:rFonts w:ascii="Arial" w:hAnsi="Arial" w:cs="Arial"/>
          <w:color w:val="000000"/>
          <w:sz w:val="24"/>
          <w:szCs w:val="24"/>
        </w:rPr>
        <w:t xml:space="preserve"> However, </w:t>
      </w:r>
      <w:r w:rsidRPr="0071546E">
        <w:rPr>
          <w:rFonts w:ascii="Arial" w:hAnsi="Arial" w:cs="Arial"/>
          <w:sz w:val="24"/>
          <w:szCs w:val="24"/>
        </w:rPr>
        <w:t xml:space="preserve">(Marowa E. Abdulla, 2017) reported that dying parasites exhibit many cytoplasmic, nuclear, and membrane features of apoptotic cells, including DNA fragmentation, cell shrinkage and relocation of phosphatidylserine. Several </w:t>
      </w:r>
      <w:r w:rsidRPr="0071546E">
        <w:rPr>
          <w:rFonts w:ascii="Arial" w:hAnsi="Arial" w:cs="Arial"/>
          <w:i/>
          <w:sz w:val="24"/>
          <w:szCs w:val="24"/>
        </w:rPr>
        <w:t>in-vitro</w:t>
      </w:r>
      <w:r w:rsidRPr="0071546E">
        <w:rPr>
          <w:rFonts w:ascii="Arial" w:hAnsi="Arial" w:cs="Arial"/>
          <w:sz w:val="24"/>
          <w:szCs w:val="24"/>
        </w:rPr>
        <w:t xml:space="preserve"> and </w:t>
      </w:r>
      <w:r w:rsidRPr="0071546E">
        <w:rPr>
          <w:rFonts w:ascii="Arial" w:hAnsi="Arial" w:cs="Arial"/>
          <w:i/>
          <w:sz w:val="24"/>
          <w:szCs w:val="24"/>
        </w:rPr>
        <w:t>in-vivo</w:t>
      </w:r>
      <w:r w:rsidRPr="0071546E">
        <w:rPr>
          <w:rFonts w:ascii="Arial" w:hAnsi="Arial" w:cs="Arial"/>
          <w:sz w:val="24"/>
          <w:szCs w:val="24"/>
        </w:rPr>
        <w:t xml:space="preserve"> studies have shown susceptibility to </w:t>
      </w:r>
      <w:r w:rsidR="00432D1D" w:rsidRPr="0071546E">
        <w:rPr>
          <w:rFonts w:ascii="Arial" w:hAnsi="Arial" w:cs="Arial"/>
          <w:i/>
          <w:sz w:val="24"/>
          <w:szCs w:val="24"/>
        </w:rPr>
        <w:t>Acanthamoeba</w:t>
      </w:r>
      <w:r w:rsidRPr="0071546E">
        <w:rPr>
          <w:rFonts w:ascii="Arial" w:hAnsi="Arial" w:cs="Arial"/>
          <w:sz w:val="24"/>
          <w:szCs w:val="24"/>
        </w:rPr>
        <w:t xml:space="preserve">, to Miltefosine (Schuster, Guglielmo, and Visvesvara, Seifert </w:t>
      </w:r>
      <w:r w:rsidRPr="0071546E">
        <w:rPr>
          <w:rFonts w:ascii="Arial" w:hAnsi="Arial" w:cs="Arial"/>
          <w:i/>
          <w:sz w:val="24"/>
          <w:szCs w:val="24"/>
        </w:rPr>
        <w:t>et al</w:t>
      </w:r>
      <w:r w:rsidRPr="0071546E">
        <w:rPr>
          <w:rFonts w:ascii="Arial" w:hAnsi="Arial" w:cs="Arial"/>
          <w:sz w:val="24"/>
          <w:szCs w:val="24"/>
        </w:rPr>
        <w:t>., 2001;</w:t>
      </w:r>
      <w:r w:rsidR="002C2939" w:rsidRPr="0071546E">
        <w:rPr>
          <w:rFonts w:ascii="Arial" w:hAnsi="Arial" w:cs="Arial"/>
          <w:sz w:val="24"/>
          <w:szCs w:val="24"/>
        </w:rPr>
        <w:t xml:space="preserve"> </w:t>
      </w:r>
      <w:r w:rsidRPr="0071546E">
        <w:rPr>
          <w:rFonts w:ascii="Arial" w:hAnsi="Arial" w:cs="Arial"/>
          <w:sz w:val="24"/>
          <w:szCs w:val="24"/>
        </w:rPr>
        <w:t xml:space="preserve">Walochnik et al., 2002; 2006; Mrva </w:t>
      </w:r>
      <w:r w:rsidRPr="0071546E">
        <w:rPr>
          <w:rFonts w:ascii="Arial" w:hAnsi="Arial" w:cs="Arial"/>
          <w:i/>
          <w:sz w:val="24"/>
          <w:szCs w:val="24"/>
        </w:rPr>
        <w:t>et al</w:t>
      </w:r>
      <w:r w:rsidRPr="0071546E">
        <w:rPr>
          <w:rFonts w:ascii="Arial" w:hAnsi="Arial" w:cs="Arial"/>
          <w:sz w:val="24"/>
          <w:szCs w:val="24"/>
        </w:rPr>
        <w:t>., 2011;</w:t>
      </w:r>
      <w:r w:rsidRPr="0071546E">
        <w:rPr>
          <w:rFonts w:ascii="Arial" w:hAnsi="Arial" w:cs="Arial"/>
          <w:color w:val="000000"/>
          <w:sz w:val="24"/>
          <w:szCs w:val="24"/>
        </w:rPr>
        <w:t xml:space="preserve"> </w:t>
      </w:r>
      <w:r w:rsidRPr="0071546E">
        <w:rPr>
          <w:rFonts w:ascii="Arial" w:hAnsi="Arial" w:cs="Arial"/>
          <w:sz w:val="24"/>
          <w:szCs w:val="24"/>
        </w:rPr>
        <w:t xml:space="preserve">Szentmáry </w:t>
      </w:r>
      <w:r w:rsidRPr="0071546E">
        <w:rPr>
          <w:rFonts w:ascii="Arial" w:hAnsi="Arial" w:cs="Arial"/>
          <w:i/>
          <w:sz w:val="24"/>
          <w:szCs w:val="24"/>
        </w:rPr>
        <w:t>et al</w:t>
      </w:r>
      <w:r w:rsidRPr="0071546E">
        <w:rPr>
          <w:rFonts w:ascii="Arial" w:hAnsi="Arial" w:cs="Arial"/>
          <w:sz w:val="24"/>
          <w:szCs w:val="24"/>
        </w:rPr>
        <w:t>., 2018; Bagga et al., 2018).</w:t>
      </w:r>
    </w:p>
    <w:p w:rsidR="00266AFE" w:rsidRPr="0071546E" w:rsidRDefault="00266AFE" w:rsidP="00CF13FE">
      <w:pPr>
        <w:spacing w:line="480" w:lineRule="auto"/>
        <w:ind w:left="1021" w:right="454"/>
        <w:jc w:val="both"/>
        <w:rPr>
          <w:rFonts w:ascii="Arial" w:hAnsi="Arial" w:cs="Arial"/>
          <w:sz w:val="24"/>
          <w:szCs w:val="24"/>
        </w:rPr>
      </w:pPr>
    </w:p>
    <w:p w:rsidR="00266AFE" w:rsidRPr="0071546E" w:rsidRDefault="00266AFE" w:rsidP="00CF13FE">
      <w:pPr>
        <w:spacing w:line="480" w:lineRule="auto"/>
        <w:ind w:left="1021" w:right="454"/>
        <w:jc w:val="both"/>
        <w:rPr>
          <w:rFonts w:ascii="Arial" w:hAnsi="Arial" w:cs="Arial"/>
          <w:sz w:val="24"/>
          <w:szCs w:val="24"/>
        </w:rPr>
      </w:pPr>
    </w:p>
    <w:p w:rsidR="00266AFE" w:rsidRPr="0071546E" w:rsidRDefault="00266AFE" w:rsidP="00CF13FE">
      <w:pPr>
        <w:spacing w:line="480" w:lineRule="auto"/>
        <w:ind w:left="1021" w:right="454"/>
        <w:jc w:val="both"/>
        <w:rPr>
          <w:rFonts w:ascii="Arial" w:hAnsi="Arial" w:cs="Arial"/>
          <w:sz w:val="24"/>
          <w:szCs w:val="24"/>
        </w:rPr>
      </w:pPr>
    </w:p>
    <w:p w:rsidR="00266AFE" w:rsidRPr="0071546E" w:rsidRDefault="00266AFE" w:rsidP="00CF13FE">
      <w:pPr>
        <w:spacing w:line="480" w:lineRule="auto"/>
        <w:ind w:left="1021" w:right="454"/>
        <w:jc w:val="both"/>
        <w:rPr>
          <w:rFonts w:ascii="Arial" w:hAnsi="Arial" w:cs="Arial"/>
          <w:sz w:val="24"/>
          <w:szCs w:val="24"/>
        </w:rPr>
      </w:pPr>
    </w:p>
    <w:p w:rsidR="00725033" w:rsidRPr="0071546E" w:rsidRDefault="00725033" w:rsidP="00CF13FE">
      <w:pPr>
        <w:spacing w:line="480" w:lineRule="auto"/>
        <w:ind w:left="1021" w:right="454"/>
        <w:jc w:val="both"/>
        <w:rPr>
          <w:rFonts w:ascii="Arial" w:hAnsi="Arial" w:cs="Arial"/>
          <w:sz w:val="24"/>
          <w:szCs w:val="24"/>
        </w:rPr>
      </w:pPr>
      <w:r w:rsidRPr="0071546E">
        <w:rPr>
          <w:rFonts w:ascii="Arial" w:hAnsi="Arial" w:cs="Arial"/>
          <w:sz w:val="24"/>
          <w:szCs w:val="24"/>
        </w:rPr>
        <w:t xml:space="preserve"> In December 2016 the USA FDA granted Miltefosine (Impavido) Orphan Drug status for the treatment of </w:t>
      </w:r>
      <w:r w:rsidR="00432D1D" w:rsidRPr="0071546E">
        <w:rPr>
          <w:rFonts w:ascii="Arial" w:hAnsi="Arial" w:cs="Arial"/>
          <w:sz w:val="24"/>
          <w:szCs w:val="24"/>
        </w:rPr>
        <w:t>Acanthamoeba</w:t>
      </w:r>
      <w:r w:rsidRPr="0071546E">
        <w:rPr>
          <w:rFonts w:ascii="Arial" w:hAnsi="Arial" w:cs="Arial"/>
          <w:sz w:val="24"/>
          <w:szCs w:val="24"/>
        </w:rPr>
        <w:t xml:space="preserve"> keratitis, and a year after Orphan</w:t>
      </w:r>
      <w:r w:rsidR="00655193" w:rsidRPr="0071546E">
        <w:rPr>
          <w:rFonts w:ascii="Arial" w:hAnsi="Arial" w:cs="Arial"/>
          <w:sz w:val="24"/>
          <w:szCs w:val="24"/>
        </w:rPr>
        <w:t xml:space="preserve"> drug status was also given to m</w:t>
      </w:r>
      <w:r w:rsidRPr="0071546E">
        <w:rPr>
          <w:rFonts w:ascii="Arial" w:hAnsi="Arial" w:cs="Arial"/>
          <w:sz w:val="24"/>
          <w:szCs w:val="24"/>
        </w:rPr>
        <w:t xml:space="preserve">iltefosine for the treatment of the rare but fatal granulomatous Amoebic Encephalitis (GAE), both disease caused by </w:t>
      </w:r>
      <w:r w:rsidR="00432D1D" w:rsidRPr="0071546E">
        <w:rPr>
          <w:rFonts w:ascii="Arial" w:hAnsi="Arial" w:cs="Arial"/>
          <w:i/>
          <w:sz w:val="24"/>
          <w:szCs w:val="24"/>
        </w:rPr>
        <w:t>Acanthamoeba</w:t>
      </w:r>
      <w:r w:rsidRPr="0071546E">
        <w:rPr>
          <w:rFonts w:ascii="Arial" w:hAnsi="Arial" w:cs="Arial"/>
          <w:i/>
          <w:sz w:val="24"/>
          <w:szCs w:val="24"/>
        </w:rPr>
        <w:t xml:space="preserve"> spp</w:t>
      </w:r>
      <w:r w:rsidRPr="0071546E">
        <w:rPr>
          <w:rFonts w:ascii="Arial" w:hAnsi="Arial" w:cs="Arial"/>
          <w:sz w:val="24"/>
          <w:szCs w:val="24"/>
        </w:rPr>
        <w:t xml:space="preserve">. This makes Miltefosine the first drug adopted (repurposed) for the treatment of all infections caused by </w:t>
      </w:r>
      <w:r w:rsidR="00432D1D" w:rsidRPr="0071546E">
        <w:rPr>
          <w:rFonts w:ascii="Arial" w:hAnsi="Arial" w:cs="Arial"/>
          <w:i/>
          <w:sz w:val="24"/>
          <w:szCs w:val="24"/>
        </w:rPr>
        <w:t>Acanthamoeba</w:t>
      </w:r>
      <w:r w:rsidRPr="0071546E">
        <w:rPr>
          <w:rFonts w:ascii="Arial" w:hAnsi="Arial" w:cs="Arial"/>
          <w:i/>
          <w:sz w:val="24"/>
          <w:szCs w:val="24"/>
        </w:rPr>
        <w:t xml:space="preserve"> </w:t>
      </w:r>
      <w:r w:rsidR="002C2939" w:rsidRPr="0071546E">
        <w:rPr>
          <w:rFonts w:ascii="Arial" w:hAnsi="Arial" w:cs="Arial"/>
          <w:i/>
          <w:sz w:val="24"/>
          <w:szCs w:val="24"/>
        </w:rPr>
        <w:t>s</w:t>
      </w:r>
      <w:r w:rsidRPr="0071546E">
        <w:rPr>
          <w:rFonts w:ascii="Arial" w:hAnsi="Arial" w:cs="Arial"/>
          <w:i/>
          <w:sz w:val="24"/>
          <w:szCs w:val="24"/>
        </w:rPr>
        <w:t>pp</w:t>
      </w:r>
    </w:p>
    <w:tbl>
      <w:tblPr>
        <w:tblStyle w:val="ListTable6Colorful2"/>
        <w:tblW w:w="0" w:type="auto"/>
        <w:tblInd w:w="993" w:type="dxa"/>
        <w:tblLook w:val="04A0" w:firstRow="1" w:lastRow="0" w:firstColumn="1" w:lastColumn="0" w:noHBand="0" w:noVBand="1"/>
      </w:tblPr>
      <w:tblGrid>
        <w:gridCol w:w="7639"/>
      </w:tblGrid>
      <w:tr w:rsidR="00655193" w:rsidRPr="0071546E" w:rsidTr="00C046AC">
        <w:trPr>
          <w:cnfStyle w:val="100000000000" w:firstRow="1" w:lastRow="0" w:firstColumn="0" w:lastColumn="0" w:oddVBand="0" w:evenVBand="0" w:oddHBand="0" w:evenHBand="0" w:firstRowFirstColumn="0" w:firstRowLastColumn="0" w:lastRowFirstColumn="0" w:lastRowLastColumn="0"/>
          <w:trHeight w:val="3657"/>
        </w:trPr>
        <w:tc>
          <w:tcPr>
            <w:cnfStyle w:val="001000000000" w:firstRow="0" w:lastRow="0" w:firstColumn="1" w:lastColumn="0" w:oddVBand="0" w:evenVBand="0" w:oddHBand="0" w:evenHBand="0" w:firstRowFirstColumn="0" w:firstRowLastColumn="0" w:lastRowFirstColumn="0" w:lastRowLastColumn="0"/>
            <w:tcW w:w="7639" w:type="dxa"/>
          </w:tcPr>
          <w:p w:rsidR="00655193" w:rsidRPr="0071546E" w:rsidRDefault="00C046AC" w:rsidP="00C046AC">
            <w:pPr>
              <w:spacing w:line="480" w:lineRule="auto"/>
              <w:ind w:right="454"/>
              <w:jc w:val="both"/>
              <w:rPr>
                <w:rFonts w:ascii="Arial" w:eastAsia="Times New Roman" w:hAnsi="Arial" w:cs="Arial"/>
                <w:sz w:val="24"/>
                <w:szCs w:val="24"/>
                <w:lang w:eastAsia="en-GB"/>
              </w:rPr>
            </w:pPr>
            <w:r w:rsidRPr="0071546E">
              <w:rPr>
                <w:rFonts w:ascii="Arial" w:eastAsiaTheme="minorHAnsi" w:hAnsi="Arial" w:cs="Arial"/>
                <w:b w:val="0"/>
                <w:bCs w:val="0"/>
                <w:color w:val="auto"/>
                <w:sz w:val="24"/>
                <w:szCs w:val="24"/>
              </w:rPr>
              <w:object w:dxaOrig="6770" w:dyaOrig="1824">
                <v:shape id="_x0000_i1042" type="#_x0000_t75" style="width:260.25pt;height:129pt" o:ole="">
                  <v:imagedata r:id="rId65" o:title=""/>
                </v:shape>
                <o:OLEObject Type="Embed" ProgID="ChemDraw.Document.6.0" ShapeID="_x0000_i1042" DrawAspect="Content" ObjectID="_1649004629" r:id="rId66"/>
              </w:object>
            </w:r>
          </w:p>
        </w:tc>
      </w:tr>
      <w:tr w:rsidR="00655193" w:rsidRPr="0071546E" w:rsidTr="00C046AC">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7639" w:type="dxa"/>
          </w:tcPr>
          <w:p w:rsidR="00655193" w:rsidRPr="0071546E" w:rsidRDefault="00655193" w:rsidP="00CF13FE">
            <w:pPr>
              <w:spacing w:line="480" w:lineRule="auto"/>
              <w:ind w:left="1021" w:right="454"/>
              <w:jc w:val="both"/>
              <w:rPr>
                <w:rFonts w:ascii="Arial" w:eastAsia="Times New Roman" w:hAnsi="Arial" w:cs="Arial"/>
                <w:b w:val="0"/>
                <w:sz w:val="24"/>
                <w:szCs w:val="24"/>
                <w:lang w:eastAsia="en-GB"/>
              </w:rPr>
            </w:pPr>
            <w:r w:rsidRPr="0071546E">
              <w:rPr>
                <w:rFonts w:ascii="Arial" w:eastAsia="Times New Roman" w:hAnsi="Arial" w:cs="Arial"/>
                <w:b w:val="0"/>
                <w:sz w:val="24"/>
                <w:szCs w:val="24"/>
                <w:lang w:eastAsia="en-GB"/>
              </w:rPr>
              <w:t>Miltefosine</w:t>
            </w:r>
          </w:p>
        </w:tc>
      </w:tr>
    </w:tbl>
    <w:p w:rsidR="00655193" w:rsidRPr="0071546E" w:rsidRDefault="00655193" w:rsidP="00CF13FE">
      <w:pPr>
        <w:spacing w:before="100" w:after="0" w:line="240" w:lineRule="auto"/>
        <w:ind w:left="1021" w:right="454"/>
        <w:jc w:val="both"/>
        <w:rPr>
          <w:rFonts w:ascii="Arial" w:eastAsia="Times New Roman" w:hAnsi="Arial" w:cs="Arial"/>
          <w:sz w:val="24"/>
          <w:szCs w:val="24"/>
          <w:lang w:eastAsia="en-GB"/>
        </w:rPr>
      </w:pPr>
    </w:p>
    <w:p w:rsidR="00266AFE" w:rsidRPr="0071546E" w:rsidRDefault="00B65E23" w:rsidP="00266AFE">
      <w:pPr>
        <w:spacing w:before="100" w:after="0" w:line="240" w:lineRule="auto"/>
        <w:ind w:left="1021" w:right="454"/>
        <w:jc w:val="both"/>
        <w:rPr>
          <w:rFonts w:ascii="Arial" w:eastAsia="Times New Roman" w:hAnsi="Arial" w:cs="Arial"/>
          <w:sz w:val="20"/>
          <w:szCs w:val="20"/>
          <w:lang w:eastAsia="en-GB"/>
        </w:rPr>
      </w:pPr>
      <w:r w:rsidRPr="0071546E">
        <w:rPr>
          <w:rFonts w:ascii="Arial" w:eastAsia="Times New Roman" w:hAnsi="Arial" w:cs="Arial"/>
          <w:sz w:val="20"/>
          <w:szCs w:val="20"/>
          <w:lang w:eastAsia="en-GB"/>
        </w:rPr>
        <w:t>Fig 1.23</w:t>
      </w:r>
      <w:r w:rsidR="00DD3B9A" w:rsidRPr="0071546E">
        <w:rPr>
          <w:rFonts w:ascii="Arial" w:eastAsia="Times New Roman" w:hAnsi="Arial" w:cs="Arial"/>
          <w:sz w:val="20"/>
          <w:szCs w:val="20"/>
          <w:lang w:eastAsia="en-GB"/>
        </w:rPr>
        <w:t xml:space="preserve"> </w:t>
      </w:r>
      <w:r w:rsidR="00655193" w:rsidRPr="0071546E">
        <w:rPr>
          <w:rFonts w:ascii="Arial" w:eastAsia="Times New Roman" w:hAnsi="Arial" w:cs="Arial"/>
          <w:sz w:val="20"/>
          <w:szCs w:val="20"/>
          <w:lang w:eastAsia="en-GB"/>
        </w:rPr>
        <w:t>Structure of Miltefosine. The chemical name of miltefosine is hexadecyl 2-(trimethyl</w:t>
      </w:r>
      <w:r w:rsidR="002C2939" w:rsidRPr="0071546E">
        <w:rPr>
          <w:rFonts w:ascii="Arial" w:eastAsia="Times New Roman" w:hAnsi="Arial" w:cs="Arial"/>
          <w:sz w:val="20"/>
          <w:szCs w:val="20"/>
          <w:lang w:eastAsia="en-GB"/>
        </w:rPr>
        <w:t>-</w:t>
      </w:r>
      <w:r w:rsidR="00655193" w:rsidRPr="0071546E">
        <w:rPr>
          <w:rFonts w:ascii="Arial" w:eastAsia="Times New Roman" w:hAnsi="Arial" w:cs="Arial"/>
          <w:sz w:val="20"/>
          <w:szCs w:val="20"/>
          <w:lang w:eastAsia="en-GB"/>
        </w:rPr>
        <w:t>azaniumyl) ethyl phosphate, also known as hexadecylphosphocholine. The empirical formula is C</w:t>
      </w:r>
      <w:r w:rsidR="00655193" w:rsidRPr="0071546E">
        <w:rPr>
          <w:rFonts w:ascii="Arial" w:eastAsia="Times New Roman" w:hAnsi="Arial" w:cs="Arial"/>
          <w:sz w:val="20"/>
          <w:szCs w:val="20"/>
          <w:vertAlign w:val="subscript"/>
          <w:lang w:eastAsia="en-GB"/>
        </w:rPr>
        <w:t>21</w:t>
      </w:r>
      <w:r w:rsidR="00655193" w:rsidRPr="0071546E">
        <w:rPr>
          <w:rFonts w:ascii="Arial" w:eastAsia="Times New Roman" w:hAnsi="Arial" w:cs="Arial"/>
          <w:sz w:val="20"/>
          <w:szCs w:val="20"/>
          <w:lang w:eastAsia="en-GB"/>
        </w:rPr>
        <w:t>H</w:t>
      </w:r>
      <w:r w:rsidR="00655193" w:rsidRPr="0071546E">
        <w:rPr>
          <w:rFonts w:ascii="Arial" w:eastAsia="Times New Roman" w:hAnsi="Arial" w:cs="Arial"/>
          <w:sz w:val="20"/>
          <w:szCs w:val="20"/>
          <w:vertAlign w:val="subscript"/>
          <w:lang w:eastAsia="en-GB"/>
        </w:rPr>
        <w:t>46</w:t>
      </w:r>
      <w:r w:rsidR="00655193" w:rsidRPr="0071546E">
        <w:rPr>
          <w:rFonts w:ascii="Arial" w:eastAsia="Times New Roman" w:hAnsi="Arial" w:cs="Arial"/>
          <w:sz w:val="20"/>
          <w:szCs w:val="20"/>
          <w:lang w:eastAsia="en-GB"/>
        </w:rPr>
        <w:t>NO</w:t>
      </w:r>
      <w:r w:rsidR="00655193" w:rsidRPr="0071546E">
        <w:rPr>
          <w:rFonts w:ascii="Arial" w:eastAsia="Times New Roman" w:hAnsi="Arial" w:cs="Arial"/>
          <w:sz w:val="20"/>
          <w:szCs w:val="20"/>
          <w:vertAlign w:val="subscript"/>
          <w:lang w:eastAsia="en-GB"/>
        </w:rPr>
        <w:t>4</w:t>
      </w:r>
      <w:r w:rsidR="00655193" w:rsidRPr="0071546E">
        <w:rPr>
          <w:rFonts w:ascii="Arial" w:eastAsia="Times New Roman" w:hAnsi="Arial" w:cs="Arial"/>
          <w:sz w:val="20"/>
          <w:szCs w:val="20"/>
          <w:lang w:eastAsia="en-GB"/>
        </w:rPr>
        <w:t>P. Miltefosine is an amphiphilic and zwitterionic compound because of the positively charged quaternary amine group (permanently charged) and neg</w:t>
      </w:r>
      <w:r w:rsidR="00266AFE" w:rsidRPr="0071546E">
        <w:rPr>
          <w:rFonts w:ascii="Arial" w:eastAsia="Times New Roman" w:hAnsi="Arial" w:cs="Arial"/>
          <w:sz w:val="20"/>
          <w:szCs w:val="20"/>
          <w:lang w:eastAsia="en-GB"/>
        </w:rPr>
        <w:t>atively charged phosphoryl group.</w:t>
      </w:r>
    </w:p>
    <w:p w:rsidR="00725033" w:rsidRPr="0071546E" w:rsidRDefault="00725033" w:rsidP="00CF13FE">
      <w:pPr>
        <w:spacing w:line="480" w:lineRule="auto"/>
        <w:ind w:left="1021" w:right="454" w:firstLine="57"/>
        <w:jc w:val="both"/>
        <w:rPr>
          <w:rFonts w:ascii="Arial" w:eastAsia="Times New Roman" w:hAnsi="Arial" w:cs="Arial"/>
          <w:b/>
          <w:sz w:val="24"/>
          <w:szCs w:val="24"/>
          <w:lang w:eastAsia="en-GB"/>
        </w:rPr>
      </w:pPr>
    </w:p>
    <w:p w:rsidR="00725033" w:rsidRPr="0071546E" w:rsidRDefault="00725033" w:rsidP="00CF13FE">
      <w:pPr>
        <w:spacing w:line="480" w:lineRule="auto"/>
        <w:ind w:left="1021" w:right="454" w:firstLine="57"/>
        <w:jc w:val="both"/>
        <w:rPr>
          <w:rFonts w:ascii="Arial" w:eastAsia="Times New Roman" w:hAnsi="Arial" w:cs="Arial"/>
          <w:b/>
          <w:sz w:val="24"/>
          <w:szCs w:val="24"/>
          <w:lang w:eastAsia="en-GB"/>
        </w:rPr>
      </w:pPr>
    </w:p>
    <w:p w:rsidR="00725033" w:rsidRPr="0071546E" w:rsidRDefault="00725033" w:rsidP="00CF13FE">
      <w:pPr>
        <w:spacing w:line="480" w:lineRule="auto"/>
        <w:ind w:left="1021" w:right="454" w:firstLine="57"/>
        <w:jc w:val="both"/>
        <w:rPr>
          <w:rFonts w:ascii="Arial" w:eastAsia="Times New Roman" w:hAnsi="Arial" w:cs="Arial"/>
          <w:b/>
          <w:sz w:val="24"/>
          <w:szCs w:val="24"/>
          <w:lang w:eastAsia="en-GB"/>
        </w:rPr>
      </w:pPr>
    </w:p>
    <w:p w:rsidR="00725033" w:rsidRPr="0071546E" w:rsidRDefault="00725033" w:rsidP="00CF13FE">
      <w:pPr>
        <w:spacing w:line="480" w:lineRule="auto"/>
        <w:ind w:left="1021" w:right="454" w:firstLine="57"/>
        <w:jc w:val="both"/>
        <w:rPr>
          <w:rFonts w:ascii="Arial" w:eastAsia="Times New Roman" w:hAnsi="Arial" w:cs="Arial"/>
          <w:b/>
          <w:sz w:val="24"/>
          <w:szCs w:val="24"/>
          <w:lang w:eastAsia="en-GB"/>
        </w:rPr>
      </w:pPr>
    </w:p>
    <w:p w:rsidR="00655193" w:rsidRPr="0071546E" w:rsidRDefault="00655193" w:rsidP="00C046AC">
      <w:pPr>
        <w:spacing w:before="100" w:after="200" w:line="360" w:lineRule="auto"/>
        <w:ind w:right="454"/>
        <w:rPr>
          <w:rFonts w:ascii="Arial" w:eastAsia="Times New Roman" w:hAnsi="Arial" w:cs="Arial"/>
          <w:b/>
          <w:sz w:val="24"/>
          <w:szCs w:val="24"/>
          <w:lang w:eastAsia="en-GB"/>
        </w:rPr>
      </w:pPr>
    </w:p>
    <w:p w:rsidR="00C046AC" w:rsidRPr="0071546E" w:rsidRDefault="00266AFE" w:rsidP="00C046AC">
      <w:pPr>
        <w:spacing w:before="100" w:after="200" w:line="360" w:lineRule="auto"/>
        <w:ind w:right="454"/>
        <w:rPr>
          <w:rFonts w:ascii="Arial" w:eastAsia="Times New Roman" w:hAnsi="Arial" w:cs="Arial"/>
          <w:b/>
          <w:sz w:val="24"/>
          <w:szCs w:val="24"/>
          <w:lang w:eastAsia="en-GB"/>
        </w:rPr>
      </w:pPr>
      <w:r w:rsidRPr="0071546E">
        <w:rPr>
          <w:rFonts w:ascii="Arial" w:eastAsia="Times New Roman" w:hAnsi="Arial" w:cs="Arial"/>
          <w:b/>
          <w:noProof/>
          <w:sz w:val="24"/>
          <w:szCs w:val="24"/>
          <w:lang w:eastAsia="en-GB"/>
        </w:rPr>
        <mc:AlternateContent>
          <mc:Choice Requires="wps">
            <w:drawing>
              <wp:anchor distT="0" distB="0" distL="114300" distR="114300" simplePos="0" relativeHeight="251756544" behindDoc="0" locked="0" layoutInCell="1" allowOverlap="1">
                <wp:simplePos x="0" y="0"/>
                <wp:positionH relativeFrom="margin">
                  <wp:align>left</wp:align>
                </wp:positionH>
                <wp:positionV relativeFrom="paragraph">
                  <wp:posOffset>16119</wp:posOffset>
                </wp:positionV>
                <wp:extent cx="5280917" cy="1304818"/>
                <wp:effectExtent l="0" t="0" r="0" b="0"/>
                <wp:wrapNone/>
                <wp:docPr id="1192" name="Text Box 1192"/>
                <wp:cNvGraphicFramePr/>
                <a:graphic xmlns:a="http://schemas.openxmlformats.org/drawingml/2006/main">
                  <a:graphicData uri="http://schemas.microsoft.com/office/word/2010/wordprocessingShape">
                    <wps:wsp>
                      <wps:cNvSpPr txBox="1"/>
                      <wps:spPr>
                        <a:xfrm>
                          <a:off x="0" y="0"/>
                          <a:ext cx="5280917" cy="1304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7A14" w:rsidRPr="001349FE" w:rsidRDefault="00A87A14" w:rsidP="009B7013">
                            <w:pPr>
                              <w:spacing w:line="360" w:lineRule="auto"/>
                              <w:rPr>
                                <w:color w:val="000000" w:themeColor="text1"/>
                              </w:rPr>
                            </w:pPr>
                            <w:r w:rsidRPr="001349FE">
                              <w:rPr>
                                <w:rStyle w:val="TitleChar"/>
                                <w:rFonts w:ascii="Arial" w:hAnsi="Arial" w:cs="Arial"/>
                                <w:b/>
                                <w:color w:val="000000" w:themeColor="text1"/>
                                <w:sz w:val="56"/>
                              </w:rPr>
                              <w:t>CHAPTER TWO</w:t>
                            </w:r>
                            <w:r w:rsidRPr="001349FE">
                              <w:rPr>
                                <w:rFonts w:ascii="Arial" w:eastAsiaTheme="minorEastAsia" w:hAnsi="Arial" w:cs="Arial"/>
                                <w:color w:val="000000" w:themeColor="text1"/>
                                <w:sz w:val="56"/>
                                <w:szCs w:val="56"/>
                              </w:rPr>
                              <w:br/>
                            </w:r>
                            <w:r w:rsidRPr="001349FE">
                              <w:rPr>
                                <w:rStyle w:val="SubtleEmphasis"/>
                                <w:rFonts w:ascii="Arial" w:hAnsi="Arial" w:cs="Arial"/>
                                <w:i w:val="0"/>
                                <w:color w:val="000000" w:themeColor="text1"/>
                                <w:sz w:val="48"/>
                              </w:rPr>
                              <w:t>MATERIALS AND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92" o:spid="_x0000_s1051" type="#_x0000_t202" style="position:absolute;margin-left:0;margin-top:1.25pt;width:415.8pt;height:102.7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" filled="f" stroked="f" strokeweight=".5pt">
                <v:textbox>
                  <w:txbxContent>
                    <w:p w:rsidR="00A87A14" w:rsidRPr="001349FE" w:rsidRDefault="00A87A14" w:rsidP="009B7013">
                      <w:pPr>
                        <w:spacing w:line="360" w:lineRule="auto"/>
                        <w:rPr>
                          <w:color w:val="000000" w:themeColor="text1"/>
                        </w:rPr>
                      </w:pPr>
                      <w:r w:rsidRPr="001349FE">
                        <w:rPr>
                          <w:rStyle w:val="TitleChar"/>
                          <w:rFonts w:ascii="Arial" w:hAnsi="Arial" w:cs="Arial"/>
                          <w:b/>
                          <w:color w:val="000000" w:themeColor="text1"/>
                          <w:sz w:val="56"/>
                        </w:rPr>
                        <w:t>CHAPTER TWO</w:t>
                      </w:r>
                      <w:r w:rsidRPr="001349FE">
                        <w:rPr>
                          <w:rFonts w:ascii="Arial" w:eastAsiaTheme="minorEastAsia" w:hAnsi="Arial" w:cs="Arial"/>
                          <w:color w:val="000000" w:themeColor="text1"/>
                          <w:sz w:val="56"/>
                          <w:szCs w:val="56"/>
                        </w:rPr>
                        <w:br/>
                      </w:r>
                      <w:r w:rsidRPr="001349FE">
                        <w:rPr>
                          <w:rStyle w:val="SubtleEmphasis"/>
                          <w:rFonts w:ascii="Arial" w:hAnsi="Arial" w:cs="Arial"/>
                          <w:i w:val="0"/>
                          <w:color w:val="000000" w:themeColor="text1"/>
                          <w:sz w:val="48"/>
                        </w:rPr>
                        <w:t>MATERIALS AND METHOD</w:t>
                      </w:r>
                    </w:p>
                  </w:txbxContent>
                </v:textbox>
                <w10:wrap anchorx="margin"/>
              </v:shape>
            </w:pict>
          </mc:Fallback>
        </mc:AlternateContent>
      </w:r>
    </w:p>
    <w:p w:rsidR="00655193" w:rsidRPr="0071546E" w:rsidRDefault="00655193" w:rsidP="00CF13FE">
      <w:pPr>
        <w:spacing w:before="100" w:after="200" w:line="360" w:lineRule="auto"/>
        <w:ind w:left="1021" w:right="454"/>
        <w:rPr>
          <w:rFonts w:ascii="Arial" w:eastAsia="Times New Roman" w:hAnsi="Arial" w:cs="Arial"/>
          <w:b/>
          <w:sz w:val="24"/>
          <w:szCs w:val="24"/>
          <w:lang w:eastAsia="en-GB"/>
        </w:rPr>
      </w:pPr>
    </w:p>
    <w:p w:rsidR="00655193" w:rsidRPr="0071546E" w:rsidRDefault="00655193" w:rsidP="00CF13FE">
      <w:pPr>
        <w:spacing w:before="100" w:after="200" w:line="360" w:lineRule="auto"/>
        <w:ind w:left="1021" w:right="454"/>
        <w:rPr>
          <w:rFonts w:ascii="Arial" w:eastAsia="Times New Roman" w:hAnsi="Arial" w:cs="Arial"/>
          <w:b/>
          <w:sz w:val="24"/>
          <w:szCs w:val="24"/>
          <w:lang w:eastAsia="en-GB"/>
        </w:rPr>
      </w:pPr>
    </w:p>
    <w:p w:rsidR="00655193" w:rsidRPr="0071546E" w:rsidRDefault="00655193" w:rsidP="00DB4711">
      <w:pPr>
        <w:spacing w:before="100" w:after="200" w:line="240" w:lineRule="atLeast"/>
        <w:ind w:left="1021" w:right="454"/>
        <w:rPr>
          <w:rFonts w:ascii="Arial" w:eastAsia="Times New Roman" w:hAnsi="Arial" w:cs="Arial"/>
          <w:b/>
          <w:sz w:val="24"/>
          <w:szCs w:val="24"/>
          <w:lang w:eastAsia="en-GB"/>
        </w:rPr>
      </w:pPr>
    </w:p>
    <w:p w:rsidR="00655193" w:rsidRPr="0071546E" w:rsidRDefault="00655193" w:rsidP="00DB4711">
      <w:pPr>
        <w:spacing w:before="100" w:after="200" w:line="240" w:lineRule="atLeast"/>
        <w:ind w:left="1021" w:right="454"/>
        <w:rPr>
          <w:rFonts w:ascii="Arial" w:eastAsia="Times New Roman" w:hAnsi="Arial" w:cs="Arial"/>
          <w:b/>
          <w:sz w:val="24"/>
          <w:szCs w:val="24"/>
          <w:lang w:eastAsia="en-GB"/>
        </w:rPr>
      </w:pPr>
    </w:p>
    <w:p w:rsidR="00725033" w:rsidRPr="0071546E" w:rsidRDefault="00725033" w:rsidP="00225130">
      <w:pPr>
        <w:spacing w:before="100" w:after="200" w:line="360" w:lineRule="auto"/>
        <w:ind w:right="454"/>
        <w:rPr>
          <w:rFonts w:ascii="Arial" w:eastAsiaTheme="minorEastAsia" w:hAnsi="Arial" w:cs="Arial"/>
          <w:sz w:val="24"/>
          <w:szCs w:val="24"/>
        </w:rPr>
      </w:pPr>
      <w:r w:rsidRPr="0071546E">
        <w:rPr>
          <w:rFonts w:ascii="Arial" w:eastAsiaTheme="minorEastAsia" w:hAnsi="Arial" w:cs="Arial"/>
          <w:sz w:val="24"/>
          <w:szCs w:val="24"/>
        </w:rPr>
        <w:br w:type="page"/>
      </w:r>
    </w:p>
    <w:p w:rsidR="00725033" w:rsidRPr="0071546E" w:rsidRDefault="00475797" w:rsidP="00475797">
      <w:pPr>
        <w:ind w:right="454"/>
        <w:rPr>
          <w:rFonts w:ascii="Arial" w:eastAsia="Times New Roman" w:hAnsi="Arial" w:cs="Arial"/>
          <w:b/>
          <w:bCs/>
          <w:sz w:val="24"/>
          <w:szCs w:val="24"/>
          <w:lang w:eastAsia="en-GB"/>
        </w:rPr>
      </w:pPr>
      <w:bookmarkStart w:id="48" w:name="_Toc14711420"/>
      <w:r w:rsidRPr="0071546E">
        <w:t xml:space="preserve">                    </w:t>
      </w:r>
      <w:r w:rsidR="00725033" w:rsidRPr="0071546E">
        <w:rPr>
          <w:rFonts w:ascii="Arial" w:hAnsi="Arial" w:cs="Arial"/>
          <w:b/>
          <w:bCs/>
          <w:sz w:val="28"/>
          <w:szCs w:val="28"/>
        </w:rPr>
        <w:t>2.1 MATERIALS AND METHODS</w:t>
      </w:r>
      <w:bookmarkEnd w:id="48"/>
    </w:p>
    <w:p w:rsidR="00725033" w:rsidRPr="0071546E" w:rsidRDefault="00725033" w:rsidP="00CF13FE">
      <w:pPr>
        <w:pStyle w:val="Heading2"/>
        <w:ind w:left="1021" w:right="454"/>
      </w:pPr>
      <w:bookmarkStart w:id="49" w:name="_Toc14711421"/>
      <w:r w:rsidRPr="0071546E">
        <w:t>2.1.1 Materials</w:t>
      </w:r>
      <w:bookmarkEnd w:id="49"/>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All chemical reagents used for this</w:t>
      </w:r>
      <w:r w:rsidR="002C2939" w:rsidRPr="0071546E">
        <w:rPr>
          <w:rFonts w:ascii="Arial" w:eastAsia="Times New Roman" w:hAnsi="Arial" w:cs="Arial"/>
          <w:sz w:val="24"/>
          <w:szCs w:val="24"/>
          <w:lang w:eastAsia="en-GB"/>
        </w:rPr>
        <w:t xml:space="preserve"> project unless otherwise state</w:t>
      </w:r>
      <w:r w:rsidRPr="0071546E">
        <w:rPr>
          <w:rFonts w:ascii="Arial" w:eastAsia="Times New Roman" w:hAnsi="Arial" w:cs="Arial"/>
          <w:sz w:val="24"/>
          <w:szCs w:val="24"/>
          <w:lang w:eastAsia="en-GB"/>
        </w:rPr>
        <w:t xml:space="preserve"> were bought from </w:t>
      </w:r>
      <w:r w:rsidR="002C2939" w:rsidRPr="0071546E">
        <w:rPr>
          <w:rFonts w:ascii="Arial" w:eastAsia="Times New Roman" w:hAnsi="Arial" w:cs="Arial"/>
          <w:sz w:val="24"/>
          <w:szCs w:val="24"/>
          <w:lang w:eastAsia="en-GB"/>
        </w:rPr>
        <w:t>S</w:t>
      </w:r>
      <w:r w:rsidRPr="0071546E">
        <w:rPr>
          <w:rFonts w:ascii="Arial" w:eastAsia="Times New Roman" w:hAnsi="Arial" w:cs="Arial"/>
          <w:sz w:val="24"/>
          <w:szCs w:val="24"/>
          <w:lang w:eastAsia="en-GB"/>
        </w:rPr>
        <w:t>igma laboratories (Poole</w:t>
      </w:r>
      <w:r w:rsidR="00475797"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 Dorset</w:t>
      </w:r>
      <w:r w:rsidR="00475797"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 England). </w:t>
      </w:r>
      <w:r w:rsidRPr="0071546E">
        <w:rPr>
          <w:rFonts w:ascii="Arial" w:eastAsiaTheme="minorEastAsia" w:hAnsi="Arial" w:cs="Arial"/>
          <w:sz w:val="24"/>
          <w:szCs w:val="24"/>
        </w:rPr>
        <w:t xml:space="preserve">Dr Simon Kilvington at the </w:t>
      </w:r>
      <w:r w:rsidRPr="0071546E">
        <w:rPr>
          <w:rFonts w:ascii="Arial" w:eastAsiaTheme="minorEastAsia" w:hAnsi="Arial" w:cs="Arial"/>
          <w:noProof/>
          <w:sz w:val="24"/>
          <w:szCs w:val="24"/>
        </w:rPr>
        <w:t>University</w:t>
      </w:r>
      <w:r w:rsidRPr="0071546E">
        <w:rPr>
          <w:rFonts w:ascii="Arial" w:eastAsiaTheme="minorEastAsia" w:hAnsi="Arial" w:cs="Arial"/>
          <w:sz w:val="24"/>
          <w:szCs w:val="24"/>
        </w:rPr>
        <w:t xml:space="preserve"> of Leicester provided</w:t>
      </w:r>
      <w:r w:rsidRPr="0071546E">
        <w:rPr>
          <w:rFonts w:ascii="Arial" w:eastAsia="Times New Roman" w:hAnsi="Arial" w:cs="Arial"/>
          <w:sz w:val="24"/>
          <w:szCs w:val="24"/>
          <w:lang w:eastAsia="en-GB"/>
        </w:rPr>
        <w:t xml:space="preserve"> all 5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isolates used for this study </w:t>
      </w:r>
    </w:p>
    <w:p w:rsidR="00725033" w:rsidRPr="0071546E" w:rsidRDefault="00725033" w:rsidP="00CF13FE">
      <w:pPr>
        <w:spacing w:before="100" w:after="0" w:line="480" w:lineRule="auto"/>
        <w:ind w:left="1021" w:right="454"/>
        <w:jc w:val="both"/>
        <w:rPr>
          <w:rFonts w:ascii="Arial" w:eastAsia="Times New Roman" w:hAnsi="Arial" w:cs="Arial"/>
          <w:b/>
          <w:sz w:val="24"/>
          <w:szCs w:val="24"/>
          <w:lang w:eastAsia="en-GB"/>
        </w:rPr>
      </w:pPr>
      <w:r w:rsidRPr="0071546E">
        <w:rPr>
          <w:rFonts w:ascii="Arial" w:eastAsia="Times New Roman" w:hAnsi="Arial" w:cs="Arial"/>
          <w:b/>
          <w:sz w:val="24"/>
          <w:szCs w:val="24"/>
          <w:lang w:eastAsia="en-GB"/>
        </w:rPr>
        <w:t xml:space="preserve">2.1.2 Culture of </w:t>
      </w:r>
      <w:r w:rsidR="00432D1D" w:rsidRPr="0071546E">
        <w:rPr>
          <w:rFonts w:ascii="Arial" w:eastAsia="Times New Roman" w:hAnsi="Arial" w:cs="Arial"/>
          <w:b/>
          <w:i/>
          <w:sz w:val="24"/>
          <w:szCs w:val="24"/>
          <w:lang w:eastAsia="en-GB"/>
        </w:rPr>
        <w:t>Acanthamoeba</w:t>
      </w:r>
    </w:p>
    <w:p w:rsidR="00725033" w:rsidRPr="0071546E" w:rsidRDefault="00432D1D"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i/>
          <w:sz w:val="24"/>
          <w:szCs w:val="24"/>
          <w:lang w:eastAsia="en-GB"/>
        </w:rPr>
        <w:t>Acanthamoeba</w:t>
      </w:r>
      <w:r w:rsidR="00725033" w:rsidRPr="0071546E">
        <w:rPr>
          <w:rFonts w:ascii="Arial" w:eastAsia="Times New Roman" w:hAnsi="Arial" w:cs="Arial"/>
          <w:sz w:val="24"/>
          <w:szCs w:val="24"/>
          <w:lang w:eastAsia="en-GB"/>
        </w:rPr>
        <w:t xml:space="preserve"> cells were preserve</w:t>
      </w:r>
      <w:r w:rsidR="002C2939" w:rsidRPr="0071546E">
        <w:rPr>
          <w:rFonts w:ascii="Arial" w:eastAsia="Times New Roman" w:hAnsi="Arial" w:cs="Arial"/>
          <w:sz w:val="24"/>
          <w:szCs w:val="24"/>
          <w:lang w:eastAsia="en-GB"/>
        </w:rPr>
        <w:t>d</w:t>
      </w:r>
      <w:r w:rsidR="00725033" w:rsidRPr="0071546E">
        <w:rPr>
          <w:rFonts w:ascii="Arial" w:eastAsia="Times New Roman" w:hAnsi="Arial" w:cs="Arial"/>
          <w:sz w:val="24"/>
          <w:szCs w:val="24"/>
          <w:lang w:eastAsia="en-GB"/>
        </w:rPr>
        <w:t xml:space="preserve"> axenically in T-75 culture flasks using peptone-yeast-glucose media as </w:t>
      </w:r>
      <w:r w:rsidR="00475797" w:rsidRPr="0071546E">
        <w:rPr>
          <w:rFonts w:ascii="Arial" w:eastAsia="Times New Roman" w:hAnsi="Arial" w:cs="Arial"/>
          <w:sz w:val="24"/>
          <w:szCs w:val="24"/>
          <w:lang w:eastAsia="en-GB"/>
        </w:rPr>
        <w:t>previously reported</w:t>
      </w:r>
      <w:r w:rsidR="00725033" w:rsidRPr="0071546E">
        <w:rPr>
          <w:rFonts w:ascii="Arial" w:eastAsia="Times New Roman" w:hAnsi="Arial" w:cs="Arial"/>
          <w:sz w:val="24"/>
          <w:szCs w:val="24"/>
          <w:lang w:eastAsia="en-GB"/>
        </w:rPr>
        <w:t xml:space="preserve"> by (De Moraes and Alfieri, 2008). The contents and quantity used in 1000 ml of PYG media </w:t>
      </w:r>
      <w:r w:rsidR="002C2939" w:rsidRPr="0071546E">
        <w:rPr>
          <w:rFonts w:ascii="Arial" w:eastAsia="Times New Roman" w:hAnsi="Arial" w:cs="Arial"/>
          <w:sz w:val="24"/>
          <w:szCs w:val="24"/>
          <w:lang w:eastAsia="en-GB"/>
        </w:rPr>
        <w:t>are</w:t>
      </w:r>
      <w:r w:rsidR="00725033" w:rsidRPr="0071546E">
        <w:rPr>
          <w:rFonts w:ascii="Arial" w:eastAsia="Times New Roman" w:hAnsi="Arial" w:cs="Arial"/>
          <w:sz w:val="24"/>
          <w:szCs w:val="24"/>
          <w:lang w:eastAsia="en-GB"/>
        </w:rPr>
        <w:t xml:space="preserve"> summarised in table </w:t>
      </w:r>
      <w:r w:rsidR="00475797" w:rsidRPr="0071546E">
        <w:rPr>
          <w:rFonts w:ascii="Arial" w:eastAsia="Times New Roman" w:hAnsi="Arial" w:cs="Arial"/>
          <w:sz w:val="24"/>
          <w:szCs w:val="24"/>
          <w:lang w:eastAsia="en-GB"/>
        </w:rPr>
        <w:t>2.1</w:t>
      </w:r>
      <w:r w:rsidR="00725033" w:rsidRPr="0071546E">
        <w:rPr>
          <w:rFonts w:ascii="Arial" w:eastAsia="Times New Roman" w:hAnsi="Arial" w:cs="Arial"/>
          <w:sz w:val="24"/>
          <w:szCs w:val="24"/>
          <w:lang w:eastAsia="en-GB"/>
        </w:rPr>
        <w:t>.</w:t>
      </w:r>
    </w:p>
    <w:p w:rsidR="00725033" w:rsidRPr="0071546E" w:rsidRDefault="00725033" w:rsidP="00CF13FE">
      <w:pPr>
        <w:spacing w:before="100" w:after="0" w:line="480" w:lineRule="auto"/>
        <w:ind w:left="1021" w:right="454" w:firstLine="57"/>
        <w:jc w:val="both"/>
        <w:rPr>
          <w:rFonts w:ascii="Arial" w:eastAsia="Times New Roman" w:hAnsi="Arial" w:cs="Arial"/>
          <w:sz w:val="24"/>
          <w:szCs w:val="24"/>
          <w:lang w:eastAsia="en-GB"/>
        </w:rPr>
      </w:pPr>
      <w:r w:rsidRPr="0071546E">
        <w:rPr>
          <w:rFonts w:ascii="Arial" w:eastAsiaTheme="minorEastAsia" w:hAnsi="Arial" w:cs="Arial"/>
          <w:noProof/>
          <w:sz w:val="24"/>
          <w:szCs w:val="24"/>
          <w:lang w:eastAsia="en-GB"/>
        </w:rPr>
        <w:drawing>
          <wp:inline distT="0" distB="0" distL="0" distR="0" wp14:anchorId="6B9C69AA" wp14:editId="6A8E9824">
            <wp:extent cx="3678148" cy="330551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00051" cy="3325203"/>
                    </a:xfrm>
                    <a:prstGeom prst="rect">
                      <a:avLst/>
                    </a:prstGeom>
                  </pic:spPr>
                </pic:pic>
              </a:graphicData>
            </a:graphic>
          </wp:inline>
        </w:drawing>
      </w:r>
    </w:p>
    <w:p w:rsidR="00725033" w:rsidRPr="0071546E" w:rsidRDefault="00725033" w:rsidP="00CF13FE">
      <w:pPr>
        <w:spacing w:before="100" w:after="0" w:line="480" w:lineRule="auto"/>
        <w:ind w:left="1021" w:right="454" w:firstLine="57"/>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Table (2.1) Media for maintenance of infected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culture</w:t>
      </w:r>
    </w:p>
    <w:p w:rsidR="00725033" w:rsidRPr="0071546E" w:rsidRDefault="00725033" w:rsidP="00CF13FE">
      <w:pPr>
        <w:spacing w:before="100" w:after="0" w:line="480" w:lineRule="auto"/>
        <w:ind w:left="1021" w:right="454" w:firstLine="57"/>
        <w:jc w:val="both"/>
        <w:rPr>
          <w:rFonts w:ascii="Arial" w:eastAsia="Times New Roman" w:hAnsi="Arial" w:cs="Arial"/>
          <w:sz w:val="24"/>
          <w:szCs w:val="24"/>
          <w:lang w:eastAsia="en-GB"/>
        </w:rPr>
      </w:pPr>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All compounds were solubilised in 1000 ml of distilled water, adjusted to a pH of 6.5 and autoclaved at 110</w:t>
      </w:r>
      <w:r w:rsidRPr="0071546E">
        <w:rPr>
          <w:rFonts w:ascii="Arial" w:eastAsia="Times New Roman" w:hAnsi="Arial" w:cs="Arial"/>
          <w:sz w:val="24"/>
          <w:szCs w:val="24"/>
          <w:vertAlign w:val="superscript"/>
          <w:lang w:eastAsia="en-GB"/>
        </w:rPr>
        <w:t>o</w:t>
      </w:r>
      <w:r w:rsidRPr="0071546E">
        <w:rPr>
          <w:rFonts w:ascii="Arial" w:eastAsia="Times New Roman" w:hAnsi="Arial" w:cs="Arial"/>
          <w:sz w:val="24"/>
          <w:szCs w:val="24"/>
          <w:lang w:eastAsia="en-GB"/>
        </w:rPr>
        <w:t>C for 15 minutes</w:t>
      </w:r>
      <w:r w:rsidR="00CE34DE" w:rsidRPr="0071546E">
        <w:rPr>
          <w:rFonts w:ascii="Arial" w:eastAsia="Times New Roman" w:hAnsi="Arial" w:cs="Arial"/>
          <w:sz w:val="24"/>
          <w:szCs w:val="24"/>
          <w:lang w:eastAsia="en-GB"/>
        </w:rPr>
        <w:t xml:space="preserve"> (this temperature was used due the composition of the media – high levels of glucose and amino-acids)</w:t>
      </w:r>
      <w:r w:rsidRPr="0071546E">
        <w:rPr>
          <w:rFonts w:ascii="Arial" w:eastAsia="Times New Roman" w:hAnsi="Arial" w:cs="Arial"/>
          <w:sz w:val="24"/>
          <w:szCs w:val="24"/>
          <w:lang w:eastAsia="en-GB"/>
        </w:rPr>
        <w:t xml:space="preserve">. Infected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cultures do not need constant transfer to fresh media like the mammalian cell culture</w:t>
      </w:r>
      <w:r w:rsidR="007F3531" w:rsidRPr="0071546E">
        <w:rPr>
          <w:rFonts w:ascii="Arial" w:eastAsia="Times New Roman" w:hAnsi="Arial" w:cs="Arial"/>
          <w:sz w:val="24"/>
          <w:szCs w:val="24"/>
          <w:lang w:eastAsia="en-GB"/>
        </w:rPr>
        <w:t xml:space="preserve"> as they remain viable for a long period of time.</w:t>
      </w:r>
      <w:r w:rsidRPr="0071546E">
        <w:rPr>
          <w:rFonts w:ascii="Arial" w:eastAsia="Times New Roman" w:hAnsi="Arial" w:cs="Arial"/>
          <w:sz w:val="24"/>
          <w:szCs w:val="24"/>
          <w:lang w:eastAsia="en-GB"/>
        </w:rPr>
        <w:t xml:space="preserve"> They remain in the same flask for weeks or months depending on usage. Media is exchanged when </w:t>
      </w:r>
      <w:r w:rsidR="002C2939"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culture reaches a high cell density (&gt; 90 % confluence)</w:t>
      </w:r>
      <w:r w:rsidR="007F3531" w:rsidRPr="0071546E">
        <w:rPr>
          <w:rFonts w:ascii="Arial" w:eastAsia="Times New Roman" w:hAnsi="Arial" w:cs="Arial"/>
          <w:sz w:val="24"/>
          <w:szCs w:val="24"/>
          <w:lang w:eastAsia="en-GB"/>
        </w:rPr>
        <w:t xml:space="preserve"> because nutrients in the media must have been used up by cells</w:t>
      </w:r>
      <w:r w:rsidRPr="0071546E">
        <w:rPr>
          <w:rFonts w:ascii="Arial" w:eastAsia="Times New Roman" w:hAnsi="Arial" w:cs="Arial"/>
          <w:sz w:val="24"/>
          <w:szCs w:val="24"/>
          <w:lang w:eastAsia="en-GB"/>
        </w:rPr>
        <w:t xml:space="preserve">. To subculture in fresh media,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cells are detached from culture flask using a cell scraper then centrifuged to remove media. Amoeba is </w:t>
      </w:r>
      <w:r w:rsidR="007F3531" w:rsidRPr="0071546E">
        <w:rPr>
          <w:rFonts w:ascii="Arial" w:eastAsia="Times New Roman" w:hAnsi="Arial" w:cs="Arial"/>
          <w:sz w:val="24"/>
          <w:szCs w:val="24"/>
          <w:lang w:eastAsia="en-GB"/>
        </w:rPr>
        <w:t xml:space="preserve">then </w:t>
      </w:r>
      <w:r w:rsidRPr="0071546E">
        <w:rPr>
          <w:rFonts w:ascii="Arial" w:eastAsia="Times New Roman" w:hAnsi="Arial" w:cs="Arial"/>
          <w:sz w:val="24"/>
          <w:szCs w:val="24"/>
          <w:lang w:eastAsia="en-GB"/>
        </w:rPr>
        <w:t xml:space="preserve">suspended in fresh media 1:4 dilution. </w:t>
      </w:r>
      <w:r w:rsidR="007F3531" w:rsidRPr="0071546E">
        <w:rPr>
          <w:rFonts w:ascii="Arial" w:eastAsia="Times New Roman" w:hAnsi="Arial" w:cs="Arial"/>
          <w:sz w:val="24"/>
          <w:szCs w:val="24"/>
          <w:lang w:eastAsia="en-GB"/>
        </w:rPr>
        <w:t xml:space="preserve"> </w:t>
      </w:r>
    </w:p>
    <w:p w:rsidR="00725033" w:rsidRPr="0071546E" w:rsidRDefault="00725033" w:rsidP="00CF13FE">
      <w:pPr>
        <w:pStyle w:val="Heading2"/>
        <w:ind w:left="1021" w:right="454"/>
      </w:pPr>
      <w:bookmarkStart w:id="50" w:name="_Toc14711422"/>
      <w:r w:rsidRPr="0071546E">
        <w:t>2.1.3 Cell count</w:t>
      </w:r>
      <w:r w:rsidR="003B4341" w:rsidRPr="0071546E">
        <w:t>ing</w:t>
      </w:r>
      <w:bookmarkEnd w:id="50"/>
    </w:p>
    <w:p w:rsidR="007F3531" w:rsidRPr="0071546E" w:rsidRDefault="00190FD1" w:rsidP="007F3531">
      <w:pPr>
        <w:spacing w:before="100" w:after="20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Cells counts were</w:t>
      </w:r>
      <w:r w:rsidR="00725033"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performed</w:t>
      </w:r>
      <w:r w:rsidR="00725033" w:rsidRPr="0071546E">
        <w:rPr>
          <w:rFonts w:ascii="Arial" w:eastAsia="Times New Roman" w:hAnsi="Arial" w:cs="Arial"/>
          <w:sz w:val="24"/>
          <w:szCs w:val="24"/>
          <w:lang w:eastAsia="en-GB"/>
        </w:rPr>
        <w:t xml:space="preserve"> manually a</w:t>
      </w:r>
      <w:r w:rsidRPr="0071546E">
        <w:rPr>
          <w:rFonts w:ascii="Arial" w:eastAsia="Times New Roman" w:hAnsi="Arial" w:cs="Arial"/>
          <w:sz w:val="24"/>
          <w:szCs w:val="24"/>
          <w:lang w:eastAsia="en-GB"/>
        </w:rPr>
        <w:t xml:space="preserve">nd </w:t>
      </w:r>
      <w:r w:rsidR="007F3531" w:rsidRPr="0071546E">
        <w:rPr>
          <w:rFonts w:ascii="Arial" w:eastAsia="Times New Roman" w:hAnsi="Arial" w:cs="Arial"/>
          <w:sz w:val="24"/>
          <w:szCs w:val="24"/>
          <w:lang w:eastAsia="en-GB"/>
        </w:rPr>
        <w:t xml:space="preserve">with </w:t>
      </w:r>
      <w:r w:rsidRPr="0071546E">
        <w:rPr>
          <w:rFonts w:ascii="Arial" w:eastAsia="Times New Roman" w:hAnsi="Arial" w:cs="Arial"/>
          <w:sz w:val="24"/>
          <w:szCs w:val="24"/>
          <w:lang w:eastAsia="en-GB"/>
        </w:rPr>
        <w:t>automated</w:t>
      </w:r>
      <w:r w:rsidR="007F3531" w:rsidRPr="0071546E">
        <w:rPr>
          <w:rFonts w:ascii="Arial" w:eastAsia="Times New Roman" w:hAnsi="Arial" w:cs="Arial"/>
          <w:sz w:val="24"/>
          <w:szCs w:val="24"/>
          <w:lang w:eastAsia="en-GB"/>
        </w:rPr>
        <w:t xml:space="preserve"> cell counters</w:t>
      </w:r>
      <w:r w:rsidRPr="0071546E">
        <w:rPr>
          <w:rFonts w:ascii="Arial" w:eastAsia="Times New Roman" w:hAnsi="Arial" w:cs="Arial"/>
          <w:sz w:val="24"/>
          <w:szCs w:val="24"/>
          <w:lang w:eastAsia="en-GB"/>
        </w:rPr>
        <w:t>. Manual counts performed</w:t>
      </w:r>
      <w:r w:rsidR="00725033"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with</w:t>
      </w:r>
      <w:r w:rsidR="00725033" w:rsidRPr="0071546E">
        <w:rPr>
          <w:rFonts w:ascii="Arial" w:eastAsia="Times New Roman" w:hAnsi="Arial" w:cs="Arial"/>
          <w:sz w:val="24"/>
          <w:szCs w:val="24"/>
          <w:lang w:eastAsia="en-GB"/>
        </w:rPr>
        <w:t xml:space="preserve"> the c-chip disposable haemocytometer (Nano Entek) and verified using the TC10™ Automated Cell Counter. To count the cells, cells are washed by centrifuging at 1500 g x 10 minutes, suspended </w:t>
      </w:r>
      <w:r w:rsidR="007F3531" w:rsidRPr="0071546E">
        <w:rPr>
          <w:rFonts w:ascii="Arial" w:eastAsia="Times New Roman" w:hAnsi="Arial" w:cs="Arial"/>
          <w:sz w:val="24"/>
          <w:szCs w:val="24"/>
          <w:lang w:eastAsia="en-GB"/>
        </w:rPr>
        <w:t>were</w:t>
      </w:r>
      <w:r w:rsidR="00725033" w:rsidRPr="0071546E">
        <w:rPr>
          <w:rFonts w:ascii="Arial" w:eastAsia="Times New Roman" w:hAnsi="Arial" w:cs="Arial"/>
          <w:sz w:val="24"/>
          <w:szCs w:val="24"/>
          <w:lang w:eastAsia="en-GB"/>
        </w:rPr>
        <w:t xml:space="preserve"> fresh media and vortexed for 60 secs. 20 µl of the suspension is injected into the haemocytometer (manual count) and viewed with a magnification of x100 Objectives lens. For the automated cell counts, </w:t>
      </w:r>
    </w:p>
    <w:p w:rsidR="007F3531" w:rsidRPr="0071546E" w:rsidRDefault="007F3531" w:rsidP="007F3531">
      <w:pPr>
        <w:spacing w:before="100" w:after="200" w:line="480" w:lineRule="auto"/>
        <w:ind w:left="1021" w:right="454"/>
        <w:jc w:val="both"/>
        <w:rPr>
          <w:rFonts w:ascii="Arial" w:eastAsia="Times New Roman" w:hAnsi="Arial" w:cs="Arial"/>
          <w:sz w:val="24"/>
          <w:szCs w:val="24"/>
          <w:lang w:eastAsia="en-GB"/>
        </w:rPr>
      </w:pPr>
    </w:p>
    <w:p w:rsidR="007F3531" w:rsidRPr="0071546E" w:rsidRDefault="007F3531" w:rsidP="007F3531">
      <w:pPr>
        <w:spacing w:before="100" w:after="200" w:line="480" w:lineRule="auto"/>
        <w:ind w:left="1021" w:right="454"/>
        <w:jc w:val="both"/>
        <w:rPr>
          <w:rFonts w:ascii="Arial" w:eastAsia="Times New Roman" w:hAnsi="Arial" w:cs="Arial"/>
          <w:sz w:val="24"/>
          <w:szCs w:val="24"/>
          <w:lang w:eastAsia="en-GB"/>
        </w:rPr>
      </w:pPr>
    </w:p>
    <w:p w:rsidR="00D03598" w:rsidRPr="0071546E" w:rsidRDefault="007F3531" w:rsidP="007F3531">
      <w:pPr>
        <w:spacing w:before="100" w:after="20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The TC20 automated cell counter performs cell counts for both mammalian and microbial cells, in one simple step using its advanced auto-focus technology and cell counting algorithm to deliver in less than 30 seconds accurate and reproducible counts. Upon insertion of a counting slide, the TC20 cell counter quickly generates a total cell count (with or without </w:t>
      </w:r>
      <w:r w:rsidRPr="0071546E">
        <w:rPr>
          <w:rFonts w:ascii="Arial" w:eastAsia="Times New Roman" w:hAnsi="Arial" w:cs="Arial"/>
          <w:color w:val="000000" w:themeColor="text1"/>
          <w:sz w:val="24"/>
          <w:szCs w:val="24"/>
          <w:lang w:eastAsia="en-GB"/>
        </w:rPr>
        <w:t xml:space="preserve">trypan blue staining). </w:t>
      </w:r>
      <w:r w:rsidR="00725033" w:rsidRPr="0071546E">
        <w:rPr>
          <w:rFonts w:ascii="Arial" w:eastAsia="Times New Roman" w:hAnsi="Arial" w:cs="Arial"/>
          <w:color w:val="000000" w:themeColor="text1"/>
          <w:sz w:val="24"/>
          <w:szCs w:val="24"/>
          <w:lang w:eastAsia="en-GB"/>
        </w:rPr>
        <w:t xml:space="preserve">To calculate the cell concentration using manual cell counting technique, the average </w:t>
      </w:r>
      <w:r w:rsidR="00725033" w:rsidRPr="0071546E">
        <w:rPr>
          <w:rFonts w:ascii="Arial" w:eastAsia="Times New Roman" w:hAnsi="Arial" w:cs="Arial"/>
          <w:bCs/>
          <w:color w:val="000000" w:themeColor="text1"/>
          <w:sz w:val="24"/>
          <w:szCs w:val="24"/>
          <w:lang w:eastAsia="en-GB"/>
        </w:rPr>
        <w:t>number</w:t>
      </w:r>
      <w:r w:rsidR="00725033" w:rsidRPr="0071546E">
        <w:rPr>
          <w:rFonts w:ascii="Arial" w:eastAsia="Times New Roman" w:hAnsi="Arial" w:cs="Arial"/>
          <w:color w:val="000000" w:themeColor="text1"/>
          <w:sz w:val="24"/>
          <w:szCs w:val="24"/>
          <w:lang w:eastAsia="en-GB"/>
        </w:rPr>
        <w:t xml:space="preserve"> of viable </w:t>
      </w:r>
      <w:r w:rsidR="00725033" w:rsidRPr="0071546E">
        <w:rPr>
          <w:rFonts w:ascii="Arial" w:eastAsia="Times New Roman" w:hAnsi="Arial" w:cs="Arial"/>
          <w:bCs/>
          <w:color w:val="000000" w:themeColor="text1"/>
          <w:sz w:val="24"/>
          <w:szCs w:val="24"/>
          <w:lang w:eastAsia="en-GB"/>
        </w:rPr>
        <w:t>cells</w:t>
      </w:r>
      <w:r w:rsidR="00725033" w:rsidRPr="0071546E">
        <w:rPr>
          <w:rFonts w:ascii="Arial" w:eastAsia="Times New Roman" w:hAnsi="Arial" w:cs="Arial"/>
          <w:color w:val="000000" w:themeColor="text1"/>
          <w:sz w:val="24"/>
          <w:szCs w:val="24"/>
          <w:lang w:eastAsia="en-GB"/>
        </w:rPr>
        <w:t xml:space="preserve"> in the four or five sets of 16 squares is multiply by</w:t>
      </w:r>
      <w:r w:rsidRPr="0071546E">
        <w:rPr>
          <w:rFonts w:ascii="Arial" w:eastAsia="Times New Roman" w:hAnsi="Arial" w:cs="Arial"/>
          <w:color w:val="000000" w:themeColor="text1"/>
          <w:sz w:val="24"/>
          <w:szCs w:val="24"/>
          <w:lang w:eastAsia="en-GB"/>
        </w:rPr>
        <w:t xml:space="preserve"> 10</w:t>
      </w:r>
      <w:r w:rsidRPr="0071546E">
        <w:rPr>
          <w:rFonts w:ascii="Arial" w:eastAsia="Times New Roman" w:hAnsi="Arial" w:cs="Arial"/>
          <w:color w:val="000000" w:themeColor="text1"/>
          <w:sz w:val="24"/>
          <w:szCs w:val="24"/>
          <w:vertAlign w:val="superscript"/>
          <w:lang w:eastAsia="en-GB"/>
        </w:rPr>
        <w:t>4</w:t>
      </w:r>
      <w:r w:rsidRPr="0071546E">
        <w:rPr>
          <w:rFonts w:ascii="Arial" w:eastAsia="Times New Roman" w:hAnsi="Arial" w:cs="Arial"/>
          <w:color w:val="000000" w:themeColor="text1"/>
          <w:sz w:val="24"/>
          <w:szCs w:val="24"/>
          <w:lang w:eastAsia="en-GB"/>
        </w:rPr>
        <w:t>and then dilution factor</w:t>
      </w:r>
      <w:r w:rsidR="00725033" w:rsidRPr="0071546E">
        <w:rPr>
          <w:rFonts w:ascii="Arial" w:eastAsia="Times New Roman" w:hAnsi="Arial" w:cs="Arial"/>
          <w:color w:val="000000" w:themeColor="text1"/>
          <w:sz w:val="24"/>
          <w:szCs w:val="24"/>
          <w:lang w:eastAsia="en-GB"/>
        </w:rPr>
        <w:t xml:space="preserve"> to </w:t>
      </w:r>
      <w:r w:rsidR="00CE34DE" w:rsidRPr="0071546E">
        <w:rPr>
          <w:rFonts w:ascii="Arial" w:eastAsia="Times New Roman" w:hAnsi="Arial" w:cs="Arial"/>
          <w:color w:val="000000" w:themeColor="text1"/>
          <w:sz w:val="24"/>
          <w:szCs w:val="24"/>
          <w:lang w:eastAsia="en-GB"/>
        </w:rPr>
        <w:t>convert t</w:t>
      </w:r>
      <w:r w:rsidR="00725033" w:rsidRPr="0071546E">
        <w:rPr>
          <w:rFonts w:ascii="Arial" w:eastAsia="Times New Roman" w:hAnsi="Arial" w:cs="Arial"/>
          <w:color w:val="000000" w:themeColor="text1"/>
          <w:sz w:val="24"/>
          <w:szCs w:val="24"/>
          <w:lang w:eastAsia="en-GB"/>
        </w:rPr>
        <w:t xml:space="preserve">he </w:t>
      </w:r>
      <w:r w:rsidR="00CE34DE" w:rsidRPr="0071546E">
        <w:rPr>
          <w:rFonts w:ascii="Arial" w:eastAsia="Times New Roman" w:hAnsi="Arial" w:cs="Arial"/>
          <w:color w:val="000000" w:themeColor="text1"/>
          <w:sz w:val="24"/>
          <w:szCs w:val="24"/>
          <w:lang w:eastAsia="en-GB"/>
        </w:rPr>
        <w:t xml:space="preserve">count to </w:t>
      </w:r>
      <w:r w:rsidR="00725033" w:rsidRPr="0071546E">
        <w:rPr>
          <w:rFonts w:ascii="Arial" w:eastAsia="Times New Roman" w:hAnsi="Arial" w:cs="Arial"/>
          <w:bCs/>
          <w:color w:val="000000" w:themeColor="text1"/>
          <w:sz w:val="24"/>
          <w:szCs w:val="24"/>
          <w:lang w:eastAsia="en-GB"/>
        </w:rPr>
        <w:t>number</w:t>
      </w:r>
      <w:r w:rsidR="00725033" w:rsidRPr="0071546E">
        <w:rPr>
          <w:rFonts w:ascii="Arial" w:eastAsia="Times New Roman" w:hAnsi="Arial" w:cs="Arial"/>
          <w:color w:val="000000" w:themeColor="text1"/>
          <w:sz w:val="24"/>
          <w:szCs w:val="24"/>
          <w:lang w:eastAsia="en-GB"/>
        </w:rPr>
        <w:t xml:space="preserve"> of </w:t>
      </w:r>
      <w:r w:rsidR="00725033" w:rsidRPr="0071546E">
        <w:rPr>
          <w:rFonts w:ascii="Arial" w:eastAsia="Times New Roman" w:hAnsi="Arial" w:cs="Arial"/>
          <w:bCs/>
          <w:color w:val="000000" w:themeColor="text1"/>
          <w:sz w:val="24"/>
          <w:szCs w:val="24"/>
          <w:lang w:eastAsia="en-GB"/>
        </w:rPr>
        <w:t>cells</w:t>
      </w:r>
      <w:r w:rsidR="00725033" w:rsidRPr="0071546E">
        <w:rPr>
          <w:rFonts w:ascii="Arial" w:eastAsia="Times New Roman" w:hAnsi="Arial" w:cs="Arial"/>
          <w:color w:val="000000" w:themeColor="text1"/>
          <w:sz w:val="24"/>
          <w:szCs w:val="24"/>
          <w:lang w:eastAsia="en-GB"/>
        </w:rPr>
        <w:t xml:space="preserve"> per millilitre. </w:t>
      </w:r>
      <w:r w:rsidRPr="0071546E">
        <w:rPr>
          <w:rFonts w:ascii="Arial" w:eastAsia="Times New Roman" w:hAnsi="Arial" w:cs="Arial"/>
          <w:color w:val="000000" w:themeColor="text1"/>
          <w:sz w:val="24"/>
          <w:szCs w:val="24"/>
          <w:lang w:eastAsia="en-GB"/>
        </w:rPr>
        <w:t>By comparison, the manual cell count did show similar cell counts and was often used to validate the automated system</w:t>
      </w:r>
    </w:p>
    <w:p w:rsidR="00725033" w:rsidRPr="0071546E" w:rsidRDefault="00725033" w:rsidP="00CF13FE">
      <w:pPr>
        <w:pStyle w:val="Heading2"/>
        <w:ind w:left="1021" w:right="454"/>
      </w:pPr>
      <w:bookmarkStart w:id="51" w:name="_Toc14711423"/>
      <w:r w:rsidRPr="0071546E">
        <w:t xml:space="preserve">2.1.4 Cryogenic preservation of </w:t>
      </w:r>
      <w:r w:rsidR="00432D1D" w:rsidRPr="0071546E">
        <w:rPr>
          <w:i/>
        </w:rPr>
        <w:t>Acanthamoeba</w:t>
      </w:r>
      <w:r w:rsidRPr="0071546E">
        <w:t xml:space="preserve"> cells.</w:t>
      </w:r>
      <w:bookmarkEnd w:id="51"/>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Log</w:t>
      </w:r>
      <w:r w:rsidR="002C2939"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phase cultures of axenic</w:t>
      </w:r>
      <w:r w:rsidRPr="0071546E">
        <w:rPr>
          <w:rFonts w:ascii="Arial" w:eastAsia="Times New Roman" w:hAnsi="Arial" w:cs="Arial"/>
          <w:i/>
          <w:sz w:val="24"/>
          <w:szCs w:val="24"/>
          <w:lang w:eastAsia="en-GB"/>
        </w:rPr>
        <w:t xml:space="preserve">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trophozoites were harvested by centrifugation at 1500 g x 10 minutes at room temperature. The cell pellet was re-suspended in fresh media to </w:t>
      </w:r>
      <w:r w:rsidR="007F3531" w:rsidRPr="0071546E">
        <w:rPr>
          <w:rFonts w:ascii="Arial" w:eastAsia="Times New Roman" w:hAnsi="Arial" w:cs="Arial"/>
          <w:sz w:val="24"/>
          <w:szCs w:val="24"/>
          <w:lang w:eastAsia="en-GB"/>
        </w:rPr>
        <w:t xml:space="preserve">a concentration of </w:t>
      </w:r>
      <w:r w:rsidRPr="0071546E">
        <w:rPr>
          <w:rFonts w:ascii="Arial" w:eastAsia="Times New Roman" w:hAnsi="Arial" w:cs="Arial"/>
          <w:sz w:val="24"/>
          <w:szCs w:val="24"/>
          <w:lang w:eastAsia="en-GB"/>
        </w:rPr>
        <w:t>10</w:t>
      </w:r>
      <w:r w:rsidRPr="0071546E">
        <w:rPr>
          <w:rFonts w:ascii="Arial" w:eastAsia="Times New Roman" w:hAnsi="Arial" w:cs="Arial"/>
          <w:sz w:val="24"/>
          <w:szCs w:val="24"/>
          <w:vertAlign w:val="superscript"/>
          <w:lang w:eastAsia="en-GB"/>
        </w:rPr>
        <w:t>6</w:t>
      </w:r>
      <w:r w:rsidR="0030703E" w:rsidRPr="0071546E">
        <w:rPr>
          <w:rFonts w:ascii="Arial" w:eastAsia="Times New Roman" w:hAnsi="Arial" w:cs="Arial"/>
          <w:sz w:val="24"/>
          <w:szCs w:val="24"/>
          <w:lang w:eastAsia="en-GB"/>
        </w:rPr>
        <w:t>/ml</w:t>
      </w:r>
      <w:r w:rsidRPr="0071546E">
        <w:rPr>
          <w:rFonts w:ascii="Arial" w:eastAsia="Times New Roman" w:hAnsi="Arial" w:cs="Arial"/>
          <w:sz w:val="24"/>
          <w:szCs w:val="24"/>
          <w:lang w:eastAsia="en-GB"/>
        </w:rPr>
        <w:t>.</w:t>
      </w:r>
      <w:r w:rsidR="007F3531" w:rsidRPr="0071546E">
        <w:rPr>
          <w:rFonts w:ascii="Arial" w:eastAsia="Times New Roman" w:hAnsi="Arial" w:cs="Arial"/>
          <w:sz w:val="24"/>
          <w:szCs w:val="24"/>
          <w:lang w:eastAsia="en-GB"/>
        </w:rPr>
        <w:t xml:space="preserve"> cell suspension (</w:t>
      </w:r>
      <w:r w:rsidRPr="0071546E">
        <w:rPr>
          <w:rFonts w:ascii="Arial" w:eastAsia="Times New Roman" w:hAnsi="Arial" w:cs="Arial"/>
          <w:sz w:val="24"/>
          <w:szCs w:val="24"/>
          <w:lang w:eastAsia="en-GB"/>
        </w:rPr>
        <w:t>500 µl</w:t>
      </w:r>
      <w:r w:rsidR="007F3531"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 w</w:t>
      </w:r>
      <w:r w:rsidR="007F3531" w:rsidRPr="0071546E">
        <w:rPr>
          <w:rFonts w:ascii="Arial" w:eastAsia="Times New Roman" w:hAnsi="Arial" w:cs="Arial"/>
          <w:sz w:val="24"/>
          <w:szCs w:val="24"/>
          <w:lang w:eastAsia="en-GB"/>
        </w:rPr>
        <w:t>as</w:t>
      </w:r>
      <w:r w:rsidRPr="0071546E">
        <w:rPr>
          <w:rFonts w:ascii="Arial" w:eastAsia="Times New Roman" w:hAnsi="Arial" w:cs="Arial"/>
          <w:sz w:val="24"/>
          <w:szCs w:val="24"/>
          <w:lang w:eastAsia="en-GB"/>
        </w:rPr>
        <w:t xml:space="preserve"> placed in a 1.2 ml screw</w:t>
      </w:r>
      <w:r w:rsidR="00563D9A"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capped polypropylene ampoules with an equal volume of glycerol (20 %v/v). The </w:t>
      </w:r>
      <w:r w:rsidR="00432D1D" w:rsidRPr="0071546E">
        <w:rPr>
          <w:rFonts w:ascii="Arial" w:eastAsia="Times New Roman" w:hAnsi="Arial" w:cs="Arial"/>
          <w:i/>
          <w:sz w:val="24"/>
          <w:szCs w:val="24"/>
          <w:lang w:eastAsia="en-GB"/>
        </w:rPr>
        <w:t>Acanthamoeba</w:t>
      </w:r>
      <w:r w:rsidRPr="0071546E">
        <w:rPr>
          <w:rFonts w:ascii="Arial" w:eastAsia="Times New Roman" w:hAnsi="Arial" w:cs="Arial"/>
          <w:i/>
          <w:sz w:val="24"/>
          <w:szCs w:val="24"/>
          <w:lang w:eastAsia="en-GB"/>
        </w:rPr>
        <w:t xml:space="preserve"> </w:t>
      </w:r>
      <w:r w:rsidRPr="0071546E">
        <w:rPr>
          <w:rFonts w:ascii="Arial" w:eastAsia="Times New Roman" w:hAnsi="Arial" w:cs="Arial"/>
          <w:sz w:val="24"/>
          <w:szCs w:val="24"/>
          <w:lang w:eastAsia="en-GB"/>
        </w:rPr>
        <w:t>glycerol mix was put in a cell-freezing box (Igloo)</w:t>
      </w:r>
      <w:r w:rsidR="007F3531" w:rsidRPr="0071546E">
        <w:rPr>
          <w:rFonts w:ascii="Arial" w:eastAsia="Times New Roman" w:hAnsi="Arial" w:cs="Arial"/>
          <w:sz w:val="24"/>
          <w:szCs w:val="24"/>
          <w:lang w:eastAsia="en-GB"/>
        </w:rPr>
        <w:t xml:space="preserve"> to protect the cells from direct freeze shock during preservation</w:t>
      </w:r>
      <w:r w:rsidRPr="0071546E">
        <w:rPr>
          <w:rFonts w:ascii="Arial" w:eastAsia="Times New Roman" w:hAnsi="Arial" w:cs="Arial"/>
          <w:sz w:val="24"/>
          <w:szCs w:val="24"/>
          <w:lang w:eastAsia="en-GB"/>
        </w:rPr>
        <w:t xml:space="preserve">. The igloo was stored at -80 </w:t>
      </w:r>
      <w:r w:rsidRPr="0071546E">
        <w:rPr>
          <w:rFonts w:ascii="Arial" w:eastAsia="Times New Roman" w:hAnsi="Arial" w:cs="Arial"/>
          <w:sz w:val="24"/>
          <w:szCs w:val="24"/>
          <w:vertAlign w:val="superscript"/>
          <w:lang w:eastAsia="en-GB"/>
        </w:rPr>
        <w:t>o</w:t>
      </w:r>
      <w:r w:rsidRPr="0071546E">
        <w:rPr>
          <w:rFonts w:ascii="Arial" w:eastAsia="Times New Roman" w:hAnsi="Arial" w:cs="Arial"/>
          <w:sz w:val="24"/>
          <w:szCs w:val="24"/>
          <w:lang w:eastAsia="en-GB"/>
        </w:rPr>
        <w:t>C for I week before ampoules were transferred into liquid nitrogen.</w:t>
      </w:r>
    </w:p>
    <w:p w:rsidR="007F3531" w:rsidRPr="0071546E" w:rsidRDefault="007F3531" w:rsidP="00CF13FE">
      <w:pPr>
        <w:spacing w:before="100" w:after="0" w:line="480" w:lineRule="auto"/>
        <w:ind w:left="1021" w:right="454"/>
        <w:jc w:val="both"/>
        <w:rPr>
          <w:rFonts w:ascii="Arial" w:eastAsia="Times New Roman" w:hAnsi="Arial" w:cs="Arial"/>
          <w:sz w:val="24"/>
          <w:szCs w:val="24"/>
          <w:lang w:eastAsia="en-GB"/>
        </w:rPr>
      </w:pPr>
    </w:p>
    <w:p w:rsidR="007F3531" w:rsidRPr="0071546E" w:rsidRDefault="007F3531" w:rsidP="00CF13FE">
      <w:pPr>
        <w:spacing w:before="100" w:after="0" w:line="480" w:lineRule="auto"/>
        <w:ind w:left="1021" w:right="454"/>
        <w:jc w:val="both"/>
        <w:rPr>
          <w:rFonts w:ascii="Arial" w:eastAsia="Times New Roman" w:hAnsi="Arial" w:cs="Arial"/>
          <w:sz w:val="24"/>
          <w:szCs w:val="24"/>
          <w:lang w:eastAsia="en-GB"/>
        </w:rPr>
      </w:pPr>
    </w:p>
    <w:p w:rsidR="007F3531" w:rsidRPr="0071546E" w:rsidRDefault="007F3531" w:rsidP="00CF13FE">
      <w:pPr>
        <w:spacing w:before="100" w:after="0" w:line="480" w:lineRule="auto"/>
        <w:ind w:left="1021" w:right="454"/>
        <w:jc w:val="both"/>
        <w:rPr>
          <w:rFonts w:ascii="Arial" w:eastAsia="Times New Roman" w:hAnsi="Arial" w:cs="Arial"/>
          <w:sz w:val="24"/>
          <w:szCs w:val="24"/>
          <w:lang w:eastAsia="en-GB"/>
        </w:rPr>
      </w:pPr>
    </w:p>
    <w:p w:rsidR="00725033" w:rsidRPr="0071546E" w:rsidRDefault="00725033" w:rsidP="00CF13FE">
      <w:pPr>
        <w:pStyle w:val="Heading2"/>
        <w:ind w:left="1021" w:right="454"/>
      </w:pPr>
      <w:bookmarkStart w:id="52" w:name="_Toc14711424"/>
      <w:r w:rsidRPr="0071546E">
        <w:t xml:space="preserve">2.1.5 Recovery of </w:t>
      </w:r>
      <w:r w:rsidR="00432D1D" w:rsidRPr="0071546E">
        <w:rPr>
          <w:i/>
        </w:rPr>
        <w:t>Acanthamoeba</w:t>
      </w:r>
      <w:r w:rsidRPr="0071546E">
        <w:t xml:space="preserve"> cell from cryopreservation.</w:t>
      </w:r>
      <w:bookmarkEnd w:id="52"/>
    </w:p>
    <w:p w:rsidR="00725033" w:rsidRPr="0071546E" w:rsidRDefault="00432D1D"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i/>
          <w:sz w:val="24"/>
          <w:szCs w:val="24"/>
          <w:lang w:eastAsia="en-GB"/>
        </w:rPr>
        <w:t>Acanthamoeba</w:t>
      </w:r>
      <w:r w:rsidR="00725033" w:rsidRPr="0071546E">
        <w:rPr>
          <w:rFonts w:ascii="Arial" w:eastAsia="Times New Roman" w:hAnsi="Arial" w:cs="Arial"/>
          <w:sz w:val="24"/>
          <w:szCs w:val="24"/>
          <w:lang w:eastAsia="en-GB"/>
        </w:rPr>
        <w:t xml:space="preserve"> cells were recovered by removing storage ampoules from liquid nitrogen, carefully placing it in an enclosed container at room temperature inside an operating class 2-safety cabinet. Samples </w:t>
      </w:r>
      <w:r w:rsidR="007F3531" w:rsidRPr="0071546E">
        <w:rPr>
          <w:rFonts w:ascii="Arial" w:eastAsia="Times New Roman" w:hAnsi="Arial" w:cs="Arial"/>
          <w:sz w:val="24"/>
          <w:szCs w:val="24"/>
          <w:lang w:eastAsia="en-GB"/>
        </w:rPr>
        <w:t xml:space="preserve">were </w:t>
      </w:r>
      <w:r w:rsidR="00725033" w:rsidRPr="0071546E">
        <w:rPr>
          <w:rFonts w:ascii="Arial" w:eastAsia="Times New Roman" w:hAnsi="Arial" w:cs="Arial"/>
          <w:sz w:val="24"/>
          <w:szCs w:val="24"/>
          <w:lang w:eastAsia="en-GB"/>
        </w:rPr>
        <w:t xml:space="preserve">then allowed to thaw in </w:t>
      </w:r>
      <w:r w:rsidR="007F3531" w:rsidRPr="0071546E">
        <w:rPr>
          <w:rFonts w:ascii="Arial" w:eastAsia="Times New Roman" w:hAnsi="Arial" w:cs="Arial"/>
          <w:sz w:val="24"/>
          <w:szCs w:val="24"/>
          <w:lang w:eastAsia="en-GB"/>
        </w:rPr>
        <w:t>a flow cabinet</w:t>
      </w:r>
      <w:r w:rsidR="00725033" w:rsidRPr="0071546E">
        <w:rPr>
          <w:rFonts w:ascii="Arial" w:eastAsia="Times New Roman" w:hAnsi="Arial" w:cs="Arial"/>
          <w:sz w:val="24"/>
          <w:szCs w:val="24"/>
          <w:lang w:eastAsia="en-GB"/>
        </w:rPr>
        <w:t xml:space="preserve"> for 10 minutes and then cultured axenically in PYG media to recover.</w:t>
      </w:r>
    </w:p>
    <w:p w:rsidR="00725033" w:rsidRPr="0071546E" w:rsidRDefault="00725033" w:rsidP="00CF13FE">
      <w:pPr>
        <w:pStyle w:val="Heading2"/>
        <w:ind w:left="1021" w:right="454"/>
      </w:pPr>
      <w:bookmarkStart w:id="53" w:name="_Toc14711425"/>
      <w:r w:rsidRPr="0071546E">
        <w:t xml:space="preserve">2.1.6 </w:t>
      </w:r>
      <w:r w:rsidR="00432D1D" w:rsidRPr="0071546E">
        <w:rPr>
          <w:i/>
        </w:rPr>
        <w:t>Acanthamoeba</w:t>
      </w:r>
      <w:r w:rsidRPr="0071546E">
        <w:t xml:space="preserve"> growth curve</w:t>
      </w:r>
      <w:bookmarkEnd w:id="53"/>
    </w:p>
    <w:p w:rsidR="00725033" w:rsidRPr="0071546E" w:rsidRDefault="00725033" w:rsidP="007F3531">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The aim of generating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growth curve is to understand the growth dynamics of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after 9 </w:t>
      </w:r>
      <w:r w:rsidR="00CF4D77" w:rsidRPr="0071546E">
        <w:rPr>
          <w:rFonts w:ascii="Arial" w:eastAsia="Times New Roman" w:hAnsi="Arial" w:cs="Arial"/>
          <w:sz w:val="24"/>
          <w:szCs w:val="24"/>
          <w:lang w:eastAsia="en-GB"/>
        </w:rPr>
        <w:t>days</w:t>
      </w:r>
      <w:r w:rsidRPr="0071546E">
        <w:rPr>
          <w:rFonts w:ascii="Arial" w:eastAsia="Times New Roman" w:hAnsi="Arial" w:cs="Arial"/>
          <w:sz w:val="24"/>
          <w:szCs w:val="24"/>
          <w:lang w:eastAsia="en-GB"/>
        </w:rPr>
        <w:t xml:space="preserve"> incubation period without sub-culturing. This will help to statistically give details on the appropriate time to harvest a particular morphological form as required during experiments.</w:t>
      </w:r>
      <w:r w:rsidR="007F3531"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 xml:space="preserve">A cell growth curve was constructed over a </w:t>
      </w:r>
      <w:r w:rsidR="00CF4D77" w:rsidRPr="0071546E">
        <w:rPr>
          <w:rFonts w:ascii="Arial" w:eastAsia="Times New Roman" w:hAnsi="Arial" w:cs="Arial"/>
          <w:sz w:val="24"/>
          <w:szCs w:val="24"/>
          <w:lang w:eastAsia="en-GB"/>
        </w:rPr>
        <w:t>9-day</w:t>
      </w:r>
      <w:r w:rsidRPr="0071546E">
        <w:rPr>
          <w:rFonts w:ascii="Arial" w:eastAsia="Times New Roman" w:hAnsi="Arial" w:cs="Arial"/>
          <w:sz w:val="24"/>
          <w:szCs w:val="24"/>
          <w:lang w:eastAsia="en-GB"/>
        </w:rPr>
        <w:t xml:space="preserve"> period. 1:5 ration of amoeba suspension in media was cultured in T 75 culture flasks</w:t>
      </w:r>
      <w:r w:rsidR="007F3531" w:rsidRPr="0071546E">
        <w:rPr>
          <w:rFonts w:ascii="Arial" w:eastAsia="Times New Roman" w:hAnsi="Arial" w:cs="Arial"/>
          <w:sz w:val="24"/>
          <w:szCs w:val="24"/>
          <w:lang w:eastAsia="en-GB"/>
        </w:rPr>
        <w:t xml:space="preserve"> two T75 flasks were used so as to increase reproducibility by using the average of two independent cell counts</w:t>
      </w:r>
      <w:r w:rsidRPr="0071546E">
        <w:rPr>
          <w:rFonts w:ascii="Arial" w:eastAsia="Times New Roman" w:hAnsi="Arial" w:cs="Arial"/>
          <w:sz w:val="24"/>
          <w:szCs w:val="24"/>
          <w:lang w:eastAsia="en-GB"/>
        </w:rPr>
        <w:t xml:space="preserve">, with a daily cell count for a period of 9 days.  Culture flasks </w:t>
      </w:r>
      <w:r w:rsidR="007F3531" w:rsidRPr="0071546E">
        <w:rPr>
          <w:rFonts w:ascii="Arial" w:eastAsia="Times New Roman" w:hAnsi="Arial" w:cs="Arial"/>
          <w:sz w:val="24"/>
          <w:szCs w:val="24"/>
          <w:lang w:eastAsia="en-GB"/>
        </w:rPr>
        <w:t xml:space="preserve">using the cell scrapper </w:t>
      </w:r>
      <w:r w:rsidRPr="0071546E">
        <w:rPr>
          <w:rFonts w:ascii="Arial" w:eastAsia="Times New Roman" w:hAnsi="Arial" w:cs="Arial"/>
          <w:sz w:val="24"/>
          <w:szCs w:val="24"/>
          <w:lang w:eastAsia="en-GB"/>
        </w:rPr>
        <w:t>were agitated to remove cells adhered to the surface, cells were centrifuged at 1000 g x 10 minutes and re-suspended in 20 ml of fresh PYG media. Automated and manual cell counts were carried out as detailed above (2.1.3). Briefly, 1000 µl of cell suspension was removed from centrifuged cells; this is done in a sterile environment to avoid contamination of the samples, and 20 µl from the 1000 µl suspension was counted using a haemocytometer as detailed</w:t>
      </w:r>
      <w:r w:rsidR="00D665C6" w:rsidRPr="0071546E">
        <w:rPr>
          <w:rFonts w:ascii="Arial" w:eastAsia="Times New Roman" w:hAnsi="Arial" w:cs="Arial"/>
          <w:sz w:val="24"/>
          <w:szCs w:val="24"/>
          <w:lang w:eastAsia="en-GB"/>
        </w:rPr>
        <w:t xml:space="preserve"> in section</w:t>
      </w:r>
      <w:r w:rsidRPr="0071546E">
        <w:rPr>
          <w:rFonts w:ascii="Arial" w:eastAsia="Times New Roman" w:hAnsi="Arial" w:cs="Arial"/>
          <w:sz w:val="24"/>
          <w:szCs w:val="24"/>
          <w:lang w:eastAsia="en-GB"/>
        </w:rPr>
        <w:t xml:space="preserve"> (2.1.3), then percentage cysts </w:t>
      </w:r>
      <w:r w:rsidR="0030703E" w:rsidRPr="0071546E">
        <w:rPr>
          <w:rFonts w:ascii="Arial" w:eastAsia="Times New Roman" w:hAnsi="Arial" w:cs="Arial"/>
          <w:sz w:val="24"/>
          <w:szCs w:val="24"/>
          <w:lang w:eastAsia="en-GB"/>
        </w:rPr>
        <w:t>were</w:t>
      </w:r>
      <w:r w:rsidRPr="0071546E">
        <w:rPr>
          <w:rFonts w:ascii="Arial" w:eastAsia="Times New Roman" w:hAnsi="Arial" w:cs="Arial"/>
          <w:sz w:val="24"/>
          <w:szCs w:val="24"/>
          <w:lang w:eastAsia="en-GB"/>
        </w:rPr>
        <w:t xml:space="preserve"> calculated following this equation</w:t>
      </w:r>
    </w:p>
    <w:p w:rsidR="00725033" w:rsidRPr="0071546E" w:rsidRDefault="00725033" w:rsidP="00CF13FE">
      <w:pPr>
        <w:spacing w:before="100" w:after="0" w:line="240" w:lineRule="exact"/>
        <w:ind w:left="1021" w:right="454"/>
        <w:jc w:val="both"/>
        <w:rPr>
          <w:rFonts w:ascii="Arial" w:eastAsia="Times New Roman" w:hAnsi="Arial" w:cs="Arial"/>
          <w:i/>
          <w:sz w:val="24"/>
          <w:szCs w:val="24"/>
          <w:lang w:eastAsia="en-GB"/>
        </w:rPr>
      </w:pPr>
      <w:r w:rsidRPr="0071546E">
        <w:rPr>
          <w:rFonts w:ascii="Arial" w:eastAsia="Times New Roman" w:hAnsi="Arial" w:cs="Arial"/>
          <w:sz w:val="24"/>
          <w:szCs w:val="24"/>
          <w:lang w:eastAsia="en-GB"/>
        </w:rPr>
        <w:t xml:space="preserve"> </w:t>
      </w:r>
    </w:p>
    <w:p w:rsidR="00725033" w:rsidRPr="0071546E" w:rsidRDefault="00725033" w:rsidP="007F3531">
      <w:pPr>
        <w:spacing w:before="100" w:after="0" w:line="276" w:lineRule="auto"/>
        <w:ind w:right="454"/>
        <w:jc w:val="both"/>
        <w:rPr>
          <w:rFonts w:ascii="Arial" w:eastAsia="Times New Roman" w:hAnsi="Arial" w:cs="Arial"/>
          <w:sz w:val="24"/>
          <w:szCs w:val="24"/>
          <w:u w:val="single"/>
          <w:lang w:eastAsia="en-GB"/>
        </w:rPr>
      </w:pPr>
      <m:oMathPara>
        <m:oMath>
          <m:r>
            <m:rPr>
              <m:sty m:val="p"/>
            </m:rPr>
            <w:rPr>
              <w:rFonts w:ascii="Cambria Math" w:eastAsia="Times New Roman" w:hAnsi="Cambria Math" w:cs="Arial"/>
              <w:sz w:val="24"/>
              <w:szCs w:val="24"/>
              <w:u w:val="single"/>
              <w:lang w:eastAsia="en-GB"/>
            </w:rPr>
            <m:t>Total number of cysts in 5 square</m:t>
          </m:r>
        </m:oMath>
      </m:oMathPara>
    </w:p>
    <w:p w:rsidR="00725033" w:rsidRPr="0071546E" w:rsidRDefault="007F3531" w:rsidP="00CF13FE">
      <w:pPr>
        <w:spacing w:before="100" w:after="0" w:line="276" w:lineRule="auto"/>
        <w:ind w:left="1021" w:right="454"/>
        <w:jc w:val="both"/>
        <w:rPr>
          <w:rFonts w:ascii="Arial" w:eastAsia="Times New Roman" w:hAnsi="Arial" w:cs="Arial"/>
          <w:sz w:val="24"/>
          <w:szCs w:val="24"/>
          <w:lang w:eastAsia="en-GB"/>
        </w:rPr>
      </w:pPr>
      <m:oMath>
        <m:r>
          <m:rPr>
            <m:sty m:val="p"/>
          </m:rPr>
          <w:rPr>
            <w:rFonts w:ascii="Cambria Math" w:eastAsia="Times New Roman" w:hAnsi="Cambria Math" w:cs="Arial"/>
            <w:sz w:val="24"/>
            <w:szCs w:val="24"/>
            <w:lang w:eastAsia="en-GB"/>
          </w:rPr>
          <m:t xml:space="preserve">             Total number of cells </m:t>
        </m:r>
        <m:d>
          <m:dPr>
            <m:ctrlPr>
              <w:rPr>
                <w:rFonts w:ascii="Cambria Math" w:eastAsia="Times New Roman" w:hAnsi="Cambria Math" w:cs="Arial"/>
                <w:sz w:val="24"/>
                <w:szCs w:val="24"/>
                <w:lang w:eastAsia="en-GB"/>
              </w:rPr>
            </m:ctrlPr>
          </m:dPr>
          <m:e>
            <m:r>
              <m:rPr>
                <m:sty m:val="p"/>
              </m:rPr>
              <w:rPr>
                <w:rFonts w:ascii="Cambria Math" w:eastAsia="Times New Roman" w:hAnsi="Cambria Math" w:cs="Arial"/>
                <w:sz w:val="24"/>
                <w:szCs w:val="24"/>
                <w:lang w:eastAsia="en-GB"/>
              </w:rPr>
              <m:t xml:space="preserve"> cysts and trophozoites</m:t>
            </m:r>
          </m:e>
        </m:d>
        <m:r>
          <m:rPr>
            <m:sty m:val="p"/>
          </m:rPr>
          <w:rPr>
            <w:rFonts w:ascii="Cambria Math" w:eastAsia="Times New Roman" w:hAnsi="Cambria Math" w:cs="Arial"/>
            <w:sz w:val="24"/>
            <w:szCs w:val="24"/>
            <w:lang w:eastAsia="en-GB"/>
          </w:rPr>
          <m:t xml:space="preserve"> X 100</m:t>
        </m:r>
      </m:oMath>
      <w:r w:rsidRPr="0071546E">
        <w:rPr>
          <w:rFonts w:ascii="Arial" w:eastAsia="Times New Roman" w:hAnsi="Arial" w:cs="Arial"/>
          <w:sz w:val="24"/>
          <w:szCs w:val="24"/>
          <w:lang w:eastAsia="en-GB"/>
        </w:rPr>
        <w:t>%</w:t>
      </w:r>
    </w:p>
    <w:p w:rsidR="00725033" w:rsidRPr="0071546E" w:rsidRDefault="00725033" w:rsidP="00CF13FE">
      <w:pPr>
        <w:spacing w:before="100" w:after="0" w:line="276"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                              </w:t>
      </w:r>
    </w:p>
    <w:p w:rsidR="00725033" w:rsidRPr="0071546E" w:rsidRDefault="00725033" w:rsidP="007F3531">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Both the automated and the manual cell counts were averaged and a curve of cell number versus time (days) was plotted.</w:t>
      </w:r>
    </w:p>
    <w:p w:rsidR="00725033" w:rsidRPr="0071546E" w:rsidRDefault="00725033" w:rsidP="00CF13FE">
      <w:pPr>
        <w:pStyle w:val="Heading2"/>
        <w:ind w:left="1021" w:right="454"/>
        <w:rPr>
          <w:color w:val="000000" w:themeColor="text1"/>
        </w:rPr>
      </w:pPr>
      <w:bookmarkStart w:id="54" w:name="_Toc14711426"/>
      <w:r w:rsidRPr="0071546E">
        <w:rPr>
          <w:color w:val="000000" w:themeColor="text1"/>
        </w:rPr>
        <w:t>2.2 DNA extraction for polymerase chain reaction (PCR).</w:t>
      </w:r>
      <w:bookmarkEnd w:id="54"/>
    </w:p>
    <w:p w:rsidR="00C06D01" w:rsidRPr="0071546E" w:rsidRDefault="00725033" w:rsidP="00CF13FE">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The DNA extraction procedure was carried out in a vertical safety laminar flow cabinet in an aseptic room. To distinguish all five </w:t>
      </w:r>
      <w:r w:rsidR="00432D1D" w:rsidRPr="0071546E">
        <w:rPr>
          <w:rFonts w:ascii="Arial" w:eastAsia="Times New Roman" w:hAnsi="Arial" w:cs="Arial"/>
          <w:i/>
          <w:color w:val="000000" w:themeColor="text1"/>
          <w:sz w:val="24"/>
          <w:szCs w:val="24"/>
          <w:lang w:eastAsia="en-GB"/>
        </w:rPr>
        <w:t>Acanthamoeba</w:t>
      </w:r>
      <w:r w:rsidRPr="0071546E">
        <w:rPr>
          <w:rFonts w:ascii="Arial" w:eastAsia="Times New Roman" w:hAnsi="Arial" w:cs="Arial"/>
          <w:color w:val="000000" w:themeColor="text1"/>
          <w:sz w:val="24"/>
          <w:szCs w:val="24"/>
          <w:lang w:eastAsia="en-GB"/>
        </w:rPr>
        <w:t xml:space="preserve"> isolates, based on their genotypes, polymerase chain reaction (PCR) was </w:t>
      </w:r>
      <w:r w:rsidR="00266AFE" w:rsidRPr="0071546E">
        <w:rPr>
          <w:rFonts w:ascii="Arial" w:eastAsia="Times New Roman" w:hAnsi="Arial" w:cs="Arial"/>
          <w:color w:val="000000" w:themeColor="text1"/>
          <w:sz w:val="24"/>
          <w:szCs w:val="24"/>
          <w:lang w:eastAsia="en-GB"/>
        </w:rPr>
        <w:t>used</w:t>
      </w:r>
      <w:r w:rsidRPr="0071546E">
        <w:rPr>
          <w:rFonts w:ascii="Arial" w:eastAsia="Times New Roman" w:hAnsi="Arial" w:cs="Arial"/>
          <w:color w:val="000000" w:themeColor="text1"/>
          <w:sz w:val="24"/>
          <w:szCs w:val="24"/>
          <w:lang w:eastAsia="en-GB"/>
        </w:rPr>
        <w:t xml:space="preserve">. An aspect of the </w:t>
      </w:r>
      <w:r w:rsidR="00266AFE" w:rsidRPr="0071546E">
        <w:rPr>
          <w:rFonts w:ascii="Arial" w:eastAsia="Times New Roman" w:hAnsi="Arial" w:cs="Arial"/>
          <w:color w:val="000000" w:themeColor="text1"/>
          <w:sz w:val="24"/>
          <w:szCs w:val="24"/>
          <w:lang w:eastAsia="en-GB"/>
        </w:rPr>
        <w:t>PCR which needs optimisation</w:t>
      </w:r>
      <w:r w:rsidRPr="0071546E">
        <w:rPr>
          <w:rFonts w:ascii="Arial" w:eastAsia="Times New Roman" w:hAnsi="Arial" w:cs="Arial"/>
          <w:color w:val="000000" w:themeColor="text1"/>
          <w:sz w:val="24"/>
          <w:szCs w:val="24"/>
          <w:lang w:eastAsia="en-GB"/>
        </w:rPr>
        <w:t xml:space="preserve"> is the DNA extraction </w:t>
      </w:r>
      <w:r w:rsidR="00266AFE" w:rsidRPr="0071546E">
        <w:rPr>
          <w:rFonts w:ascii="Arial" w:eastAsia="Times New Roman" w:hAnsi="Arial" w:cs="Arial"/>
          <w:color w:val="000000" w:themeColor="text1"/>
          <w:sz w:val="24"/>
          <w:szCs w:val="24"/>
          <w:lang w:eastAsia="en-GB"/>
        </w:rPr>
        <w:t>technique</w:t>
      </w:r>
      <w:r w:rsidRPr="0071546E">
        <w:rPr>
          <w:rFonts w:ascii="Arial" w:eastAsia="Times New Roman" w:hAnsi="Arial" w:cs="Arial"/>
          <w:color w:val="000000" w:themeColor="text1"/>
          <w:sz w:val="24"/>
          <w:szCs w:val="24"/>
          <w:lang w:eastAsia="en-GB"/>
        </w:rPr>
        <w:t>. Three different commonly used DNA extraction methods; the use of InstaGene matrix, sonication and boiling</w:t>
      </w:r>
      <w:r w:rsidR="002C5EC6" w:rsidRPr="0071546E">
        <w:rPr>
          <w:color w:val="000000" w:themeColor="text1"/>
        </w:rPr>
        <w:t xml:space="preserve"> </w:t>
      </w:r>
      <w:r w:rsidR="002C5EC6" w:rsidRPr="0071546E">
        <w:rPr>
          <w:rFonts w:ascii="Arial" w:eastAsia="Times New Roman" w:hAnsi="Arial" w:cs="Arial"/>
          <w:color w:val="000000" w:themeColor="text1"/>
          <w:sz w:val="24"/>
          <w:szCs w:val="24"/>
          <w:lang w:eastAsia="en-GB"/>
        </w:rPr>
        <w:t>(Maubon et al., 2012)</w:t>
      </w:r>
      <w:r w:rsidRPr="0071546E">
        <w:rPr>
          <w:rFonts w:ascii="Arial" w:eastAsia="Times New Roman" w:hAnsi="Arial" w:cs="Arial"/>
          <w:color w:val="000000" w:themeColor="text1"/>
          <w:sz w:val="24"/>
          <w:szCs w:val="24"/>
          <w:lang w:eastAsia="en-GB"/>
        </w:rPr>
        <w:t xml:space="preserve"> w</w:t>
      </w:r>
      <w:r w:rsidR="002C5EC6" w:rsidRPr="0071546E">
        <w:rPr>
          <w:rFonts w:ascii="Arial" w:eastAsia="Times New Roman" w:hAnsi="Arial" w:cs="Arial"/>
          <w:color w:val="000000" w:themeColor="text1"/>
          <w:sz w:val="24"/>
          <w:szCs w:val="24"/>
          <w:lang w:eastAsia="en-GB"/>
        </w:rPr>
        <w:t>as</w:t>
      </w:r>
      <w:r w:rsidRPr="0071546E">
        <w:rPr>
          <w:rFonts w:ascii="Arial" w:eastAsia="Times New Roman" w:hAnsi="Arial" w:cs="Arial"/>
          <w:color w:val="000000" w:themeColor="text1"/>
          <w:sz w:val="24"/>
          <w:szCs w:val="24"/>
          <w:lang w:eastAsia="en-GB"/>
        </w:rPr>
        <w:t xml:space="preserve"> compared. This was done to compare </w:t>
      </w:r>
      <w:r w:rsidR="00563D9A" w:rsidRPr="0071546E">
        <w:rPr>
          <w:rFonts w:ascii="Arial" w:eastAsia="Times New Roman" w:hAnsi="Arial" w:cs="Arial"/>
          <w:color w:val="000000" w:themeColor="text1"/>
          <w:sz w:val="24"/>
          <w:szCs w:val="24"/>
          <w:lang w:eastAsia="en-GB"/>
        </w:rPr>
        <w:t xml:space="preserve">the </w:t>
      </w:r>
      <w:r w:rsidR="00266AFE" w:rsidRPr="0071546E">
        <w:rPr>
          <w:rFonts w:ascii="Arial" w:eastAsia="Times New Roman" w:hAnsi="Arial" w:cs="Arial"/>
          <w:color w:val="000000" w:themeColor="text1"/>
          <w:sz w:val="24"/>
          <w:szCs w:val="24"/>
          <w:lang w:eastAsia="en-GB"/>
        </w:rPr>
        <w:t xml:space="preserve">amount and purity of extracted DNA. </w:t>
      </w:r>
    </w:p>
    <w:p w:rsidR="00725033" w:rsidRPr="0071546E" w:rsidRDefault="00725033" w:rsidP="00CF13FE">
      <w:pPr>
        <w:pStyle w:val="Heading2"/>
        <w:ind w:left="1021" w:right="454"/>
      </w:pPr>
      <w:bookmarkStart w:id="55" w:name="_Toc14711427"/>
      <w:r w:rsidRPr="0071546E">
        <w:t>2.2.1 Use of InstaGene matrix for DNA extraction.</w:t>
      </w:r>
      <w:bookmarkEnd w:id="55"/>
    </w:p>
    <w:p w:rsidR="002C5EC6" w:rsidRPr="0071546E" w:rsidRDefault="00725033" w:rsidP="002C5EC6">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InstaGene matrix is a lysis reagent formulated with 6</w:t>
      </w:r>
      <w:r w:rsidR="00266AFE"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 w/v Chelex resin</w:t>
      </w:r>
      <w:r w:rsidR="002C5EC6" w:rsidRPr="0071546E">
        <w:rPr>
          <w:color w:val="000000"/>
        </w:rPr>
        <w:t xml:space="preserve"> </w:t>
      </w:r>
      <w:r w:rsidR="002C5EC6" w:rsidRPr="0071546E">
        <w:rPr>
          <w:rFonts w:ascii="Arial" w:eastAsia="Times New Roman" w:hAnsi="Arial" w:cs="Arial"/>
          <w:sz w:val="24"/>
          <w:szCs w:val="24"/>
          <w:lang w:eastAsia="en-GB"/>
        </w:rPr>
        <w:t>(Niyyati, Lasgerdi and Lorenzo-Morales, 2015)</w:t>
      </w:r>
      <w:r w:rsidRPr="0071546E">
        <w:rPr>
          <w:rFonts w:ascii="Arial" w:eastAsia="Times New Roman" w:hAnsi="Arial" w:cs="Arial"/>
          <w:sz w:val="24"/>
          <w:szCs w:val="24"/>
          <w:lang w:eastAsia="en-GB"/>
        </w:rPr>
        <w:t>.</w:t>
      </w:r>
      <w:r w:rsidRPr="0071546E">
        <w:rPr>
          <w:rFonts w:ascii="Arial" w:eastAsiaTheme="minorEastAsia" w:hAnsi="Arial" w:cs="Arial"/>
          <w:sz w:val="24"/>
          <w:szCs w:val="24"/>
        </w:rPr>
        <w:t xml:space="preserve"> </w:t>
      </w:r>
      <w:r w:rsidRPr="0071546E">
        <w:rPr>
          <w:rFonts w:ascii="Arial" w:eastAsia="Times New Roman" w:hAnsi="Arial" w:cs="Arial"/>
          <w:sz w:val="24"/>
          <w:szCs w:val="24"/>
          <w:lang w:eastAsia="en-GB"/>
        </w:rPr>
        <w:t xml:space="preserve">The Chelex matrix binds to contaminants that might otherwise inhibit PCR thereby preventing loss of DNA from irreversible binding. Method of extraction was based on protocol provided by manufacturers. All five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cells were cultured at 30 </w:t>
      </w:r>
      <w:r w:rsidRPr="0071546E">
        <w:rPr>
          <w:rFonts w:ascii="Arial" w:eastAsia="Times New Roman" w:hAnsi="Arial" w:cs="Arial"/>
          <w:sz w:val="24"/>
          <w:szCs w:val="24"/>
          <w:vertAlign w:val="superscript"/>
          <w:lang w:eastAsia="en-GB"/>
        </w:rPr>
        <w:t>o</w:t>
      </w:r>
      <w:r w:rsidRPr="0071546E">
        <w:rPr>
          <w:rFonts w:ascii="Arial" w:eastAsia="Times New Roman" w:hAnsi="Arial" w:cs="Arial"/>
          <w:sz w:val="24"/>
          <w:szCs w:val="24"/>
          <w:lang w:eastAsia="en-GB"/>
        </w:rPr>
        <w:t>C for 48 hrs to get the desired cell density (10</w:t>
      </w:r>
      <w:r w:rsidRPr="0071546E">
        <w:rPr>
          <w:rFonts w:ascii="Arial" w:eastAsia="Times New Roman" w:hAnsi="Arial" w:cs="Arial"/>
          <w:sz w:val="24"/>
          <w:szCs w:val="24"/>
          <w:vertAlign w:val="superscript"/>
          <w:lang w:eastAsia="en-GB"/>
        </w:rPr>
        <w:t>6</w:t>
      </w:r>
      <w:r w:rsidRPr="0071546E">
        <w:rPr>
          <w:rFonts w:ascii="Arial" w:eastAsia="Times New Roman" w:hAnsi="Arial" w:cs="Arial"/>
          <w:sz w:val="24"/>
          <w:szCs w:val="24"/>
          <w:lang w:eastAsia="en-GB"/>
        </w:rPr>
        <w:t xml:space="preserve"> cells/ml). Amoeba cells</w:t>
      </w:r>
      <w:r w:rsidR="002C5EC6" w:rsidRPr="0071546E">
        <w:rPr>
          <w:rFonts w:ascii="Arial" w:eastAsia="Times New Roman" w:hAnsi="Arial" w:cs="Arial"/>
          <w:sz w:val="24"/>
          <w:szCs w:val="24"/>
          <w:lang w:eastAsia="en-GB"/>
        </w:rPr>
        <w:t>, 10 mL</w:t>
      </w:r>
      <w:r w:rsidRPr="0071546E">
        <w:rPr>
          <w:rFonts w:ascii="Arial" w:eastAsia="Times New Roman" w:hAnsi="Arial" w:cs="Arial"/>
          <w:sz w:val="24"/>
          <w:szCs w:val="24"/>
          <w:lang w:eastAsia="en-GB"/>
        </w:rPr>
        <w:t xml:space="preserve"> w</w:t>
      </w:r>
      <w:r w:rsidR="002C2939" w:rsidRPr="0071546E">
        <w:rPr>
          <w:rFonts w:ascii="Arial" w:eastAsia="Times New Roman" w:hAnsi="Arial" w:cs="Arial"/>
          <w:sz w:val="24"/>
          <w:szCs w:val="24"/>
          <w:lang w:eastAsia="en-GB"/>
        </w:rPr>
        <w:t>ere</w:t>
      </w:r>
      <w:r w:rsidRPr="0071546E">
        <w:rPr>
          <w:rFonts w:ascii="Arial" w:eastAsia="Times New Roman" w:hAnsi="Arial" w:cs="Arial"/>
          <w:sz w:val="24"/>
          <w:szCs w:val="24"/>
          <w:lang w:eastAsia="en-GB"/>
        </w:rPr>
        <w:t xml:space="preserve"> recovered by centrifugation at 1000 g for 5 minutes and washed three times in PBS. After washing cells were re-suspended in 500 µl of sterile water. The suspension of cell in sterile water was</w:t>
      </w:r>
      <w:r w:rsidR="002C2939"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vortex</w:t>
      </w:r>
      <w:r w:rsidR="002C2939" w:rsidRPr="0071546E">
        <w:rPr>
          <w:rFonts w:ascii="Arial" w:eastAsia="Times New Roman" w:hAnsi="Arial" w:cs="Arial"/>
          <w:sz w:val="24"/>
          <w:szCs w:val="24"/>
          <w:lang w:eastAsia="en-GB"/>
        </w:rPr>
        <w:t>ed</w:t>
      </w:r>
      <w:r w:rsidRPr="0071546E">
        <w:rPr>
          <w:rFonts w:ascii="Arial" w:eastAsia="Times New Roman" w:hAnsi="Arial" w:cs="Arial"/>
          <w:sz w:val="24"/>
          <w:szCs w:val="24"/>
          <w:lang w:eastAsia="en-GB"/>
        </w:rPr>
        <w:t xml:space="preserve"> for 60 secs and counted using automated cell counter (TC20TM, Catalogue 145-#0101/Bio-Rad/UK). Cell density was optimised for DNA extraction</w:t>
      </w:r>
      <w:r w:rsidR="002C5EC6" w:rsidRPr="0071546E">
        <w:rPr>
          <w:rFonts w:ascii="Arial" w:eastAsia="Times New Roman" w:hAnsi="Arial" w:cs="Arial"/>
          <w:sz w:val="24"/>
          <w:szCs w:val="24"/>
          <w:lang w:eastAsia="en-GB"/>
        </w:rPr>
        <w:t xml:space="preserve"> to</w:t>
      </w:r>
      <w:r w:rsidRPr="0071546E">
        <w:rPr>
          <w:rFonts w:ascii="Arial" w:eastAsia="Times New Roman" w:hAnsi="Arial" w:cs="Arial"/>
          <w:sz w:val="24"/>
          <w:szCs w:val="24"/>
          <w:lang w:eastAsia="en-GB"/>
        </w:rPr>
        <w:t xml:space="preserve"> a total of 1 x 10</w:t>
      </w:r>
      <w:r w:rsidRPr="0071546E">
        <w:rPr>
          <w:rFonts w:ascii="Arial" w:eastAsia="Times New Roman" w:hAnsi="Arial" w:cs="Arial"/>
          <w:sz w:val="24"/>
          <w:szCs w:val="24"/>
          <w:vertAlign w:val="superscript"/>
          <w:lang w:eastAsia="en-GB"/>
        </w:rPr>
        <w:t>6</w:t>
      </w:r>
      <w:r w:rsidRPr="0071546E">
        <w:rPr>
          <w:rFonts w:ascii="Arial" w:eastAsia="Times New Roman" w:hAnsi="Arial" w:cs="Arial"/>
          <w:sz w:val="24"/>
          <w:szCs w:val="24"/>
          <w:lang w:eastAsia="en-GB"/>
        </w:rPr>
        <w:t xml:space="preserve"> cells/ml. 20</w:t>
      </w:r>
      <w:r w:rsidR="002C5EC6" w:rsidRPr="0071546E">
        <w:rPr>
          <w:rFonts w:ascii="Arial" w:eastAsia="Times New Roman" w:hAnsi="Arial" w:cs="Arial"/>
          <w:sz w:val="24"/>
          <w:szCs w:val="24"/>
          <w:lang w:eastAsia="en-GB"/>
        </w:rPr>
        <w:t>0</w:t>
      </w:r>
      <w:r w:rsidRPr="0071546E">
        <w:rPr>
          <w:rFonts w:ascii="Arial" w:eastAsia="Times New Roman" w:hAnsi="Arial" w:cs="Arial"/>
          <w:sz w:val="24"/>
          <w:szCs w:val="24"/>
          <w:lang w:eastAsia="en-GB"/>
        </w:rPr>
        <w:t xml:space="preserve"> µ</w:t>
      </w:r>
      <w:r w:rsidR="002C5EC6" w:rsidRPr="0071546E">
        <w:rPr>
          <w:rFonts w:ascii="Arial" w:eastAsia="Times New Roman" w:hAnsi="Arial" w:cs="Arial"/>
          <w:sz w:val="24"/>
          <w:szCs w:val="24"/>
          <w:lang w:eastAsia="en-GB"/>
        </w:rPr>
        <w:t>L</w:t>
      </w:r>
      <w:r w:rsidRPr="0071546E">
        <w:rPr>
          <w:rFonts w:ascii="Arial" w:eastAsia="Times New Roman" w:hAnsi="Arial" w:cs="Arial"/>
          <w:sz w:val="24"/>
          <w:szCs w:val="24"/>
          <w:lang w:eastAsia="en-GB"/>
        </w:rPr>
        <w:t xml:space="preserve"> from the cell suspension was transferred to a sterile centrifuge tube. 20 µ</w:t>
      </w:r>
      <w:r w:rsidR="002C5EC6" w:rsidRPr="0071546E">
        <w:rPr>
          <w:rFonts w:ascii="Arial" w:eastAsia="Times New Roman" w:hAnsi="Arial" w:cs="Arial"/>
          <w:sz w:val="24"/>
          <w:szCs w:val="24"/>
          <w:lang w:eastAsia="en-GB"/>
        </w:rPr>
        <w:t>L</w:t>
      </w:r>
      <w:r w:rsidRPr="0071546E">
        <w:rPr>
          <w:rFonts w:ascii="Arial" w:eastAsia="Times New Roman" w:hAnsi="Arial" w:cs="Arial"/>
          <w:sz w:val="24"/>
          <w:szCs w:val="24"/>
          <w:lang w:eastAsia="en-GB"/>
        </w:rPr>
        <w:t xml:space="preserve"> of the InstaGene matrix was added to the cells and incubated at 56</w:t>
      </w:r>
      <w:r w:rsidRPr="0071546E">
        <w:rPr>
          <w:rFonts w:ascii="Arial" w:eastAsia="Times New Roman" w:hAnsi="Arial" w:cs="Arial"/>
          <w:sz w:val="24"/>
          <w:szCs w:val="24"/>
          <w:vertAlign w:val="superscript"/>
          <w:lang w:eastAsia="en-GB"/>
        </w:rPr>
        <w:t>o</w:t>
      </w:r>
      <w:r w:rsidRPr="0071546E">
        <w:rPr>
          <w:rFonts w:ascii="Arial" w:eastAsia="Times New Roman" w:hAnsi="Arial" w:cs="Arial"/>
          <w:sz w:val="24"/>
          <w:szCs w:val="24"/>
          <w:lang w:eastAsia="en-GB"/>
        </w:rPr>
        <w:t>C</w:t>
      </w:r>
      <w:r w:rsidR="00266AFE" w:rsidRPr="0071546E">
        <w:rPr>
          <w:rFonts w:ascii="Arial" w:eastAsia="Times New Roman" w:hAnsi="Arial" w:cs="Arial"/>
          <w:sz w:val="24"/>
          <w:szCs w:val="24"/>
          <w:lang w:eastAsia="en-GB"/>
        </w:rPr>
        <w:t xml:space="preserve"> for about 20 minutes. The tube</w:t>
      </w:r>
      <w:r w:rsidRPr="0071546E">
        <w:rPr>
          <w:rFonts w:ascii="Arial" w:eastAsia="Times New Roman" w:hAnsi="Arial" w:cs="Arial"/>
          <w:sz w:val="24"/>
          <w:szCs w:val="24"/>
          <w:lang w:eastAsia="en-GB"/>
        </w:rPr>
        <w:t xml:space="preserve"> </w:t>
      </w:r>
      <w:r w:rsidR="00266AFE" w:rsidRPr="0071546E">
        <w:rPr>
          <w:rFonts w:ascii="Arial" w:eastAsia="Times New Roman" w:hAnsi="Arial" w:cs="Arial"/>
          <w:sz w:val="24"/>
          <w:szCs w:val="24"/>
          <w:lang w:eastAsia="en-GB"/>
        </w:rPr>
        <w:t>was</w:t>
      </w:r>
      <w:r w:rsidRPr="0071546E">
        <w:rPr>
          <w:rFonts w:ascii="Arial" w:eastAsia="Times New Roman" w:hAnsi="Arial" w:cs="Arial"/>
          <w:sz w:val="24"/>
          <w:szCs w:val="24"/>
          <w:lang w:eastAsia="en-GB"/>
        </w:rPr>
        <w:t xml:space="preserve"> then vortexed for 20 seconds and put in a boiling water bath for 8 minutes. The tubes are vortexed once more and the supernatant was recovered after centrifugation at 12,000 g for 3 minutes. Then 50 µl of supernatant containing the extracted DNA put in a sterilised microfuge tube and the DNA concentration and purity was measured at A</w:t>
      </w:r>
      <w:r w:rsidRPr="0071546E">
        <w:rPr>
          <w:rFonts w:ascii="Arial" w:eastAsia="Times New Roman" w:hAnsi="Arial" w:cs="Arial"/>
          <w:sz w:val="24"/>
          <w:szCs w:val="24"/>
          <w:vertAlign w:val="subscript"/>
          <w:lang w:eastAsia="en-GB"/>
        </w:rPr>
        <w:t>280</w:t>
      </w:r>
      <w:r w:rsidRPr="0071546E">
        <w:rPr>
          <w:rFonts w:ascii="Arial" w:eastAsia="Times New Roman" w:hAnsi="Arial" w:cs="Arial"/>
          <w:sz w:val="24"/>
          <w:szCs w:val="24"/>
          <w:lang w:eastAsia="en-GB"/>
        </w:rPr>
        <w:t xml:space="preserve"> wavelength with Nanodrop Lite Spectrophotometer (Thermo Scientific/UK). Values higher than 1.8 shows that DNA is relatively pure </w:t>
      </w:r>
      <w:r w:rsidR="008E1DF2" w:rsidRPr="0071546E">
        <w:rPr>
          <w:rFonts w:ascii="Arial" w:eastAsia="Times New Roman" w:hAnsi="Arial" w:cs="Arial"/>
          <w:sz w:val="24"/>
          <w:szCs w:val="24"/>
          <w:lang w:eastAsia="en-GB"/>
        </w:rPr>
        <w:t>and free of protein fragments.</w:t>
      </w:r>
      <w:r w:rsidR="002C5EC6" w:rsidRPr="0071546E">
        <w:rPr>
          <w:rFonts w:ascii="Arial" w:hAnsi="Arial" w:cs="Arial"/>
          <w:sz w:val="24"/>
          <w:szCs w:val="24"/>
        </w:rPr>
        <w:t xml:space="preserve"> </w:t>
      </w:r>
      <w:r w:rsidR="002C5EC6" w:rsidRPr="0071546E">
        <w:rPr>
          <w:rFonts w:ascii="Arial" w:eastAsia="Times New Roman" w:hAnsi="Arial" w:cs="Arial"/>
          <w:sz w:val="24"/>
          <w:szCs w:val="24"/>
          <w:lang w:eastAsia="en-GB"/>
        </w:rPr>
        <w:t>A260/A280 ratio is used to evaluate Protein Contamination, hence determine DNA purity. This procedure was initially described to measure protein purity in the presence of nucleic acids. However, in recent times it is used to monitor protein contamination of DNA. It is vital to state that a260/280 ratio is solely an indication of purity. Pure DNA samples have an A260/A280 ratio greater or equal to 1.8. This is the weighted average of the A260/A280 ratios for each nucleotide when measured independently</w:t>
      </w:r>
      <w:r w:rsidR="002C5EC6" w:rsidRPr="0071546E">
        <w:rPr>
          <w:color w:val="000000"/>
        </w:rPr>
        <w:t xml:space="preserve"> </w:t>
      </w:r>
      <w:r w:rsidR="002C5EC6" w:rsidRPr="0071546E">
        <w:rPr>
          <w:rFonts w:ascii="Arial" w:eastAsia="Times New Roman" w:hAnsi="Arial" w:cs="Arial"/>
          <w:sz w:val="24"/>
          <w:szCs w:val="24"/>
          <w:lang w:eastAsia="en-GB"/>
        </w:rPr>
        <w:t xml:space="preserve">(Kuhn, Frank-Kamenetskii and Demidov, 2001). </w:t>
      </w:r>
    </w:p>
    <w:p w:rsidR="002C5EC6" w:rsidRPr="0071546E" w:rsidRDefault="002C5EC6" w:rsidP="002C5EC6">
      <w:pPr>
        <w:spacing w:before="100" w:after="0" w:line="480" w:lineRule="auto"/>
        <w:ind w:left="1021" w:right="454"/>
        <w:jc w:val="both"/>
        <w:rPr>
          <w:rFonts w:ascii="Arial" w:eastAsia="Times New Roman" w:hAnsi="Arial" w:cs="Arial"/>
          <w:sz w:val="24"/>
          <w:szCs w:val="24"/>
          <w:lang w:eastAsia="en-GB"/>
        </w:rPr>
      </w:pPr>
    </w:p>
    <w:p w:rsidR="002C5EC6" w:rsidRPr="0071546E" w:rsidRDefault="002C5EC6" w:rsidP="002C5EC6">
      <w:pPr>
        <w:spacing w:before="100" w:after="0" w:line="480" w:lineRule="auto"/>
        <w:ind w:left="1021" w:right="454"/>
        <w:jc w:val="both"/>
        <w:rPr>
          <w:rFonts w:ascii="Arial" w:eastAsia="Times New Roman" w:hAnsi="Arial" w:cs="Arial"/>
          <w:sz w:val="24"/>
          <w:szCs w:val="24"/>
          <w:lang w:eastAsia="en-GB"/>
        </w:rPr>
      </w:pPr>
    </w:p>
    <w:p w:rsidR="002C5EC6" w:rsidRPr="0071546E" w:rsidRDefault="002C5EC6" w:rsidP="002C5EC6">
      <w:pPr>
        <w:spacing w:before="100" w:after="0" w:line="480" w:lineRule="auto"/>
        <w:ind w:left="1021" w:right="454"/>
        <w:jc w:val="both"/>
        <w:rPr>
          <w:rFonts w:ascii="Arial" w:eastAsia="Times New Roman" w:hAnsi="Arial" w:cs="Arial"/>
          <w:sz w:val="24"/>
          <w:szCs w:val="24"/>
          <w:lang w:eastAsia="en-GB"/>
        </w:rPr>
      </w:pPr>
    </w:p>
    <w:p w:rsidR="002C5EC6" w:rsidRPr="0071546E" w:rsidRDefault="002C5EC6" w:rsidP="002C5EC6">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It is often calculated by subtracting the non-nucleic acid absorbance at A320.</w:t>
      </w:r>
    </w:p>
    <w:p w:rsidR="002C5EC6" w:rsidRPr="0071546E" w:rsidRDefault="002C5EC6" w:rsidP="002C5EC6">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DNA Purity (A260/A280) = (A260 reading – A320 reading) ÷ (A280 reading – A320 reading)</w:t>
      </w:r>
    </w:p>
    <w:p w:rsidR="00725033" w:rsidRPr="0071546E" w:rsidRDefault="008E1DF2"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 4 ng/</w:t>
      </w:r>
      <w:r w:rsidR="00725033" w:rsidRPr="0071546E">
        <w:rPr>
          <w:rFonts w:ascii="Arial" w:eastAsia="Times New Roman" w:hAnsi="Arial" w:cs="Arial"/>
          <w:sz w:val="24"/>
          <w:szCs w:val="24"/>
          <w:lang w:eastAsia="en-GB"/>
        </w:rPr>
        <w:t xml:space="preserve"> µl</w:t>
      </w:r>
      <w:r w:rsidRPr="0071546E">
        <w:rPr>
          <w:rFonts w:ascii="Arial" w:eastAsia="Times New Roman" w:hAnsi="Arial" w:cs="Arial"/>
          <w:sz w:val="24"/>
          <w:szCs w:val="24"/>
          <w:lang w:eastAsia="en-GB"/>
        </w:rPr>
        <w:t xml:space="preserve"> concentration</w:t>
      </w:r>
      <w:r w:rsidR="00725033" w:rsidRPr="0071546E">
        <w:rPr>
          <w:rFonts w:ascii="Arial" w:eastAsia="Times New Roman" w:hAnsi="Arial" w:cs="Arial"/>
          <w:sz w:val="24"/>
          <w:szCs w:val="24"/>
          <w:lang w:eastAsia="en-GB"/>
        </w:rPr>
        <w:t xml:space="preserve"> of the DNA sample was used as </w:t>
      </w:r>
      <w:r w:rsidR="002C2939" w:rsidRPr="0071546E">
        <w:rPr>
          <w:rFonts w:ascii="Arial" w:eastAsia="Times New Roman" w:hAnsi="Arial" w:cs="Arial"/>
          <w:sz w:val="24"/>
          <w:szCs w:val="24"/>
          <w:lang w:eastAsia="en-GB"/>
        </w:rPr>
        <w:t xml:space="preserve">a </w:t>
      </w:r>
      <w:r w:rsidR="00725033" w:rsidRPr="0071546E">
        <w:rPr>
          <w:rFonts w:ascii="Arial" w:eastAsia="Times New Roman" w:hAnsi="Arial" w:cs="Arial"/>
          <w:sz w:val="24"/>
          <w:szCs w:val="24"/>
          <w:lang w:eastAsia="en-GB"/>
        </w:rPr>
        <w:t>template for PCR analysis.</w:t>
      </w:r>
    </w:p>
    <w:p w:rsidR="00725033" w:rsidRPr="0071546E" w:rsidRDefault="00725033" w:rsidP="00CF13FE">
      <w:pPr>
        <w:pStyle w:val="Heading2"/>
        <w:ind w:left="1021" w:right="454"/>
      </w:pPr>
      <w:bookmarkStart w:id="56" w:name="_Toc14711428"/>
      <w:r w:rsidRPr="0071546E">
        <w:t>2.2.2 DNA extraction by sonication.</w:t>
      </w:r>
      <w:bookmarkEnd w:id="56"/>
    </w:p>
    <w:p w:rsidR="00725033" w:rsidRPr="0071546E" w:rsidRDefault="00486E52"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The c</w:t>
      </w:r>
      <w:r w:rsidR="00725033" w:rsidRPr="0071546E">
        <w:rPr>
          <w:rFonts w:ascii="Arial" w:eastAsia="Times New Roman" w:hAnsi="Arial" w:cs="Arial"/>
          <w:sz w:val="24"/>
          <w:szCs w:val="24"/>
          <w:lang w:eastAsia="en-GB"/>
        </w:rPr>
        <w:t>ell</w:t>
      </w:r>
      <w:r w:rsidR="002C5EC6" w:rsidRPr="0071546E">
        <w:rPr>
          <w:rFonts w:ascii="Arial" w:eastAsia="Times New Roman" w:hAnsi="Arial" w:cs="Arial"/>
          <w:sz w:val="24"/>
          <w:szCs w:val="24"/>
          <w:lang w:eastAsia="en-GB"/>
        </w:rPr>
        <w:t>s</w:t>
      </w:r>
      <w:r w:rsidR="00725033" w:rsidRPr="0071546E">
        <w:rPr>
          <w:rFonts w:ascii="Arial" w:eastAsia="Times New Roman" w:hAnsi="Arial" w:cs="Arial"/>
          <w:sz w:val="24"/>
          <w:szCs w:val="24"/>
          <w:lang w:eastAsia="en-GB"/>
        </w:rPr>
        <w:t xml:space="preserve"> w</w:t>
      </w:r>
      <w:r w:rsidR="002C5EC6" w:rsidRPr="0071546E">
        <w:rPr>
          <w:rFonts w:ascii="Arial" w:eastAsia="Times New Roman" w:hAnsi="Arial" w:cs="Arial"/>
          <w:sz w:val="24"/>
          <w:szCs w:val="24"/>
          <w:lang w:eastAsia="en-GB"/>
        </w:rPr>
        <w:t>ere</w:t>
      </w:r>
      <w:r w:rsidR="00725033" w:rsidRPr="0071546E">
        <w:rPr>
          <w:rFonts w:ascii="Arial" w:eastAsia="Times New Roman" w:hAnsi="Arial" w:cs="Arial"/>
          <w:sz w:val="24"/>
          <w:szCs w:val="24"/>
          <w:lang w:eastAsia="en-GB"/>
        </w:rPr>
        <w:t xml:space="preserve"> prepared as described earlier (2.4). A cell concentration of 10</w:t>
      </w:r>
      <w:r w:rsidR="00725033" w:rsidRPr="0071546E">
        <w:rPr>
          <w:rFonts w:ascii="Arial" w:eastAsia="Times New Roman" w:hAnsi="Arial" w:cs="Arial"/>
          <w:sz w:val="24"/>
          <w:szCs w:val="24"/>
          <w:vertAlign w:val="superscript"/>
          <w:lang w:eastAsia="en-GB"/>
        </w:rPr>
        <w:t>6</w:t>
      </w:r>
      <w:r w:rsidR="00725033" w:rsidRPr="0071546E">
        <w:rPr>
          <w:rFonts w:ascii="Arial" w:eastAsia="Times New Roman" w:hAnsi="Arial" w:cs="Arial"/>
          <w:sz w:val="24"/>
          <w:szCs w:val="24"/>
          <w:lang w:eastAsia="en-GB"/>
        </w:rPr>
        <w:t xml:space="preserve"> cell/ml was sonicated for 10 minutes</w:t>
      </w:r>
      <w:r w:rsidR="00725033" w:rsidRPr="0071546E">
        <w:rPr>
          <w:rFonts w:ascii="Arial" w:eastAsia="Times New Roman" w:hAnsi="Arial" w:cs="Arial"/>
          <w:sz w:val="24"/>
          <w:szCs w:val="24"/>
          <w:lang w:val="en-US" w:eastAsia="en-GB"/>
        </w:rPr>
        <w:t xml:space="preserve"> (amplitude of 22 nm, sonication interval of 15secs).</w:t>
      </w:r>
      <w:r w:rsidR="00725033" w:rsidRPr="0071546E">
        <w:rPr>
          <w:rFonts w:ascii="Arial" w:eastAsia="Times New Roman" w:hAnsi="Arial" w:cs="Arial"/>
          <w:sz w:val="24"/>
          <w:szCs w:val="24"/>
          <w:lang w:eastAsia="en-GB"/>
        </w:rPr>
        <w:t xml:space="preserve"> The cells were vortexed and centrifuged 20,000 g for 3 minutes. </w:t>
      </w:r>
      <w:r w:rsidR="002C5EC6" w:rsidRPr="0071546E">
        <w:rPr>
          <w:rFonts w:ascii="Arial" w:eastAsia="Times New Roman" w:hAnsi="Arial" w:cs="Arial"/>
          <w:sz w:val="24"/>
          <w:szCs w:val="24"/>
          <w:lang w:eastAsia="en-GB"/>
        </w:rPr>
        <w:t>DNA purity was determined as explained in</w:t>
      </w:r>
      <w:r w:rsidR="00725033" w:rsidRPr="0071546E">
        <w:rPr>
          <w:rFonts w:ascii="Arial" w:eastAsia="Times New Roman" w:hAnsi="Arial" w:cs="Arial"/>
          <w:sz w:val="24"/>
          <w:szCs w:val="24"/>
          <w:lang w:eastAsia="en-GB"/>
        </w:rPr>
        <w:t xml:space="preserve"> (2.4.1) </w:t>
      </w:r>
      <w:r w:rsidR="002C5EC6" w:rsidRPr="0071546E">
        <w:rPr>
          <w:rFonts w:ascii="Arial" w:eastAsia="Times New Roman" w:hAnsi="Arial" w:cs="Arial"/>
          <w:sz w:val="24"/>
          <w:szCs w:val="24"/>
          <w:lang w:eastAsia="en-GB"/>
        </w:rPr>
        <w:t>Concentration was adjusted to 4 ng/µL and used for PCR analysis.</w:t>
      </w:r>
    </w:p>
    <w:p w:rsidR="00725033" w:rsidRPr="0071546E" w:rsidRDefault="00725033" w:rsidP="00CF13FE">
      <w:pPr>
        <w:pStyle w:val="Heading2"/>
        <w:ind w:left="1021" w:right="454"/>
      </w:pPr>
      <w:bookmarkStart w:id="57" w:name="_Toc14711429"/>
      <w:r w:rsidRPr="0071546E">
        <w:t>2.2.3 DNA extraction by boiling</w:t>
      </w:r>
      <w:bookmarkEnd w:id="57"/>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Cell pre-treatment was as described in (2.2.1 and 2.2.2). </w:t>
      </w:r>
      <w:r w:rsidR="002C5EC6" w:rsidRPr="0071546E">
        <w:rPr>
          <w:rFonts w:ascii="Arial" w:eastAsia="Times New Roman" w:hAnsi="Arial" w:cs="Arial"/>
          <w:sz w:val="24"/>
          <w:szCs w:val="24"/>
          <w:lang w:eastAsia="en-GB"/>
        </w:rPr>
        <w:t>Pre-treated</w:t>
      </w:r>
      <w:r w:rsidRPr="0071546E">
        <w:rPr>
          <w:rFonts w:ascii="Arial" w:eastAsia="Times New Roman" w:hAnsi="Arial" w:cs="Arial"/>
          <w:sz w:val="24"/>
          <w:szCs w:val="24"/>
          <w:lang w:eastAsia="en-GB"/>
        </w:rPr>
        <w:t xml:space="preserve"> cell solution</w:t>
      </w:r>
      <w:r w:rsidR="002C5EC6" w:rsidRPr="0071546E">
        <w:rPr>
          <w:rFonts w:ascii="Arial" w:eastAsia="Times New Roman" w:hAnsi="Arial" w:cs="Arial"/>
          <w:sz w:val="24"/>
          <w:szCs w:val="24"/>
          <w:lang w:eastAsia="en-GB"/>
        </w:rPr>
        <w:t xml:space="preserve"> (1000 </w:t>
      </w:r>
      <w:r w:rsidRPr="0071546E">
        <w:rPr>
          <w:rFonts w:ascii="Arial" w:eastAsia="Times New Roman" w:hAnsi="Arial" w:cs="Arial"/>
          <w:sz w:val="24"/>
          <w:szCs w:val="24"/>
          <w:lang w:eastAsia="en-GB"/>
        </w:rPr>
        <w:t xml:space="preserve"> </w:t>
      </w:r>
      <w:r w:rsidR="002C5EC6" w:rsidRPr="0071546E">
        <w:rPr>
          <w:rFonts w:ascii="Arial" w:eastAsia="Times New Roman" w:hAnsi="Arial" w:cs="Arial"/>
          <w:sz w:val="24"/>
          <w:szCs w:val="24"/>
          <w:lang w:eastAsia="en-GB"/>
        </w:rPr>
        <w:t xml:space="preserve">µL) </w:t>
      </w:r>
      <w:r w:rsidRPr="0071546E">
        <w:rPr>
          <w:rFonts w:ascii="Arial" w:eastAsia="Times New Roman" w:hAnsi="Arial" w:cs="Arial"/>
          <w:sz w:val="24"/>
          <w:szCs w:val="24"/>
          <w:lang w:eastAsia="en-GB"/>
        </w:rPr>
        <w:t>was put in centrifuge tubes and heated at 100</w:t>
      </w:r>
      <w:r w:rsidRPr="0071546E">
        <w:rPr>
          <w:rFonts w:ascii="Arial" w:eastAsia="Times New Roman" w:hAnsi="Arial" w:cs="Arial"/>
          <w:sz w:val="24"/>
          <w:szCs w:val="24"/>
          <w:vertAlign w:val="superscript"/>
          <w:lang w:eastAsia="en-GB"/>
        </w:rPr>
        <w:t>o</w:t>
      </w:r>
      <w:r w:rsidRPr="0071546E">
        <w:rPr>
          <w:rFonts w:ascii="Arial" w:eastAsia="Times New Roman" w:hAnsi="Arial" w:cs="Arial"/>
          <w:sz w:val="24"/>
          <w:szCs w:val="24"/>
          <w:lang w:eastAsia="en-GB"/>
        </w:rPr>
        <w:t>C for 15 minutes, while vortexing the suspension every 30</w:t>
      </w:r>
      <w:r w:rsidR="00266AFE"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secs. 50 µl was transferred to a new centrifuge tube and the purity and concentration of the extracted DNA w</w:t>
      </w:r>
      <w:r w:rsidR="002C2939" w:rsidRPr="0071546E">
        <w:rPr>
          <w:rFonts w:ascii="Arial" w:eastAsia="Times New Roman" w:hAnsi="Arial" w:cs="Arial"/>
          <w:sz w:val="24"/>
          <w:szCs w:val="24"/>
          <w:lang w:eastAsia="en-GB"/>
        </w:rPr>
        <w:t>ere</w:t>
      </w:r>
      <w:r w:rsidRPr="0071546E">
        <w:rPr>
          <w:rFonts w:ascii="Arial" w:eastAsia="Times New Roman" w:hAnsi="Arial" w:cs="Arial"/>
          <w:sz w:val="24"/>
          <w:szCs w:val="24"/>
          <w:lang w:eastAsia="en-GB"/>
        </w:rPr>
        <w:t xml:space="preserve"> measured. 2 µl </w:t>
      </w:r>
      <w:r w:rsidR="008E1DF2" w:rsidRPr="0071546E">
        <w:rPr>
          <w:rFonts w:ascii="Arial" w:eastAsia="Times New Roman" w:hAnsi="Arial" w:cs="Arial"/>
          <w:sz w:val="24"/>
          <w:szCs w:val="24"/>
          <w:lang w:eastAsia="en-GB"/>
        </w:rPr>
        <w:t xml:space="preserve">(4 ng/µl ) </w:t>
      </w:r>
      <w:r w:rsidRPr="0071546E">
        <w:rPr>
          <w:rFonts w:ascii="Arial" w:eastAsia="Times New Roman" w:hAnsi="Arial" w:cs="Arial"/>
          <w:sz w:val="24"/>
          <w:szCs w:val="24"/>
          <w:lang w:eastAsia="en-GB"/>
        </w:rPr>
        <w:t>of the suspension was used for PCR analysis.</w:t>
      </w:r>
    </w:p>
    <w:p w:rsidR="002C5EC6" w:rsidRPr="0071546E" w:rsidRDefault="002C5EC6" w:rsidP="00CF13FE">
      <w:pPr>
        <w:spacing w:before="100" w:after="0" w:line="480" w:lineRule="auto"/>
        <w:ind w:left="1021" w:right="454"/>
        <w:jc w:val="both"/>
        <w:rPr>
          <w:rFonts w:ascii="Arial" w:eastAsia="Times New Roman" w:hAnsi="Arial" w:cs="Arial"/>
          <w:sz w:val="24"/>
          <w:szCs w:val="24"/>
          <w:lang w:eastAsia="en-GB"/>
        </w:rPr>
      </w:pPr>
    </w:p>
    <w:p w:rsidR="002C5EC6" w:rsidRPr="0071546E" w:rsidRDefault="002C5EC6" w:rsidP="006516FE">
      <w:pPr>
        <w:spacing w:before="100" w:after="0" w:line="480" w:lineRule="auto"/>
        <w:ind w:right="454"/>
        <w:jc w:val="both"/>
        <w:rPr>
          <w:rFonts w:ascii="Arial" w:eastAsia="Times New Roman" w:hAnsi="Arial" w:cs="Arial"/>
          <w:sz w:val="24"/>
          <w:szCs w:val="24"/>
          <w:lang w:eastAsia="en-GB"/>
        </w:rPr>
      </w:pPr>
    </w:p>
    <w:p w:rsidR="00725033" w:rsidRPr="0071546E" w:rsidRDefault="00725033" w:rsidP="00CF13FE">
      <w:pPr>
        <w:pStyle w:val="Heading2"/>
        <w:ind w:left="1021" w:right="454"/>
      </w:pPr>
      <w:bookmarkStart w:id="58" w:name="_Toc14711430"/>
      <w:r w:rsidRPr="0071546E">
        <w:t>2.2.4 Polymerase chain reaction.</w:t>
      </w:r>
      <w:bookmarkEnd w:id="58"/>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The PCR reaction was optimised from a protocol by Schroeder et al. (2001). The primers used specifically amplify a 423-551 bp amplicon of the 18S rDNA of the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genotypes. The DNA sequences of the oligonucleotides used as primers were: forward primer JDPI </w:t>
      </w:r>
      <w:r w:rsidRPr="0071546E">
        <w:rPr>
          <w:rFonts w:ascii="Arial" w:eastAsiaTheme="minorEastAsia" w:hAnsi="Arial" w:cs="Arial"/>
          <w:sz w:val="24"/>
          <w:szCs w:val="24"/>
        </w:rPr>
        <w:t>(5′-GGCCCAGATCGTTTACCGTGAA-3′) and reverse primer JDP2 (5′-TCTCACAAGCTAGGGGAGTCA -3”) (Schroeder et al. 2001)</w:t>
      </w:r>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The DNA primers were manufactured by IDT (Integrated DNA technologies/UK). They were resuspended in sterile water for PCR</w:t>
      </w:r>
      <w:r w:rsidRPr="0071546E">
        <w:rPr>
          <w:rFonts w:ascii="Arial" w:eastAsiaTheme="minorEastAsia" w:hAnsi="Arial" w:cs="Arial"/>
          <w:sz w:val="24"/>
          <w:szCs w:val="24"/>
        </w:rPr>
        <w:t xml:space="preserve">. </w:t>
      </w:r>
      <w:r w:rsidR="002C2939" w:rsidRPr="0071546E">
        <w:rPr>
          <w:rFonts w:ascii="Arial" w:eastAsia="Times New Roman" w:hAnsi="Arial" w:cs="Arial"/>
          <w:sz w:val="24"/>
          <w:szCs w:val="24"/>
          <w:lang w:eastAsia="en-GB"/>
        </w:rPr>
        <w:t>The a</w:t>
      </w:r>
      <w:r w:rsidRPr="0071546E">
        <w:rPr>
          <w:rFonts w:ascii="Arial" w:eastAsia="Times New Roman" w:hAnsi="Arial" w:cs="Arial"/>
          <w:sz w:val="24"/>
          <w:szCs w:val="24"/>
          <w:lang w:eastAsia="en-GB"/>
        </w:rPr>
        <w:t>nalysis was carried out following protocols provided. Each 50 µl PCR tube contained: 2 µ</w:t>
      </w:r>
      <w:r w:rsidR="006516FE" w:rsidRPr="0071546E">
        <w:rPr>
          <w:rFonts w:ascii="Arial" w:eastAsia="Times New Roman" w:hAnsi="Arial" w:cs="Arial"/>
          <w:sz w:val="24"/>
          <w:szCs w:val="24"/>
          <w:lang w:eastAsia="en-GB"/>
        </w:rPr>
        <w:t>L</w:t>
      </w:r>
      <w:r w:rsidRPr="0071546E">
        <w:rPr>
          <w:rFonts w:ascii="Arial" w:eastAsia="Times New Roman" w:hAnsi="Arial" w:cs="Arial"/>
          <w:sz w:val="24"/>
          <w:szCs w:val="24"/>
          <w:lang w:eastAsia="en-GB"/>
        </w:rPr>
        <w:t xml:space="preserve"> of DNA template (as prepared above), 1 µl (3.2 pmol / µ</w:t>
      </w:r>
      <w:r w:rsidR="006516FE" w:rsidRPr="0071546E">
        <w:rPr>
          <w:rFonts w:ascii="Arial" w:eastAsia="Times New Roman" w:hAnsi="Arial" w:cs="Arial"/>
          <w:sz w:val="24"/>
          <w:szCs w:val="24"/>
          <w:lang w:eastAsia="en-GB"/>
        </w:rPr>
        <w:t>L</w:t>
      </w:r>
      <w:r w:rsidRPr="0071546E">
        <w:rPr>
          <w:rFonts w:ascii="Arial" w:eastAsia="Times New Roman" w:hAnsi="Arial" w:cs="Arial"/>
          <w:sz w:val="24"/>
          <w:szCs w:val="24"/>
          <w:lang w:eastAsia="en-GB"/>
        </w:rPr>
        <w:t>) forward primer, 1 µ</w:t>
      </w:r>
      <w:r w:rsidR="006516FE" w:rsidRPr="0071546E">
        <w:rPr>
          <w:rFonts w:ascii="Arial" w:eastAsia="Times New Roman" w:hAnsi="Arial" w:cs="Arial"/>
          <w:sz w:val="24"/>
          <w:szCs w:val="24"/>
          <w:lang w:eastAsia="en-GB"/>
        </w:rPr>
        <w:t>L</w:t>
      </w:r>
      <w:r w:rsidRPr="0071546E">
        <w:rPr>
          <w:rFonts w:ascii="Arial" w:eastAsia="Times New Roman" w:hAnsi="Arial" w:cs="Arial"/>
          <w:sz w:val="24"/>
          <w:szCs w:val="24"/>
          <w:lang w:eastAsia="en-GB"/>
        </w:rPr>
        <w:t xml:space="preserve"> (3.2 pmol/µ</w:t>
      </w:r>
      <w:r w:rsidR="006516FE" w:rsidRPr="0071546E">
        <w:rPr>
          <w:rFonts w:ascii="Arial" w:eastAsia="Times New Roman" w:hAnsi="Arial" w:cs="Arial"/>
          <w:sz w:val="24"/>
          <w:szCs w:val="24"/>
          <w:lang w:eastAsia="en-GB"/>
        </w:rPr>
        <w:t>L</w:t>
      </w:r>
      <w:r w:rsidRPr="0071546E">
        <w:rPr>
          <w:rFonts w:ascii="Arial" w:eastAsia="Times New Roman" w:hAnsi="Arial" w:cs="Arial"/>
          <w:sz w:val="24"/>
          <w:szCs w:val="24"/>
          <w:lang w:eastAsia="en-GB"/>
        </w:rPr>
        <w:t>) reverse primer, 25 µl of Master mix reagent containing</w:t>
      </w:r>
      <w:r w:rsidRPr="0071546E">
        <w:rPr>
          <w:rFonts w:ascii="Arial" w:eastAsiaTheme="minorEastAsia" w:hAnsi="Arial" w:cs="Arial"/>
          <w:sz w:val="24"/>
          <w:szCs w:val="24"/>
        </w:rPr>
        <w:t xml:space="preserve"> </w:t>
      </w:r>
      <w:r w:rsidR="0030703E" w:rsidRPr="0071546E">
        <w:rPr>
          <w:rFonts w:ascii="Arial" w:eastAsiaTheme="minorEastAsia" w:hAnsi="Arial" w:cs="Arial"/>
          <w:sz w:val="24"/>
          <w:szCs w:val="24"/>
        </w:rPr>
        <w:t>(</w:t>
      </w:r>
      <w:r w:rsidR="0030703E" w:rsidRPr="0071546E">
        <w:rPr>
          <w:rFonts w:ascii="Arial" w:eastAsia="Times New Roman" w:hAnsi="Arial" w:cs="Arial"/>
          <w:sz w:val="24"/>
          <w:szCs w:val="24"/>
          <w:lang w:eastAsia="en-GB"/>
        </w:rPr>
        <w:t>DNA</w:t>
      </w:r>
      <w:r w:rsidRPr="0071546E">
        <w:rPr>
          <w:rFonts w:ascii="Arial" w:eastAsia="Times New Roman" w:hAnsi="Arial" w:cs="Arial"/>
          <w:sz w:val="24"/>
          <w:szCs w:val="24"/>
          <w:lang w:eastAsia="en-GB"/>
        </w:rPr>
        <w:t xml:space="preserve"> polymerase, dNTPs, MgCl</w:t>
      </w:r>
      <w:r w:rsidRPr="0071546E">
        <w:rPr>
          <w:rFonts w:ascii="Arial" w:eastAsia="Times New Roman" w:hAnsi="Arial" w:cs="Arial"/>
          <w:sz w:val="24"/>
          <w:szCs w:val="24"/>
          <w:vertAlign w:val="subscript"/>
          <w:lang w:eastAsia="en-GB"/>
        </w:rPr>
        <w:t>2</w:t>
      </w:r>
      <w:r w:rsidRPr="0071546E">
        <w:rPr>
          <w:rFonts w:ascii="Arial" w:eastAsia="Times New Roman" w:hAnsi="Arial" w:cs="Arial"/>
          <w:sz w:val="24"/>
          <w:szCs w:val="24"/>
          <w:lang w:eastAsia="en-GB"/>
        </w:rPr>
        <w:t xml:space="preserve"> and reaction buffers) and the reaction volume was </w:t>
      </w:r>
      <w:r w:rsidR="009B2AD9" w:rsidRPr="0071546E">
        <w:rPr>
          <w:rFonts w:ascii="Arial" w:eastAsia="Times New Roman" w:hAnsi="Arial" w:cs="Arial"/>
          <w:sz w:val="24"/>
          <w:szCs w:val="24"/>
          <w:lang w:eastAsia="en-GB"/>
        </w:rPr>
        <w:t>increased</w:t>
      </w:r>
      <w:r w:rsidR="0030703E" w:rsidRPr="0071546E">
        <w:rPr>
          <w:rFonts w:ascii="Arial" w:eastAsia="Times New Roman" w:hAnsi="Arial" w:cs="Arial"/>
          <w:sz w:val="24"/>
          <w:szCs w:val="24"/>
          <w:lang w:eastAsia="en-GB"/>
        </w:rPr>
        <w:t xml:space="preserve"> by</w:t>
      </w:r>
      <w:r w:rsidRPr="0071546E">
        <w:rPr>
          <w:rFonts w:ascii="Arial" w:eastAsia="Times New Roman" w:hAnsi="Arial" w:cs="Arial"/>
          <w:sz w:val="24"/>
          <w:szCs w:val="24"/>
          <w:lang w:eastAsia="en-GB"/>
        </w:rPr>
        <w:t xml:space="preserve"> adding 21 µl of PCR grade deionised water</w:t>
      </w:r>
      <w:r w:rsidR="009B2AD9" w:rsidRPr="0071546E">
        <w:rPr>
          <w:rFonts w:ascii="Arial" w:eastAsia="Times New Roman" w:hAnsi="Arial" w:cs="Arial"/>
          <w:sz w:val="24"/>
          <w:szCs w:val="24"/>
          <w:lang w:eastAsia="en-GB"/>
        </w:rPr>
        <w:t xml:space="preserve"> so as to keep the reaction volumes constant</w:t>
      </w:r>
      <w:r w:rsidRPr="0071546E">
        <w:rPr>
          <w:rFonts w:ascii="Arial" w:eastAsia="Times New Roman" w:hAnsi="Arial" w:cs="Arial"/>
          <w:sz w:val="24"/>
          <w:szCs w:val="24"/>
          <w:lang w:eastAsia="en-GB"/>
        </w:rPr>
        <w:t>. The control contained all of the above minus DNA template</w:t>
      </w:r>
      <w:r w:rsidR="002C2939" w:rsidRPr="0071546E">
        <w:rPr>
          <w:rFonts w:ascii="Arial" w:eastAsia="Times New Roman" w:hAnsi="Arial" w:cs="Arial"/>
          <w:sz w:val="24"/>
          <w:szCs w:val="24"/>
          <w:lang w:eastAsia="en-GB"/>
        </w:rPr>
        <w:t>s</w:t>
      </w:r>
      <w:r w:rsidRPr="0071546E">
        <w:rPr>
          <w:rFonts w:ascii="Arial" w:eastAsia="Times New Roman" w:hAnsi="Arial" w:cs="Arial"/>
          <w:sz w:val="24"/>
          <w:szCs w:val="24"/>
          <w:lang w:eastAsia="en-GB"/>
        </w:rPr>
        <w:t xml:space="preserve"> and the final v</w:t>
      </w:r>
      <w:r w:rsidR="00266AFE" w:rsidRPr="0071546E">
        <w:rPr>
          <w:rFonts w:ascii="Arial" w:eastAsia="Times New Roman" w:hAnsi="Arial" w:cs="Arial"/>
          <w:sz w:val="24"/>
          <w:szCs w:val="24"/>
          <w:lang w:eastAsia="en-GB"/>
        </w:rPr>
        <w:t>olume was also made up to 50 µl</w:t>
      </w:r>
      <w:r w:rsidR="00D665C6" w:rsidRPr="0071546E">
        <w:rPr>
          <w:rFonts w:ascii="Arial" w:eastAsia="Times New Roman" w:hAnsi="Arial" w:cs="Arial"/>
          <w:sz w:val="24"/>
          <w:szCs w:val="24"/>
          <w:lang w:eastAsia="en-GB"/>
        </w:rPr>
        <w:t>. The program</w:t>
      </w:r>
      <w:r w:rsidRPr="0071546E">
        <w:rPr>
          <w:rFonts w:ascii="Arial" w:eastAsia="Times New Roman" w:hAnsi="Arial" w:cs="Arial"/>
          <w:sz w:val="24"/>
          <w:szCs w:val="24"/>
          <w:lang w:eastAsia="en-GB"/>
        </w:rPr>
        <w:t xml:space="preserve"> for the PCR was as follows; Template denaturation temperature 95</w:t>
      </w:r>
      <w:r w:rsidRPr="0071546E">
        <w:rPr>
          <w:rFonts w:ascii="Arial" w:eastAsia="Times New Roman" w:hAnsi="Arial" w:cs="Arial"/>
          <w:sz w:val="24"/>
          <w:szCs w:val="24"/>
          <w:vertAlign w:val="superscript"/>
          <w:lang w:eastAsia="en-GB"/>
        </w:rPr>
        <w:t xml:space="preserve">o </w:t>
      </w:r>
      <w:r w:rsidRPr="0071546E">
        <w:rPr>
          <w:rFonts w:ascii="Arial" w:eastAsia="Times New Roman" w:hAnsi="Arial" w:cs="Arial"/>
          <w:sz w:val="24"/>
          <w:szCs w:val="24"/>
          <w:lang w:eastAsia="en-GB"/>
        </w:rPr>
        <w:t>C for 3 minutes, 40 cycles of amplification at 95</w:t>
      </w:r>
      <w:r w:rsidRPr="0071546E">
        <w:rPr>
          <w:rFonts w:ascii="Arial" w:eastAsia="Times New Roman" w:hAnsi="Arial" w:cs="Arial"/>
          <w:sz w:val="24"/>
          <w:szCs w:val="24"/>
          <w:vertAlign w:val="superscript"/>
          <w:lang w:eastAsia="en-GB"/>
        </w:rPr>
        <w:t xml:space="preserve">o </w:t>
      </w:r>
      <w:r w:rsidRPr="0071546E">
        <w:rPr>
          <w:rFonts w:ascii="Arial" w:eastAsia="Times New Roman" w:hAnsi="Arial" w:cs="Arial"/>
          <w:sz w:val="24"/>
          <w:szCs w:val="24"/>
          <w:lang w:eastAsia="en-GB"/>
        </w:rPr>
        <w:t>C (30 secs) 62</w:t>
      </w:r>
      <w:r w:rsidRPr="0071546E">
        <w:rPr>
          <w:rFonts w:ascii="Arial" w:eastAsia="Times New Roman" w:hAnsi="Arial" w:cs="Arial"/>
          <w:sz w:val="24"/>
          <w:szCs w:val="24"/>
          <w:vertAlign w:val="superscript"/>
          <w:lang w:eastAsia="en-GB"/>
        </w:rPr>
        <w:t xml:space="preserve">o </w:t>
      </w:r>
      <w:r w:rsidRPr="0071546E">
        <w:rPr>
          <w:rFonts w:ascii="Arial" w:eastAsia="Times New Roman" w:hAnsi="Arial" w:cs="Arial"/>
          <w:sz w:val="24"/>
          <w:szCs w:val="24"/>
          <w:lang w:eastAsia="en-GB"/>
        </w:rPr>
        <w:t xml:space="preserve">C (30 secs) for primer </w:t>
      </w:r>
      <w:r w:rsidR="009B2AD9" w:rsidRPr="0071546E">
        <w:rPr>
          <w:rFonts w:ascii="Arial" w:eastAsia="Times New Roman" w:hAnsi="Arial" w:cs="Arial"/>
          <w:sz w:val="24"/>
          <w:szCs w:val="24"/>
          <w:lang w:eastAsia="en-GB"/>
        </w:rPr>
        <w:t>annealing</w:t>
      </w:r>
      <w:r w:rsidRPr="0071546E">
        <w:rPr>
          <w:rFonts w:ascii="Arial" w:eastAsia="Times New Roman" w:hAnsi="Arial" w:cs="Arial"/>
          <w:sz w:val="24"/>
          <w:szCs w:val="24"/>
          <w:lang w:eastAsia="en-GB"/>
        </w:rPr>
        <w:t xml:space="preserve"> and 72</w:t>
      </w:r>
      <w:r w:rsidRPr="0071546E">
        <w:rPr>
          <w:rFonts w:ascii="Arial" w:eastAsia="Times New Roman" w:hAnsi="Arial" w:cs="Arial"/>
          <w:sz w:val="24"/>
          <w:szCs w:val="24"/>
          <w:vertAlign w:val="superscript"/>
          <w:lang w:eastAsia="en-GB"/>
        </w:rPr>
        <w:t xml:space="preserve">o </w:t>
      </w:r>
      <w:r w:rsidRPr="0071546E">
        <w:rPr>
          <w:rFonts w:ascii="Arial" w:eastAsia="Times New Roman" w:hAnsi="Arial" w:cs="Arial"/>
          <w:sz w:val="24"/>
          <w:szCs w:val="24"/>
          <w:lang w:eastAsia="en-GB"/>
        </w:rPr>
        <w:t>C (30 secs) for DNA synthesis. Gel electrophoresis was performed by loading 10 µl of PCR products to each well which was separated on a 1.85</w:t>
      </w:r>
      <w:r w:rsidR="009B2AD9"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 agarose gel infused with gel red for 1 hour at 100 V.</w:t>
      </w:r>
    </w:p>
    <w:p w:rsidR="00D648CE" w:rsidRPr="0071546E" w:rsidRDefault="00D648CE" w:rsidP="009B2AD9">
      <w:pPr>
        <w:spacing w:before="100" w:after="0" w:line="480" w:lineRule="auto"/>
        <w:ind w:right="454"/>
        <w:jc w:val="both"/>
        <w:rPr>
          <w:rFonts w:ascii="Arial" w:eastAsia="Times New Roman" w:hAnsi="Arial" w:cs="Arial"/>
          <w:sz w:val="24"/>
          <w:szCs w:val="24"/>
          <w:lang w:eastAsia="en-GB"/>
        </w:rPr>
      </w:pPr>
    </w:p>
    <w:p w:rsidR="00725033" w:rsidRPr="0071546E" w:rsidRDefault="00725033" w:rsidP="00CF13FE">
      <w:pPr>
        <w:pStyle w:val="Heading2"/>
        <w:ind w:left="1021" w:right="454"/>
      </w:pPr>
      <w:bookmarkStart w:id="59" w:name="_Toc14711431"/>
      <w:r w:rsidRPr="0071546E">
        <w:t xml:space="preserve">2.2.5 Purification of extracted </w:t>
      </w:r>
      <w:r w:rsidR="00432D1D" w:rsidRPr="0071546E">
        <w:rPr>
          <w:i/>
        </w:rPr>
        <w:t>Acanthamoeba</w:t>
      </w:r>
      <w:r w:rsidRPr="0071546E">
        <w:t xml:space="preserve"> DNA</w:t>
      </w:r>
      <w:bookmarkEnd w:id="59"/>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After PCR cycling, the gel was visualised under a UV light (NGFG05- Fast Gene Blue LED Gel Illuminator/UK). Purification of the DNA fragments was carried out using the Monarch DNA Extraction kit </w:t>
      </w:r>
      <w:r w:rsidR="009B2AD9" w:rsidRPr="0071546E">
        <w:rPr>
          <w:rFonts w:ascii="Arial" w:eastAsia="Times New Roman" w:hAnsi="Arial" w:cs="Arial"/>
          <w:sz w:val="24"/>
          <w:szCs w:val="24"/>
          <w:lang w:eastAsia="en-GB"/>
        </w:rPr>
        <w:t>from BioLabs</w:t>
      </w:r>
      <w:r w:rsidRPr="0071546E">
        <w:rPr>
          <w:rFonts w:ascii="Arial" w:eastAsia="Times New Roman" w:hAnsi="Arial" w:cs="Arial"/>
          <w:sz w:val="24"/>
          <w:szCs w:val="24"/>
          <w:lang w:eastAsia="en-GB"/>
        </w:rPr>
        <w:t xml:space="preserve">. The DNA fragment was cut from the gel and transferred to a 1.5 ml microfuge tube. </w:t>
      </w:r>
      <w:r w:rsidR="002C2939" w:rsidRPr="0071546E">
        <w:rPr>
          <w:rFonts w:ascii="Arial" w:eastAsia="Times New Roman" w:hAnsi="Arial" w:cs="Arial"/>
          <w:sz w:val="24"/>
          <w:szCs w:val="24"/>
          <w:lang w:eastAsia="en-GB"/>
        </w:rPr>
        <w:t>The e</w:t>
      </w:r>
      <w:r w:rsidRPr="0071546E">
        <w:rPr>
          <w:rFonts w:ascii="Arial" w:eastAsia="Times New Roman" w:hAnsi="Arial" w:cs="Arial"/>
          <w:sz w:val="24"/>
          <w:szCs w:val="24"/>
          <w:lang w:eastAsia="en-GB"/>
        </w:rPr>
        <w:t>xcess gel was removed from the DNA fragment while minimising UV light exposure. The cut gel slice was weighed so as to know the amount of dissolving buffer to be added. 4 volumes of the gel dissolving buffer were added to the cut gel and incubated for 10 minutes at 55</w:t>
      </w:r>
      <w:r w:rsidRPr="0071546E">
        <w:rPr>
          <w:rFonts w:ascii="Arial" w:eastAsia="Times New Roman" w:hAnsi="Arial" w:cs="Arial"/>
          <w:sz w:val="24"/>
          <w:szCs w:val="24"/>
          <w:vertAlign w:val="superscript"/>
          <w:lang w:eastAsia="en-GB"/>
        </w:rPr>
        <w:t>o</w:t>
      </w:r>
      <w:r w:rsidRPr="0071546E">
        <w:rPr>
          <w:rFonts w:ascii="Arial" w:eastAsia="Times New Roman" w:hAnsi="Arial" w:cs="Arial"/>
          <w:sz w:val="24"/>
          <w:szCs w:val="24"/>
          <w:lang w:eastAsia="en-GB"/>
        </w:rPr>
        <w:t>C, while vortexing at intervals until the gel is dissolved. The resulting sample was loaded onto a column; and spun for 1 minute at 16, 000 g. The flow</w:t>
      </w:r>
      <w:r w:rsidR="002C2939"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through was thrown away, and the column re-inserted into a second new collection tube. 200 µl of the DNA wash buffer was added to the column and centrifuged for 1 minute at 16, 000 g. Once more the flow</w:t>
      </w:r>
      <w:r w:rsidR="00563D9A"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through was discarded, and the column reinserted to a new collection tube. 200 µl of the DNA wash buffer was added again and centrifuged for 1 minute at 16, 000g. Flow</w:t>
      </w:r>
      <w:r w:rsidR="00563D9A"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through was discarded carefully avoiding contact with the tip of the column. </w:t>
      </w:r>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The column was then transferred into a clean 1.5 ml microfuge tube and 20 µl of DNA elution buffer was added to the centre of the matrix and left for 60 secs before centrifuging at 16, 000g for 1 minute to elute the DNA</w:t>
      </w:r>
    </w:p>
    <w:p w:rsidR="00D648CE" w:rsidRPr="0071546E" w:rsidRDefault="00D648CE" w:rsidP="00CF13FE">
      <w:pPr>
        <w:spacing w:before="100" w:after="0" w:line="480" w:lineRule="auto"/>
        <w:ind w:left="1021" w:right="454"/>
        <w:jc w:val="both"/>
        <w:rPr>
          <w:rFonts w:ascii="Arial" w:eastAsia="Times New Roman" w:hAnsi="Arial" w:cs="Arial"/>
          <w:sz w:val="24"/>
          <w:szCs w:val="24"/>
          <w:lang w:eastAsia="en-GB"/>
        </w:rPr>
      </w:pPr>
    </w:p>
    <w:p w:rsidR="00725033" w:rsidRPr="0071546E" w:rsidRDefault="00725033" w:rsidP="00CF13FE">
      <w:pPr>
        <w:pStyle w:val="Heading2"/>
        <w:ind w:left="1021" w:right="454"/>
      </w:pPr>
      <w:bookmarkStart w:id="60" w:name="_Toc14711432"/>
      <w:r w:rsidRPr="0071546E">
        <w:t xml:space="preserve">2.2.6 Sequencing of purified </w:t>
      </w:r>
      <w:r w:rsidR="00432D1D" w:rsidRPr="0071546E">
        <w:rPr>
          <w:i/>
        </w:rPr>
        <w:t>Acanthamoeba</w:t>
      </w:r>
      <w:r w:rsidRPr="0071546E">
        <w:t xml:space="preserve"> DNA</w:t>
      </w:r>
      <w:bookmarkEnd w:id="60"/>
      <w:r w:rsidRPr="0071546E">
        <w:t xml:space="preserve"> </w:t>
      </w:r>
    </w:p>
    <w:p w:rsidR="00725033" w:rsidRPr="0071546E" w:rsidRDefault="00725033" w:rsidP="00CF13FE">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The eluted DNA was sent for sequencing at DBS Genomics (University of Durham). The acquired sequence was then subjected to BLAST (Basic Local Alignment </w:t>
      </w:r>
      <w:r w:rsidR="00563D9A" w:rsidRPr="0071546E">
        <w:rPr>
          <w:rFonts w:ascii="Arial" w:eastAsia="Times New Roman" w:hAnsi="Arial" w:cs="Arial"/>
          <w:color w:val="000000" w:themeColor="text1"/>
          <w:sz w:val="24"/>
          <w:szCs w:val="24"/>
          <w:lang w:eastAsia="en-GB"/>
        </w:rPr>
        <w:t>S</w:t>
      </w:r>
      <w:r w:rsidRPr="0071546E">
        <w:rPr>
          <w:rFonts w:ascii="Arial" w:eastAsia="Times New Roman" w:hAnsi="Arial" w:cs="Arial"/>
          <w:color w:val="000000" w:themeColor="text1"/>
          <w:sz w:val="24"/>
          <w:szCs w:val="24"/>
          <w:lang w:eastAsia="en-GB"/>
        </w:rPr>
        <w:t xml:space="preserve">earch </w:t>
      </w:r>
      <w:r w:rsidR="00563D9A" w:rsidRPr="0071546E">
        <w:rPr>
          <w:rFonts w:ascii="Arial" w:eastAsia="Times New Roman" w:hAnsi="Arial" w:cs="Arial"/>
          <w:color w:val="000000" w:themeColor="text1"/>
          <w:sz w:val="24"/>
          <w:szCs w:val="24"/>
          <w:lang w:eastAsia="en-GB"/>
        </w:rPr>
        <w:t>T</w:t>
      </w:r>
      <w:r w:rsidRPr="0071546E">
        <w:rPr>
          <w:rFonts w:ascii="Arial" w:eastAsia="Times New Roman" w:hAnsi="Arial" w:cs="Arial"/>
          <w:color w:val="000000" w:themeColor="text1"/>
          <w:sz w:val="24"/>
          <w:szCs w:val="24"/>
          <w:lang w:eastAsia="en-GB"/>
        </w:rPr>
        <w:t>ool). The sequence was also aligned using Clustal Omega (European Bioinformatics, Cambridge/ UK), and was phylogen</w:t>
      </w:r>
      <w:r w:rsidR="002C2939" w:rsidRPr="0071546E">
        <w:rPr>
          <w:rFonts w:ascii="Arial" w:eastAsia="Times New Roman" w:hAnsi="Arial" w:cs="Arial"/>
          <w:color w:val="000000" w:themeColor="text1"/>
          <w:sz w:val="24"/>
          <w:szCs w:val="24"/>
          <w:lang w:eastAsia="en-GB"/>
        </w:rPr>
        <w:t>et</w:t>
      </w:r>
      <w:r w:rsidRPr="0071546E">
        <w:rPr>
          <w:rFonts w:ascii="Arial" w:eastAsia="Times New Roman" w:hAnsi="Arial" w:cs="Arial"/>
          <w:color w:val="000000" w:themeColor="text1"/>
          <w:sz w:val="24"/>
          <w:szCs w:val="24"/>
          <w:lang w:eastAsia="en-GB"/>
        </w:rPr>
        <w:t>ically analysed using Mega 6 software (</w:t>
      </w:r>
      <w:r w:rsidR="002C2939" w:rsidRPr="0071546E">
        <w:rPr>
          <w:rFonts w:ascii="Arial" w:eastAsia="Times New Roman" w:hAnsi="Arial" w:cs="Arial"/>
          <w:color w:val="000000" w:themeColor="text1"/>
          <w:sz w:val="24"/>
          <w:szCs w:val="24"/>
          <w:lang w:eastAsia="en-GB"/>
        </w:rPr>
        <w:t>M</w:t>
      </w:r>
      <w:r w:rsidRPr="0071546E">
        <w:rPr>
          <w:rFonts w:ascii="Arial" w:eastAsia="Times New Roman" w:hAnsi="Arial" w:cs="Arial"/>
          <w:color w:val="000000" w:themeColor="text1"/>
          <w:sz w:val="24"/>
          <w:szCs w:val="24"/>
          <w:lang w:eastAsia="en-GB"/>
        </w:rPr>
        <w:t>olecular Evolutionary Genetics Version 6.0).</w:t>
      </w:r>
    </w:p>
    <w:p w:rsidR="00A46C79" w:rsidRPr="0071546E" w:rsidRDefault="00725033" w:rsidP="00CF13FE">
      <w:pPr>
        <w:pStyle w:val="Heading2"/>
        <w:ind w:left="1021" w:right="454"/>
      </w:pPr>
      <w:bookmarkStart w:id="61" w:name="_Toc14711433"/>
      <w:r w:rsidRPr="0071546E">
        <w:t>2.3 Viability assays.</w:t>
      </w:r>
      <w:bookmarkEnd w:id="61"/>
    </w:p>
    <w:p w:rsidR="00A46C79" w:rsidRPr="0071546E" w:rsidRDefault="00A46C79" w:rsidP="00CF13FE">
      <w:pPr>
        <w:spacing w:line="480" w:lineRule="auto"/>
        <w:ind w:left="1021" w:right="454"/>
        <w:jc w:val="both"/>
        <w:rPr>
          <w:rFonts w:ascii="Arial" w:hAnsi="Arial" w:cs="Arial"/>
          <w:sz w:val="24"/>
          <w:szCs w:val="24"/>
          <w:lang w:eastAsia="en-GB"/>
        </w:rPr>
      </w:pPr>
      <w:r w:rsidRPr="0071546E">
        <w:rPr>
          <w:rFonts w:ascii="Arial" w:hAnsi="Arial" w:cs="Arial"/>
          <w:sz w:val="24"/>
          <w:szCs w:val="24"/>
        </w:rPr>
        <w:t xml:space="preserve">Methods optimisation during this study involved </w:t>
      </w:r>
      <w:r w:rsidR="002C2939" w:rsidRPr="0071546E">
        <w:rPr>
          <w:rFonts w:ascii="Arial" w:hAnsi="Arial" w:cs="Arial"/>
          <w:sz w:val="24"/>
          <w:szCs w:val="24"/>
        </w:rPr>
        <w:t xml:space="preserve">a </w:t>
      </w:r>
      <w:r w:rsidRPr="0071546E">
        <w:rPr>
          <w:rFonts w:ascii="Arial" w:hAnsi="Arial" w:cs="Arial"/>
          <w:sz w:val="24"/>
          <w:szCs w:val="24"/>
        </w:rPr>
        <w:t xml:space="preserve">comparison of different viability assays for </w:t>
      </w:r>
      <w:r w:rsidR="00432D1D" w:rsidRPr="0071546E">
        <w:rPr>
          <w:rFonts w:ascii="Arial" w:hAnsi="Arial" w:cs="Arial"/>
          <w:i/>
          <w:sz w:val="24"/>
          <w:szCs w:val="24"/>
        </w:rPr>
        <w:t>Acanthamoeba</w:t>
      </w:r>
      <w:r w:rsidRPr="0071546E">
        <w:rPr>
          <w:rFonts w:ascii="Arial" w:hAnsi="Arial" w:cs="Arial"/>
          <w:sz w:val="24"/>
          <w:szCs w:val="24"/>
        </w:rPr>
        <w:t xml:space="preserve"> susceptibility testing</w:t>
      </w:r>
      <w:r w:rsidR="009B2AD9" w:rsidRPr="0071546E">
        <w:rPr>
          <w:rFonts w:ascii="Arial" w:hAnsi="Arial" w:cs="Arial"/>
          <w:sz w:val="24"/>
          <w:szCs w:val="24"/>
        </w:rPr>
        <w:t xml:space="preserve"> so as to ensure optimum cell performance and rational analysis of data</w:t>
      </w:r>
      <w:r w:rsidRPr="0071546E">
        <w:rPr>
          <w:rFonts w:ascii="Arial" w:hAnsi="Arial" w:cs="Arial"/>
          <w:sz w:val="24"/>
          <w:szCs w:val="24"/>
        </w:rPr>
        <w:t>. Viability assays carried out are summarised below.</w:t>
      </w:r>
    </w:p>
    <w:p w:rsidR="00725033" w:rsidRPr="0071546E" w:rsidRDefault="00725033" w:rsidP="00CF13FE">
      <w:pPr>
        <w:pStyle w:val="Heading2"/>
        <w:ind w:left="1021" w:right="454"/>
      </w:pPr>
      <w:bookmarkStart w:id="62" w:name="_Toc14711434"/>
      <w:r w:rsidRPr="0071546E">
        <w:t>2.3.1 Fluorescein diacetate (FDA) viability assay</w:t>
      </w:r>
      <w:bookmarkEnd w:id="62"/>
      <w:r w:rsidRPr="0071546E">
        <w:t xml:space="preserve"> </w:t>
      </w:r>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Fluorescein diacetate is a metabolic activity</w:t>
      </w:r>
      <w:r w:rsidR="002C2939"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dependent viability assay and has been used for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trophozoites viability assay (Khunkitti, 1997). Khunkitti </w:t>
      </w:r>
      <w:r w:rsidR="009B2AD9"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1997</w:t>
      </w:r>
      <w:r w:rsidR="009B2AD9"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 also reported that </w:t>
      </w:r>
      <w:r w:rsidR="002C2939"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FDA was not applicable for cysts viability. FDA is an esterase substrate that hydrolyses non</w:t>
      </w:r>
      <w:r w:rsidR="002C2939" w:rsidRPr="0071546E">
        <w:rPr>
          <w:rFonts w:ascii="Arial" w:eastAsia="Times New Roman" w:hAnsi="Arial" w:cs="Arial"/>
          <w:sz w:val="24"/>
          <w:szCs w:val="24"/>
          <w:lang w:eastAsia="en-GB"/>
        </w:rPr>
        <w:t>e</w:t>
      </w:r>
      <w:r w:rsidRPr="0071546E">
        <w:rPr>
          <w:rFonts w:ascii="Arial" w:eastAsia="Times New Roman" w:hAnsi="Arial" w:cs="Arial"/>
          <w:sz w:val="24"/>
          <w:szCs w:val="24"/>
          <w:lang w:eastAsia="en-GB"/>
        </w:rPr>
        <w:t xml:space="preserve"> fluorescent FDA to highly fluorescent fluorescein. The fluorescence intensity is proportional to the number of viable cells in a cell population hence is used as a viability probe. </w:t>
      </w:r>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             FDA stock solution was prepared 0.5% in phosphate-buffered saline. </w:t>
      </w:r>
      <w:r w:rsidR="002C2939" w:rsidRPr="0071546E">
        <w:rPr>
          <w:rFonts w:ascii="Arial" w:eastAsia="Times New Roman" w:hAnsi="Arial" w:cs="Arial"/>
          <w:sz w:val="24"/>
          <w:szCs w:val="24"/>
          <w:lang w:eastAsia="en-GB"/>
        </w:rPr>
        <w:t>The s</w:t>
      </w:r>
      <w:r w:rsidRPr="0071546E">
        <w:rPr>
          <w:rFonts w:ascii="Arial" w:eastAsia="Times New Roman" w:hAnsi="Arial" w:cs="Arial"/>
          <w:sz w:val="24"/>
          <w:szCs w:val="24"/>
          <w:lang w:eastAsia="en-GB"/>
        </w:rPr>
        <w:t>olution was protected from direct light by covering with an aluminium foil and stored at -20</w:t>
      </w:r>
      <w:r w:rsidRPr="0071546E">
        <w:rPr>
          <w:rFonts w:ascii="Arial" w:eastAsia="Times New Roman" w:hAnsi="Arial" w:cs="Arial"/>
          <w:sz w:val="24"/>
          <w:szCs w:val="24"/>
          <w:vertAlign w:val="superscript"/>
          <w:lang w:eastAsia="en-GB"/>
        </w:rPr>
        <w:t xml:space="preserve">o </w:t>
      </w:r>
      <w:r w:rsidRPr="0071546E">
        <w:rPr>
          <w:rFonts w:ascii="Arial" w:eastAsia="Times New Roman" w:hAnsi="Arial" w:cs="Arial"/>
          <w:sz w:val="24"/>
          <w:szCs w:val="24"/>
          <w:lang w:eastAsia="en-GB"/>
        </w:rPr>
        <w:t>C. Hydrogen peroxide was serial-diluted to get concentrations ranging from (100 mM – 0.1 mM). A total of 10</w:t>
      </w:r>
      <w:r w:rsidRPr="0071546E">
        <w:rPr>
          <w:rFonts w:ascii="Arial" w:eastAsia="Times New Roman" w:hAnsi="Arial" w:cs="Arial"/>
          <w:sz w:val="24"/>
          <w:szCs w:val="24"/>
          <w:vertAlign w:val="superscript"/>
          <w:lang w:eastAsia="en-GB"/>
        </w:rPr>
        <w:t xml:space="preserve">6 </w:t>
      </w:r>
      <w:r w:rsidRPr="0071546E">
        <w:rPr>
          <w:rFonts w:ascii="Arial" w:eastAsia="Times New Roman" w:hAnsi="Arial" w:cs="Arial"/>
          <w:sz w:val="24"/>
          <w:szCs w:val="24"/>
          <w:lang w:eastAsia="en-GB"/>
        </w:rPr>
        <w:t xml:space="preserve">cells/ml was used for </w:t>
      </w:r>
      <w:r w:rsidR="002C2939"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 xml:space="preserve">assay. A volume of 150 µl of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trophozoites was incubated with 50 µl different concentrations of hydrogen peroxide and stored at 30</w:t>
      </w:r>
      <w:r w:rsidRPr="0071546E">
        <w:rPr>
          <w:rFonts w:ascii="Arial" w:eastAsia="Times New Roman" w:hAnsi="Arial" w:cs="Arial"/>
          <w:sz w:val="24"/>
          <w:szCs w:val="24"/>
          <w:vertAlign w:val="superscript"/>
          <w:lang w:eastAsia="en-GB"/>
        </w:rPr>
        <w:t>o</w:t>
      </w:r>
      <w:r w:rsidRPr="0071546E">
        <w:rPr>
          <w:rFonts w:ascii="Arial" w:eastAsia="Times New Roman" w:hAnsi="Arial" w:cs="Arial"/>
          <w:sz w:val="24"/>
          <w:szCs w:val="24"/>
          <w:lang w:eastAsia="en-GB"/>
        </w:rPr>
        <w:t>C for 20 minutes in the dark. The treated sample w</w:t>
      </w:r>
      <w:r w:rsidR="002C2939" w:rsidRPr="0071546E">
        <w:rPr>
          <w:rFonts w:ascii="Arial" w:eastAsia="Times New Roman" w:hAnsi="Arial" w:cs="Arial"/>
          <w:sz w:val="24"/>
          <w:szCs w:val="24"/>
          <w:lang w:eastAsia="en-GB"/>
        </w:rPr>
        <w:t>as</w:t>
      </w:r>
      <w:r w:rsidRPr="0071546E">
        <w:rPr>
          <w:rFonts w:ascii="Arial" w:eastAsia="Times New Roman" w:hAnsi="Arial" w:cs="Arial"/>
          <w:sz w:val="24"/>
          <w:szCs w:val="24"/>
          <w:lang w:eastAsia="en-GB"/>
        </w:rPr>
        <w:t xml:space="preserve"> subsequently washed in PDS to remove </w:t>
      </w:r>
      <w:r w:rsidR="002C2939"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excess drug. Then 100 µl of 0.5 % FDA was added to 100 µL of cells, incubated for 24 hours. Fluorescence was measured at 495 nm excitation and 520 nm emission</w:t>
      </w:r>
      <w:r w:rsidR="00321C24" w:rsidRPr="0071546E">
        <w:rPr>
          <w:rFonts w:ascii="Arial" w:eastAsia="Times New Roman" w:hAnsi="Arial" w:cs="Arial"/>
          <w:sz w:val="24"/>
          <w:szCs w:val="24"/>
          <w:lang w:eastAsia="en-GB"/>
        </w:rPr>
        <w:t xml:space="preserve"> using the</w:t>
      </w:r>
      <w:r w:rsidR="009B2AD9" w:rsidRPr="0071546E">
        <w:rPr>
          <w:rFonts w:ascii="Arial" w:eastAsia="Times New Roman" w:hAnsi="Arial" w:cs="Arial"/>
          <w:sz w:val="24"/>
          <w:szCs w:val="24"/>
          <w:lang w:eastAsia="en-GB"/>
        </w:rPr>
        <w:t xml:space="preserve"> spectrophotometer from Berthold technologies</w:t>
      </w:r>
      <w:r w:rsidRPr="0071546E">
        <w:rPr>
          <w:rFonts w:ascii="Arial" w:eastAsia="Times New Roman" w:hAnsi="Arial" w:cs="Arial"/>
          <w:sz w:val="24"/>
          <w:szCs w:val="24"/>
          <w:lang w:eastAsia="en-GB"/>
        </w:rPr>
        <w:t>.</w:t>
      </w:r>
    </w:p>
    <w:p w:rsidR="00725033" w:rsidRPr="0071546E" w:rsidRDefault="00725033" w:rsidP="00CF13FE">
      <w:pPr>
        <w:pStyle w:val="Heading2"/>
        <w:ind w:left="1021" w:right="454"/>
      </w:pPr>
      <w:bookmarkStart w:id="63" w:name="_Toc14711435"/>
      <w:r w:rsidRPr="0071546E">
        <w:t>2.3.2 Resazurin cell concentration curve.</w:t>
      </w:r>
      <w:bookmarkEnd w:id="63"/>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Resazurin dye has been broadly used as </w:t>
      </w:r>
      <w:r w:rsidR="002C2939" w:rsidRPr="0071546E">
        <w:rPr>
          <w:rFonts w:ascii="Arial" w:eastAsia="Times New Roman" w:hAnsi="Arial" w:cs="Arial"/>
          <w:sz w:val="24"/>
          <w:szCs w:val="24"/>
          <w:lang w:eastAsia="en-GB"/>
        </w:rPr>
        <w:t xml:space="preserve">a </w:t>
      </w:r>
      <w:r w:rsidRPr="0071546E">
        <w:rPr>
          <w:rFonts w:ascii="Arial" w:eastAsia="Times New Roman" w:hAnsi="Arial" w:cs="Arial"/>
          <w:sz w:val="24"/>
          <w:szCs w:val="24"/>
          <w:lang w:eastAsia="en-GB"/>
        </w:rPr>
        <w:t>viability indicator for bot</w:t>
      </w:r>
      <w:r w:rsidR="002C2939" w:rsidRPr="0071546E">
        <w:rPr>
          <w:rFonts w:ascii="Arial" w:eastAsia="Times New Roman" w:hAnsi="Arial" w:cs="Arial"/>
          <w:sz w:val="24"/>
          <w:szCs w:val="24"/>
          <w:lang w:eastAsia="en-GB"/>
        </w:rPr>
        <w:t>h</w:t>
      </w:r>
      <w:r w:rsidRPr="0071546E">
        <w:rPr>
          <w:rFonts w:ascii="Arial" w:eastAsia="Times New Roman" w:hAnsi="Arial" w:cs="Arial"/>
          <w:sz w:val="24"/>
          <w:szCs w:val="24"/>
          <w:lang w:eastAsia="en-GB"/>
        </w:rPr>
        <w:t xml:space="preserve"> mammalian and bacteria</w:t>
      </w:r>
      <w:r w:rsidR="00563D9A" w:rsidRPr="0071546E">
        <w:rPr>
          <w:rFonts w:ascii="Arial" w:eastAsia="Times New Roman" w:hAnsi="Arial" w:cs="Arial"/>
          <w:sz w:val="24"/>
          <w:szCs w:val="24"/>
          <w:lang w:eastAsia="en-GB"/>
        </w:rPr>
        <w:t>l</w:t>
      </w:r>
      <w:r w:rsidRPr="0071546E">
        <w:rPr>
          <w:rFonts w:ascii="Arial" w:eastAsia="Times New Roman" w:hAnsi="Arial" w:cs="Arial"/>
          <w:sz w:val="24"/>
          <w:szCs w:val="24"/>
          <w:lang w:eastAsia="en-GB"/>
        </w:rPr>
        <w:t xml:space="preserve"> cells (Heredero-Bermejo et al., 2013). Mitochondrial enzymes facilitate diaphorase activities, these enzymes catalyse the transfer of electrons from NADPH + H</w:t>
      </w:r>
      <w:r w:rsidRPr="0071546E">
        <w:rPr>
          <w:rFonts w:ascii="Arial" w:eastAsia="Times New Roman" w:hAnsi="Arial" w:cs="Arial"/>
          <w:sz w:val="24"/>
          <w:szCs w:val="24"/>
          <w:vertAlign w:val="superscript"/>
          <w:lang w:eastAsia="en-GB"/>
        </w:rPr>
        <w:t>+</w:t>
      </w:r>
      <w:r w:rsidRPr="0071546E">
        <w:rPr>
          <w:rFonts w:ascii="Arial" w:eastAsia="Times New Roman" w:hAnsi="Arial" w:cs="Arial"/>
          <w:sz w:val="24"/>
          <w:szCs w:val="24"/>
          <w:lang w:eastAsia="en-GB"/>
        </w:rPr>
        <w:t xml:space="preserve"> to purple Resazurin thereby reducing it to pink resorufin. The level of reduction can be evaluated since </w:t>
      </w:r>
      <w:r w:rsidR="002C2939"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absorption peak of resazurin and resorufin are different (600 nm and 570 nm respectively).</w:t>
      </w:r>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First</w:t>
      </w:r>
      <w:r w:rsidR="002C2939"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 a cell </w:t>
      </w:r>
      <w:r w:rsidR="009B2AD9" w:rsidRPr="0071546E">
        <w:rPr>
          <w:rFonts w:ascii="Arial" w:eastAsia="Times New Roman" w:hAnsi="Arial" w:cs="Arial"/>
          <w:sz w:val="24"/>
          <w:szCs w:val="24"/>
          <w:lang w:eastAsia="en-GB"/>
        </w:rPr>
        <w:t>growth</w:t>
      </w:r>
      <w:r w:rsidRPr="0071546E">
        <w:rPr>
          <w:rFonts w:ascii="Arial" w:eastAsia="Times New Roman" w:hAnsi="Arial" w:cs="Arial"/>
          <w:sz w:val="24"/>
          <w:szCs w:val="24"/>
          <w:lang w:eastAsia="en-GB"/>
        </w:rPr>
        <w:t xml:space="preserve"> curve was generated using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trophozoites. To generate a cell response curve using </w:t>
      </w:r>
      <w:r w:rsidR="0030703E" w:rsidRPr="0071546E">
        <w:rPr>
          <w:rFonts w:ascii="Arial" w:eastAsia="Times New Roman" w:hAnsi="Arial" w:cs="Arial"/>
          <w:sz w:val="24"/>
          <w:szCs w:val="24"/>
          <w:lang w:eastAsia="en-GB"/>
        </w:rPr>
        <w:t>resazurin, 10</w:t>
      </w:r>
      <w:r w:rsidR="0030703E" w:rsidRPr="0071546E">
        <w:rPr>
          <w:rFonts w:ascii="Arial" w:eastAsia="Times New Roman" w:hAnsi="Arial" w:cs="Arial"/>
          <w:sz w:val="24"/>
          <w:szCs w:val="24"/>
          <w:vertAlign w:val="superscript"/>
          <w:lang w:eastAsia="en-GB"/>
        </w:rPr>
        <w:t>6</w:t>
      </w:r>
      <w:r w:rsidRPr="0071546E">
        <w:rPr>
          <w:rFonts w:ascii="Arial" w:eastAsia="Times New Roman" w:hAnsi="Arial" w:cs="Arial"/>
          <w:sz w:val="24"/>
          <w:szCs w:val="24"/>
          <w:lang w:eastAsia="en-GB"/>
        </w:rPr>
        <w:t xml:space="preserve"> cells/mL was required. High purity Resazurin was dissolved in PBS 0.15 mg/ml and filter sterilised through a 0.2 μm filter then stored at 4°C in an opaque container.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cells (10</w:t>
      </w:r>
      <w:r w:rsidRPr="0071546E">
        <w:rPr>
          <w:rFonts w:ascii="Arial" w:eastAsia="Times New Roman" w:hAnsi="Arial" w:cs="Arial"/>
          <w:sz w:val="24"/>
          <w:szCs w:val="24"/>
          <w:vertAlign w:val="superscript"/>
          <w:lang w:eastAsia="en-GB"/>
        </w:rPr>
        <w:t>6</w:t>
      </w:r>
      <w:r w:rsidRPr="0071546E">
        <w:rPr>
          <w:rFonts w:ascii="Arial" w:eastAsia="Times New Roman" w:hAnsi="Arial" w:cs="Arial"/>
          <w:sz w:val="24"/>
          <w:szCs w:val="24"/>
          <w:lang w:eastAsia="en-GB"/>
        </w:rPr>
        <w:t>/ml) was diluted (serial dilution) to a minimum of 10</w:t>
      </w:r>
      <w:r w:rsidRPr="0071546E">
        <w:rPr>
          <w:rFonts w:ascii="Arial" w:eastAsia="Times New Roman" w:hAnsi="Arial" w:cs="Arial"/>
          <w:sz w:val="24"/>
          <w:szCs w:val="24"/>
          <w:vertAlign w:val="superscript"/>
          <w:lang w:eastAsia="en-GB"/>
        </w:rPr>
        <w:t xml:space="preserve">2 </w:t>
      </w:r>
      <w:r w:rsidRPr="0071546E">
        <w:rPr>
          <w:rFonts w:ascii="Arial" w:eastAsia="Times New Roman" w:hAnsi="Arial" w:cs="Arial"/>
          <w:sz w:val="24"/>
          <w:szCs w:val="24"/>
          <w:lang w:eastAsia="en-GB"/>
        </w:rPr>
        <w:t>cells/ml. 20 µl of Resazurin was added to each concentration which was in four replicates. A control well was prepared with media only for background subtraction and adjustment. The plates were then incubated at 30° C for 96 hrs. Fluorescence reading w</w:t>
      </w:r>
      <w:r w:rsidR="002C2939" w:rsidRPr="0071546E">
        <w:rPr>
          <w:rFonts w:ascii="Arial" w:eastAsia="Times New Roman" w:hAnsi="Arial" w:cs="Arial"/>
          <w:sz w:val="24"/>
          <w:szCs w:val="24"/>
          <w:lang w:eastAsia="en-GB"/>
        </w:rPr>
        <w:t>as</w:t>
      </w:r>
      <w:r w:rsidRPr="0071546E">
        <w:rPr>
          <w:rFonts w:ascii="Arial" w:eastAsia="Times New Roman" w:hAnsi="Arial" w:cs="Arial"/>
          <w:sz w:val="24"/>
          <w:szCs w:val="24"/>
          <w:lang w:eastAsia="en-GB"/>
        </w:rPr>
        <w:t xml:space="preserve"> taken using 560 nm excitation and 590 nm emission filters.</w:t>
      </w:r>
    </w:p>
    <w:p w:rsidR="00725033" w:rsidRPr="0071546E" w:rsidRDefault="00725033" w:rsidP="00CF13FE">
      <w:pPr>
        <w:pStyle w:val="Heading2"/>
        <w:ind w:left="1021" w:right="454"/>
      </w:pPr>
      <w:bookmarkStart w:id="64" w:name="_Toc14711436"/>
      <w:r w:rsidRPr="0071546E">
        <w:t>2.3.4 Adenosine triphosphate</w:t>
      </w:r>
      <w:bookmarkEnd w:id="64"/>
      <w:r w:rsidR="009B2AD9" w:rsidRPr="0071546E">
        <w:t xml:space="preserve"> viability assay (ATP)</w:t>
      </w:r>
    </w:p>
    <w:p w:rsidR="00725033" w:rsidRPr="0071546E" w:rsidRDefault="00725033" w:rsidP="00CF13FE">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sz w:val="24"/>
          <w:szCs w:val="24"/>
          <w:lang w:eastAsia="en-GB"/>
        </w:rPr>
        <w:t xml:space="preserve">Adenosine triphosphate is a molecule that is present in all living thing. It is produced or used in serval metabolic cycle like </w:t>
      </w:r>
      <w:r w:rsidR="002C2939" w:rsidRPr="0071546E">
        <w:rPr>
          <w:rFonts w:ascii="Arial" w:eastAsia="Times New Roman" w:hAnsi="Arial" w:cs="Arial"/>
          <w:sz w:val="24"/>
          <w:szCs w:val="24"/>
          <w:lang w:eastAsia="en-GB"/>
        </w:rPr>
        <w:t>the K</w:t>
      </w:r>
      <w:r w:rsidRPr="0071546E">
        <w:rPr>
          <w:rFonts w:ascii="Arial" w:eastAsia="Times New Roman" w:hAnsi="Arial" w:cs="Arial"/>
          <w:sz w:val="24"/>
          <w:szCs w:val="24"/>
          <w:lang w:eastAsia="en-GB"/>
        </w:rPr>
        <w:t xml:space="preserve">rebs cycle, oxidative phosphorylation and glycolysis. In these metabolic process, the levels of ATP </w:t>
      </w:r>
      <w:r w:rsidR="0030703E" w:rsidRPr="0071546E">
        <w:rPr>
          <w:rFonts w:ascii="Arial" w:eastAsia="Times New Roman" w:hAnsi="Arial" w:cs="Arial"/>
          <w:sz w:val="24"/>
          <w:szCs w:val="24"/>
          <w:lang w:eastAsia="en-GB"/>
        </w:rPr>
        <w:t>are</w:t>
      </w:r>
      <w:r w:rsidRPr="0071546E">
        <w:rPr>
          <w:rFonts w:ascii="Arial" w:eastAsia="Times New Roman" w:hAnsi="Arial" w:cs="Arial"/>
          <w:sz w:val="24"/>
          <w:szCs w:val="24"/>
          <w:lang w:eastAsia="en-GB"/>
        </w:rPr>
        <w:t xml:space="preserve"> tightly controlled. Because the level of ATP is tightly controlled, it can be used as an indicator of cell viability. ATP is involved in a reaction with D –luciferin and luciferase enzyme from </w:t>
      </w:r>
      <w:hyperlink r:id="rId68" w:tooltip="Photuris lucicrescens (page does not exist)" w:history="1">
        <w:r w:rsidRPr="0071546E">
          <w:rPr>
            <w:rFonts w:ascii="Arial" w:eastAsia="Times New Roman" w:hAnsi="Arial" w:cs="Arial"/>
            <w:i/>
            <w:iCs/>
            <w:color w:val="000000" w:themeColor="text1"/>
            <w:sz w:val="24"/>
            <w:szCs w:val="24"/>
            <w:lang w:eastAsia="en-GB"/>
          </w:rPr>
          <w:t>Photinus pyraliss</w:t>
        </w:r>
      </w:hyperlink>
      <w:r w:rsidRPr="0071546E">
        <w:rPr>
          <w:rFonts w:ascii="Arial" w:eastAsia="Times New Roman" w:hAnsi="Arial" w:cs="Arial"/>
          <w:color w:val="000000" w:themeColor="text1"/>
          <w:sz w:val="24"/>
          <w:szCs w:val="24"/>
          <w:lang w:eastAsia="en-GB"/>
        </w:rPr>
        <w:t xml:space="preserve"> to generate bioluminescence which can be detected by a luminometer at a specific wavelength. In this reaction, the amount of light produced is proportional to </w:t>
      </w:r>
      <w:r w:rsidR="008817CF" w:rsidRPr="0071546E">
        <w:rPr>
          <w:rFonts w:ascii="Arial" w:eastAsia="Times New Roman" w:hAnsi="Arial" w:cs="Arial"/>
          <w:color w:val="000000" w:themeColor="text1"/>
          <w:sz w:val="24"/>
          <w:szCs w:val="24"/>
          <w:lang w:eastAsia="en-GB"/>
        </w:rPr>
        <w:t>the</w:t>
      </w:r>
      <w:r w:rsidR="002C2939" w:rsidRPr="0071546E">
        <w:rPr>
          <w:rFonts w:ascii="Arial" w:eastAsia="Times New Roman" w:hAnsi="Arial" w:cs="Arial"/>
          <w:color w:val="000000" w:themeColor="text1"/>
          <w:sz w:val="24"/>
          <w:szCs w:val="24"/>
          <w:lang w:eastAsia="en-GB"/>
        </w:rPr>
        <w:t xml:space="preserve"> </w:t>
      </w:r>
      <w:r w:rsidRPr="0071546E">
        <w:rPr>
          <w:rFonts w:ascii="Arial" w:eastAsia="Times New Roman" w:hAnsi="Arial" w:cs="Arial"/>
          <w:color w:val="000000" w:themeColor="text1"/>
          <w:sz w:val="24"/>
          <w:szCs w:val="24"/>
          <w:lang w:eastAsia="en-GB"/>
        </w:rPr>
        <w:t xml:space="preserve">number of viable cells in a population. </w:t>
      </w:r>
      <w:r w:rsidR="007A4A46" w:rsidRPr="0071546E">
        <w:rPr>
          <w:rFonts w:ascii="Arial" w:eastAsia="Times New Roman" w:hAnsi="Arial" w:cs="Arial"/>
          <w:color w:val="000000" w:themeColor="text1"/>
          <w:sz w:val="24"/>
          <w:szCs w:val="24"/>
          <w:lang w:eastAsia="en-GB"/>
        </w:rPr>
        <w:t>However</w:t>
      </w:r>
      <w:r w:rsidRPr="0071546E">
        <w:rPr>
          <w:rFonts w:ascii="Arial" w:eastAsia="Times New Roman" w:hAnsi="Arial" w:cs="Arial"/>
          <w:color w:val="000000" w:themeColor="text1"/>
          <w:sz w:val="24"/>
          <w:szCs w:val="24"/>
          <w:lang w:eastAsia="en-GB"/>
        </w:rPr>
        <w:t>, because ATP is an intracellular molecule, cells must be lysed to release ATP before this reaction can be carried out. ATP is a very unstable molecule, it is rapidly hydrolysed at room temperature and slowly hydrolysed at 4</w:t>
      </w:r>
      <w:r w:rsidRPr="0071546E">
        <w:rPr>
          <w:rFonts w:ascii="Arial" w:eastAsia="Times New Roman" w:hAnsi="Arial" w:cs="Arial"/>
          <w:color w:val="000000" w:themeColor="text1"/>
          <w:sz w:val="24"/>
          <w:szCs w:val="24"/>
          <w:vertAlign w:val="superscript"/>
          <w:lang w:eastAsia="en-GB"/>
        </w:rPr>
        <w:t>o</w:t>
      </w:r>
      <w:r w:rsidRPr="0071546E">
        <w:rPr>
          <w:rFonts w:ascii="Arial" w:eastAsia="Times New Roman" w:hAnsi="Arial" w:cs="Arial"/>
          <w:color w:val="000000" w:themeColor="text1"/>
          <w:sz w:val="24"/>
          <w:szCs w:val="24"/>
          <w:lang w:eastAsia="en-GB"/>
        </w:rPr>
        <w:t xml:space="preserve">C (Wanders, van den Berg and Tager, 1984). The stability of ATP means that a controlled lysis method is required to lyse </w:t>
      </w:r>
      <w:r w:rsidR="00432D1D" w:rsidRPr="0071546E">
        <w:rPr>
          <w:rFonts w:ascii="Arial" w:eastAsia="Times New Roman" w:hAnsi="Arial" w:cs="Arial"/>
          <w:i/>
          <w:color w:val="000000" w:themeColor="text1"/>
          <w:sz w:val="24"/>
          <w:szCs w:val="24"/>
          <w:lang w:eastAsia="en-GB"/>
        </w:rPr>
        <w:t>Acanthamoeba</w:t>
      </w:r>
      <w:r w:rsidRPr="0071546E">
        <w:rPr>
          <w:rFonts w:ascii="Arial" w:eastAsia="Times New Roman" w:hAnsi="Arial" w:cs="Arial"/>
          <w:color w:val="000000" w:themeColor="text1"/>
          <w:sz w:val="24"/>
          <w:szCs w:val="24"/>
          <w:lang w:eastAsia="en-GB"/>
        </w:rPr>
        <w:t xml:space="preserve"> cells and release ATP intact. With this in mind</w:t>
      </w:r>
      <w:r w:rsidR="008817CF" w:rsidRPr="0071546E">
        <w:rPr>
          <w:rFonts w:ascii="Arial" w:eastAsia="Times New Roman" w:hAnsi="Arial" w:cs="Arial"/>
          <w:color w:val="000000" w:themeColor="text1"/>
          <w:sz w:val="24"/>
          <w:szCs w:val="24"/>
          <w:lang w:eastAsia="en-GB"/>
        </w:rPr>
        <w:t>,</w:t>
      </w:r>
      <w:r w:rsidRPr="0071546E">
        <w:rPr>
          <w:rFonts w:ascii="Arial" w:eastAsia="Times New Roman" w:hAnsi="Arial" w:cs="Arial"/>
          <w:color w:val="000000" w:themeColor="text1"/>
          <w:sz w:val="24"/>
          <w:szCs w:val="24"/>
          <w:lang w:eastAsia="en-GB"/>
        </w:rPr>
        <w:t xml:space="preserve"> </w:t>
      </w:r>
      <w:r w:rsidR="002C2939"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ability of different lysis methods w</w:t>
      </w:r>
      <w:r w:rsidR="008817CF" w:rsidRPr="0071546E">
        <w:rPr>
          <w:rFonts w:ascii="Arial" w:eastAsia="Times New Roman" w:hAnsi="Arial" w:cs="Arial"/>
          <w:color w:val="000000" w:themeColor="text1"/>
          <w:sz w:val="24"/>
          <w:szCs w:val="24"/>
          <w:lang w:eastAsia="en-GB"/>
        </w:rPr>
        <w:t>as</w:t>
      </w:r>
      <w:r w:rsidRPr="0071546E">
        <w:rPr>
          <w:rFonts w:ascii="Arial" w:eastAsia="Times New Roman" w:hAnsi="Arial" w:cs="Arial"/>
          <w:color w:val="000000" w:themeColor="text1"/>
          <w:sz w:val="24"/>
          <w:szCs w:val="24"/>
          <w:lang w:eastAsia="en-GB"/>
        </w:rPr>
        <w:t xml:space="preserve"> evaluated for optimal release of ATP in</w:t>
      </w:r>
      <w:r w:rsidRPr="0071546E">
        <w:rPr>
          <w:rFonts w:ascii="Arial" w:eastAsia="Times New Roman" w:hAnsi="Arial" w:cs="Arial"/>
          <w:i/>
          <w:color w:val="000000" w:themeColor="text1"/>
          <w:sz w:val="24"/>
          <w:szCs w:val="24"/>
          <w:lang w:eastAsia="en-GB"/>
        </w:rPr>
        <w:t xml:space="preserve"> </w:t>
      </w:r>
      <w:r w:rsidR="00432D1D" w:rsidRPr="0071546E">
        <w:rPr>
          <w:rFonts w:ascii="Arial" w:eastAsia="Times New Roman" w:hAnsi="Arial" w:cs="Arial"/>
          <w:i/>
          <w:color w:val="000000" w:themeColor="text1"/>
          <w:sz w:val="24"/>
          <w:szCs w:val="24"/>
          <w:lang w:eastAsia="en-GB"/>
        </w:rPr>
        <w:t>Acanthamoeba</w:t>
      </w:r>
      <w:r w:rsidRPr="0071546E">
        <w:rPr>
          <w:rFonts w:ascii="Arial" w:eastAsia="Times New Roman" w:hAnsi="Arial" w:cs="Arial"/>
          <w:color w:val="000000" w:themeColor="text1"/>
          <w:sz w:val="24"/>
          <w:szCs w:val="24"/>
          <w:lang w:eastAsia="en-GB"/>
        </w:rPr>
        <w:t xml:space="preserve"> cysts</w:t>
      </w:r>
      <w:r w:rsidR="008817CF" w:rsidRPr="0071546E">
        <w:rPr>
          <w:rFonts w:ascii="Arial" w:eastAsia="Times New Roman" w:hAnsi="Arial" w:cs="Arial"/>
          <w:color w:val="000000" w:themeColor="text1"/>
          <w:sz w:val="24"/>
          <w:szCs w:val="24"/>
          <w:lang w:eastAsia="en-GB"/>
        </w:rPr>
        <w:t xml:space="preserve"> as they are more resistant to lysis using conventional lysis buffers</w:t>
      </w:r>
      <w:r w:rsidRPr="0071546E">
        <w:rPr>
          <w:rFonts w:ascii="Arial" w:eastAsia="Times New Roman" w:hAnsi="Arial" w:cs="Arial"/>
          <w:color w:val="000000" w:themeColor="text1"/>
          <w:sz w:val="24"/>
          <w:szCs w:val="24"/>
          <w:lang w:eastAsia="en-GB"/>
        </w:rPr>
        <w:t xml:space="preserve">. </w:t>
      </w:r>
    </w:p>
    <w:p w:rsidR="008817CF" w:rsidRPr="0071546E" w:rsidRDefault="008817CF" w:rsidP="00CF13FE">
      <w:pPr>
        <w:spacing w:before="100" w:after="0" w:line="480" w:lineRule="auto"/>
        <w:ind w:left="1021" w:right="454"/>
        <w:jc w:val="both"/>
        <w:rPr>
          <w:rFonts w:ascii="Arial" w:eastAsia="Times New Roman" w:hAnsi="Arial" w:cs="Arial"/>
          <w:sz w:val="24"/>
          <w:szCs w:val="24"/>
          <w:lang w:eastAsia="en-GB"/>
        </w:rPr>
      </w:pPr>
    </w:p>
    <w:p w:rsidR="008817CF" w:rsidRPr="0071546E" w:rsidRDefault="008817CF" w:rsidP="00CF13FE">
      <w:pPr>
        <w:spacing w:before="100" w:after="0" w:line="480" w:lineRule="auto"/>
        <w:ind w:left="1021" w:right="454"/>
        <w:jc w:val="both"/>
        <w:rPr>
          <w:rFonts w:ascii="Arial" w:eastAsia="Times New Roman" w:hAnsi="Arial" w:cs="Arial"/>
          <w:sz w:val="24"/>
          <w:szCs w:val="24"/>
          <w:lang w:eastAsia="en-GB"/>
        </w:rPr>
      </w:pPr>
    </w:p>
    <w:p w:rsidR="00725033" w:rsidRPr="0071546E" w:rsidRDefault="00725033" w:rsidP="00CF13FE">
      <w:pPr>
        <w:pStyle w:val="Heading2"/>
        <w:ind w:left="1021" w:right="454"/>
      </w:pPr>
      <w:bookmarkStart w:id="65" w:name="_Toc14711437"/>
      <w:r w:rsidRPr="0071546E">
        <w:t xml:space="preserve">2.3.5 Lysis of </w:t>
      </w:r>
      <w:r w:rsidR="00432D1D" w:rsidRPr="0071546E">
        <w:rPr>
          <w:i/>
        </w:rPr>
        <w:t>Acanthamoeba</w:t>
      </w:r>
      <w:r w:rsidRPr="0071546E">
        <w:t xml:space="preserve"> cyst</w:t>
      </w:r>
      <w:bookmarkEnd w:id="65"/>
    </w:p>
    <w:p w:rsidR="00725033" w:rsidRPr="0071546E" w:rsidRDefault="00725033" w:rsidP="00CF13FE">
      <w:pPr>
        <w:pStyle w:val="Heading2"/>
        <w:ind w:left="1021" w:right="454"/>
      </w:pPr>
      <w:bookmarkStart w:id="66" w:name="_Toc14711438"/>
      <w:r w:rsidRPr="0071546E">
        <w:t xml:space="preserve">2.3.5.1 Sonication of </w:t>
      </w:r>
      <w:r w:rsidR="00432D1D" w:rsidRPr="0071546E">
        <w:rPr>
          <w:i/>
        </w:rPr>
        <w:t>Acanthamoeba</w:t>
      </w:r>
      <w:r w:rsidRPr="0071546E">
        <w:t xml:space="preserve"> cysts</w:t>
      </w:r>
      <w:bookmarkEnd w:id="66"/>
    </w:p>
    <w:p w:rsidR="00725033" w:rsidRPr="0071546E" w:rsidRDefault="00432D1D" w:rsidP="00CF13FE">
      <w:pPr>
        <w:spacing w:before="100" w:after="0" w:line="480" w:lineRule="auto"/>
        <w:ind w:left="1021" w:right="454" w:firstLine="57"/>
        <w:jc w:val="both"/>
        <w:rPr>
          <w:rFonts w:ascii="Arial" w:eastAsia="Times New Roman" w:hAnsi="Arial" w:cs="Arial"/>
          <w:sz w:val="24"/>
          <w:szCs w:val="24"/>
          <w:lang w:eastAsia="en-GB"/>
        </w:rPr>
      </w:pPr>
      <w:r w:rsidRPr="0071546E">
        <w:rPr>
          <w:rFonts w:ascii="Arial" w:eastAsia="Times New Roman" w:hAnsi="Arial" w:cs="Arial"/>
          <w:i/>
          <w:sz w:val="24"/>
          <w:szCs w:val="24"/>
          <w:lang w:eastAsia="en-GB"/>
        </w:rPr>
        <w:t>Acanthamoeba</w:t>
      </w:r>
      <w:r w:rsidR="00725033" w:rsidRPr="0071546E">
        <w:rPr>
          <w:rFonts w:ascii="Arial" w:eastAsia="Times New Roman" w:hAnsi="Arial" w:cs="Arial"/>
          <w:sz w:val="24"/>
          <w:szCs w:val="24"/>
          <w:lang w:eastAsia="en-GB"/>
        </w:rPr>
        <w:t xml:space="preserve"> cysts were mechanically lysed using Sonoprep150 sonicator (Tip diameter 9.5 mm). Cells were centrifuged (1000 g x 10 minutes) and re-suspended in fresh media.  Microfuge tubes submerged in an ice bucket was used during sonication. 500 </w:t>
      </w:r>
      <w:r w:rsidR="00725033" w:rsidRPr="0071546E">
        <w:rPr>
          <w:rFonts w:ascii="Arial" w:eastAsia="Times New Roman" w:hAnsi="Arial" w:cs="Arial"/>
          <w:sz w:val="24"/>
          <w:szCs w:val="24"/>
          <w:lang w:val="en-US" w:eastAsia="en-GB"/>
        </w:rPr>
        <w:t>µl of amoeba growth media containing 10</w:t>
      </w:r>
      <w:r w:rsidR="00725033" w:rsidRPr="0071546E">
        <w:rPr>
          <w:rFonts w:ascii="Arial" w:eastAsia="Times New Roman" w:hAnsi="Arial" w:cs="Arial"/>
          <w:sz w:val="24"/>
          <w:szCs w:val="24"/>
          <w:vertAlign w:val="superscript"/>
          <w:lang w:val="en-US" w:eastAsia="en-GB"/>
        </w:rPr>
        <w:t>6</w:t>
      </w:r>
      <w:r w:rsidR="00725033" w:rsidRPr="0071546E">
        <w:rPr>
          <w:rFonts w:ascii="Arial" w:eastAsia="Times New Roman" w:hAnsi="Arial" w:cs="Arial"/>
          <w:sz w:val="24"/>
          <w:szCs w:val="24"/>
          <w:lang w:val="en-US" w:eastAsia="en-GB"/>
        </w:rPr>
        <w:t xml:space="preserve"> more than 95% cysts cells were put in microfuge tubes and sonicated at an (amplitude of 22 mm, sonication interval of 15 secs for a duration of 2 minutes). To measure the amount of ATP released, 50</w:t>
      </w:r>
      <w:r w:rsidR="00725033" w:rsidRPr="0071546E">
        <w:rPr>
          <w:rFonts w:ascii="Arial" w:eastAsia="Times New Roman" w:hAnsi="Arial" w:cs="Arial"/>
          <w:sz w:val="24"/>
          <w:szCs w:val="24"/>
          <w:lang w:eastAsia="en-GB"/>
        </w:rPr>
        <w:t xml:space="preserve"> µl sonicated </w:t>
      </w:r>
      <w:r w:rsidRPr="0071546E">
        <w:rPr>
          <w:rFonts w:ascii="Arial" w:eastAsia="Times New Roman" w:hAnsi="Arial" w:cs="Arial"/>
          <w:i/>
          <w:sz w:val="24"/>
          <w:szCs w:val="24"/>
          <w:lang w:eastAsia="en-GB"/>
        </w:rPr>
        <w:t>Acanthamoeba</w:t>
      </w:r>
      <w:r w:rsidR="00725033" w:rsidRPr="0071546E">
        <w:rPr>
          <w:rFonts w:ascii="Arial" w:eastAsia="Times New Roman" w:hAnsi="Arial" w:cs="Arial"/>
          <w:sz w:val="24"/>
          <w:szCs w:val="24"/>
          <w:lang w:eastAsia="en-GB"/>
        </w:rPr>
        <w:t xml:space="preserve"> cyst cell was incubated with </w:t>
      </w:r>
      <w:r w:rsidR="00725033" w:rsidRPr="0071546E">
        <w:rPr>
          <w:rFonts w:ascii="Arial" w:eastAsia="Times New Roman" w:hAnsi="Arial" w:cs="Arial"/>
          <w:sz w:val="24"/>
          <w:szCs w:val="24"/>
          <w:lang w:val="en-US" w:eastAsia="en-GB"/>
        </w:rPr>
        <w:t>50</w:t>
      </w:r>
      <w:r w:rsidR="00725033" w:rsidRPr="0071546E">
        <w:rPr>
          <w:rFonts w:ascii="Arial" w:eastAsia="Times New Roman" w:hAnsi="Arial" w:cs="Arial"/>
          <w:sz w:val="24"/>
          <w:szCs w:val="24"/>
          <w:lang w:eastAsia="en-GB"/>
        </w:rPr>
        <w:t xml:space="preserve"> µl of firefly luciferase enzyme in an opaque 96 well plate and the bioluminescence was measured at 600 nm wavelength using Spectrophotometer Tristar LB941 Berthold</w:t>
      </w:r>
    </w:p>
    <w:p w:rsidR="00725033" w:rsidRPr="0071546E" w:rsidRDefault="00725033" w:rsidP="00321C24">
      <w:pPr>
        <w:spacing w:before="100" w:after="0" w:line="480" w:lineRule="auto"/>
        <w:ind w:left="1021" w:right="454"/>
        <w:jc w:val="both"/>
        <w:rPr>
          <w:rFonts w:ascii="Arial" w:eastAsia="Times New Roman" w:hAnsi="Arial" w:cs="Arial"/>
          <w:b/>
          <w:sz w:val="24"/>
          <w:szCs w:val="24"/>
          <w:lang w:eastAsia="en-GB"/>
        </w:rPr>
      </w:pPr>
      <w:r w:rsidRPr="0071546E">
        <w:rPr>
          <w:rFonts w:ascii="Arial" w:eastAsia="Times New Roman" w:hAnsi="Arial" w:cs="Arial"/>
          <w:b/>
          <w:sz w:val="24"/>
          <w:szCs w:val="24"/>
          <w:lang w:eastAsia="en-GB"/>
        </w:rPr>
        <w:t xml:space="preserve">2.3.5.2 Detergent lysis of </w:t>
      </w:r>
      <w:r w:rsidR="00432D1D" w:rsidRPr="0071546E">
        <w:rPr>
          <w:rFonts w:ascii="Arial" w:eastAsia="Times New Roman" w:hAnsi="Arial" w:cs="Arial"/>
          <w:b/>
          <w:i/>
          <w:sz w:val="24"/>
          <w:szCs w:val="24"/>
          <w:lang w:eastAsia="en-GB"/>
        </w:rPr>
        <w:t>Acanthamoeba</w:t>
      </w:r>
      <w:r w:rsidRPr="0071546E">
        <w:rPr>
          <w:rFonts w:ascii="Arial" w:eastAsia="Times New Roman" w:hAnsi="Arial" w:cs="Arial"/>
          <w:b/>
          <w:sz w:val="24"/>
          <w:szCs w:val="24"/>
          <w:lang w:eastAsia="en-GB"/>
        </w:rPr>
        <w:t xml:space="preserve"> cysts.</w:t>
      </w:r>
    </w:p>
    <w:p w:rsidR="008817CF" w:rsidRPr="0071546E" w:rsidRDefault="00725033" w:rsidP="008817CF">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Detergent lysis of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cyst cells was performed using an already made detergent lysis buffer purchased from Roche </w:t>
      </w:r>
      <w:r w:rsidR="002C2939" w:rsidRPr="0071546E">
        <w:rPr>
          <w:rFonts w:ascii="Arial" w:eastAsia="Times New Roman" w:hAnsi="Arial" w:cs="Arial"/>
          <w:sz w:val="24"/>
          <w:szCs w:val="24"/>
          <w:lang w:eastAsia="en-GB"/>
        </w:rPr>
        <w:t>P</w:t>
      </w:r>
      <w:r w:rsidRPr="0071546E">
        <w:rPr>
          <w:rFonts w:ascii="Arial" w:eastAsia="Times New Roman" w:hAnsi="Arial" w:cs="Arial"/>
          <w:sz w:val="24"/>
          <w:szCs w:val="24"/>
          <w:lang w:eastAsia="en-GB"/>
        </w:rPr>
        <w:t>harmaceuticals.</w:t>
      </w:r>
      <w:r w:rsidR="008817CF" w:rsidRPr="0071546E">
        <w:rPr>
          <w:rFonts w:ascii="Arial" w:eastAsia="Times New Roman" w:hAnsi="Arial" w:cs="Arial"/>
          <w:sz w:val="28"/>
          <w:szCs w:val="28"/>
          <w:lang w:eastAsia="en-GB"/>
        </w:rPr>
        <w:t xml:space="preserve"> </w:t>
      </w:r>
      <w:r w:rsidR="008817CF" w:rsidRPr="0071546E">
        <w:rPr>
          <w:rFonts w:ascii="Arial" w:eastAsia="Times New Roman" w:hAnsi="Arial" w:cs="Arial"/>
          <w:sz w:val="24"/>
          <w:szCs w:val="24"/>
          <w:lang w:eastAsia="en-GB"/>
        </w:rPr>
        <w:t>Detergent monomers solubilize membrane proteins by partitioning into the membrane bilayer</w:t>
      </w:r>
    </w:p>
    <w:p w:rsidR="008817CF" w:rsidRPr="0071546E" w:rsidRDefault="00725033" w:rsidP="008817CF">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To lyse the cyst cells, 500 </w:t>
      </w:r>
      <w:r w:rsidRPr="0071546E">
        <w:rPr>
          <w:rFonts w:ascii="Arial" w:eastAsia="Times New Roman" w:hAnsi="Arial" w:cs="Arial"/>
          <w:sz w:val="24"/>
          <w:szCs w:val="24"/>
          <w:lang w:val="en-US" w:eastAsia="en-GB"/>
        </w:rPr>
        <w:t>µl of 10</w:t>
      </w:r>
      <w:r w:rsidRPr="0071546E">
        <w:rPr>
          <w:rFonts w:ascii="Arial" w:eastAsia="Times New Roman" w:hAnsi="Arial" w:cs="Arial"/>
          <w:sz w:val="24"/>
          <w:szCs w:val="24"/>
          <w:vertAlign w:val="superscript"/>
          <w:lang w:val="en-US" w:eastAsia="en-GB"/>
        </w:rPr>
        <w:t>6</w:t>
      </w:r>
      <w:r w:rsidRPr="0071546E">
        <w:rPr>
          <w:rFonts w:ascii="Arial" w:eastAsia="Times New Roman" w:hAnsi="Arial" w:cs="Arial"/>
          <w:sz w:val="24"/>
          <w:szCs w:val="24"/>
          <w:lang w:val="en-US" w:eastAsia="en-GB"/>
        </w:rPr>
        <w:t xml:space="preserve">/ mL </w:t>
      </w:r>
      <w:r w:rsidR="00432D1D" w:rsidRPr="0071546E">
        <w:rPr>
          <w:rFonts w:ascii="Arial" w:eastAsia="Times New Roman" w:hAnsi="Arial" w:cs="Arial"/>
          <w:i/>
          <w:sz w:val="24"/>
          <w:szCs w:val="24"/>
          <w:lang w:val="en-US" w:eastAsia="en-GB"/>
        </w:rPr>
        <w:t>Acanthamoeba</w:t>
      </w:r>
      <w:r w:rsidRPr="0071546E">
        <w:rPr>
          <w:rFonts w:ascii="Arial" w:eastAsia="Times New Roman" w:hAnsi="Arial" w:cs="Arial"/>
          <w:sz w:val="24"/>
          <w:szCs w:val="24"/>
          <w:lang w:val="en-US" w:eastAsia="en-GB"/>
        </w:rPr>
        <w:t xml:space="preserve"> cells w</w:t>
      </w:r>
      <w:r w:rsidR="002C2939" w:rsidRPr="0071546E">
        <w:rPr>
          <w:rFonts w:ascii="Arial" w:eastAsia="Times New Roman" w:hAnsi="Arial" w:cs="Arial"/>
          <w:sz w:val="24"/>
          <w:szCs w:val="24"/>
          <w:lang w:val="en-US" w:eastAsia="en-GB"/>
        </w:rPr>
        <w:t>ere</w:t>
      </w:r>
      <w:r w:rsidRPr="0071546E">
        <w:rPr>
          <w:rFonts w:ascii="Arial" w:eastAsia="Times New Roman" w:hAnsi="Arial" w:cs="Arial"/>
          <w:sz w:val="24"/>
          <w:szCs w:val="24"/>
          <w:lang w:val="en-US" w:eastAsia="en-GB"/>
        </w:rPr>
        <w:t xml:space="preserve"> incubated with </w:t>
      </w:r>
      <w:r w:rsidRPr="0071546E">
        <w:rPr>
          <w:rFonts w:ascii="Arial" w:eastAsia="Times New Roman" w:hAnsi="Arial" w:cs="Arial"/>
          <w:sz w:val="24"/>
          <w:szCs w:val="24"/>
          <w:lang w:eastAsia="en-GB"/>
        </w:rPr>
        <w:t xml:space="preserve">500 </w:t>
      </w:r>
      <w:r w:rsidRPr="0071546E">
        <w:rPr>
          <w:rFonts w:ascii="Arial" w:eastAsia="Times New Roman" w:hAnsi="Arial" w:cs="Arial"/>
          <w:sz w:val="24"/>
          <w:szCs w:val="24"/>
          <w:lang w:val="en-US" w:eastAsia="en-GB"/>
        </w:rPr>
        <w:t>µl of lysis buffer for 30 minutes at 30</w:t>
      </w:r>
      <w:r w:rsidRPr="0071546E">
        <w:rPr>
          <w:rFonts w:ascii="Arial" w:eastAsia="Times New Roman" w:hAnsi="Arial" w:cs="Arial"/>
          <w:sz w:val="24"/>
          <w:szCs w:val="24"/>
          <w:vertAlign w:val="superscript"/>
          <w:lang w:val="en-US" w:eastAsia="en-GB"/>
        </w:rPr>
        <w:t>o</w:t>
      </w:r>
      <w:r w:rsidRPr="0071546E">
        <w:rPr>
          <w:rFonts w:ascii="Arial" w:eastAsia="Times New Roman" w:hAnsi="Arial" w:cs="Arial"/>
          <w:sz w:val="24"/>
          <w:szCs w:val="24"/>
          <w:lang w:val="en-US" w:eastAsia="en-GB"/>
        </w:rPr>
        <w:t>C. After incubation 50</w:t>
      </w:r>
      <w:r w:rsidRPr="0071546E">
        <w:rPr>
          <w:rFonts w:ascii="Arial" w:eastAsia="Times New Roman" w:hAnsi="Arial" w:cs="Arial"/>
          <w:sz w:val="24"/>
          <w:szCs w:val="24"/>
          <w:lang w:eastAsia="en-GB"/>
        </w:rPr>
        <w:t xml:space="preserve"> µl of the cells was then reacted with </w:t>
      </w:r>
      <w:r w:rsidRPr="0071546E">
        <w:rPr>
          <w:rFonts w:ascii="Arial" w:eastAsia="Times New Roman" w:hAnsi="Arial" w:cs="Arial"/>
          <w:sz w:val="24"/>
          <w:szCs w:val="24"/>
          <w:lang w:val="en-US" w:eastAsia="en-GB"/>
        </w:rPr>
        <w:t>50</w:t>
      </w:r>
      <w:r w:rsidRPr="0071546E">
        <w:rPr>
          <w:rFonts w:ascii="Arial" w:eastAsia="Times New Roman" w:hAnsi="Arial" w:cs="Arial"/>
          <w:sz w:val="24"/>
          <w:szCs w:val="24"/>
          <w:lang w:eastAsia="en-GB"/>
        </w:rPr>
        <w:t xml:space="preserve"> µl of firefly enzyme luciferase in an opaque 96 well plate and the bioluminescence was measure</w:t>
      </w:r>
      <w:r w:rsidR="008817CF" w:rsidRPr="0071546E">
        <w:rPr>
          <w:rFonts w:ascii="Arial" w:eastAsia="Times New Roman" w:hAnsi="Arial" w:cs="Arial"/>
          <w:sz w:val="24"/>
          <w:szCs w:val="24"/>
          <w:lang w:eastAsia="en-GB"/>
        </w:rPr>
        <w:t>d</w:t>
      </w:r>
      <w:r w:rsidRPr="0071546E">
        <w:rPr>
          <w:rFonts w:ascii="Arial" w:eastAsia="Times New Roman" w:hAnsi="Arial" w:cs="Arial"/>
          <w:sz w:val="24"/>
          <w:szCs w:val="24"/>
          <w:lang w:eastAsia="en-GB"/>
        </w:rPr>
        <w:t xml:space="preserve"> @ 600 nm wavelength</w:t>
      </w:r>
      <w:r w:rsidR="008817CF" w:rsidRPr="0071546E">
        <w:rPr>
          <w:rFonts w:ascii="Arial" w:eastAsia="Times New Roman" w:hAnsi="Arial" w:cs="Arial"/>
          <w:sz w:val="24"/>
          <w:szCs w:val="24"/>
          <w:lang w:eastAsia="en-GB"/>
        </w:rPr>
        <w:t xml:space="preserve"> using Mithras Multimode Microplate Reader LB 940 from BERTHOLD TECHNOLOGIES</w:t>
      </w:r>
    </w:p>
    <w:p w:rsidR="00B73414" w:rsidRPr="0071546E" w:rsidRDefault="00B73414" w:rsidP="00CF13FE">
      <w:pPr>
        <w:ind w:left="1021" w:right="454"/>
        <w:rPr>
          <w:rFonts w:ascii="Arial" w:eastAsia="Times New Roman" w:hAnsi="Arial" w:cs="Arial"/>
          <w:b/>
          <w:sz w:val="24"/>
          <w:szCs w:val="24"/>
          <w:lang w:eastAsia="en-GB"/>
        </w:rPr>
      </w:pPr>
    </w:p>
    <w:p w:rsidR="00725033" w:rsidRPr="0071546E" w:rsidRDefault="00725033" w:rsidP="00CF13FE">
      <w:pPr>
        <w:ind w:left="1021" w:right="454"/>
        <w:rPr>
          <w:rFonts w:ascii="Arial" w:eastAsia="Times New Roman" w:hAnsi="Arial" w:cs="Arial"/>
          <w:b/>
          <w:sz w:val="24"/>
          <w:szCs w:val="24"/>
          <w:lang w:eastAsia="en-GB"/>
        </w:rPr>
      </w:pPr>
      <w:r w:rsidRPr="0071546E">
        <w:rPr>
          <w:rFonts w:ascii="Arial" w:hAnsi="Arial" w:cs="Arial"/>
          <w:b/>
          <w:sz w:val="24"/>
          <w:szCs w:val="24"/>
        </w:rPr>
        <w:t xml:space="preserve">2.4.4 Enzymatic lysis of </w:t>
      </w:r>
      <w:r w:rsidR="00432D1D" w:rsidRPr="0071546E">
        <w:rPr>
          <w:rFonts w:ascii="Arial" w:hAnsi="Arial" w:cs="Arial"/>
          <w:b/>
          <w:i/>
          <w:sz w:val="24"/>
          <w:szCs w:val="24"/>
        </w:rPr>
        <w:t>Acanthamoeba</w:t>
      </w:r>
      <w:r w:rsidRPr="0071546E">
        <w:rPr>
          <w:rFonts w:ascii="Arial" w:hAnsi="Arial" w:cs="Arial"/>
          <w:b/>
          <w:sz w:val="24"/>
          <w:szCs w:val="24"/>
        </w:rPr>
        <w:t xml:space="preserve"> cyst</w:t>
      </w:r>
    </w:p>
    <w:p w:rsidR="008817CF" w:rsidRPr="0071546E" w:rsidRDefault="00725033" w:rsidP="008817CF">
      <w:pPr>
        <w:spacing w:before="100" w:after="0" w:line="480" w:lineRule="auto"/>
        <w:ind w:left="1021" w:right="454"/>
        <w:jc w:val="both"/>
        <w:rPr>
          <w:rFonts w:ascii="Arial" w:eastAsia="Times New Roman" w:hAnsi="Arial" w:cs="Arial"/>
          <w:sz w:val="24"/>
          <w:szCs w:val="24"/>
          <w:lang w:val="en-US" w:eastAsia="en-GB"/>
        </w:rPr>
      </w:pPr>
      <w:r w:rsidRPr="0071546E">
        <w:rPr>
          <w:rFonts w:ascii="Arial" w:eastAsia="Times New Roman" w:hAnsi="Arial" w:cs="Arial"/>
          <w:sz w:val="24"/>
          <w:szCs w:val="24"/>
          <w:lang w:eastAsia="en-GB"/>
        </w:rPr>
        <w:t xml:space="preserve">The lysis of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cysts enzymatically has not been reported. Selection of lysozyme </w:t>
      </w:r>
      <w:r w:rsidR="008817CF" w:rsidRPr="0071546E">
        <w:rPr>
          <w:rFonts w:ascii="Arial" w:eastAsia="Times New Roman" w:hAnsi="Arial" w:cs="Arial"/>
          <w:sz w:val="24"/>
          <w:szCs w:val="24"/>
          <w:lang w:eastAsia="en-GB"/>
        </w:rPr>
        <w:t>wa</w:t>
      </w:r>
      <w:r w:rsidRPr="0071546E">
        <w:rPr>
          <w:rFonts w:ascii="Arial" w:eastAsia="Times New Roman" w:hAnsi="Arial" w:cs="Arial"/>
          <w:sz w:val="24"/>
          <w:szCs w:val="24"/>
          <w:lang w:eastAsia="en-GB"/>
        </w:rPr>
        <w:t>s based on availability. 10 mM of hen’s egg white lysozyme was dissolved in distilled water and filter sterilised with 0.2 µm filter.</w:t>
      </w:r>
      <w:r w:rsidR="008817CF" w:rsidRPr="0071546E">
        <w:rPr>
          <w:rFonts w:ascii="Arial" w:eastAsia="Times New Roman" w:hAnsi="Arial" w:cs="Arial"/>
          <w:sz w:val="24"/>
          <w:szCs w:val="24"/>
          <w:lang w:eastAsia="en-GB"/>
        </w:rPr>
        <w:t xml:space="preserve"> Dissolved lysozyme</w:t>
      </w:r>
      <w:r w:rsidRPr="0071546E">
        <w:rPr>
          <w:rFonts w:ascii="Arial" w:eastAsia="Times New Roman" w:hAnsi="Arial" w:cs="Arial"/>
          <w:sz w:val="24"/>
          <w:szCs w:val="24"/>
          <w:lang w:eastAsia="en-GB"/>
        </w:rPr>
        <w:t xml:space="preserve">  500 </w:t>
      </w:r>
      <w:r w:rsidRPr="0071546E">
        <w:rPr>
          <w:rFonts w:ascii="Arial" w:eastAsia="Times New Roman" w:hAnsi="Arial" w:cs="Arial"/>
          <w:sz w:val="24"/>
          <w:szCs w:val="24"/>
          <w:lang w:val="en-US" w:eastAsia="en-GB"/>
        </w:rPr>
        <w:t xml:space="preserve">µl </w:t>
      </w:r>
      <w:r w:rsidR="008817CF" w:rsidRPr="0071546E">
        <w:rPr>
          <w:rFonts w:ascii="Arial" w:eastAsia="Times New Roman" w:hAnsi="Arial" w:cs="Arial"/>
          <w:sz w:val="24"/>
          <w:szCs w:val="24"/>
          <w:lang w:eastAsia="en-GB"/>
        </w:rPr>
        <w:t>was</w:t>
      </w:r>
      <w:r w:rsidRPr="0071546E">
        <w:rPr>
          <w:rFonts w:ascii="Arial" w:eastAsia="Times New Roman" w:hAnsi="Arial" w:cs="Arial"/>
          <w:sz w:val="24"/>
          <w:szCs w:val="24"/>
          <w:lang w:eastAsia="en-GB"/>
        </w:rPr>
        <w:t xml:space="preserve"> added to 500 </w:t>
      </w:r>
      <w:r w:rsidRPr="0071546E">
        <w:rPr>
          <w:rFonts w:ascii="Arial" w:eastAsia="Times New Roman" w:hAnsi="Arial" w:cs="Arial"/>
          <w:sz w:val="24"/>
          <w:szCs w:val="24"/>
          <w:lang w:val="en-US" w:eastAsia="en-GB"/>
        </w:rPr>
        <w:t>µl of 10</w:t>
      </w:r>
      <w:r w:rsidRPr="0071546E">
        <w:rPr>
          <w:rFonts w:ascii="Arial" w:eastAsia="Times New Roman" w:hAnsi="Arial" w:cs="Arial"/>
          <w:sz w:val="24"/>
          <w:szCs w:val="24"/>
          <w:vertAlign w:val="superscript"/>
          <w:lang w:val="en-US" w:eastAsia="en-GB"/>
        </w:rPr>
        <w:t>6</w:t>
      </w:r>
      <w:r w:rsidRPr="0071546E">
        <w:rPr>
          <w:rFonts w:ascii="Arial" w:eastAsia="Times New Roman" w:hAnsi="Arial" w:cs="Arial"/>
          <w:sz w:val="24"/>
          <w:szCs w:val="24"/>
          <w:lang w:val="en-US" w:eastAsia="en-GB"/>
        </w:rPr>
        <w:t xml:space="preserve"> cells/ ml of amoeba cysts, incubated at</w:t>
      </w:r>
      <w:r w:rsidR="008817CF" w:rsidRPr="0071546E">
        <w:t xml:space="preserve"> </w:t>
      </w:r>
      <w:r w:rsidR="008817CF" w:rsidRPr="0071546E">
        <w:rPr>
          <w:rFonts w:ascii="Arial" w:eastAsia="Times New Roman" w:hAnsi="Arial" w:cs="Arial"/>
          <w:sz w:val="24"/>
          <w:szCs w:val="24"/>
          <w:lang w:eastAsia="en-GB"/>
        </w:rPr>
        <w:t>4</w:t>
      </w:r>
      <w:r w:rsidR="008817CF" w:rsidRPr="0071546E">
        <w:rPr>
          <w:rFonts w:ascii="Arial" w:eastAsia="Times New Roman" w:hAnsi="Arial" w:cs="Arial"/>
          <w:b/>
          <w:bCs/>
          <w:sz w:val="24"/>
          <w:szCs w:val="24"/>
          <w:lang w:eastAsia="en-GB"/>
        </w:rPr>
        <w:t>°C</w:t>
      </w:r>
      <w:r w:rsidR="008817CF" w:rsidRPr="0071546E">
        <w:rPr>
          <w:rFonts w:ascii="Arial" w:eastAsia="Times New Roman" w:hAnsi="Arial" w:cs="Arial"/>
          <w:sz w:val="24"/>
          <w:szCs w:val="24"/>
          <w:lang w:val="en-US" w:eastAsia="en-GB"/>
        </w:rPr>
        <w:t xml:space="preserve"> </w:t>
      </w:r>
      <w:r w:rsidRPr="0071546E">
        <w:rPr>
          <w:rFonts w:ascii="Arial" w:eastAsia="Times New Roman" w:hAnsi="Arial" w:cs="Arial"/>
          <w:sz w:val="24"/>
          <w:szCs w:val="24"/>
          <w:lang w:val="en-US" w:eastAsia="en-GB"/>
        </w:rPr>
        <w:t xml:space="preserve">for 30 minutes. After incubation 50 µl of lysed amoeba cells was then </w:t>
      </w:r>
      <w:r w:rsidR="008817CF" w:rsidRPr="0071546E">
        <w:rPr>
          <w:rFonts w:ascii="Arial" w:eastAsia="Times New Roman" w:hAnsi="Arial" w:cs="Arial"/>
          <w:sz w:val="24"/>
          <w:szCs w:val="24"/>
          <w:lang w:val="en-US" w:eastAsia="en-GB"/>
        </w:rPr>
        <w:t>left to react</w:t>
      </w:r>
      <w:r w:rsidRPr="0071546E">
        <w:rPr>
          <w:rFonts w:ascii="Arial" w:eastAsia="Times New Roman" w:hAnsi="Arial" w:cs="Arial"/>
          <w:sz w:val="24"/>
          <w:szCs w:val="24"/>
          <w:lang w:val="en-US" w:eastAsia="en-GB"/>
        </w:rPr>
        <w:t xml:space="preserve"> with </w:t>
      </w:r>
      <w:r w:rsidRPr="0071546E">
        <w:rPr>
          <w:rFonts w:ascii="Arial" w:eastAsia="Times New Roman" w:hAnsi="Arial" w:cs="Arial"/>
          <w:sz w:val="24"/>
          <w:szCs w:val="24"/>
          <w:lang w:eastAsia="en-GB"/>
        </w:rPr>
        <w:t>5</w:t>
      </w:r>
      <w:r w:rsidRPr="0071546E">
        <w:rPr>
          <w:rFonts w:ascii="Arial" w:eastAsia="Times New Roman" w:hAnsi="Arial" w:cs="Arial"/>
          <w:sz w:val="24"/>
          <w:szCs w:val="24"/>
          <w:lang w:val="en-US" w:eastAsia="en-GB"/>
        </w:rPr>
        <w:t>0 µl of 1 µM luciferase enzyme at room temperature and bioluminescence was measured at 600 nm.</w:t>
      </w:r>
      <w:bookmarkStart w:id="67" w:name="_Toc14711439"/>
    </w:p>
    <w:p w:rsidR="00725033" w:rsidRPr="0071546E" w:rsidRDefault="00725033" w:rsidP="008817CF">
      <w:pPr>
        <w:spacing w:before="100" w:after="0" w:line="480" w:lineRule="auto"/>
        <w:ind w:left="1021" w:right="454"/>
        <w:jc w:val="both"/>
        <w:rPr>
          <w:rFonts w:ascii="Arial" w:eastAsia="Times New Roman" w:hAnsi="Arial" w:cs="Arial"/>
          <w:b/>
          <w:bCs/>
          <w:sz w:val="24"/>
          <w:szCs w:val="24"/>
          <w:lang w:val="en-US" w:eastAsia="en-GB"/>
        </w:rPr>
      </w:pPr>
      <w:r w:rsidRPr="0071546E">
        <w:t xml:space="preserve"> </w:t>
      </w:r>
      <w:r w:rsidR="007F6C70" w:rsidRPr="0071546E">
        <w:rPr>
          <w:rFonts w:ascii="Arial" w:hAnsi="Arial" w:cs="Arial"/>
          <w:b/>
          <w:bCs/>
          <w:sz w:val="24"/>
          <w:szCs w:val="24"/>
        </w:rPr>
        <w:t>L</w:t>
      </w:r>
      <w:r w:rsidRPr="0071546E">
        <w:rPr>
          <w:rFonts w:ascii="Arial" w:hAnsi="Arial" w:cs="Arial"/>
          <w:b/>
          <w:bCs/>
          <w:sz w:val="24"/>
          <w:szCs w:val="24"/>
        </w:rPr>
        <w:t xml:space="preserve">ysis of </w:t>
      </w:r>
      <w:r w:rsidR="00432D1D" w:rsidRPr="0071546E">
        <w:rPr>
          <w:rFonts w:ascii="Arial" w:hAnsi="Arial" w:cs="Arial"/>
          <w:b/>
          <w:bCs/>
          <w:i/>
          <w:sz w:val="24"/>
          <w:szCs w:val="24"/>
        </w:rPr>
        <w:t>Acanthamoeba</w:t>
      </w:r>
      <w:r w:rsidRPr="0071546E">
        <w:rPr>
          <w:rFonts w:ascii="Arial" w:hAnsi="Arial" w:cs="Arial"/>
          <w:b/>
          <w:bCs/>
          <w:sz w:val="24"/>
          <w:szCs w:val="24"/>
        </w:rPr>
        <w:t xml:space="preserve"> cysts with lysozyme.</w:t>
      </w:r>
      <w:bookmarkEnd w:id="67"/>
    </w:p>
    <w:p w:rsidR="00725033" w:rsidRPr="0071546E" w:rsidRDefault="002C2939" w:rsidP="00CF13FE">
      <w:pPr>
        <w:spacing w:before="100" w:after="0" w:line="480" w:lineRule="auto"/>
        <w:ind w:left="1021" w:right="454"/>
        <w:jc w:val="both"/>
        <w:rPr>
          <w:rFonts w:ascii="Arial" w:eastAsia="Times New Roman" w:hAnsi="Arial" w:cs="Arial"/>
          <w:bCs/>
          <w:sz w:val="24"/>
          <w:szCs w:val="24"/>
          <w:lang w:eastAsia="en-GB"/>
        </w:rPr>
      </w:pPr>
      <w:r w:rsidRPr="0071546E">
        <w:rPr>
          <w:rFonts w:ascii="Arial" w:eastAsia="Times New Roman" w:hAnsi="Arial" w:cs="Arial"/>
          <w:bCs/>
          <w:sz w:val="24"/>
          <w:szCs w:val="24"/>
          <w:lang w:eastAsia="en-GB"/>
        </w:rPr>
        <w:t>A f</w:t>
      </w:r>
      <w:r w:rsidR="00725033" w:rsidRPr="0071546E">
        <w:rPr>
          <w:rFonts w:ascii="Arial" w:eastAsia="Times New Roman" w:hAnsi="Arial" w:cs="Arial"/>
          <w:bCs/>
          <w:sz w:val="24"/>
          <w:szCs w:val="24"/>
          <w:lang w:eastAsia="en-GB"/>
        </w:rPr>
        <w:t xml:space="preserve">urther experiment was carried out to evaluate the time range for complete lysis of a population of </w:t>
      </w:r>
      <w:r w:rsidRPr="0071546E">
        <w:rPr>
          <w:rFonts w:ascii="Arial" w:eastAsia="Times New Roman" w:hAnsi="Arial" w:cs="Arial"/>
          <w:bCs/>
          <w:sz w:val="24"/>
          <w:szCs w:val="24"/>
          <w:lang w:eastAsia="en-GB"/>
        </w:rPr>
        <w:t xml:space="preserve">the </w:t>
      </w:r>
      <w:r w:rsidR="00725033" w:rsidRPr="0071546E">
        <w:rPr>
          <w:rFonts w:ascii="Arial" w:eastAsia="Times New Roman" w:hAnsi="Arial" w:cs="Arial"/>
          <w:bCs/>
          <w:sz w:val="24"/>
          <w:szCs w:val="24"/>
          <w:lang w:eastAsia="en-GB"/>
        </w:rPr>
        <w:t xml:space="preserve">cyst with lysozyme. </w:t>
      </w:r>
      <w:r w:rsidR="008817CF" w:rsidRPr="0071546E">
        <w:rPr>
          <w:rFonts w:ascii="Arial" w:eastAsia="Times New Roman" w:hAnsi="Arial" w:cs="Arial"/>
          <w:bCs/>
          <w:sz w:val="24"/>
          <w:szCs w:val="24"/>
          <w:lang w:eastAsia="en-GB"/>
        </w:rPr>
        <w:t xml:space="preserve">A total of </w:t>
      </w:r>
      <w:r w:rsidR="00725033" w:rsidRPr="0071546E">
        <w:rPr>
          <w:rFonts w:ascii="Arial" w:eastAsia="Times New Roman" w:hAnsi="Arial" w:cs="Arial"/>
          <w:bCs/>
          <w:sz w:val="24"/>
          <w:szCs w:val="24"/>
          <w:lang w:eastAsia="en-GB"/>
        </w:rPr>
        <w:t>10</w:t>
      </w:r>
      <w:r w:rsidR="00725033" w:rsidRPr="0071546E">
        <w:rPr>
          <w:rFonts w:ascii="Arial" w:eastAsia="Times New Roman" w:hAnsi="Arial" w:cs="Arial"/>
          <w:bCs/>
          <w:sz w:val="24"/>
          <w:szCs w:val="24"/>
          <w:vertAlign w:val="superscript"/>
          <w:lang w:eastAsia="en-GB"/>
        </w:rPr>
        <w:t>6</w:t>
      </w:r>
      <w:r w:rsidR="00725033" w:rsidRPr="0071546E">
        <w:rPr>
          <w:rFonts w:ascii="Arial" w:eastAsia="Times New Roman" w:hAnsi="Arial" w:cs="Arial"/>
          <w:bCs/>
          <w:sz w:val="24"/>
          <w:szCs w:val="24"/>
          <w:lang w:eastAsia="en-GB"/>
        </w:rPr>
        <w:t xml:space="preserve"> cells/ml amoeba cysts were incubated with 10 mM hen’s egg white lysozyme and percentage lysis was c</w:t>
      </w:r>
      <w:r w:rsidR="00551E0B" w:rsidRPr="0071546E">
        <w:rPr>
          <w:rFonts w:ascii="Arial" w:eastAsia="Times New Roman" w:hAnsi="Arial" w:cs="Arial"/>
          <w:bCs/>
          <w:sz w:val="24"/>
          <w:szCs w:val="24"/>
          <w:lang w:eastAsia="en-GB"/>
        </w:rPr>
        <w:t>alculated over at 5 – 40 mins</w:t>
      </w:r>
      <w:r w:rsidR="00725033" w:rsidRPr="0071546E">
        <w:rPr>
          <w:rFonts w:ascii="Arial" w:eastAsia="Times New Roman" w:hAnsi="Arial" w:cs="Arial"/>
          <w:bCs/>
          <w:sz w:val="24"/>
          <w:szCs w:val="24"/>
          <w:lang w:eastAsia="en-GB"/>
        </w:rPr>
        <w:t xml:space="preserve"> interval. Percentage lysis was determined by dye exclusion using trypan blue. The percentage lysis was determined by adding equal parts of 0.4% trypan blue dye to the cell suspension (50 µl trypan blue + 50 µl cell suspension) and mixed by pipetting up and down. The mixture </w:t>
      </w:r>
      <w:r w:rsidR="008817CF" w:rsidRPr="0071546E">
        <w:rPr>
          <w:rFonts w:ascii="Arial" w:eastAsia="Times New Roman" w:hAnsi="Arial" w:cs="Arial"/>
          <w:bCs/>
          <w:sz w:val="24"/>
          <w:szCs w:val="24"/>
          <w:lang w:eastAsia="en-GB"/>
        </w:rPr>
        <w:t>wa</w:t>
      </w:r>
      <w:r w:rsidR="00725033" w:rsidRPr="0071546E">
        <w:rPr>
          <w:rFonts w:ascii="Arial" w:eastAsia="Times New Roman" w:hAnsi="Arial" w:cs="Arial"/>
          <w:bCs/>
          <w:sz w:val="24"/>
          <w:szCs w:val="24"/>
          <w:lang w:eastAsia="en-GB"/>
        </w:rPr>
        <w:t>s incubated at room temperature for 3 minutes. Add 20 µl of the mixture of trypan blue and cell suspension to the haemocytometer</w:t>
      </w:r>
    </w:p>
    <w:p w:rsidR="00725033" w:rsidRPr="0071546E" w:rsidRDefault="00725033" w:rsidP="00CF13FE">
      <w:pPr>
        <w:spacing w:before="100" w:after="0" w:line="480" w:lineRule="auto"/>
        <w:ind w:left="1021" w:right="454"/>
        <w:jc w:val="both"/>
        <w:rPr>
          <w:rFonts w:ascii="Arial" w:eastAsia="Times New Roman" w:hAnsi="Arial" w:cs="Arial"/>
          <w:bCs/>
          <w:sz w:val="24"/>
          <w:szCs w:val="24"/>
          <w:lang w:eastAsia="en-GB"/>
        </w:rPr>
      </w:pPr>
      <w:r w:rsidRPr="0071546E">
        <w:rPr>
          <w:rFonts w:ascii="Arial" w:eastAsiaTheme="minorEastAsia" w:hAnsi="Arial" w:cs="Arial"/>
          <w:noProof/>
          <w:sz w:val="24"/>
          <w:szCs w:val="24"/>
          <w:lang w:eastAsia="en-GB"/>
        </w:rPr>
        <w:drawing>
          <wp:inline distT="0" distB="0" distL="0" distR="0" wp14:anchorId="7B6F80CE" wp14:editId="7FAD55F8">
            <wp:extent cx="4365523" cy="18180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73048" cy="1862783"/>
                    </a:xfrm>
                    <a:prstGeom prst="rect">
                      <a:avLst/>
                    </a:prstGeom>
                  </pic:spPr>
                </pic:pic>
              </a:graphicData>
            </a:graphic>
          </wp:inline>
        </w:drawing>
      </w:r>
    </w:p>
    <w:p w:rsidR="00725033" w:rsidRPr="0071546E" w:rsidRDefault="00725033" w:rsidP="00CF13FE">
      <w:pPr>
        <w:spacing w:before="100" w:after="0" w:line="240" w:lineRule="auto"/>
        <w:ind w:left="1021" w:right="454"/>
        <w:jc w:val="both"/>
        <w:rPr>
          <w:rFonts w:ascii="Arial" w:eastAsia="Times New Roman" w:hAnsi="Arial" w:cs="Arial"/>
          <w:bCs/>
          <w:sz w:val="24"/>
          <w:szCs w:val="24"/>
          <w:lang w:eastAsia="en-GB"/>
        </w:rPr>
      </w:pPr>
      <w:r w:rsidRPr="0071546E">
        <w:rPr>
          <w:rFonts w:ascii="Arial" w:eastAsia="Times New Roman" w:hAnsi="Arial" w:cs="Arial"/>
          <w:bCs/>
          <w:sz w:val="24"/>
          <w:szCs w:val="24"/>
          <w:lang w:eastAsia="en-GB"/>
        </w:rPr>
        <w:t xml:space="preserve">Fig 2.1 Haemocytometer showing detection area and sample injection area. The </w:t>
      </w:r>
      <w:r w:rsidR="00582A5E" w:rsidRPr="0071546E">
        <w:rPr>
          <w:rFonts w:ascii="Arial" w:eastAsia="Times New Roman" w:hAnsi="Arial" w:cs="Arial"/>
          <w:bCs/>
          <w:sz w:val="24"/>
          <w:szCs w:val="24"/>
          <w:lang w:eastAsia="en-GB"/>
        </w:rPr>
        <w:t xml:space="preserve">sampling area </w:t>
      </w:r>
      <w:r w:rsidRPr="0071546E">
        <w:rPr>
          <w:rFonts w:ascii="Arial" w:eastAsia="Times New Roman" w:hAnsi="Arial" w:cs="Arial"/>
          <w:bCs/>
          <w:sz w:val="24"/>
          <w:szCs w:val="24"/>
          <w:lang w:eastAsia="en-GB"/>
        </w:rPr>
        <w:t>take</w:t>
      </w:r>
      <w:r w:rsidR="00582A5E" w:rsidRPr="0071546E">
        <w:rPr>
          <w:rFonts w:ascii="Arial" w:eastAsia="Times New Roman" w:hAnsi="Arial" w:cs="Arial"/>
          <w:bCs/>
          <w:sz w:val="24"/>
          <w:szCs w:val="24"/>
          <w:lang w:eastAsia="en-GB"/>
        </w:rPr>
        <w:t>s</w:t>
      </w:r>
      <w:r w:rsidRPr="0071546E">
        <w:rPr>
          <w:rFonts w:ascii="Arial" w:eastAsia="Times New Roman" w:hAnsi="Arial" w:cs="Arial"/>
          <w:bCs/>
          <w:sz w:val="24"/>
          <w:szCs w:val="24"/>
          <w:lang w:eastAsia="en-GB"/>
        </w:rPr>
        <w:t xml:space="preserve"> no more than 20 µl of </w:t>
      </w:r>
      <w:r w:rsidR="002C2939" w:rsidRPr="0071546E">
        <w:rPr>
          <w:rFonts w:ascii="Arial" w:eastAsia="Times New Roman" w:hAnsi="Arial" w:cs="Arial"/>
          <w:bCs/>
          <w:sz w:val="24"/>
          <w:szCs w:val="24"/>
          <w:lang w:eastAsia="en-GB"/>
        </w:rPr>
        <w:t xml:space="preserve">the </w:t>
      </w:r>
      <w:r w:rsidRPr="0071546E">
        <w:rPr>
          <w:rFonts w:ascii="Arial" w:eastAsia="Times New Roman" w:hAnsi="Arial" w:cs="Arial"/>
          <w:bCs/>
          <w:sz w:val="24"/>
          <w:szCs w:val="24"/>
          <w:lang w:eastAsia="en-GB"/>
        </w:rPr>
        <w:t xml:space="preserve">sample. Counts </w:t>
      </w:r>
      <w:r w:rsidR="00582A5E" w:rsidRPr="0071546E">
        <w:rPr>
          <w:rFonts w:ascii="Arial" w:eastAsia="Times New Roman" w:hAnsi="Arial" w:cs="Arial"/>
          <w:bCs/>
          <w:sz w:val="24"/>
          <w:szCs w:val="24"/>
          <w:lang w:eastAsia="en-GB"/>
        </w:rPr>
        <w:t>are typically done</w:t>
      </w:r>
      <w:r w:rsidRPr="0071546E">
        <w:rPr>
          <w:rFonts w:ascii="Arial" w:eastAsia="Times New Roman" w:hAnsi="Arial" w:cs="Arial"/>
          <w:bCs/>
          <w:sz w:val="24"/>
          <w:szCs w:val="24"/>
          <w:lang w:eastAsia="en-GB"/>
        </w:rPr>
        <w:t xml:space="preserve"> in duplicates and averaged.</w:t>
      </w:r>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Lysed cells will take up the dye while intact cells will remain clear. As seen above, in the detection area each side of the haemocytometer contains multiple squares total cells were counted (clear and blue) in the large square. Percentage lysis was calculated by dividing the number of blue cells (lysed cells) by the total number of cells then multiply</w:t>
      </w:r>
      <w:r w:rsidR="001006BF" w:rsidRPr="0071546E">
        <w:rPr>
          <w:rFonts w:ascii="Arial" w:eastAsia="Times New Roman" w:hAnsi="Arial" w:cs="Arial"/>
          <w:sz w:val="24"/>
          <w:szCs w:val="24"/>
          <w:lang w:eastAsia="en-GB"/>
        </w:rPr>
        <w:t>ing</w:t>
      </w:r>
      <w:r w:rsidRPr="0071546E">
        <w:rPr>
          <w:rFonts w:ascii="Arial" w:eastAsia="Times New Roman" w:hAnsi="Arial" w:cs="Arial"/>
          <w:sz w:val="24"/>
          <w:szCs w:val="24"/>
          <w:lang w:eastAsia="en-GB"/>
        </w:rPr>
        <w:t xml:space="preserve"> by 100.</w:t>
      </w:r>
    </w:p>
    <w:p w:rsidR="00DE6411" w:rsidRPr="0071546E" w:rsidRDefault="00DE6411" w:rsidP="00CF13FE">
      <w:pPr>
        <w:spacing w:before="100" w:after="0" w:line="480" w:lineRule="auto"/>
        <w:ind w:left="1021" w:right="454"/>
        <w:jc w:val="both"/>
        <w:rPr>
          <w:rFonts w:ascii="Arial" w:eastAsia="Times New Roman" w:hAnsi="Arial" w:cs="Arial"/>
          <w:b/>
          <w:sz w:val="24"/>
          <w:szCs w:val="24"/>
          <w:lang w:eastAsia="en-GB"/>
        </w:rPr>
      </w:pPr>
    </w:p>
    <w:p w:rsidR="009C2D9B" w:rsidRPr="0071546E" w:rsidRDefault="009C2D9B" w:rsidP="008817CF">
      <w:pPr>
        <w:spacing w:before="100" w:after="0" w:line="480" w:lineRule="auto"/>
        <w:ind w:right="454"/>
        <w:jc w:val="both"/>
        <w:rPr>
          <w:rFonts w:ascii="Arial" w:eastAsia="Times New Roman" w:hAnsi="Arial" w:cs="Arial"/>
          <w:b/>
          <w:sz w:val="24"/>
          <w:szCs w:val="24"/>
          <w:lang w:eastAsia="en-GB"/>
        </w:rPr>
      </w:pPr>
    </w:p>
    <w:p w:rsidR="005F3F09" w:rsidRPr="0071546E" w:rsidRDefault="005F3F09" w:rsidP="008817CF">
      <w:pPr>
        <w:spacing w:before="100" w:after="0" w:line="480" w:lineRule="auto"/>
        <w:ind w:right="454"/>
        <w:jc w:val="both"/>
        <w:rPr>
          <w:rFonts w:ascii="Arial" w:eastAsia="Times New Roman" w:hAnsi="Arial" w:cs="Arial"/>
          <w:b/>
          <w:sz w:val="24"/>
          <w:szCs w:val="24"/>
          <w:lang w:eastAsia="en-GB"/>
        </w:rPr>
      </w:pPr>
    </w:p>
    <w:p w:rsidR="005F3F09" w:rsidRPr="0071546E" w:rsidRDefault="005F3F09" w:rsidP="008817CF">
      <w:pPr>
        <w:spacing w:before="100" w:after="0" w:line="480" w:lineRule="auto"/>
        <w:ind w:right="454"/>
        <w:jc w:val="both"/>
        <w:rPr>
          <w:rFonts w:ascii="Arial" w:eastAsia="Times New Roman" w:hAnsi="Arial" w:cs="Arial"/>
          <w:b/>
          <w:sz w:val="24"/>
          <w:szCs w:val="24"/>
          <w:lang w:eastAsia="en-GB"/>
        </w:rPr>
      </w:pPr>
    </w:p>
    <w:p w:rsidR="005F3F09" w:rsidRPr="0071546E" w:rsidRDefault="005F3F09" w:rsidP="008817CF">
      <w:pPr>
        <w:spacing w:before="100" w:after="0" w:line="480" w:lineRule="auto"/>
        <w:ind w:right="454"/>
        <w:jc w:val="both"/>
        <w:rPr>
          <w:rFonts w:ascii="Arial" w:eastAsia="Times New Roman" w:hAnsi="Arial" w:cs="Arial"/>
          <w:b/>
          <w:sz w:val="24"/>
          <w:szCs w:val="24"/>
          <w:lang w:eastAsia="en-GB"/>
        </w:rPr>
      </w:pPr>
    </w:p>
    <w:p w:rsidR="005F3F09" w:rsidRPr="0071546E" w:rsidRDefault="005F3F09" w:rsidP="008817CF">
      <w:pPr>
        <w:spacing w:before="100" w:after="0" w:line="480" w:lineRule="auto"/>
        <w:ind w:right="454"/>
        <w:jc w:val="both"/>
        <w:rPr>
          <w:rFonts w:ascii="Arial" w:eastAsia="Times New Roman" w:hAnsi="Arial" w:cs="Arial"/>
          <w:b/>
          <w:sz w:val="24"/>
          <w:szCs w:val="24"/>
          <w:lang w:eastAsia="en-GB"/>
        </w:rPr>
      </w:pPr>
    </w:p>
    <w:p w:rsidR="005F3F09" w:rsidRPr="0071546E" w:rsidRDefault="005F3F09" w:rsidP="008817CF">
      <w:pPr>
        <w:spacing w:before="100" w:after="0" w:line="480" w:lineRule="auto"/>
        <w:ind w:right="454"/>
        <w:jc w:val="both"/>
        <w:rPr>
          <w:rFonts w:ascii="Arial" w:eastAsia="Times New Roman" w:hAnsi="Arial" w:cs="Arial"/>
          <w:b/>
          <w:sz w:val="24"/>
          <w:szCs w:val="24"/>
          <w:lang w:eastAsia="en-GB"/>
        </w:rPr>
      </w:pPr>
    </w:p>
    <w:p w:rsidR="00DE6411" w:rsidRPr="0071546E" w:rsidRDefault="00DE6411" w:rsidP="00CF13FE">
      <w:pPr>
        <w:spacing w:before="100" w:after="0" w:line="480" w:lineRule="auto"/>
        <w:ind w:left="1021" w:right="454"/>
        <w:jc w:val="both"/>
        <w:rPr>
          <w:rFonts w:ascii="Arial" w:eastAsia="Times New Roman" w:hAnsi="Arial" w:cs="Arial"/>
          <w:b/>
          <w:sz w:val="24"/>
          <w:szCs w:val="24"/>
          <w:lang w:eastAsia="en-GB"/>
        </w:rPr>
      </w:pPr>
    </w:p>
    <w:p w:rsidR="007F6C70" w:rsidRPr="0071546E" w:rsidRDefault="007F6C70" w:rsidP="00CF13FE">
      <w:pPr>
        <w:spacing w:before="100" w:after="0" w:line="480" w:lineRule="auto"/>
        <w:ind w:left="1021" w:right="454"/>
        <w:jc w:val="both"/>
        <w:rPr>
          <w:rFonts w:ascii="Arial" w:eastAsia="Times New Roman" w:hAnsi="Arial" w:cs="Arial"/>
          <w:b/>
          <w:sz w:val="24"/>
          <w:szCs w:val="24"/>
          <w:lang w:eastAsia="en-GB"/>
        </w:rPr>
      </w:pPr>
      <w:r w:rsidRPr="0071546E">
        <w:rPr>
          <w:rFonts w:ascii="Arial" w:eastAsia="Times New Roman" w:hAnsi="Arial" w:cs="Arial"/>
          <w:b/>
          <w:sz w:val="24"/>
          <w:szCs w:val="24"/>
          <w:lang w:eastAsia="en-GB"/>
        </w:rPr>
        <w:t xml:space="preserve">2.5 </w:t>
      </w:r>
      <w:r w:rsidR="008817CF" w:rsidRPr="0071546E">
        <w:rPr>
          <w:rFonts w:ascii="Arial" w:eastAsia="Times New Roman" w:hAnsi="Arial" w:cs="Arial"/>
          <w:b/>
          <w:sz w:val="24"/>
          <w:szCs w:val="24"/>
          <w:lang w:eastAsia="en-GB"/>
        </w:rPr>
        <w:t xml:space="preserve">Ability of Hens egg white lysozyme to degrade </w:t>
      </w:r>
      <w:r w:rsidR="008817CF" w:rsidRPr="0071546E">
        <w:rPr>
          <w:rFonts w:ascii="Arial" w:eastAsia="Times New Roman" w:hAnsi="Arial" w:cs="Arial"/>
          <w:b/>
          <w:i/>
          <w:iCs/>
          <w:sz w:val="24"/>
          <w:szCs w:val="24"/>
          <w:lang w:eastAsia="en-GB"/>
        </w:rPr>
        <w:t>Acanthamoeba</w:t>
      </w:r>
      <w:r w:rsidR="008817CF" w:rsidRPr="0071546E">
        <w:rPr>
          <w:rFonts w:ascii="Arial" w:eastAsia="Times New Roman" w:hAnsi="Arial" w:cs="Arial"/>
          <w:b/>
          <w:sz w:val="24"/>
          <w:szCs w:val="24"/>
          <w:lang w:eastAsia="en-GB"/>
        </w:rPr>
        <w:t xml:space="preserve"> cysts cell wall determined by transmission electron microscopy</w:t>
      </w:r>
    </w:p>
    <w:p w:rsidR="00725033" w:rsidRPr="0071546E" w:rsidRDefault="00725033" w:rsidP="00CF13FE">
      <w:pPr>
        <w:spacing w:before="100" w:after="0" w:line="480" w:lineRule="auto"/>
        <w:ind w:left="1021" w:right="454"/>
        <w:jc w:val="both"/>
        <w:rPr>
          <w:rFonts w:ascii="Arial" w:eastAsia="Times New Roman" w:hAnsi="Arial" w:cs="Arial"/>
          <w:b/>
          <w:sz w:val="24"/>
          <w:szCs w:val="24"/>
          <w:lang w:eastAsia="en-GB"/>
        </w:rPr>
      </w:pPr>
      <w:r w:rsidRPr="0071546E">
        <w:rPr>
          <w:rFonts w:ascii="Arial" w:eastAsia="Times New Roman" w:hAnsi="Arial" w:cs="Arial"/>
          <w:b/>
          <w:sz w:val="24"/>
          <w:szCs w:val="24"/>
          <w:lang w:eastAsia="en-GB"/>
        </w:rPr>
        <w:t>Materials</w:t>
      </w:r>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Standard fixative – 2.55 Glutaraldehyde</w:t>
      </w:r>
      <w:r w:rsidR="00321C24"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1% buffered osmium tetroxide, phosphate buffer (pH 7.2), Deionised water, alcohol dehydration series, low viscosity resin, microfuge tubes, beam capsule, number label and sample notebook</w:t>
      </w:r>
    </w:p>
    <w:p w:rsidR="00725033" w:rsidRPr="0071546E" w:rsidRDefault="00725033" w:rsidP="00CF13FE">
      <w:pPr>
        <w:pStyle w:val="Heading2"/>
        <w:ind w:left="1021" w:right="454"/>
      </w:pPr>
      <w:bookmarkStart w:id="68" w:name="_Toc14711440"/>
      <w:r w:rsidRPr="0071546E">
        <w:t>2.5.1 Fixation procedure</w:t>
      </w:r>
      <w:bookmarkEnd w:id="68"/>
    </w:p>
    <w:p w:rsidR="009C2D9B" w:rsidRPr="0071546E" w:rsidRDefault="00725033" w:rsidP="005F3F09">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For TEM, 95% cyst cell sample was used. The cyst cells were washed by centrifugation at 1000g</w:t>
      </w:r>
      <w:r w:rsidR="008817CF" w:rsidRPr="0071546E">
        <w:rPr>
          <w:rFonts w:ascii="Arial" w:eastAsia="Times New Roman" w:hAnsi="Arial" w:cs="Arial"/>
          <w:sz w:val="24"/>
          <w:szCs w:val="24"/>
          <w:lang w:eastAsia="en-GB"/>
        </w:rPr>
        <w:t xml:space="preserve"> x </w:t>
      </w:r>
      <w:r w:rsidRPr="0071546E">
        <w:rPr>
          <w:rFonts w:ascii="Arial" w:eastAsia="Times New Roman" w:hAnsi="Arial" w:cs="Arial"/>
          <w:sz w:val="24"/>
          <w:szCs w:val="24"/>
          <w:lang w:eastAsia="en-GB"/>
        </w:rPr>
        <w:t xml:space="preserve">5 minutes and placed in microfuge tubes. The setup for the tubes was a control tube (C1) containing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cyst cells in PBS and 4 other samples </w:t>
      </w:r>
      <w:r w:rsidR="00476D08" w:rsidRPr="0071546E">
        <w:rPr>
          <w:rFonts w:ascii="Arial" w:eastAsia="Times New Roman" w:hAnsi="Arial" w:cs="Arial"/>
          <w:sz w:val="24"/>
          <w:szCs w:val="24"/>
          <w:lang w:eastAsia="en-GB"/>
        </w:rPr>
        <w:t>(labelled</w:t>
      </w:r>
      <w:r w:rsidRPr="0071546E">
        <w:rPr>
          <w:rFonts w:ascii="Arial" w:eastAsia="Times New Roman" w:hAnsi="Arial" w:cs="Arial"/>
          <w:sz w:val="24"/>
          <w:szCs w:val="24"/>
          <w:lang w:eastAsia="en-GB"/>
        </w:rPr>
        <w:t xml:space="preserve"> A-D) containing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cysts incubated with 10</w:t>
      </w:r>
      <w:r w:rsidR="001F7EA9" w:rsidRPr="0071546E">
        <w:rPr>
          <w:rFonts w:ascii="Arial" w:eastAsia="Times New Roman" w:hAnsi="Arial" w:cs="Arial"/>
          <w:sz w:val="24"/>
          <w:szCs w:val="24"/>
          <w:lang w:eastAsia="en-GB"/>
        </w:rPr>
        <w:t xml:space="preserve"> mM hen’s egg</w:t>
      </w:r>
      <w:r w:rsidR="00563D9A" w:rsidRPr="0071546E">
        <w:rPr>
          <w:rFonts w:ascii="Arial" w:eastAsia="Times New Roman" w:hAnsi="Arial" w:cs="Arial"/>
          <w:sz w:val="24"/>
          <w:szCs w:val="24"/>
          <w:lang w:eastAsia="en-GB"/>
        </w:rPr>
        <w:t>-</w:t>
      </w:r>
      <w:r w:rsidR="001F7EA9" w:rsidRPr="0071546E">
        <w:rPr>
          <w:rFonts w:ascii="Arial" w:eastAsia="Times New Roman" w:hAnsi="Arial" w:cs="Arial"/>
          <w:sz w:val="24"/>
          <w:szCs w:val="24"/>
          <w:lang w:eastAsia="en-GB"/>
        </w:rPr>
        <w:t>white lysozyme. 2</w:t>
      </w:r>
      <w:r w:rsidRPr="0071546E">
        <w:rPr>
          <w:rFonts w:ascii="Arial" w:eastAsia="Times New Roman" w:hAnsi="Arial" w:cs="Arial"/>
          <w:sz w:val="24"/>
          <w:szCs w:val="24"/>
          <w:lang w:eastAsia="en-GB"/>
        </w:rPr>
        <w:t xml:space="preserve">5% glutaraldehyde was added to the tubes and allowed at room temperature for 60 minutes. After </w:t>
      </w:r>
      <w:r w:rsidR="001F7EA9" w:rsidRPr="0071546E">
        <w:rPr>
          <w:rFonts w:ascii="Arial" w:eastAsia="Times New Roman" w:hAnsi="Arial" w:cs="Arial"/>
          <w:sz w:val="24"/>
          <w:szCs w:val="24"/>
          <w:lang w:eastAsia="en-GB"/>
        </w:rPr>
        <w:t>incubation,</w:t>
      </w:r>
      <w:r w:rsidRPr="0071546E">
        <w:rPr>
          <w:rFonts w:ascii="Arial" w:eastAsia="Times New Roman" w:hAnsi="Arial" w:cs="Arial"/>
          <w:sz w:val="24"/>
          <w:szCs w:val="24"/>
          <w:lang w:eastAsia="en-GB"/>
        </w:rPr>
        <w:t xml:space="preserve"> cells were washed with PBS by centrifuging at 500 g x 5 minutes incubated for 10 minutes. </w:t>
      </w:r>
      <w:r w:rsidR="002C2939" w:rsidRPr="0071546E">
        <w:rPr>
          <w:rFonts w:ascii="Arial" w:eastAsia="Times New Roman" w:hAnsi="Arial" w:cs="Arial"/>
          <w:sz w:val="24"/>
          <w:szCs w:val="24"/>
          <w:lang w:eastAsia="en-GB"/>
        </w:rPr>
        <w:t>S</w:t>
      </w:r>
      <w:r w:rsidRPr="0071546E">
        <w:rPr>
          <w:rFonts w:ascii="Arial" w:eastAsia="Times New Roman" w:hAnsi="Arial" w:cs="Arial"/>
          <w:sz w:val="24"/>
          <w:szCs w:val="24"/>
          <w:lang w:eastAsia="en-GB"/>
        </w:rPr>
        <w:t>econd centrifugation was done with similar parameters, then washed with PBS and stored at 4</w:t>
      </w:r>
      <w:r w:rsidRPr="0071546E">
        <w:rPr>
          <w:rFonts w:ascii="Arial" w:eastAsia="Times New Roman" w:hAnsi="Arial" w:cs="Arial"/>
          <w:sz w:val="24"/>
          <w:szCs w:val="24"/>
          <w:vertAlign w:val="superscript"/>
          <w:lang w:eastAsia="en-GB"/>
        </w:rPr>
        <w:t>o</w:t>
      </w:r>
      <w:r w:rsidRPr="0071546E">
        <w:rPr>
          <w:rFonts w:ascii="Arial" w:eastAsia="Times New Roman" w:hAnsi="Arial" w:cs="Arial"/>
          <w:sz w:val="24"/>
          <w:szCs w:val="24"/>
          <w:lang w:eastAsia="en-GB"/>
        </w:rPr>
        <w:t xml:space="preserve">C for 12 hours. After that 1% osmium tetroxide was added an incubated for 60 minutes and washed with distilled water twice at 5 </w:t>
      </w:r>
      <w:r w:rsidR="00476D08" w:rsidRPr="0071546E">
        <w:rPr>
          <w:rFonts w:ascii="Arial" w:eastAsia="Times New Roman" w:hAnsi="Arial" w:cs="Arial"/>
          <w:sz w:val="24"/>
          <w:szCs w:val="24"/>
          <w:lang w:eastAsia="en-GB"/>
        </w:rPr>
        <w:t>minutes’</w:t>
      </w:r>
      <w:r w:rsidRPr="0071546E">
        <w:rPr>
          <w:rFonts w:ascii="Arial" w:eastAsia="Times New Roman" w:hAnsi="Arial" w:cs="Arial"/>
          <w:sz w:val="24"/>
          <w:szCs w:val="24"/>
          <w:lang w:eastAsia="en-GB"/>
        </w:rPr>
        <w:t xml:space="preserve"> interval</w:t>
      </w:r>
      <w:r w:rsidR="005F3F09" w:rsidRPr="0071546E">
        <w:rPr>
          <w:rFonts w:ascii="Arial" w:eastAsia="Times New Roman" w:hAnsi="Arial" w:cs="Arial"/>
          <w:sz w:val="24"/>
          <w:szCs w:val="24"/>
          <w:lang w:eastAsia="en-GB"/>
        </w:rPr>
        <w:t>.</w:t>
      </w:r>
    </w:p>
    <w:p w:rsidR="005F3F09" w:rsidRPr="0071546E" w:rsidRDefault="005F3F09" w:rsidP="005F3F09">
      <w:pPr>
        <w:spacing w:before="100" w:after="0" w:line="480" w:lineRule="auto"/>
        <w:ind w:left="1021" w:right="454"/>
        <w:jc w:val="both"/>
        <w:rPr>
          <w:rFonts w:ascii="Arial" w:eastAsia="Times New Roman" w:hAnsi="Arial" w:cs="Arial"/>
          <w:sz w:val="24"/>
          <w:szCs w:val="24"/>
          <w:lang w:eastAsia="en-GB"/>
        </w:rPr>
      </w:pPr>
    </w:p>
    <w:p w:rsidR="005F3F09" w:rsidRPr="0071546E" w:rsidRDefault="005F3F09" w:rsidP="005F3F09">
      <w:pPr>
        <w:spacing w:before="100" w:after="0" w:line="480" w:lineRule="auto"/>
        <w:ind w:left="1021" w:right="454"/>
        <w:jc w:val="both"/>
        <w:rPr>
          <w:rFonts w:ascii="Arial" w:eastAsia="Times New Roman" w:hAnsi="Arial" w:cs="Arial"/>
          <w:sz w:val="24"/>
          <w:szCs w:val="24"/>
          <w:lang w:eastAsia="en-GB"/>
        </w:rPr>
      </w:pPr>
    </w:p>
    <w:p w:rsidR="005F3F09" w:rsidRPr="0071546E" w:rsidRDefault="005F3F09" w:rsidP="005F3F09">
      <w:pPr>
        <w:spacing w:before="100" w:after="0" w:line="480" w:lineRule="auto"/>
        <w:ind w:left="1021" w:right="454"/>
        <w:jc w:val="both"/>
        <w:rPr>
          <w:rFonts w:ascii="Arial" w:eastAsia="Times New Roman" w:hAnsi="Arial" w:cs="Arial"/>
          <w:sz w:val="24"/>
          <w:szCs w:val="24"/>
          <w:lang w:eastAsia="en-GB"/>
        </w:rPr>
      </w:pPr>
    </w:p>
    <w:p w:rsidR="00725033" w:rsidRPr="0071546E" w:rsidRDefault="00725033" w:rsidP="00CF13FE">
      <w:pPr>
        <w:pStyle w:val="Heading2"/>
        <w:ind w:left="1021" w:right="454"/>
      </w:pPr>
      <w:bookmarkStart w:id="69" w:name="_Toc14711441"/>
      <w:r w:rsidRPr="0071546E">
        <w:t>2.5.2 Dehydration</w:t>
      </w:r>
      <w:bookmarkEnd w:id="69"/>
    </w:p>
    <w:p w:rsidR="009C2D9B" w:rsidRPr="0071546E" w:rsidRDefault="00432D1D" w:rsidP="009C2D9B">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i/>
          <w:sz w:val="24"/>
          <w:szCs w:val="24"/>
          <w:lang w:eastAsia="en-GB"/>
        </w:rPr>
        <w:t>Acanthamoeba</w:t>
      </w:r>
      <w:r w:rsidR="00725033" w:rsidRPr="0071546E">
        <w:rPr>
          <w:rFonts w:ascii="Arial" w:eastAsia="Times New Roman" w:hAnsi="Arial" w:cs="Arial"/>
          <w:sz w:val="24"/>
          <w:szCs w:val="24"/>
          <w:lang w:eastAsia="en-GB"/>
        </w:rPr>
        <w:t xml:space="preserve"> cysts were dehydrated on a rotor at room temperature by washing with 0.5 ml of 50%, 70% 90% and 100% ethanol allowing 15</w:t>
      </w:r>
      <w:r w:rsidR="008817CF" w:rsidRPr="0071546E">
        <w:rPr>
          <w:rFonts w:ascii="Arial" w:eastAsia="Times New Roman" w:hAnsi="Arial" w:cs="Arial"/>
          <w:sz w:val="24"/>
          <w:szCs w:val="24"/>
          <w:lang w:eastAsia="en-GB"/>
        </w:rPr>
        <w:t xml:space="preserve"> minutes</w:t>
      </w:r>
      <w:r w:rsidR="00725033" w:rsidRPr="0071546E">
        <w:rPr>
          <w:rFonts w:ascii="Arial" w:eastAsia="Times New Roman" w:hAnsi="Arial" w:cs="Arial"/>
          <w:sz w:val="24"/>
          <w:szCs w:val="24"/>
          <w:lang w:eastAsia="en-GB"/>
        </w:rPr>
        <w:t xml:space="preserve"> interval </w:t>
      </w:r>
      <w:r w:rsidR="008817CF" w:rsidRPr="0071546E">
        <w:rPr>
          <w:rFonts w:ascii="Arial" w:eastAsia="Times New Roman" w:hAnsi="Arial" w:cs="Arial"/>
          <w:sz w:val="24"/>
          <w:szCs w:val="24"/>
          <w:lang w:eastAsia="en-GB"/>
        </w:rPr>
        <w:t xml:space="preserve">between </w:t>
      </w:r>
      <w:r w:rsidR="00725033" w:rsidRPr="0071546E">
        <w:rPr>
          <w:rFonts w:ascii="Arial" w:eastAsia="Times New Roman" w:hAnsi="Arial" w:cs="Arial"/>
          <w:sz w:val="24"/>
          <w:szCs w:val="24"/>
          <w:lang w:eastAsia="en-GB"/>
        </w:rPr>
        <w:t>each wash.</w:t>
      </w:r>
    </w:p>
    <w:p w:rsidR="00725033" w:rsidRPr="0071546E" w:rsidRDefault="00725033" w:rsidP="009C2D9B">
      <w:pPr>
        <w:spacing w:before="100" w:after="0" w:line="480" w:lineRule="auto"/>
        <w:ind w:left="1021" w:right="454"/>
        <w:jc w:val="both"/>
        <w:rPr>
          <w:rFonts w:ascii="Arial" w:eastAsia="Times New Roman" w:hAnsi="Arial" w:cs="Arial"/>
          <w:sz w:val="28"/>
          <w:szCs w:val="24"/>
          <w:lang w:eastAsia="en-GB"/>
        </w:rPr>
      </w:pPr>
      <w:r w:rsidRPr="0071546E">
        <w:rPr>
          <w:rFonts w:ascii="Arial" w:hAnsi="Arial" w:cs="Arial"/>
          <w:sz w:val="24"/>
        </w:rPr>
        <w:t>2.5.3 Resin Embedding</w:t>
      </w:r>
    </w:p>
    <w:p w:rsidR="00725033" w:rsidRPr="0071546E" w:rsidRDefault="00725033" w:rsidP="008817CF">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First, 1ml 1:1 ratio of low viscosity resin with absolute alcohol mix was added to the sample and incubated at room temperature for 30mins. Then 1 ml 75:25 low viscosity resin: absolute ethanol mix was added stored at room temperature for 30 minutes. Then 1 ml 100% low viscosity resin: absolute alcohol mix was added and stored at 4</w:t>
      </w:r>
      <w:r w:rsidRPr="0071546E">
        <w:rPr>
          <w:rFonts w:ascii="Arial" w:eastAsia="Times New Roman" w:hAnsi="Arial" w:cs="Arial"/>
          <w:sz w:val="24"/>
          <w:szCs w:val="24"/>
          <w:vertAlign w:val="superscript"/>
          <w:lang w:eastAsia="en-GB"/>
        </w:rPr>
        <w:t>o</w:t>
      </w:r>
      <w:r w:rsidRPr="0071546E">
        <w:rPr>
          <w:rFonts w:ascii="Arial" w:eastAsia="Times New Roman" w:hAnsi="Arial" w:cs="Arial"/>
          <w:sz w:val="24"/>
          <w:szCs w:val="24"/>
          <w:lang w:eastAsia="en-GB"/>
        </w:rPr>
        <w:t xml:space="preserve">C for 24 hours.  After 24 hours, </w:t>
      </w:r>
      <w:r w:rsidR="002C2939"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sample was transferred into a silicon mould with a tiny paper label inserted to identify the sample. Sample mix mould was polymerised at 60</w:t>
      </w:r>
      <w:r w:rsidRPr="0071546E">
        <w:rPr>
          <w:rFonts w:ascii="Arial" w:eastAsia="Times New Roman" w:hAnsi="Arial" w:cs="Arial"/>
          <w:sz w:val="24"/>
          <w:szCs w:val="24"/>
          <w:vertAlign w:val="superscript"/>
          <w:lang w:eastAsia="en-GB"/>
        </w:rPr>
        <w:t>o</w:t>
      </w:r>
      <w:r w:rsidRPr="0071546E">
        <w:rPr>
          <w:rFonts w:ascii="Arial" w:eastAsia="Times New Roman" w:hAnsi="Arial" w:cs="Arial"/>
          <w:sz w:val="24"/>
          <w:szCs w:val="24"/>
          <w:lang w:eastAsia="en-GB"/>
        </w:rPr>
        <w:t>C in a dry oven in a fume hood for 24 hr. For TEM examination, thin sections (70- 80 nm) were cut</w:t>
      </w:r>
      <w:r w:rsidR="008817CF" w:rsidRPr="0071546E">
        <w:rPr>
          <w:rFonts w:ascii="Arial" w:hAnsi="Arial" w:cs="Arial"/>
          <w:sz w:val="24"/>
          <w:szCs w:val="24"/>
        </w:rPr>
        <w:t xml:space="preserve"> </w:t>
      </w:r>
      <w:r w:rsidR="008817CF" w:rsidRPr="0071546E">
        <w:rPr>
          <w:rFonts w:ascii="Arial" w:eastAsia="Times New Roman" w:hAnsi="Arial" w:cs="Arial"/>
          <w:sz w:val="24"/>
          <w:szCs w:val="24"/>
          <w:lang w:eastAsia="en-GB"/>
        </w:rPr>
        <w:t xml:space="preserve">using glass knives. Glass knives are sharp-edged glass prisms manufactured from special glass strips free of reams </w:t>
      </w:r>
      <w:r w:rsidRPr="0071546E">
        <w:rPr>
          <w:rFonts w:ascii="Arial" w:eastAsia="Times New Roman" w:hAnsi="Arial" w:cs="Arial"/>
          <w:sz w:val="24"/>
          <w:szCs w:val="24"/>
          <w:lang w:eastAsia="en-GB"/>
        </w:rPr>
        <w:t xml:space="preserve">and mounted onto 300 mesh copper grids. </w:t>
      </w:r>
      <w:r w:rsidR="002C2939" w:rsidRPr="0071546E">
        <w:rPr>
          <w:rFonts w:ascii="Arial" w:eastAsia="Times New Roman" w:hAnsi="Arial" w:cs="Arial"/>
          <w:sz w:val="24"/>
          <w:szCs w:val="24"/>
          <w:lang w:eastAsia="en-GB"/>
        </w:rPr>
        <w:t>The s</w:t>
      </w:r>
      <w:r w:rsidRPr="0071546E">
        <w:rPr>
          <w:rFonts w:ascii="Arial" w:eastAsia="Times New Roman" w:hAnsi="Arial" w:cs="Arial"/>
          <w:sz w:val="24"/>
          <w:szCs w:val="24"/>
          <w:lang w:eastAsia="en-GB"/>
        </w:rPr>
        <w:t>ection w</w:t>
      </w:r>
      <w:r w:rsidR="002C2939" w:rsidRPr="0071546E">
        <w:rPr>
          <w:rFonts w:ascii="Arial" w:eastAsia="Times New Roman" w:hAnsi="Arial" w:cs="Arial"/>
          <w:sz w:val="24"/>
          <w:szCs w:val="24"/>
          <w:lang w:eastAsia="en-GB"/>
        </w:rPr>
        <w:t>as</w:t>
      </w:r>
      <w:r w:rsidRPr="0071546E">
        <w:rPr>
          <w:rFonts w:ascii="Arial" w:eastAsia="Times New Roman" w:hAnsi="Arial" w:cs="Arial"/>
          <w:sz w:val="24"/>
          <w:szCs w:val="24"/>
          <w:lang w:eastAsia="en-GB"/>
        </w:rPr>
        <w:t xml:space="preserve"> stained using alcoholic uranyl acetate and alkaline lead citrate before a gentle wash. </w:t>
      </w:r>
      <w:r w:rsidR="002C2939" w:rsidRPr="0071546E">
        <w:rPr>
          <w:rFonts w:ascii="Arial" w:eastAsia="Times New Roman" w:hAnsi="Arial" w:cs="Arial"/>
          <w:sz w:val="24"/>
          <w:szCs w:val="24"/>
          <w:lang w:eastAsia="en-GB"/>
        </w:rPr>
        <w:t>The s</w:t>
      </w:r>
      <w:r w:rsidRPr="0071546E">
        <w:rPr>
          <w:rFonts w:ascii="Arial" w:eastAsia="Times New Roman" w:hAnsi="Arial" w:cs="Arial"/>
          <w:sz w:val="24"/>
          <w:szCs w:val="24"/>
          <w:lang w:eastAsia="en-GB"/>
        </w:rPr>
        <w:t xml:space="preserve">ample was then observed using </w:t>
      </w:r>
      <w:r w:rsidR="002C2939" w:rsidRPr="0071546E">
        <w:rPr>
          <w:rFonts w:ascii="Arial" w:eastAsia="Times New Roman" w:hAnsi="Arial" w:cs="Arial"/>
          <w:sz w:val="24"/>
          <w:szCs w:val="24"/>
          <w:lang w:eastAsia="en-GB"/>
        </w:rPr>
        <w:t xml:space="preserve">a </w:t>
      </w:r>
      <w:r w:rsidRPr="0071546E">
        <w:rPr>
          <w:rFonts w:ascii="Arial" w:eastAsia="Times New Roman" w:hAnsi="Arial" w:cs="Arial"/>
          <w:sz w:val="24"/>
          <w:szCs w:val="24"/>
          <w:lang w:eastAsia="en-GB"/>
        </w:rPr>
        <w:t>Morgagni 268D transmission electron microscope at an operating voltage of 80kV. Images were retrieved with a CCD camera connected to the microscope.</w:t>
      </w:r>
    </w:p>
    <w:p w:rsidR="009C2D9B" w:rsidRPr="0071546E" w:rsidRDefault="009C2D9B" w:rsidP="00CF13FE">
      <w:pPr>
        <w:spacing w:before="100" w:after="0" w:line="480" w:lineRule="auto"/>
        <w:ind w:left="1021" w:right="454"/>
        <w:jc w:val="both"/>
        <w:rPr>
          <w:rFonts w:ascii="Arial" w:eastAsia="Times New Roman" w:hAnsi="Arial" w:cs="Arial"/>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sz w:val="24"/>
          <w:szCs w:val="24"/>
          <w:lang w:eastAsia="en-GB"/>
        </w:rPr>
      </w:pPr>
    </w:p>
    <w:p w:rsidR="009C2D9B" w:rsidRPr="0071546E" w:rsidRDefault="009C2D9B" w:rsidP="008817CF">
      <w:pPr>
        <w:spacing w:before="100" w:after="0" w:line="480" w:lineRule="auto"/>
        <w:ind w:right="454"/>
        <w:jc w:val="both"/>
        <w:rPr>
          <w:rFonts w:ascii="Arial" w:eastAsia="Times New Roman" w:hAnsi="Arial" w:cs="Arial"/>
          <w:sz w:val="24"/>
          <w:szCs w:val="24"/>
          <w:lang w:eastAsia="en-GB"/>
        </w:rPr>
      </w:pPr>
    </w:p>
    <w:p w:rsidR="00725033" w:rsidRPr="0071546E" w:rsidRDefault="00725033" w:rsidP="00CF13FE">
      <w:pPr>
        <w:pStyle w:val="Heading2"/>
        <w:ind w:left="1021" w:right="454"/>
      </w:pPr>
      <w:bookmarkStart w:id="70" w:name="_Toc14711442"/>
      <w:r w:rsidRPr="0071546E">
        <w:t xml:space="preserve">2.6 </w:t>
      </w:r>
      <w:r w:rsidR="00AE3408" w:rsidRPr="0071546E">
        <w:t>O</w:t>
      </w:r>
      <w:r w:rsidRPr="0071546E">
        <w:t>ptimisation of ATP assay</w:t>
      </w:r>
      <w:bookmarkEnd w:id="70"/>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Further experiments </w:t>
      </w:r>
      <w:r w:rsidR="008817CF" w:rsidRPr="0071546E">
        <w:rPr>
          <w:rFonts w:ascii="Arial" w:eastAsia="Times New Roman" w:hAnsi="Arial" w:cs="Arial"/>
          <w:sz w:val="24"/>
          <w:szCs w:val="24"/>
          <w:lang w:eastAsia="en-GB"/>
        </w:rPr>
        <w:t>were</w:t>
      </w:r>
      <w:r w:rsidRPr="0071546E">
        <w:rPr>
          <w:rFonts w:ascii="Arial" w:eastAsia="Times New Roman" w:hAnsi="Arial" w:cs="Arial"/>
          <w:sz w:val="24"/>
          <w:szCs w:val="24"/>
          <w:lang w:eastAsia="en-GB"/>
        </w:rPr>
        <w:t xml:space="preserve"> carried out to further optimise the ATP assay. There were several method development assay</w:t>
      </w:r>
      <w:r w:rsidR="002C2939" w:rsidRPr="0071546E">
        <w:rPr>
          <w:rFonts w:ascii="Arial" w:eastAsia="Times New Roman" w:hAnsi="Arial" w:cs="Arial"/>
          <w:sz w:val="24"/>
          <w:szCs w:val="24"/>
          <w:lang w:eastAsia="en-GB"/>
        </w:rPr>
        <w:t>s</w:t>
      </w:r>
      <w:r w:rsidRPr="0071546E">
        <w:rPr>
          <w:rFonts w:ascii="Arial" w:eastAsia="Times New Roman" w:hAnsi="Arial" w:cs="Arial"/>
          <w:sz w:val="24"/>
          <w:szCs w:val="24"/>
          <w:lang w:eastAsia="en-GB"/>
        </w:rPr>
        <w:t xml:space="preserve"> that must be evaluated before ATP assay can be validated for use in this research. Such consideration w</w:t>
      </w:r>
      <w:r w:rsidR="002C2939" w:rsidRPr="0071546E">
        <w:rPr>
          <w:rFonts w:ascii="Arial" w:eastAsia="Times New Roman" w:hAnsi="Arial" w:cs="Arial"/>
          <w:sz w:val="24"/>
          <w:szCs w:val="24"/>
          <w:lang w:eastAsia="en-GB"/>
        </w:rPr>
        <w:t>as</w:t>
      </w:r>
    </w:p>
    <w:p w:rsidR="008817CF" w:rsidRPr="0071546E" w:rsidRDefault="00725033" w:rsidP="008817CF">
      <w:pPr>
        <w:pStyle w:val="ListParagraph"/>
        <w:numPr>
          <w:ilvl w:val="0"/>
          <w:numId w:val="11"/>
        </w:numPr>
        <w:spacing w:before="100" w:after="0" w:line="480" w:lineRule="auto"/>
        <w:ind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Stability; the overall stability of ATP in solution needed to be analysed should there be </w:t>
      </w:r>
      <w:r w:rsidR="002C2939" w:rsidRPr="0071546E">
        <w:rPr>
          <w:rFonts w:ascii="Arial" w:eastAsia="Times New Roman" w:hAnsi="Arial" w:cs="Arial"/>
          <w:sz w:val="24"/>
          <w:szCs w:val="24"/>
          <w:lang w:eastAsia="en-GB"/>
        </w:rPr>
        <w:t xml:space="preserve">a </w:t>
      </w:r>
      <w:r w:rsidRPr="0071546E">
        <w:rPr>
          <w:rFonts w:ascii="Arial" w:eastAsia="Times New Roman" w:hAnsi="Arial" w:cs="Arial"/>
          <w:sz w:val="24"/>
          <w:szCs w:val="24"/>
          <w:lang w:eastAsia="en-GB"/>
        </w:rPr>
        <w:t>need to store and reuse a previously made sample.</w:t>
      </w:r>
    </w:p>
    <w:p w:rsidR="008817CF" w:rsidRPr="0071546E" w:rsidRDefault="00725033" w:rsidP="008817CF">
      <w:pPr>
        <w:pStyle w:val="ListParagraph"/>
        <w:numPr>
          <w:ilvl w:val="0"/>
          <w:numId w:val="11"/>
        </w:numPr>
        <w:spacing w:before="100" w:after="0" w:line="480" w:lineRule="auto"/>
        <w:ind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Sensitivity / dynamic rage: What levels of ATP are in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cells? Are the levels same for cysts and trophozoites? Are the levels within the dynamic range</w:t>
      </w:r>
      <w:r w:rsidR="008817CF" w:rsidRPr="0071546E">
        <w:rPr>
          <w:rFonts w:ascii="Arial" w:eastAsia="Times New Roman" w:hAnsi="Arial" w:cs="Arial"/>
          <w:sz w:val="24"/>
          <w:szCs w:val="24"/>
          <w:lang w:eastAsia="en-GB"/>
        </w:rPr>
        <w:t>;</w:t>
      </w:r>
      <w:r w:rsidR="008817CF" w:rsidRPr="0071546E">
        <w:rPr>
          <w:rFonts w:ascii="Arial" w:hAnsi="Arial" w:cs="Arial"/>
          <w:sz w:val="24"/>
          <w:szCs w:val="24"/>
        </w:rPr>
        <w:t xml:space="preserve"> </w:t>
      </w:r>
      <w:r w:rsidR="008817CF" w:rsidRPr="0071546E">
        <w:rPr>
          <w:rFonts w:ascii="Arial" w:eastAsia="Times New Roman" w:hAnsi="Arial" w:cs="Arial"/>
          <w:sz w:val="24"/>
          <w:szCs w:val="24"/>
          <w:lang w:eastAsia="en-GB"/>
        </w:rPr>
        <w:t>The dynamic range is a ratio between the largest and smallest values that a certain quantity can take. It is usually used in perspectives like light and sound signals</w:t>
      </w:r>
    </w:p>
    <w:p w:rsidR="008817CF" w:rsidRPr="0071546E" w:rsidRDefault="00725033" w:rsidP="008817CF">
      <w:pPr>
        <w:pStyle w:val="ListParagraph"/>
        <w:numPr>
          <w:ilvl w:val="0"/>
          <w:numId w:val="11"/>
        </w:numPr>
        <w:spacing w:before="100" w:after="0" w:line="480" w:lineRule="auto"/>
        <w:ind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Interference: What are the solvents that can possibl</w:t>
      </w:r>
      <w:r w:rsidR="002C2939" w:rsidRPr="0071546E">
        <w:rPr>
          <w:rFonts w:ascii="Arial" w:eastAsia="Times New Roman" w:hAnsi="Arial" w:cs="Arial"/>
          <w:sz w:val="24"/>
          <w:szCs w:val="24"/>
          <w:lang w:eastAsia="en-GB"/>
        </w:rPr>
        <w:t>y</w:t>
      </w:r>
      <w:r w:rsidRPr="0071546E">
        <w:rPr>
          <w:rFonts w:ascii="Arial" w:eastAsia="Times New Roman" w:hAnsi="Arial" w:cs="Arial"/>
          <w:sz w:val="24"/>
          <w:szCs w:val="24"/>
          <w:lang w:eastAsia="en-GB"/>
        </w:rPr>
        <w:t xml:space="preserve"> inhibit the ATP assay process?</w:t>
      </w:r>
    </w:p>
    <w:p w:rsidR="00725033" w:rsidRPr="0071546E" w:rsidRDefault="00725033" w:rsidP="008817CF">
      <w:pPr>
        <w:pStyle w:val="ListParagraph"/>
        <w:numPr>
          <w:ilvl w:val="0"/>
          <w:numId w:val="11"/>
        </w:numPr>
        <w:spacing w:before="100" w:after="0" w:line="480" w:lineRule="auto"/>
        <w:ind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Does </w:t>
      </w:r>
      <w:r w:rsidR="002C2939"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experiment display variabilit</w:t>
      </w:r>
      <w:r w:rsidR="002C2939" w:rsidRPr="0071546E">
        <w:rPr>
          <w:rFonts w:ascii="Arial" w:eastAsia="Times New Roman" w:hAnsi="Arial" w:cs="Arial"/>
          <w:sz w:val="24"/>
          <w:szCs w:val="24"/>
          <w:lang w:eastAsia="en-GB"/>
        </w:rPr>
        <w:t>ies</w:t>
      </w:r>
      <w:r w:rsidRPr="0071546E">
        <w:rPr>
          <w:rFonts w:ascii="Arial" w:eastAsia="Times New Roman" w:hAnsi="Arial" w:cs="Arial"/>
          <w:sz w:val="24"/>
          <w:szCs w:val="24"/>
          <w:lang w:eastAsia="en-GB"/>
        </w:rPr>
        <w:t>: reproducibility?</w:t>
      </w:r>
    </w:p>
    <w:p w:rsidR="009C2D9B" w:rsidRPr="0071546E" w:rsidRDefault="009C2D9B" w:rsidP="008817CF">
      <w:pPr>
        <w:spacing w:before="100" w:after="0" w:line="480" w:lineRule="auto"/>
        <w:ind w:right="454"/>
        <w:jc w:val="both"/>
        <w:rPr>
          <w:rFonts w:ascii="Arial" w:eastAsia="Times New Roman" w:hAnsi="Arial" w:cs="Arial"/>
          <w:sz w:val="24"/>
          <w:szCs w:val="24"/>
          <w:lang w:eastAsia="en-GB"/>
        </w:rPr>
      </w:pPr>
    </w:p>
    <w:p w:rsidR="008817CF" w:rsidRPr="0071546E" w:rsidRDefault="008817CF" w:rsidP="008817CF">
      <w:pPr>
        <w:spacing w:before="100" w:after="0" w:line="480" w:lineRule="auto"/>
        <w:ind w:right="454"/>
        <w:jc w:val="both"/>
        <w:rPr>
          <w:rFonts w:ascii="Arial" w:eastAsia="Times New Roman" w:hAnsi="Arial" w:cs="Arial"/>
          <w:sz w:val="24"/>
          <w:szCs w:val="24"/>
          <w:lang w:eastAsia="en-GB"/>
        </w:rPr>
      </w:pPr>
    </w:p>
    <w:p w:rsidR="008817CF" w:rsidRPr="0071546E" w:rsidRDefault="008817CF" w:rsidP="008817CF">
      <w:pPr>
        <w:spacing w:before="100" w:after="0" w:line="480" w:lineRule="auto"/>
        <w:ind w:right="454"/>
        <w:jc w:val="both"/>
        <w:rPr>
          <w:rFonts w:ascii="Arial" w:eastAsia="Times New Roman" w:hAnsi="Arial" w:cs="Arial"/>
          <w:sz w:val="24"/>
          <w:szCs w:val="24"/>
          <w:lang w:eastAsia="en-GB"/>
        </w:rPr>
      </w:pPr>
    </w:p>
    <w:p w:rsidR="008817CF" w:rsidRPr="0071546E" w:rsidRDefault="008817CF" w:rsidP="008817CF">
      <w:pPr>
        <w:spacing w:before="100" w:after="0" w:line="480" w:lineRule="auto"/>
        <w:ind w:right="454"/>
        <w:jc w:val="both"/>
        <w:rPr>
          <w:rFonts w:ascii="Arial" w:eastAsia="Times New Roman" w:hAnsi="Arial" w:cs="Arial"/>
          <w:sz w:val="24"/>
          <w:szCs w:val="24"/>
          <w:lang w:eastAsia="en-GB"/>
        </w:rPr>
      </w:pPr>
    </w:p>
    <w:p w:rsidR="008817CF" w:rsidRPr="0071546E" w:rsidRDefault="008817CF" w:rsidP="008817CF">
      <w:pPr>
        <w:spacing w:before="100" w:after="0" w:line="480" w:lineRule="auto"/>
        <w:ind w:right="454"/>
        <w:jc w:val="both"/>
        <w:rPr>
          <w:rFonts w:ascii="Arial" w:eastAsia="Times New Roman" w:hAnsi="Arial" w:cs="Arial"/>
          <w:sz w:val="24"/>
          <w:szCs w:val="24"/>
          <w:lang w:eastAsia="en-GB"/>
        </w:rPr>
      </w:pPr>
    </w:p>
    <w:p w:rsidR="008817CF" w:rsidRPr="0071546E" w:rsidRDefault="008817CF" w:rsidP="008817CF">
      <w:pPr>
        <w:spacing w:before="100" w:after="0" w:line="480" w:lineRule="auto"/>
        <w:ind w:right="454"/>
        <w:jc w:val="both"/>
        <w:rPr>
          <w:rFonts w:ascii="Arial" w:eastAsia="Times New Roman" w:hAnsi="Arial" w:cs="Arial"/>
          <w:sz w:val="24"/>
          <w:szCs w:val="24"/>
          <w:lang w:eastAsia="en-GB"/>
        </w:rPr>
      </w:pPr>
    </w:p>
    <w:p w:rsidR="008817CF" w:rsidRPr="0071546E" w:rsidRDefault="008817CF" w:rsidP="008817CF">
      <w:pPr>
        <w:spacing w:before="100" w:after="0" w:line="480" w:lineRule="auto"/>
        <w:ind w:right="454"/>
        <w:jc w:val="both"/>
        <w:rPr>
          <w:rFonts w:ascii="Arial" w:eastAsia="Times New Roman" w:hAnsi="Arial" w:cs="Arial"/>
          <w:sz w:val="24"/>
          <w:szCs w:val="24"/>
          <w:lang w:eastAsia="en-GB"/>
        </w:rPr>
      </w:pPr>
    </w:p>
    <w:p w:rsidR="00725033" w:rsidRPr="0071546E" w:rsidRDefault="00725033" w:rsidP="00CF13FE">
      <w:pPr>
        <w:pStyle w:val="Heading2"/>
        <w:ind w:left="1021" w:right="454"/>
      </w:pPr>
      <w:bookmarkStart w:id="71" w:name="_Toc14711443"/>
      <w:r w:rsidRPr="0071546E">
        <w:t>2.6.1 Stability of ATP after storage.</w:t>
      </w:r>
      <w:bookmarkEnd w:id="71"/>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Usually, solubilised ATP and luciferase enzyme </w:t>
      </w:r>
      <w:r w:rsidR="008817CF" w:rsidRPr="0071546E">
        <w:rPr>
          <w:rFonts w:ascii="Arial" w:eastAsia="Times New Roman" w:hAnsi="Arial" w:cs="Arial"/>
          <w:sz w:val="24"/>
          <w:szCs w:val="24"/>
          <w:lang w:eastAsia="en-GB"/>
        </w:rPr>
        <w:t>are</w:t>
      </w:r>
      <w:r w:rsidRPr="0071546E">
        <w:rPr>
          <w:rFonts w:ascii="Arial" w:eastAsia="Times New Roman" w:hAnsi="Arial" w:cs="Arial"/>
          <w:sz w:val="24"/>
          <w:szCs w:val="24"/>
          <w:lang w:eastAsia="en-GB"/>
        </w:rPr>
        <w:t xml:space="preserve"> stored at -20</w:t>
      </w:r>
      <w:r w:rsidRPr="0071546E">
        <w:rPr>
          <w:rFonts w:ascii="Arial" w:eastAsia="Times New Roman" w:hAnsi="Arial" w:cs="Arial"/>
          <w:sz w:val="24"/>
          <w:szCs w:val="24"/>
          <w:vertAlign w:val="superscript"/>
          <w:lang w:eastAsia="en-GB"/>
        </w:rPr>
        <w:t>o</w:t>
      </w:r>
      <w:r w:rsidRPr="0071546E">
        <w:rPr>
          <w:rFonts w:ascii="Arial" w:eastAsia="Times New Roman" w:hAnsi="Arial" w:cs="Arial"/>
          <w:sz w:val="24"/>
          <w:szCs w:val="24"/>
          <w:lang w:eastAsia="en-GB"/>
        </w:rPr>
        <w:t>C and can be reused after 24 hours of storage</w:t>
      </w:r>
      <w:r w:rsidR="008817CF" w:rsidRPr="0071546E">
        <w:rPr>
          <w:rFonts w:ascii="Arial" w:eastAsia="Times New Roman" w:hAnsi="Arial" w:cs="Arial"/>
          <w:sz w:val="24"/>
          <w:szCs w:val="24"/>
          <w:lang w:eastAsia="en-GB"/>
        </w:rPr>
        <w:t xml:space="preserve"> (Riss et al., 2013)</w:t>
      </w:r>
      <w:r w:rsidRPr="0071546E">
        <w:rPr>
          <w:rFonts w:ascii="Arial" w:eastAsia="Times New Roman" w:hAnsi="Arial" w:cs="Arial"/>
          <w:sz w:val="24"/>
          <w:szCs w:val="24"/>
          <w:lang w:eastAsia="en-GB"/>
        </w:rPr>
        <w:t>. As stated early ATP and luciferase enzyme in solution, is hydrolysed even at th</w:t>
      </w:r>
      <w:r w:rsidR="002C2939" w:rsidRPr="0071546E">
        <w:rPr>
          <w:rFonts w:ascii="Arial" w:eastAsia="Times New Roman" w:hAnsi="Arial" w:cs="Arial"/>
          <w:sz w:val="24"/>
          <w:szCs w:val="24"/>
          <w:lang w:eastAsia="en-GB"/>
        </w:rPr>
        <w:t>is</w:t>
      </w:r>
      <w:r w:rsidRPr="0071546E">
        <w:rPr>
          <w:rFonts w:ascii="Arial" w:eastAsia="Times New Roman" w:hAnsi="Arial" w:cs="Arial"/>
          <w:sz w:val="24"/>
          <w:szCs w:val="24"/>
          <w:lang w:eastAsia="en-GB"/>
        </w:rPr>
        <w:t xml:space="preserve"> temperature and hence their activity is reduced. An experiment designed to evaluated hydrolysis of ATP and loss of activity of luciferase enzyme was carried out. Different ATP </w:t>
      </w:r>
      <w:r w:rsidR="008817CF" w:rsidRPr="0071546E">
        <w:rPr>
          <w:rFonts w:ascii="Arial" w:eastAsia="Times New Roman" w:hAnsi="Arial" w:cs="Arial"/>
          <w:sz w:val="24"/>
          <w:szCs w:val="24"/>
          <w:lang w:eastAsia="en-GB"/>
        </w:rPr>
        <w:t>dilutions</w:t>
      </w:r>
      <w:r w:rsidRPr="0071546E">
        <w:rPr>
          <w:rFonts w:ascii="Arial" w:eastAsia="Times New Roman" w:hAnsi="Arial" w:cs="Arial"/>
          <w:sz w:val="24"/>
          <w:szCs w:val="24"/>
          <w:lang w:eastAsia="en-GB"/>
        </w:rPr>
        <w:t xml:space="preserve"> </w:t>
      </w:r>
      <w:r w:rsidR="008817CF" w:rsidRPr="0071546E">
        <w:rPr>
          <w:rFonts w:ascii="Arial" w:eastAsia="Times New Roman" w:hAnsi="Arial" w:cs="Arial"/>
          <w:sz w:val="24"/>
          <w:szCs w:val="24"/>
          <w:lang w:eastAsia="en-GB"/>
        </w:rPr>
        <w:t xml:space="preserve">were obtained </w:t>
      </w:r>
      <w:r w:rsidRPr="0071546E">
        <w:rPr>
          <w:rFonts w:ascii="Arial" w:eastAsia="Times New Roman" w:hAnsi="Arial" w:cs="Arial"/>
          <w:sz w:val="24"/>
          <w:szCs w:val="24"/>
          <w:lang w:eastAsia="en-GB"/>
        </w:rPr>
        <w:t xml:space="preserve"> from an ATP standard (1.65 µM -</w:t>
      </w:r>
      <w:r w:rsidR="00F51676"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0.0000165 µM)</w:t>
      </w:r>
    </w:p>
    <w:p w:rsidR="009C2D9B" w:rsidRPr="0071546E" w:rsidRDefault="00725033" w:rsidP="008817CF">
      <w:pPr>
        <w:spacing w:before="100" w:after="0" w:line="480" w:lineRule="auto"/>
        <w:ind w:left="1021" w:right="454"/>
        <w:jc w:val="both"/>
        <w:rPr>
          <w:rFonts w:ascii="Arial" w:eastAsia="Times New Roman" w:hAnsi="Arial" w:cs="Arial"/>
          <w:bCs/>
          <w:sz w:val="24"/>
          <w:szCs w:val="24"/>
          <w:lang w:eastAsia="en-GB"/>
        </w:rPr>
      </w:pPr>
      <w:r w:rsidRPr="0071546E">
        <w:rPr>
          <w:rFonts w:ascii="Arial" w:eastAsia="Times New Roman" w:hAnsi="Arial" w:cs="Arial"/>
          <w:sz w:val="24"/>
          <w:szCs w:val="24"/>
          <w:lang w:eastAsia="en-GB"/>
        </w:rPr>
        <w:t xml:space="preserve">A calibration curve was generated </w:t>
      </w:r>
      <w:r w:rsidR="008817CF" w:rsidRPr="0071546E">
        <w:rPr>
          <w:rFonts w:ascii="Arial" w:eastAsia="Times New Roman" w:hAnsi="Arial" w:cs="Arial"/>
          <w:sz w:val="24"/>
          <w:szCs w:val="24"/>
          <w:lang w:eastAsia="en-GB"/>
        </w:rPr>
        <w:t>by reading the bioluminescence signal generated by</w:t>
      </w:r>
      <w:r w:rsidRPr="0071546E">
        <w:rPr>
          <w:rFonts w:ascii="Arial" w:eastAsia="Times New Roman" w:hAnsi="Arial" w:cs="Arial"/>
          <w:sz w:val="24"/>
          <w:szCs w:val="24"/>
          <w:lang w:eastAsia="en-GB"/>
        </w:rPr>
        <w:t xml:space="preserve"> reacting </w:t>
      </w:r>
      <w:r w:rsidR="008817CF" w:rsidRPr="0071546E">
        <w:rPr>
          <w:rFonts w:ascii="Arial" w:eastAsia="Times New Roman" w:hAnsi="Arial" w:cs="Arial"/>
          <w:sz w:val="24"/>
          <w:szCs w:val="24"/>
          <w:lang w:eastAsia="en-GB"/>
        </w:rPr>
        <w:t xml:space="preserve">an </w:t>
      </w:r>
      <w:r w:rsidRPr="0071546E">
        <w:rPr>
          <w:rFonts w:ascii="Arial" w:eastAsia="Times New Roman" w:hAnsi="Arial" w:cs="Arial"/>
          <w:sz w:val="24"/>
          <w:szCs w:val="24"/>
          <w:lang w:eastAsia="en-GB"/>
        </w:rPr>
        <w:t xml:space="preserve">equal volume of 1 µM luciferase enzyme </w:t>
      </w:r>
      <w:r w:rsidR="008817CF" w:rsidRPr="0071546E">
        <w:rPr>
          <w:rFonts w:ascii="Arial" w:eastAsia="Times New Roman" w:hAnsi="Arial" w:cs="Arial"/>
          <w:sz w:val="24"/>
          <w:szCs w:val="24"/>
          <w:lang w:eastAsia="en-GB"/>
        </w:rPr>
        <w:t xml:space="preserve">with an ATP standard. </w:t>
      </w:r>
      <w:r w:rsidRPr="0071546E">
        <w:rPr>
          <w:rFonts w:ascii="Arial" w:eastAsia="Times New Roman" w:hAnsi="Arial" w:cs="Arial"/>
          <w:sz w:val="24"/>
          <w:szCs w:val="24"/>
          <w:lang w:eastAsia="en-GB"/>
        </w:rPr>
        <w:t>(50</w:t>
      </w:r>
      <w:r w:rsidRPr="0071546E">
        <w:rPr>
          <w:rFonts w:ascii="Arial" w:eastAsia="Times New Roman" w:hAnsi="Arial" w:cs="Arial"/>
          <w:bCs/>
          <w:sz w:val="24"/>
          <w:szCs w:val="24"/>
          <w:lang w:eastAsia="en-GB"/>
        </w:rPr>
        <w:t xml:space="preserve"> µl of ATP standard + 50 µl of luciferase enzyme). The reaction mix was pipetted into an opaque 96-well plate and the bioluminescence signal evaluated within 30 seconds of reaction. The leftover mix </w:t>
      </w:r>
      <w:r w:rsidR="008817CF" w:rsidRPr="0071546E">
        <w:rPr>
          <w:rFonts w:ascii="Arial" w:eastAsia="Times New Roman" w:hAnsi="Arial" w:cs="Arial"/>
          <w:bCs/>
          <w:sz w:val="24"/>
          <w:szCs w:val="24"/>
          <w:lang w:eastAsia="en-GB"/>
        </w:rPr>
        <w:t>was</w:t>
      </w:r>
      <w:r w:rsidRPr="0071546E">
        <w:rPr>
          <w:rFonts w:ascii="Arial" w:eastAsia="Times New Roman" w:hAnsi="Arial" w:cs="Arial"/>
          <w:bCs/>
          <w:sz w:val="24"/>
          <w:szCs w:val="24"/>
          <w:lang w:eastAsia="en-GB"/>
        </w:rPr>
        <w:t xml:space="preserve"> stored at -20</w:t>
      </w:r>
      <w:r w:rsidRPr="0071546E">
        <w:rPr>
          <w:rFonts w:ascii="Arial" w:eastAsia="Times New Roman" w:hAnsi="Arial" w:cs="Arial"/>
          <w:bCs/>
          <w:sz w:val="24"/>
          <w:szCs w:val="24"/>
          <w:vertAlign w:val="superscript"/>
          <w:lang w:eastAsia="en-GB"/>
        </w:rPr>
        <w:t>o</w:t>
      </w:r>
      <w:r w:rsidRPr="0071546E">
        <w:rPr>
          <w:rFonts w:ascii="Arial" w:eastAsia="Times New Roman" w:hAnsi="Arial" w:cs="Arial"/>
          <w:bCs/>
          <w:sz w:val="24"/>
          <w:szCs w:val="24"/>
          <w:lang w:eastAsia="en-GB"/>
        </w:rPr>
        <w:t>C and this proc</w:t>
      </w:r>
      <w:r w:rsidR="00551E0B" w:rsidRPr="0071546E">
        <w:rPr>
          <w:rFonts w:ascii="Arial" w:eastAsia="Times New Roman" w:hAnsi="Arial" w:cs="Arial"/>
          <w:bCs/>
          <w:sz w:val="24"/>
          <w:szCs w:val="24"/>
          <w:lang w:eastAsia="en-GB"/>
        </w:rPr>
        <w:t xml:space="preserve">edure </w:t>
      </w:r>
      <w:r w:rsidR="008817CF" w:rsidRPr="0071546E">
        <w:rPr>
          <w:rFonts w:ascii="Arial" w:eastAsia="Times New Roman" w:hAnsi="Arial" w:cs="Arial"/>
          <w:bCs/>
          <w:sz w:val="24"/>
          <w:szCs w:val="24"/>
          <w:lang w:eastAsia="en-GB"/>
        </w:rPr>
        <w:t>w</w:t>
      </w:r>
      <w:r w:rsidR="005F3F09" w:rsidRPr="0071546E">
        <w:rPr>
          <w:rFonts w:ascii="Arial" w:eastAsia="Times New Roman" w:hAnsi="Arial" w:cs="Arial"/>
          <w:bCs/>
          <w:sz w:val="24"/>
          <w:szCs w:val="24"/>
          <w:lang w:eastAsia="en-GB"/>
        </w:rPr>
        <w:t>ere</w:t>
      </w:r>
      <w:r w:rsidR="00551E0B" w:rsidRPr="0071546E">
        <w:rPr>
          <w:rFonts w:ascii="Arial" w:eastAsia="Times New Roman" w:hAnsi="Arial" w:cs="Arial"/>
          <w:bCs/>
          <w:sz w:val="24"/>
          <w:szCs w:val="24"/>
          <w:lang w:eastAsia="en-GB"/>
        </w:rPr>
        <w:t xml:space="preserve"> repeated after 24-hour</w:t>
      </w:r>
      <w:r w:rsidRPr="0071546E">
        <w:rPr>
          <w:rFonts w:ascii="Arial" w:eastAsia="Times New Roman" w:hAnsi="Arial" w:cs="Arial"/>
          <w:bCs/>
          <w:sz w:val="24"/>
          <w:szCs w:val="24"/>
          <w:lang w:eastAsia="en-GB"/>
        </w:rPr>
        <w:t xml:space="preserve"> storage. Both curves generated was then interpolated and analysed</w:t>
      </w:r>
      <w:r w:rsidR="008817CF" w:rsidRPr="0071546E">
        <w:rPr>
          <w:rFonts w:ascii="Arial" w:eastAsia="Times New Roman" w:hAnsi="Arial" w:cs="Arial"/>
          <w:bCs/>
          <w:sz w:val="24"/>
          <w:szCs w:val="24"/>
          <w:lang w:eastAsia="en-GB"/>
        </w:rPr>
        <w:t xml:space="preserve"> by plotting a graph of concentration against bioluminescence signals.</w:t>
      </w:r>
    </w:p>
    <w:p w:rsidR="008817CF" w:rsidRPr="0071546E" w:rsidRDefault="008817CF" w:rsidP="008817CF">
      <w:pPr>
        <w:spacing w:before="100" w:after="0" w:line="480" w:lineRule="auto"/>
        <w:ind w:left="1021" w:right="454"/>
        <w:jc w:val="both"/>
        <w:rPr>
          <w:rFonts w:ascii="Arial" w:eastAsia="Times New Roman" w:hAnsi="Arial" w:cs="Arial"/>
          <w:bCs/>
          <w:sz w:val="24"/>
          <w:szCs w:val="24"/>
          <w:lang w:eastAsia="en-GB"/>
        </w:rPr>
      </w:pPr>
    </w:p>
    <w:p w:rsidR="008817CF" w:rsidRPr="0071546E" w:rsidRDefault="008817CF" w:rsidP="008817CF">
      <w:pPr>
        <w:spacing w:before="100" w:after="0" w:line="480" w:lineRule="auto"/>
        <w:ind w:left="1021" w:right="454"/>
        <w:jc w:val="both"/>
        <w:rPr>
          <w:rFonts w:ascii="Arial" w:eastAsia="Times New Roman" w:hAnsi="Arial" w:cs="Arial"/>
          <w:bCs/>
          <w:sz w:val="24"/>
          <w:szCs w:val="24"/>
          <w:lang w:eastAsia="en-GB"/>
        </w:rPr>
      </w:pPr>
    </w:p>
    <w:p w:rsidR="008817CF" w:rsidRPr="0071546E" w:rsidRDefault="008817CF" w:rsidP="008817CF">
      <w:pPr>
        <w:spacing w:before="100" w:after="0" w:line="480" w:lineRule="auto"/>
        <w:ind w:left="1021" w:right="454"/>
        <w:jc w:val="both"/>
        <w:rPr>
          <w:rFonts w:ascii="Arial" w:eastAsia="Times New Roman" w:hAnsi="Arial" w:cs="Arial"/>
          <w:bCs/>
          <w:sz w:val="24"/>
          <w:szCs w:val="24"/>
          <w:lang w:eastAsia="en-GB"/>
        </w:rPr>
      </w:pPr>
    </w:p>
    <w:p w:rsidR="008817CF" w:rsidRPr="0071546E" w:rsidRDefault="008817CF" w:rsidP="008817CF">
      <w:pPr>
        <w:spacing w:before="100" w:after="0" w:line="480" w:lineRule="auto"/>
        <w:ind w:left="1021" w:right="454"/>
        <w:jc w:val="both"/>
        <w:rPr>
          <w:rFonts w:ascii="Arial" w:eastAsia="Times New Roman" w:hAnsi="Arial" w:cs="Arial"/>
          <w:bCs/>
          <w:sz w:val="24"/>
          <w:szCs w:val="24"/>
          <w:lang w:eastAsia="en-GB"/>
        </w:rPr>
      </w:pPr>
    </w:p>
    <w:p w:rsidR="008817CF" w:rsidRPr="0071546E" w:rsidRDefault="008817CF" w:rsidP="008817CF">
      <w:pPr>
        <w:spacing w:before="100" w:after="0" w:line="480" w:lineRule="auto"/>
        <w:ind w:right="454"/>
        <w:jc w:val="both"/>
        <w:rPr>
          <w:rFonts w:ascii="Arial" w:eastAsia="Times New Roman" w:hAnsi="Arial" w:cs="Arial"/>
          <w:bCs/>
          <w:sz w:val="24"/>
          <w:szCs w:val="24"/>
          <w:lang w:eastAsia="en-GB"/>
        </w:rPr>
      </w:pPr>
    </w:p>
    <w:p w:rsidR="008817CF" w:rsidRPr="0071546E" w:rsidRDefault="008817CF" w:rsidP="008817CF">
      <w:pPr>
        <w:spacing w:before="100" w:after="0" w:line="480" w:lineRule="auto"/>
        <w:ind w:left="1021" w:right="454"/>
        <w:jc w:val="both"/>
        <w:rPr>
          <w:rFonts w:ascii="Arial" w:eastAsia="Times New Roman" w:hAnsi="Arial" w:cs="Arial"/>
          <w:bCs/>
          <w:sz w:val="24"/>
          <w:szCs w:val="24"/>
          <w:lang w:eastAsia="en-GB"/>
        </w:rPr>
      </w:pPr>
    </w:p>
    <w:p w:rsidR="00725033" w:rsidRPr="0071546E" w:rsidRDefault="00725033" w:rsidP="00CF13FE">
      <w:pPr>
        <w:pStyle w:val="Heading2"/>
        <w:ind w:left="1021" w:right="454"/>
      </w:pPr>
      <w:bookmarkStart w:id="72" w:name="_Toc14711444"/>
      <w:r w:rsidRPr="0071546E">
        <w:t>2.6.2 Effects of solvents on ATP and luciferase enzyme reaction.</w:t>
      </w:r>
      <w:bookmarkEnd w:id="72"/>
    </w:p>
    <w:p w:rsidR="008817CF" w:rsidRPr="0071546E" w:rsidRDefault="00725033" w:rsidP="008817CF">
      <w:pPr>
        <w:spacing w:before="100" w:after="0" w:line="480" w:lineRule="auto"/>
        <w:ind w:left="1021" w:right="454"/>
        <w:jc w:val="both"/>
        <w:rPr>
          <w:rFonts w:ascii="Arial" w:eastAsia="Times New Roman" w:hAnsi="Arial" w:cs="Arial"/>
          <w:bCs/>
          <w:sz w:val="24"/>
          <w:szCs w:val="24"/>
          <w:lang w:eastAsia="en-GB"/>
        </w:rPr>
      </w:pPr>
      <w:r w:rsidRPr="0071546E">
        <w:rPr>
          <w:rFonts w:ascii="Arial" w:eastAsia="Times New Roman" w:hAnsi="Arial" w:cs="Arial"/>
          <w:bCs/>
          <w:sz w:val="24"/>
          <w:szCs w:val="24"/>
          <w:lang w:eastAsia="en-GB"/>
        </w:rPr>
        <w:t>The effects of phosphate-buffered saline, which was our solvent of choice w</w:t>
      </w:r>
      <w:r w:rsidR="002C2939" w:rsidRPr="0071546E">
        <w:rPr>
          <w:rFonts w:ascii="Arial" w:eastAsia="Times New Roman" w:hAnsi="Arial" w:cs="Arial"/>
          <w:bCs/>
          <w:sz w:val="24"/>
          <w:szCs w:val="24"/>
          <w:lang w:eastAsia="en-GB"/>
        </w:rPr>
        <w:t>ere</w:t>
      </w:r>
      <w:r w:rsidRPr="0071546E">
        <w:rPr>
          <w:rFonts w:ascii="Arial" w:eastAsia="Times New Roman" w:hAnsi="Arial" w:cs="Arial"/>
          <w:bCs/>
          <w:sz w:val="24"/>
          <w:szCs w:val="24"/>
          <w:lang w:eastAsia="en-GB"/>
        </w:rPr>
        <w:t xml:space="preserve"> analysed. 1 X mix PBS 0.5 X mix PBS and a control dilution buffer containing distilled water were used to solubilise ATP, </w:t>
      </w:r>
      <w:r w:rsidR="00CF4D77" w:rsidRPr="0071546E">
        <w:rPr>
          <w:rFonts w:ascii="Arial" w:eastAsia="Times New Roman" w:hAnsi="Arial" w:cs="Arial"/>
          <w:bCs/>
          <w:sz w:val="24"/>
          <w:szCs w:val="24"/>
          <w:lang w:eastAsia="en-GB"/>
        </w:rPr>
        <w:t>and concentration</w:t>
      </w:r>
      <w:r w:rsidRPr="0071546E">
        <w:rPr>
          <w:rFonts w:ascii="Arial" w:eastAsia="Times New Roman" w:hAnsi="Arial" w:cs="Arial"/>
          <w:bCs/>
          <w:sz w:val="24"/>
          <w:szCs w:val="24"/>
          <w:lang w:eastAsia="en-GB"/>
        </w:rPr>
        <w:t xml:space="preserve"> curve was generated as explained in 2.6.1  </w:t>
      </w:r>
    </w:p>
    <w:p w:rsidR="008817CF" w:rsidRPr="0071546E" w:rsidRDefault="008817CF" w:rsidP="009C2D9B">
      <w:pPr>
        <w:ind w:right="454"/>
        <w:rPr>
          <w:rFonts w:ascii="Arial" w:eastAsia="Times New Roman" w:hAnsi="Arial" w:cs="Arial"/>
          <w:bCs/>
          <w:sz w:val="24"/>
          <w:szCs w:val="24"/>
          <w:lang w:eastAsia="en-GB"/>
        </w:rPr>
      </w:pPr>
    </w:p>
    <w:p w:rsidR="00725033" w:rsidRPr="0071546E" w:rsidRDefault="00725033" w:rsidP="00CF13FE">
      <w:pPr>
        <w:pStyle w:val="Heading2"/>
        <w:ind w:left="1021" w:right="454"/>
      </w:pPr>
      <w:bookmarkStart w:id="73" w:name="_Toc14711445"/>
      <w:r w:rsidRPr="0071546E">
        <w:t>2.6.3 ATP calibrations curves</w:t>
      </w:r>
      <w:bookmarkEnd w:id="73"/>
    </w:p>
    <w:p w:rsidR="00725033" w:rsidRPr="0071546E" w:rsidRDefault="00725033" w:rsidP="00CF13FE">
      <w:pPr>
        <w:spacing w:before="100" w:after="0" w:line="480" w:lineRule="auto"/>
        <w:ind w:left="1021" w:right="454"/>
        <w:jc w:val="both"/>
        <w:rPr>
          <w:rFonts w:ascii="Arial" w:eastAsia="Times New Roman" w:hAnsi="Arial" w:cs="Arial"/>
          <w:bCs/>
          <w:sz w:val="24"/>
          <w:szCs w:val="24"/>
          <w:lang w:eastAsia="en-GB"/>
        </w:rPr>
      </w:pPr>
      <w:r w:rsidRPr="0071546E">
        <w:rPr>
          <w:rFonts w:ascii="Arial" w:eastAsia="Times New Roman" w:hAnsi="Arial" w:cs="Arial"/>
          <w:bCs/>
          <w:sz w:val="24"/>
          <w:szCs w:val="24"/>
          <w:lang w:eastAsia="en-GB"/>
        </w:rPr>
        <w:t xml:space="preserve">The importance of the calibration curves for ATP standard and the cell concentration calibration curves was to understand </w:t>
      </w:r>
      <w:r w:rsidR="002C2939" w:rsidRPr="0071546E">
        <w:rPr>
          <w:rFonts w:ascii="Arial" w:eastAsia="Times New Roman" w:hAnsi="Arial" w:cs="Arial"/>
          <w:bCs/>
          <w:sz w:val="24"/>
          <w:szCs w:val="24"/>
          <w:lang w:eastAsia="en-GB"/>
        </w:rPr>
        <w:t xml:space="preserve">the </w:t>
      </w:r>
      <w:r w:rsidRPr="0071546E">
        <w:rPr>
          <w:rFonts w:ascii="Arial" w:eastAsia="Times New Roman" w:hAnsi="Arial" w:cs="Arial"/>
          <w:bCs/>
          <w:sz w:val="24"/>
          <w:szCs w:val="24"/>
          <w:lang w:eastAsia="en-GB"/>
        </w:rPr>
        <w:t>dynamic ra</w:t>
      </w:r>
      <w:r w:rsidR="002C2939" w:rsidRPr="0071546E">
        <w:rPr>
          <w:rFonts w:ascii="Arial" w:eastAsia="Times New Roman" w:hAnsi="Arial" w:cs="Arial"/>
          <w:bCs/>
          <w:sz w:val="24"/>
          <w:szCs w:val="24"/>
          <w:lang w:eastAsia="en-GB"/>
        </w:rPr>
        <w:t>n</w:t>
      </w:r>
      <w:r w:rsidRPr="0071546E">
        <w:rPr>
          <w:rFonts w:ascii="Arial" w:eastAsia="Times New Roman" w:hAnsi="Arial" w:cs="Arial"/>
          <w:bCs/>
          <w:sz w:val="24"/>
          <w:szCs w:val="24"/>
          <w:lang w:eastAsia="en-GB"/>
        </w:rPr>
        <w:t xml:space="preserve">ge and also quantify what levels of ATP are seen in both morphological forms of </w:t>
      </w:r>
      <w:r w:rsidR="00432D1D" w:rsidRPr="0071546E">
        <w:rPr>
          <w:rFonts w:ascii="Arial" w:eastAsia="Times New Roman" w:hAnsi="Arial" w:cs="Arial"/>
          <w:bCs/>
          <w:i/>
          <w:sz w:val="24"/>
          <w:szCs w:val="24"/>
          <w:lang w:eastAsia="en-GB"/>
        </w:rPr>
        <w:t>Acanthamoeba</w:t>
      </w:r>
      <w:r w:rsidRPr="0071546E">
        <w:rPr>
          <w:rFonts w:ascii="Arial" w:eastAsia="Times New Roman" w:hAnsi="Arial" w:cs="Arial"/>
          <w:bCs/>
          <w:i/>
          <w:sz w:val="24"/>
          <w:szCs w:val="24"/>
          <w:lang w:eastAsia="en-GB"/>
        </w:rPr>
        <w:t>.</w:t>
      </w:r>
      <w:r w:rsidRPr="0071546E">
        <w:rPr>
          <w:rFonts w:ascii="Arial" w:eastAsia="Times New Roman" w:hAnsi="Arial" w:cs="Arial"/>
          <w:bCs/>
          <w:sz w:val="24"/>
          <w:szCs w:val="24"/>
          <w:lang w:eastAsia="en-GB"/>
        </w:rPr>
        <w:t xml:space="preserve"> An ATP standard curve was generated </w:t>
      </w:r>
      <w:r w:rsidR="008817CF" w:rsidRPr="0071546E">
        <w:rPr>
          <w:rFonts w:ascii="Arial" w:eastAsia="Times New Roman" w:hAnsi="Arial" w:cs="Arial"/>
          <w:bCs/>
          <w:sz w:val="24"/>
          <w:szCs w:val="24"/>
          <w:lang w:eastAsia="en-GB"/>
        </w:rPr>
        <w:t>as explained on page 99</w:t>
      </w:r>
      <w:r w:rsidRPr="0071546E">
        <w:rPr>
          <w:rFonts w:ascii="Arial" w:eastAsia="Times New Roman" w:hAnsi="Arial" w:cs="Arial"/>
          <w:bCs/>
          <w:sz w:val="24"/>
          <w:szCs w:val="24"/>
          <w:lang w:eastAsia="en-GB"/>
        </w:rPr>
        <w:t>. Also</w:t>
      </w:r>
      <w:r w:rsidR="002C2939" w:rsidRPr="0071546E">
        <w:rPr>
          <w:rFonts w:ascii="Arial" w:eastAsia="Times New Roman" w:hAnsi="Arial" w:cs="Arial"/>
          <w:bCs/>
          <w:sz w:val="24"/>
          <w:szCs w:val="24"/>
          <w:lang w:eastAsia="en-GB"/>
        </w:rPr>
        <w:t>,</w:t>
      </w:r>
      <w:r w:rsidRPr="0071546E">
        <w:rPr>
          <w:rFonts w:ascii="Arial" w:eastAsia="Times New Roman" w:hAnsi="Arial" w:cs="Arial"/>
          <w:bCs/>
          <w:sz w:val="24"/>
          <w:szCs w:val="24"/>
          <w:lang w:eastAsia="en-GB"/>
        </w:rPr>
        <w:t xml:space="preserve"> </w:t>
      </w:r>
      <w:r w:rsidR="00432D1D" w:rsidRPr="0071546E">
        <w:rPr>
          <w:rFonts w:ascii="Arial" w:eastAsia="Times New Roman" w:hAnsi="Arial" w:cs="Arial"/>
          <w:bCs/>
          <w:i/>
          <w:sz w:val="24"/>
          <w:szCs w:val="24"/>
          <w:lang w:eastAsia="en-GB"/>
        </w:rPr>
        <w:t>Acanthamoeba</w:t>
      </w:r>
      <w:r w:rsidRPr="0071546E">
        <w:rPr>
          <w:rFonts w:ascii="Arial" w:eastAsia="Times New Roman" w:hAnsi="Arial" w:cs="Arial"/>
          <w:bCs/>
          <w:sz w:val="24"/>
          <w:szCs w:val="24"/>
          <w:lang w:eastAsia="en-GB"/>
        </w:rPr>
        <w:t xml:space="preserve"> cysts and trophozoites concentration curves w</w:t>
      </w:r>
      <w:r w:rsidR="002C2939" w:rsidRPr="0071546E">
        <w:rPr>
          <w:rFonts w:ascii="Arial" w:eastAsia="Times New Roman" w:hAnsi="Arial" w:cs="Arial"/>
          <w:bCs/>
          <w:sz w:val="24"/>
          <w:szCs w:val="24"/>
          <w:lang w:eastAsia="en-GB"/>
        </w:rPr>
        <w:t>ere</w:t>
      </w:r>
      <w:r w:rsidRPr="0071546E">
        <w:rPr>
          <w:rFonts w:ascii="Arial" w:eastAsia="Times New Roman" w:hAnsi="Arial" w:cs="Arial"/>
          <w:bCs/>
          <w:sz w:val="24"/>
          <w:szCs w:val="24"/>
          <w:lang w:eastAsia="en-GB"/>
        </w:rPr>
        <w:t xml:space="preserve"> performed with </w:t>
      </w:r>
      <w:r w:rsidR="002C2939" w:rsidRPr="0071546E">
        <w:rPr>
          <w:rFonts w:ascii="Arial" w:eastAsia="Times New Roman" w:hAnsi="Arial" w:cs="Arial"/>
          <w:bCs/>
          <w:sz w:val="24"/>
          <w:szCs w:val="24"/>
          <w:lang w:eastAsia="en-GB"/>
        </w:rPr>
        <w:t xml:space="preserve">a </w:t>
      </w:r>
      <w:r w:rsidRPr="0071546E">
        <w:rPr>
          <w:rFonts w:ascii="Arial" w:eastAsia="Times New Roman" w:hAnsi="Arial" w:cs="Arial"/>
          <w:bCs/>
          <w:sz w:val="24"/>
          <w:szCs w:val="24"/>
          <w:lang w:eastAsia="en-GB"/>
        </w:rPr>
        <w:t>serial dilution of know cell number ranging (10</w:t>
      </w:r>
      <w:r w:rsidRPr="0071546E">
        <w:rPr>
          <w:rFonts w:ascii="Arial" w:eastAsia="Times New Roman" w:hAnsi="Arial" w:cs="Arial"/>
          <w:bCs/>
          <w:sz w:val="24"/>
          <w:szCs w:val="24"/>
          <w:vertAlign w:val="superscript"/>
          <w:lang w:eastAsia="en-GB"/>
        </w:rPr>
        <w:t>6</w:t>
      </w:r>
      <w:r w:rsidRPr="0071546E">
        <w:rPr>
          <w:rFonts w:ascii="Arial" w:eastAsia="Times New Roman" w:hAnsi="Arial" w:cs="Arial"/>
          <w:bCs/>
          <w:sz w:val="24"/>
          <w:szCs w:val="24"/>
          <w:lang w:eastAsia="en-GB"/>
        </w:rPr>
        <w:t xml:space="preserve"> to 10</w:t>
      </w:r>
      <w:r w:rsidRPr="0071546E">
        <w:rPr>
          <w:rFonts w:ascii="Arial" w:eastAsia="Times New Roman" w:hAnsi="Arial" w:cs="Arial"/>
          <w:bCs/>
          <w:sz w:val="24"/>
          <w:szCs w:val="24"/>
          <w:vertAlign w:val="superscript"/>
          <w:lang w:eastAsia="en-GB"/>
        </w:rPr>
        <w:t>3</w:t>
      </w:r>
      <w:r w:rsidRPr="0071546E">
        <w:rPr>
          <w:rFonts w:ascii="Arial" w:eastAsia="Times New Roman" w:hAnsi="Arial" w:cs="Arial"/>
          <w:bCs/>
          <w:sz w:val="24"/>
          <w:szCs w:val="24"/>
          <w:lang w:eastAsia="en-GB"/>
        </w:rPr>
        <w:t xml:space="preserve"> cell /ml). To evaluate the amount of ATP contained in a single amoeba cell the calibration curve was interpolated with the concentration curve to determine this. For the bioluminescence of cell concentration curve, 50 µl of each cell concentration was mixed with 50 µl of 1 µM luciferase enzyme and bioluminescence signal read at 600 nm </w:t>
      </w:r>
    </w:p>
    <w:p w:rsidR="008817CF" w:rsidRPr="0071546E" w:rsidRDefault="008817CF" w:rsidP="008817CF">
      <w:pPr>
        <w:spacing w:before="100" w:after="0" w:line="480" w:lineRule="auto"/>
        <w:ind w:right="454"/>
        <w:jc w:val="both"/>
        <w:rPr>
          <w:rFonts w:ascii="Arial" w:eastAsia="Times New Roman" w:hAnsi="Arial" w:cs="Arial"/>
          <w:bCs/>
          <w:sz w:val="24"/>
          <w:szCs w:val="24"/>
          <w:lang w:eastAsia="en-GB"/>
        </w:rPr>
      </w:pPr>
    </w:p>
    <w:p w:rsidR="008817CF" w:rsidRPr="0071546E" w:rsidRDefault="008817CF" w:rsidP="008817CF">
      <w:pPr>
        <w:spacing w:before="100" w:after="0" w:line="480" w:lineRule="auto"/>
        <w:ind w:right="454"/>
        <w:jc w:val="both"/>
        <w:rPr>
          <w:rFonts w:ascii="Arial" w:eastAsia="Times New Roman" w:hAnsi="Arial" w:cs="Arial"/>
          <w:bCs/>
          <w:sz w:val="24"/>
          <w:szCs w:val="24"/>
          <w:lang w:eastAsia="en-GB"/>
        </w:rPr>
      </w:pPr>
    </w:p>
    <w:p w:rsidR="008817CF" w:rsidRPr="0071546E" w:rsidRDefault="008817CF" w:rsidP="008817CF">
      <w:pPr>
        <w:spacing w:before="100" w:after="0" w:line="480" w:lineRule="auto"/>
        <w:ind w:right="454"/>
        <w:jc w:val="both"/>
        <w:rPr>
          <w:rFonts w:ascii="Arial" w:eastAsia="Times New Roman" w:hAnsi="Arial" w:cs="Arial"/>
          <w:bCs/>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bCs/>
          <w:sz w:val="24"/>
          <w:szCs w:val="24"/>
          <w:lang w:eastAsia="en-GB"/>
        </w:rPr>
      </w:pPr>
    </w:p>
    <w:p w:rsidR="00725033" w:rsidRPr="0071546E" w:rsidRDefault="00725033" w:rsidP="00CF13FE">
      <w:pPr>
        <w:pStyle w:val="Heading2"/>
        <w:ind w:left="1021" w:right="454"/>
      </w:pPr>
      <w:bookmarkStart w:id="74" w:name="_Toc14711446"/>
      <w:r w:rsidRPr="0071546E">
        <w:t xml:space="preserve">2.7 Methods </w:t>
      </w:r>
      <w:r w:rsidR="00563D9A" w:rsidRPr="0071546E">
        <w:t>V</w:t>
      </w:r>
      <w:r w:rsidRPr="0071546E">
        <w:t>alidation (Drug assays)</w:t>
      </w:r>
      <w:bookmarkEnd w:id="74"/>
    </w:p>
    <w:p w:rsidR="00655193" w:rsidRPr="0071546E" w:rsidRDefault="00725033" w:rsidP="009C2D9B">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To validate the optimised </w:t>
      </w:r>
      <w:r w:rsidR="0030703E" w:rsidRPr="0071546E">
        <w:rPr>
          <w:rFonts w:ascii="Arial" w:eastAsia="Times New Roman" w:hAnsi="Arial" w:cs="Arial"/>
          <w:sz w:val="24"/>
          <w:szCs w:val="24"/>
          <w:lang w:eastAsia="en-GB"/>
        </w:rPr>
        <w:t>methods,</w:t>
      </w:r>
      <w:r w:rsidRPr="0071546E">
        <w:rPr>
          <w:rFonts w:ascii="Arial" w:eastAsia="Times New Roman" w:hAnsi="Arial" w:cs="Arial"/>
          <w:sz w:val="24"/>
          <w:szCs w:val="24"/>
          <w:lang w:eastAsia="en-GB"/>
        </w:rPr>
        <w:t xml:space="preserve"> the susceptibility of </w:t>
      </w:r>
      <w:r w:rsidR="008817CF" w:rsidRPr="0071546E">
        <w:rPr>
          <w:rFonts w:ascii="Arial" w:eastAsia="Times New Roman" w:hAnsi="Arial" w:cs="Arial"/>
          <w:i/>
          <w:iCs/>
          <w:sz w:val="24"/>
          <w:szCs w:val="24"/>
          <w:lang w:eastAsia="en-GB"/>
        </w:rPr>
        <w:t xml:space="preserve">Acanthamoeba </w:t>
      </w:r>
      <w:r w:rsidR="008817CF" w:rsidRPr="0071546E">
        <w:rPr>
          <w:rFonts w:ascii="Arial" w:eastAsia="Times New Roman" w:hAnsi="Arial" w:cs="Arial"/>
          <w:sz w:val="24"/>
          <w:szCs w:val="24"/>
          <w:lang w:eastAsia="en-GB"/>
        </w:rPr>
        <w:t xml:space="preserve">to </w:t>
      </w:r>
      <w:r w:rsidRPr="0071546E">
        <w:rPr>
          <w:rFonts w:ascii="Arial" w:eastAsia="Times New Roman" w:hAnsi="Arial" w:cs="Arial"/>
          <w:sz w:val="24"/>
          <w:szCs w:val="24"/>
          <w:lang w:eastAsia="en-GB"/>
        </w:rPr>
        <w:t xml:space="preserve">four </w:t>
      </w:r>
      <w:r w:rsidR="008817CF" w:rsidRPr="0071546E">
        <w:rPr>
          <w:rFonts w:ascii="Arial" w:eastAsia="Times New Roman" w:hAnsi="Arial" w:cs="Arial"/>
          <w:sz w:val="24"/>
          <w:szCs w:val="24"/>
          <w:lang w:eastAsia="en-GB"/>
        </w:rPr>
        <w:t xml:space="preserve">anti-microbial </w:t>
      </w:r>
      <w:r w:rsidRPr="0071546E">
        <w:rPr>
          <w:rFonts w:ascii="Arial" w:eastAsia="Times New Roman" w:hAnsi="Arial" w:cs="Arial"/>
          <w:sz w:val="24"/>
          <w:szCs w:val="24"/>
          <w:lang w:eastAsia="en-GB"/>
        </w:rPr>
        <w:t xml:space="preserve">compounds was tested using the ATP bioluminescence assay. </w:t>
      </w:r>
    </w:p>
    <w:p w:rsidR="008817CF" w:rsidRPr="0071546E" w:rsidRDefault="00725033" w:rsidP="00CF13FE">
      <w:pPr>
        <w:pStyle w:val="Heading2"/>
        <w:ind w:left="1021" w:right="454"/>
        <w:rPr>
          <w:b w:val="0"/>
        </w:rPr>
      </w:pPr>
      <w:bookmarkStart w:id="75" w:name="_Toc14711447"/>
      <w:r w:rsidRPr="0071546E">
        <w:t>2.7.1 Povidone</w:t>
      </w:r>
      <w:r w:rsidR="00563D9A" w:rsidRPr="0071546E">
        <w:t>-</w:t>
      </w:r>
      <w:r w:rsidRPr="0071546E">
        <w:t>iodine drug assay</w:t>
      </w:r>
      <w:bookmarkEnd w:id="75"/>
      <w:r w:rsidR="008817CF" w:rsidRPr="0071546E">
        <w:rPr>
          <w:b w:val="0"/>
        </w:rPr>
        <w:t xml:space="preserve"> </w:t>
      </w:r>
    </w:p>
    <w:p w:rsidR="009C2D9B" w:rsidRPr="0071546E" w:rsidRDefault="008817CF" w:rsidP="008817CF">
      <w:pPr>
        <w:pStyle w:val="Heading2"/>
        <w:ind w:left="1021" w:right="454"/>
        <w:rPr>
          <w:b w:val="0"/>
          <w:bCs/>
        </w:rPr>
      </w:pPr>
      <w:r w:rsidRPr="0071546E">
        <w:rPr>
          <w:b w:val="0"/>
          <w:bCs/>
        </w:rPr>
        <w:t>The povidone-iodine complex is a DNA intercalator. Povidone permeates microbial cell releasing the iodine complex, which permeates the cell wall, disrupting its function and causing non-selective permeability of material through the cell</w:t>
      </w:r>
      <w:r w:rsidR="00507708" w:rsidRPr="0071546E">
        <w:rPr>
          <w:b w:val="0"/>
          <w:bCs/>
        </w:rPr>
        <w:t xml:space="preserve"> (Sriwilaijaroen et al., 2009)</w:t>
      </w:r>
      <w:r w:rsidRPr="0071546E">
        <w:rPr>
          <w:b w:val="0"/>
          <w:bCs/>
        </w:rPr>
        <w:t xml:space="preserve">. </w:t>
      </w:r>
      <w:r w:rsidR="001006BF" w:rsidRPr="0071546E">
        <w:rPr>
          <w:b w:val="0"/>
          <w:bCs/>
        </w:rPr>
        <w:t>A stock solution of 1000 mg/l of Polyvinyl (pyrrolidone) iodine complex</w:t>
      </w:r>
      <w:r w:rsidR="00A872D9" w:rsidRPr="0071546E">
        <w:rPr>
          <w:b w:val="0"/>
          <w:bCs/>
        </w:rPr>
        <w:t xml:space="preserve"> was</w:t>
      </w:r>
      <w:r w:rsidR="00725033" w:rsidRPr="0071546E">
        <w:rPr>
          <w:b w:val="0"/>
          <w:bCs/>
        </w:rPr>
        <w:t xml:space="preserve"> made</w:t>
      </w:r>
      <w:r w:rsidR="001006BF" w:rsidRPr="0071546E">
        <w:rPr>
          <w:b w:val="0"/>
          <w:bCs/>
        </w:rPr>
        <w:t xml:space="preserve"> from 100 g powder</w:t>
      </w:r>
      <w:r w:rsidR="00082FB0" w:rsidRPr="0071546E">
        <w:rPr>
          <w:b w:val="0"/>
          <w:bCs/>
        </w:rPr>
        <w:t>, in</w:t>
      </w:r>
      <w:r w:rsidR="00725033" w:rsidRPr="0071546E">
        <w:rPr>
          <w:b w:val="0"/>
          <w:bCs/>
        </w:rPr>
        <w:t xml:space="preserve"> distilled water and filter sterilised using a 0.2 um filter. From the stock, a serial 1-fold dilution was made to get seven different concentrations of povidone. Each test well contains 4 replicates of 150 μl of cells in media and 50 μL of povidone (total of 200 μl o</w:t>
      </w:r>
      <w:r w:rsidR="00190FD1" w:rsidRPr="0071546E">
        <w:rPr>
          <w:b w:val="0"/>
          <w:bCs/>
        </w:rPr>
        <w:t>f cell and drug). The plates were</w:t>
      </w:r>
      <w:r w:rsidR="00725033" w:rsidRPr="0071546E">
        <w:rPr>
          <w:b w:val="0"/>
          <w:bCs/>
        </w:rPr>
        <w:t xml:space="preserve"> incubated for 24 hours at 30</w:t>
      </w:r>
      <w:r w:rsidR="00725033" w:rsidRPr="0071546E">
        <w:rPr>
          <w:b w:val="0"/>
          <w:bCs/>
          <w:vertAlign w:val="superscript"/>
        </w:rPr>
        <w:t>o</w:t>
      </w:r>
      <w:r w:rsidR="00725033" w:rsidRPr="0071546E">
        <w:rPr>
          <w:b w:val="0"/>
          <w:bCs/>
        </w:rPr>
        <w:t xml:space="preserve">C prior to ATP assay. After incubation, </w:t>
      </w:r>
      <w:r w:rsidR="00432D1D" w:rsidRPr="0071546E">
        <w:rPr>
          <w:b w:val="0"/>
          <w:bCs/>
          <w:i/>
        </w:rPr>
        <w:t>Acanthamoeba</w:t>
      </w:r>
      <w:r w:rsidR="00725033" w:rsidRPr="0071546E">
        <w:rPr>
          <w:b w:val="0"/>
          <w:bCs/>
        </w:rPr>
        <w:t xml:space="preserve"> trophozoites w</w:t>
      </w:r>
      <w:r w:rsidR="002C2939" w:rsidRPr="0071546E">
        <w:rPr>
          <w:b w:val="0"/>
          <w:bCs/>
        </w:rPr>
        <w:t>ere</w:t>
      </w:r>
      <w:r w:rsidR="00725033" w:rsidRPr="0071546E">
        <w:rPr>
          <w:b w:val="0"/>
          <w:bCs/>
        </w:rPr>
        <w:t xml:space="preserve"> lysed by incubating 50 μl of cells (in growth media) with 50 µl of detergent lysis buffer for 30 minutes at 30</w:t>
      </w:r>
      <w:r w:rsidR="00725033" w:rsidRPr="0071546E">
        <w:rPr>
          <w:b w:val="0"/>
          <w:bCs/>
          <w:vertAlign w:val="superscript"/>
        </w:rPr>
        <w:t>o</w:t>
      </w:r>
      <w:r w:rsidR="00725033" w:rsidRPr="0071546E">
        <w:rPr>
          <w:b w:val="0"/>
          <w:bCs/>
        </w:rPr>
        <w:t>C. Cysts were lysed by incubating 50 μl cyst cell (in growth media) with 50 µl of 10 mM HEWL for 35 minutes at 30</w:t>
      </w:r>
      <w:r w:rsidR="00725033" w:rsidRPr="0071546E">
        <w:rPr>
          <w:b w:val="0"/>
          <w:bCs/>
          <w:vertAlign w:val="superscript"/>
        </w:rPr>
        <w:t>o</w:t>
      </w:r>
      <w:r w:rsidR="00725033" w:rsidRPr="0071546E">
        <w:rPr>
          <w:b w:val="0"/>
          <w:bCs/>
        </w:rPr>
        <w:t>C in a shaker thermostat incubator set to stir plate</w:t>
      </w:r>
      <w:r w:rsidR="001F7EA9" w:rsidRPr="0071546E">
        <w:rPr>
          <w:b w:val="0"/>
          <w:bCs/>
        </w:rPr>
        <w:t>s at 400 rpm. After lysis, 50 μl</w:t>
      </w:r>
      <w:r w:rsidR="00725033" w:rsidRPr="0071546E">
        <w:rPr>
          <w:b w:val="0"/>
          <w:bCs/>
        </w:rPr>
        <w:t xml:space="preserve"> of firefly luciferase enzyme was added to 50 </w:t>
      </w:r>
      <w:r w:rsidR="00082FB0" w:rsidRPr="0071546E">
        <w:rPr>
          <w:b w:val="0"/>
          <w:bCs/>
        </w:rPr>
        <w:t>μl of lysed</w:t>
      </w:r>
      <w:r w:rsidR="00725033" w:rsidRPr="0071546E">
        <w:rPr>
          <w:b w:val="0"/>
          <w:bCs/>
        </w:rPr>
        <w:t xml:space="preserve"> cells in an opaque 96 </w:t>
      </w:r>
      <w:r w:rsidR="004B5BD9" w:rsidRPr="0071546E">
        <w:rPr>
          <w:b w:val="0"/>
          <w:bCs/>
        </w:rPr>
        <w:t>well plate</w:t>
      </w:r>
      <w:r w:rsidR="00725033" w:rsidRPr="0071546E">
        <w:rPr>
          <w:b w:val="0"/>
          <w:bCs/>
        </w:rPr>
        <w:t xml:space="preserve"> and bioluminescence read at 600 nm using Berthold Tristar LB941 spectrophotomete</w:t>
      </w:r>
      <w:r w:rsidR="00507708" w:rsidRPr="0071546E">
        <w:rPr>
          <w:b w:val="0"/>
          <w:bCs/>
        </w:rPr>
        <w:t>r.</w:t>
      </w:r>
    </w:p>
    <w:p w:rsidR="00725033" w:rsidRPr="0071546E" w:rsidRDefault="00725033" w:rsidP="00CF13FE">
      <w:pPr>
        <w:pStyle w:val="Heading2"/>
        <w:ind w:left="1021" w:right="454"/>
      </w:pPr>
      <w:bookmarkStart w:id="76" w:name="_Toc14711448"/>
      <w:r w:rsidRPr="0071546E">
        <w:t>2.7.2 Caspofungin drug assay</w:t>
      </w:r>
      <w:bookmarkEnd w:id="76"/>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Further validation was carried out using caspofungin an anti-fungal drug.</w:t>
      </w:r>
      <w:r w:rsidRPr="0071546E">
        <w:rPr>
          <w:rFonts w:ascii="Arial" w:eastAsiaTheme="minorEastAsia" w:hAnsi="Arial" w:cs="Arial"/>
          <w:b/>
          <w:bCs/>
          <w:sz w:val="24"/>
          <w:szCs w:val="24"/>
        </w:rPr>
        <w:t xml:space="preserve"> </w:t>
      </w:r>
      <w:r w:rsidRPr="0071546E">
        <w:rPr>
          <w:rFonts w:ascii="Arial" w:eastAsia="Times New Roman" w:hAnsi="Arial" w:cs="Arial"/>
          <w:bCs/>
          <w:sz w:val="24"/>
          <w:szCs w:val="24"/>
          <w:lang w:eastAsia="en-GB"/>
        </w:rPr>
        <w:t>Caspofungin</w:t>
      </w:r>
      <w:r w:rsidRPr="0071546E">
        <w:rPr>
          <w:rFonts w:ascii="Arial" w:eastAsia="Times New Roman" w:hAnsi="Arial" w:cs="Arial"/>
          <w:sz w:val="24"/>
          <w:szCs w:val="24"/>
          <w:lang w:eastAsia="en-GB"/>
        </w:rPr>
        <w:t xml:space="preserve"> inhibits the synthesis of β (1, 3)-d-glucan of </w:t>
      </w:r>
      <w:r w:rsidR="002C2939"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fungal cell wall, by non-competitive inhibition of the enzyme β (1, 3)-d-glucan synthase. Linkage of β (1, 3)-d-glucan form</w:t>
      </w:r>
      <w:r w:rsidR="002C2939" w:rsidRPr="0071546E">
        <w:rPr>
          <w:rFonts w:ascii="Arial" w:eastAsia="Times New Roman" w:hAnsi="Arial" w:cs="Arial"/>
          <w:sz w:val="24"/>
          <w:szCs w:val="24"/>
          <w:lang w:eastAsia="en-GB"/>
        </w:rPr>
        <w:t>s</w:t>
      </w:r>
      <w:r w:rsidRPr="0071546E">
        <w:rPr>
          <w:rFonts w:ascii="Arial" w:eastAsia="Times New Roman" w:hAnsi="Arial" w:cs="Arial"/>
          <w:sz w:val="24"/>
          <w:szCs w:val="24"/>
          <w:lang w:eastAsia="en-GB"/>
        </w:rPr>
        <w:t xml:space="preserve"> a solid three-dimensional matrix, which gives the cell wall robustness and shape.</w:t>
      </w:r>
    </w:p>
    <w:p w:rsidR="00725033" w:rsidRPr="0071546E" w:rsidRDefault="00725033" w:rsidP="00CF13FE">
      <w:pPr>
        <w:spacing w:before="100" w:after="0" w:line="480" w:lineRule="auto"/>
        <w:ind w:left="1021" w:right="454"/>
        <w:jc w:val="both"/>
        <w:rPr>
          <w:rFonts w:ascii="Arial" w:eastAsia="Times New Roman" w:hAnsi="Arial" w:cs="Arial"/>
          <w:bCs/>
          <w:sz w:val="24"/>
          <w:szCs w:val="24"/>
          <w:lang w:eastAsia="en-GB"/>
        </w:rPr>
      </w:pPr>
      <w:r w:rsidRPr="0071546E">
        <w:rPr>
          <w:rFonts w:ascii="Arial" w:eastAsia="Times New Roman" w:hAnsi="Arial" w:cs="Arial"/>
          <w:sz w:val="24"/>
          <w:szCs w:val="24"/>
          <w:lang w:eastAsia="en-GB"/>
        </w:rPr>
        <w:t xml:space="preserve">          Caspofungin </w:t>
      </w:r>
      <w:r w:rsidRPr="0071546E">
        <w:rPr>
          <w:rFonts w:ascii="Arial" w:eastAsia="Times New Roman" w:hAnsi="Arial" w:cs="Arial"/>
          <w:bCs/>
          <w:sz w:val="24"/>
          <w:szCs w:val="24"/>
          <w:lang w:eastAsia="en-GB"/>
        </w:rPr>
        <w:t>diacetate ≥ 97% (HPLC). 500 mg/l working concentration was made in distilled water and filter sterilised using a 0.2 µM pore size filter. Working concentration was diluted to give (500, 250, 125, 62.5, 30, 15, 7.5 3.125 mg/l). Each test well contains 4 replicates of 150 µl of cells in media and 50</w:t>
      </w:r>
      <w:r w:rsidRPr="0071546E">
        <w:rPr>
          <w:rFonts w:ascii="Arial" w:eastAsia="Times New Roman" w:hAnsi="Arial" w:cs="Arial"/>
          <w:sz w:val="24"/>
          <w:szCs w:val="24"/>
          <w:lang w:eastAsia="en-GB"/>
        </w:rPr>
        <w:t xml:space="preserve"> μl</w:t>
      </w:r>
      <w:r w:rsidR="00F64D04" w:rsidRPr="0071546E">
        <w:rPr>
          <w:rFonts w:ascii="Arial" w:eastAsia="Times New Roman" w:hAnsi="Arial" w:cs="Arial"/>
          <w:bCs/>
          <w:sz w:val="24"/>
          <w:szCs w:val="24"/>
          <w:lang w:eastAsia="en-GB"/>
        </w:rPr>
        <w:t xml:space="preserve"> of c</w:t>
      </w:r>
      <w:r w:rsidRPr="0071546E">
        <w:rPr>
          <w:rFonts w:ascii="Arial" w:eastAsia="Times New Roman" w:hAnsi="Arial" w:cs="Arial"/>
          <w:bCs/>
          <w:sz w:val="24"/>
          <w:szCs w:val="24"/>
          <w:lang w:eastAsia="en-GB"/>
        </w:rPr>
        <w:t xml:space="preserve">aspofungin. The </w:t>
      </w:r>
      <w:r w:rsidR="00A872D9" w:rsidRPr="0071546E">
        <w:rPr>
          <w:rFonts w:ascii="Arial" w:eastAsia="Times New Roman" w:hAnsi="Arial" w:cs="Arial"/>
          <w:bCs/>
          <w:sz w:val="24"/>
          <w:szCs w:val="24"/>
          <w:lang w:eastAsia="en-GB"/>
        </w:rPr>
        <w:t>plates were</w:t>
      </w:r>
      <w:r w:rsidRPr="0071546E">
        <w:rPr>
          <w:rFonts w:ascii="Arial" w:eastAsia="Times New Roman" w:hAnsi="Arial" w:cs="Arial"/>
          <w:bCs/>
          <w:sz w:val="24"/>
          <w:szCs w:val="24"/>
          <w:lang w:eastAsia="en-GB"/>
        </w:rPr>
        <w:t xml:space="preserve"> incubated at 30</w:t>
      </w:r>
      <w:r w:rsidRPr="0071546E">
        <w:rPr>
          <w:rFonts w:ascii="Arial" w:eastAsia="Times New Roman" w:hAnsi="Arial" w:cs="Arial"/>
          <w:bCs/>
          <w:sz w:val="24"/>
          <w:szCs w:val="24"/>
          <w:vertAlign w:val="superscript"/>
          <w:lang w:eastAsia="en-GB"/>
        </w:rPr>
        <w:t>o</w:t>
      </w:r>
      <w:r w:rsidRPr="0071546E">
        <w:rPr>
          <w:rFonts w:ascii="Arial" w:eastAsia="Times New Roman" w:hAnsi="Arial" w:cs="Arial"/>
          <w:bCs/>
          <w:sz w:val="24"/>
          <w:szCs w:val="24"/>
          <w:lang w:eastAsia="en-GB"/>
        </w:rPr>
        <w:t>C for 24 hours and ATP assay is carried out as outlined in povidone drug assay.</w:t>
      </w:r>
    </w:p>
    <w:p w:rsidR="00551E0B" w:rsidRPr="0071546E" w:rsidRDefault="00551E0B" w:rsidP="00CF13FE">
      <w:pPr>
        <w:spacing w:before="100" w:after="0" w:line="480" w:lineRule="auto"/>
        <w:ind w:left="1021" w:right="454"/>
        <w:jc w:val="both"/>
        <w:rPr>
          <w:rFonts w:ascii="Arial" w:eastAsia="Times New Roman" w:hAnsi="Arial" w:cs="Arial"/>
          <w:bCs/>
          <w:sz w:val="24"/>
          <w:szCs w:val="24"/>
          <w:lang w:eastAsia="en-GB"/>
        </w:rPr>
      </w:pPr>
    </w:p>
    <w:p w:rsidR="00725033" w:rsidRPr="0071546E" w:rsidRDefault="00725033" w:rsidP="00CF13FE">
      <w:pPr>
        <w:ind w:left="1021" w:right="454"/>
        <w:rPr>
          <w:rFonts w:ascii="Arial" w:eastAsia="Times New Roman" w:hAnsi="Arial" w:cs="Arial"/>
          <w:b/>
          <w:sz w:val="28"/>
          <w:szCs w:val="24"/>
          <w:lang w:eastAsia="en-GB"/>
        </w:rPr>
      </w:pPr>
      <w:r w:rsidRPr="0071546E">
        <w:rPr>
          <w:rFonts w:ascii="Arial" w:hAnsi="Arial" w:cs="Arial"/>
          <w:b/>
          <w:sz w:val="24"/>
        </w:rPr>
        <w:t>2.7.3 Amphotericin B</w:t>
      </w:r>
    </w:p>
    <w:p w:rsidR="00725033"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Further validation of ATP viability assay was carried out with amphotericin B.</w:t>
      </w:r>
      <w:r w:rsidRPr="0071546E">
        <w:rPr>
          <w:rFonts w:ascii="Arial" w:eastAsiaTheme="minorEastAsia" w:hAnsi="Arial" w:cs="Arial"/>
          <w:sz w:val="24"/>
          <w:szCs w:val="24"/>
        </w:rPr>
        <w:t xml:space="preserve"> </w:t>
      </w:r>
      <w:r w:rsidRPr="0071546E">
        <w:rPr>
          <w:rFonts w:ascii="Arial" w:eastAsia="Times New Roman" w:hAnsi="Arial" w:cs="Arial"/>
          <w:sz w:val="24"/>
          <w:szCs w:val="24"/>
          <w:lang w:eastAsia="en-GB"/>
        </w:rPr>
        <w:t xml:space="preserve">Amphotericin B is the most common </w:t>
      </w:r>
      <w:r w:rsidRPr="0071546E">
        <w:rPr>
          <w:rFonts w:ascii="Arial" w:eastAsia="Times New Roman" w:hAnsi="Arial" w:cs="Arial"/>
          <w:i/>
          <w:iCs/>
          <w:sz w:val="24"/>
          <w:szCs w:val="24"/>
          <w:lang w:eastAsia="en-GB"/>
        </w:rPr>
        <w:t>polyene</w:t>
      </w:r>
      <w:r w:rsidRPr="0071546E">
        <w:rPr>
          <w:rFonts w:ascii="Arial" w:eastAsia="Times New Roman" w:hAnsi="Arial" w:cs="Arial"/>
          <w:sz w:val="24"/>
          <w:szCs w:val="24"/>
          <w:lang w:eastAsia="en-GB"/>
        </w:rPr>
        <w:t xml:space="preserve"> antifungals. Its mechanism of action is by disruption of the fungi cell membrane stimulated by the agent binding to a sterol moiety, primarily </w:t>
      </w:r>
      <w:r w:rsidRPr="0071546E">
        <w:rPr>
          <w:rFonts w:ascii="Arial" w:eastAsia="Times New Roman" w:hAnsi="Arial" w:cs="Arial"/>
          <w:iCs/>
          <w:sz w:val="24"/>
          <w:szCs w:val="24"/>
          <w:lang w:eastAsia="en-GB"/>
        </w:rPr>
        <w:t>ergosterol</w:t>
      </w:r>
      <w:r w:rsidRPr="0071546E">
        <w:rPr>
          <w:rFonts w:ascii="Arial" w:eastAsia="Times New Roman" w:hAnsi="Arial" w:cs="Arial"/>
          <w:sz w:val="24"/>
          <w:szCs w:val="24"/>
          <w:lang w:eastAsia="en-GB"/>
        </w:rPr>
        <w:t xml:space="preserve">, in the </w:t>
      </w:r>
      <w:r w:rsidRPr="0071546E">
        <w:rPr>
          <w:rFonts w:ascii="Arial" w:eastAsia="Times New Roman" w:hAnsi="Arial" w:cs="Arial"/>
          <w:iCs/>
          <w:sz w:val="24"/>
          <w:szCs w:val="24"/>
          <w:lang w:eastAsia="en-GB"/>
        </w:rPr>
        <w:t>cell membrane</w:t>
      </w:r>
      <w:r w:rsidRPr="0071546E">
        <w:rPr>
          <w:rFonts w:ascii="Arial" w:eastAsia="Times New Roman" w:hAnsi="Arial" w:cs="Arial"/>
          <w:sz w:val="24"/>
          <w:szCs w:val="24"/>
          <w:lang w:eastAsia="en-GB"/>
        </w:rPr>
        <w:t xml:space="preserve"> of the fungi. Amphotericin B has demonstrated very high activity against most fungal species.</w:t>
      </w:r>
      <w:r w:rsidR="00DE6411"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 xml:space="preserve">A stock solution of amphotericin B 1000 mg/ml made in distilled water was double diluted to get 8 </w:t>
      </w:r>
      <w:r w:rsidR="00CF4D77" w:rsidRPr="0071546E">
        <w:rPr>
          <w:rFonts w:ascii="Arial" w:eastAsia="Times New Roman" w:hAnsi="Arial" w:cs="Arial"/>
          <w:sz w:val="24"/>
          <w:szCs w:val="24"/>
          <w:lang w:eastAsia="en-GB"/>
        </w:rPr>
        <w:t>concentrations</w:t>
      </w:r>
      <w:r w:rsidRPr="0071546E">
        <w:rPr>
          <w:rFonts w:ascii="Arial" w:eastAsia="Times New Roman" w:hAnsi="Arial" w:cs="Arial"/>
          <w:sz w:val="24"/>
          <w:szCs w:val="24"/>
          <w:lang w:eastAsia="en-GB"/>
        </w:rPr>
        <w:t xml:space="preserve">. For </w:t>
      </w:r>
      <w:r w:rsidR="002C2939"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viability test, 50 μl of each drug concentration (x4) replicates was added to 150 μl of amoeba growth media containing 10</w:t>
      </w:r>
      <w:r w:rsidRPr="0071546E">
        <w:rPr>
          <w:rFonts w:ascii="Arial" w:eastAsia="Times New Roman" w:hAnsi="Arial" w:cs="Arial"/>
          <w:sz w:val="24"/>
          <w:szCs w:val="24"/>
          <w:vertAlign w:val="superscript"/>
          <w:lang w:eastAsia="en-GB"/>
        </w:rPr>
        <w:t xml:space="preserve">6 </w:t>
      </w:r>
      <w:r w:rsidRPr="0071546E">
        <w:rPr>
          <w:rFonts w:ascii="Arial" w:eastAsia="Times New Roman" w:hAnsi="Arial" w:cs="Arial"/>
          <w:sz w:val="24"/>
          <w:szCs w:val="24"/>
          <w:lang w:eastAsia="en-GB"/>
        </w:rPr>
        <w:t>cells/ml. The drug + cell mix is incubated at 30</w:t>
      </w:r>
      <w:r w:rsidRPr="0071546E">
        <w:rPr>
          <w:rFonts w:ascii="Arial" w:eastAsia="Times New Roman" w:hAnsi="Arial" w:cs="Arial"/>
          <w:sz w:val="24"/>
          <w:szCs w:val="24"/>
          <w:vertAlign w:val="superscript"/>
          <w:lang w:eastAsia="en-GB"/>
        </w:rPr>
        <w:t>o</w:t>
      </w:r>
      <w:r w:rsidRPr="0071546E">
        <w:rPr>
          <w:rFonts w:ascii="Arial" w:eastAsia="Times New Roman" w:hAnsi="Arial" w:cs="Arial"/>
          <w:sz w:val="24"/>
          <w:szCs w:val="24"/>
          <w:lang w:eastAsia="en-GB"/>
        </w:rPr>
        <w:t xml:space="preserve">C for 24 hours. Cell viability is evaluated using </w:t>
      </w:r>
      <w:r w:rsidR="002C2939" w:rsidRPr="0071546E">
        <w:rPr>
          <w:rFonts w:ascii="Arial" w:eastAsia="Times New Roman" w:hAnsi="Arial" w:cs="Arial"/>
          <w:sz w:val="24"/>
          <w:szCs w:val="24"/>
          <w:lang w:eastAsia="en-GB"/>
        </w:rPr>
        <w:t xml:space="preserve">an </w:t>
      </w:r>
      <w:r w:rsidRPr="0071546E">
        <w:rPr>
          <w:rFonts w:ascii="Arial" w:eastAsia="Times New Roman" w:hAnsi="Arial" w:cs="Arial"/>
          <w:sz w:val="24"/>
          <w:szCs w:val="24"/>
          <w:lang w:eastAsia="en-GB"/>
        </w:rPr>
        <w:t>ATP assay (see ATP assay general protocol).</w:t>
      </w:r>
    </w:p>
    <w:p w:rsidR="00725033" w:rsidRPr="0071546E" w:rsidRDefault="00725033" w:rsidP="00CF13FE">
      <w:pPr>
        <w:pStyle w:val="Heading2"/>
        <w:ind w:left="1021" w:right="454"/>
      </w:pPr>
      <w:bookmarkStart w:id="77" w:name="_Toc14711449"/>
      <w:r w:rsidRPr="0071546E">
        <w:t>2.7.4 Miltefosine</w:t>
      </w:r>
      <w:bookmarkEnd w:id="77"/>
    </w:p>
    <w:p w:rsidR="00551E0B"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bCs/>
          <w:sz w:val="24"/>
          <w:szCs w:val="24"/>
          <w:lang w:eastAsia="en-GB"/>
        </w:rPr>
        <w:t>Miltefosine</w:t>
      </w:r>
      <w:r w:rsidRPr="0071546E">
        <w:rPr>
          <w:rFonts w:ascii="Arial" w:eastAsia="Times New Roman" w:hAnsi="Arial" w:cs="Arial"/>
          <w:sz w:val="24"/>
          <w:szCs w:val="24"/>
          <w:lang w:eastAsia="en-GB"/>
        </w:rPr>
        <w:t xml:space="preserve"> is a </w:t>
      </w:r>
      <w:r w:rsidR="00A872D9" w:rsidRPr="0071546E">
        <w:rPr>
          <w:rFonts w:ascii="Arial" w:eastAsia="Times New Roman" w:hAnsi="Arial" w:cs="Arial"/>
          <w:sz w:val="24"/>
          <w:szCs w:val="24"/>
          <w:lang w:eastAsia="en-GB"/>
        </w:rPr>
        <w:t>broad-spectrum</w:t>
      </w:r>
      <w:r w:rsidRPr="0071546E">
        <w:rPr>
          <w:rFonts w:ascii="Arial" w:eastAsia="Times New Roman" w:hAnsi="Arial" w:cs="Arial"/>
          <w:sz w:val="24"/>
          <w:szCs w:val="24"/>
          <w:lang w:eastAsia="en-GB"/>
        </w:rPr>
        <w:t xml:space="preserve"> antimicrobial, anti-leishmanial and phospholipid drug that was initially manufactured in the 1980s as an anti-cancer compound. It is currently the only recognized oral agent used to treat visceral, cutaneous, and mucosal forms of </w:t>
      </w:r>
      <w:r w:rsidR="00BE11C1" w:rsidRPr="0071546E">
        <w:rPr>
          <w:rFonts w:ascii="Arial" w:eastAsia="Times New Roman" w:hAnsi="Arial" w:cs="Arial"/>
          <w:sz w:val="24"/>
          <w:szCs w:val="24"/>
          <w:lang w:eastAsia="en-GB"/>
        </w:rPr>
        <w:t>leishmani</w:t>
      </w:r>
      <w:r w:rsidR="00110230" w:rsidRPr="0071546E">
        <w:rPr>
          <w:rFonts w:ascii="Arial" w:eastAsia="Times New Roman" w:hAnsi="Arial" w:cs="Arial"/>
          <w:sz w:val="24"/>
          <w:szCs w:val="24"/>
          <w:lang w:eastAsia="en-GB"/>
        </w:rPr>
        <w:t>a</w:t>
      </w:r>
      <w:r w:rsidR="00BE11C1" w:rsidRPr="0071546E">
        <w:rPr>
          <w:rFonts w:ascii="Arial" w:eastAsia="Times New Roman" w:hAnsi="Arial" w:cs="Arial"/>
          <w:sz w:val="24"/>
          <w:szCs w:val="24"/>
          <w:lang w:eastAsia="en-GB"/>
        </w:rPr>
        <w:t>sis</w:t>
      </w:r>
      <w:r w:rsidRPr="0071546E">
        <w:rPr>
          <w:rFonts w:ascii="Arial" w:eastAsia="Times New Roman" w:hAnsi="Arial" w:cs="Arial"/>
          <w:sz w:val="24"/>
          <w:szCs w:val="24"/>
          <w:lang w:eastAsia="en-GB"/>
        </w:rPr>
        <w:t>, a neglected tropical disease. Miltefosine was give</w:t>
      </w:r>
      <w:r w:rsidR="002C2939" w:rsidRPr="0071546E">
        <w:rPr>
          <w:rFonts w:ascii="Arial" w:eastAsia="Times New Roman" w:hAnsi="Arial" w:cs="Arial"/>
          <w:sz w:val="24"/>
          <w:szCs w:val="24"/>
          <w:lang w:eastAsia="en-GB"/>
        </w:rPr>
        <w:t>n</w:t>
      </w:r>
      <w:r w:rsidRPr="0071546E">
        <w:rPr>
          <w:rFonts w:ascii="Arial" w:eastAsia="Times New Roman" w:hAnsi="Arial" w:cs="Arial"/>
          <w:sz w:val="24"/>
          <w:szCs w:val="24"/>
          <w:lang w:eastAsia="en-GB"/>
        </w:rPr>
        <w:t xml:space="preserve"> orphan drug status for </w:t>
      </w:r>
      <w:r w:rsidR="002C2939" w:rsidRPr="0071546E">
        <w:rPr>
          <w:rFonts w:ascii="Arial" w:eastAsia="Times New Roman" w:hAnsi="Arial" w:cs="Arial"/>
          <w:sz w:val="24"/>
          <w:szCs w:val="24"/>
          <w:lang w:eastAsia="en-GB"/>
        </w:rPr>
        <w:t xml:space="preserve">the </w:t>
      </w:r>
      <w:r w:rsidRPr="0071546E">
        <w:rPr>
          <w:rFonts w:ascii="Arial" w:eastAsia="Times New Roman" w:hAnsi="Arial" w:cs="Arial"/>
          <w:sz w:val="24"/>
          <w:szCs w:val="24"/>
          <w:lang w:eastAsia="en-GB"/>
        </w:rPr>
        <w:t xml:space="preserve">treatment of </w:t>
      </w:r>
      <w:r w:rsidR="00432D1D"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keratitis by the US FDA in 2017.</w:t>
      </w:r>
      <w:r w:rsidR="00655193" w:rsidRPr="0071546E">
        <w:rPr>
          <w:rFonts w:ascii="Arial" w:eastAsia="Times New Roman" w:hAnsi="Arial" w:cs="Arial"/>
          <w:sz w:val="24"/>
          <w:szCs w:val="24"/>
          <w:lang w:eastAsia="en-GB"/>
        </w:rPr>
        <w:t xml:space="preserve"> </w:t>
      </w:r>
      <w:r w:rsidRPr="0071546E">
        <w:rPr>
          <w:rFonts w:ascii="Arial" w:eastAsia="Times New Roman" w:hAnsi="Arial" w:cs="Arial"/>
          <w:bCs/>
          <w:sz w:val="24"/>
          <w:szCs w:val="24"/>
          <w:lang w:eastAsia="en-GB"/>
        </w:rPr>
        <w:t>Miltefosine hydrate ≥ 50 mg/ml was prepared in sterile water and the</w:t>
      </w:r>
      <w:r w:rsidR="002C2939" w:rsidRPr="0071546E">
        <w:rPr>
          <w:rFonts w:ascii="Arial" w:eastAsia="Times New Roman" w:hAnsi="Arial" w:cs="Arial"/>
          <w:bCs/>
          <w:sz w:val="24"/>
          <w:szCs w:val="24"/>
          <w:lang w:eastAsia="en-GB"/>
        </w:rPr>
        <w:t>n</w:t>
      </w:r>
      <w:r w:rsidRPr="0071546E">
        <w:rPr>
          <w:rFonts w:ascii="Arial" w:eastAsia="Times New Roman" w:hAnsi="Arial" w:cs="Arial"/>
          <w:bCs/>
          <w:sz w:val="24"/>
          <w:szCs w:val="24"/>
          <w:lang w:eastAsia="en-GB"/>
        </w:rPr>
        <w:t xml:space="preserve"> diluted to get 8 test concentrations. The test concentrations were inoculated in already prepared </w:t>
      </w:r>
      <w:r w:rsidR="00432D1D" w:rsidRPr="0071546E">
        <w:rPr>
          <w:rFonts w:ascii="Arial" w:eastAsia="Times New Roman" w:hAnsi="Arial" w:cs="Arial"/>
          <w:bCs/>
          <w:i/>
          <w:sz w:val="24"/>
          <w:szCs w:val="24"/>
          <w:lang w:eastAsia="en-GB"/>
        </w:rPr>
        <w:t>Acanthamoeba</w:t>
      </w:r>
      <w:r w:rsidRPr="0071546E">
        <w:rPr>
          <w:rFonts w:ascii="Arial" w:eastAsia="Times New Roman" w:hAnsi="Arial" w:cs="Arial"/>
          <w:bCs/>
          <w:sz w:val="24"/>
          <w:szCs w:val="24"/>
          <w:lang w:eastAsia="en-GB"/>
        </w:rPr>
        <w:t xml:space="preserve"> cells (50</w:t>
      </w:r>
      <w:r w:rsidRPr="0071546E">
        <w:rPr>
          <w:rFonts w:ascii="Arial" w:eastAsia="Times New Roman" w:hAnsi="Arial" w:cs="Arial"/>
          <w:sz w:val="24"/>
          <w:szCs w:val="24"/>
          <w:lang w:eastAsia="en-GB"/>
        </w:rPr>
        <w:t xml:space="preserve"> μl</w:t>
      </w:r>
      <w:r w:rsidRPr="0071546E">
        <w:rPr>
          <w:rFonts w:ascii="Arial" w:eastAsia="Times New Roman" w:hAnsi="Arial" w:cs="Arial"/>
          <w:bCs/>
          <w:sz w:val="24"/>
          <w:szCs w:val="24"/>
          <w:lang w:eastAsia="en-GB"/>
        </w:rPr>
        <w:t xml:space="preserve"> of each concentration X 150</w:t>
      </w:r>
      <w:r w:rsidRPr="0071546E">
        <w:rPr>
          <w:rFonts w:ascii="Arial" w:eastAsia="Times New Roman" w:hAnsi="Arial" w:cs="Arial"/>
          <w:sz w:val="24"/>
          <w:szCs w:val="24"/>
          <w:lang w:eastAsia="en-GB"/>
        </w:rPr>
        <w:t xml:space="preserve"> μl</w:t>
      </w:r>
      <w:r w:rsidRPr="0071546E">
        <w:rPr>
          <w:rFonts w:ascii="Arial" w:eastAsia="Times New Roman" w:hAnsi="Arial" w:cs="Arial"/>
          <w:bCs/>
          <w:sz w:val="24"/>
          <w:szCs w:val="24"/>
          <w:lang w:eastAsia="en-GB"/>
        </w:rPr>
        <w:t xml:space="preserve"> of cell in media) and incubated at 30</w:t>
      </w:r>
      <w:r w:rsidRPr="0071546E">
        <w:rPr>
          <w:rFonts w:ascii="Arial" w:eastAsia="Times New Roman" w:hAnsi="Arial" w:cs="Arial"/>
          <w:bCs/>
          <w:sz w:val="24"/>
          <w:szCs w:val="24"/>
          <w:vertAlign w:val="superscript"/>
          <w:lang w:eastAsia="en-GB"/>
        </w:rPr>
        <w:t>o</w:t>
      </w:r>
      <w:r w:rsidRPr="0071546E">
        <w:rPr>
          <w:rFonts w:ascii="Arial" w:eastAsia="Times New Roman" w:hAnsi="Arial" w:cs="Arial"/>
          <w:bCs/>
          <w:sz w:val="24"/>
          <w:szCs w:val="24"/>
          <w:lang w:eastAsia="en-GB"/>
        </w:rPr>
        <w:t>C for 24 hours in a plate shaker incubator. Cell viability is evaluated using the ATP assay. (See protocol above)</w:t>
      </w:r>
      <w:r w:rsidR="00551E0B" w:rsidRPr="0071546E">
        <w:rPr>
          <w:rFonts w:ascii="Arial" w:eastAsia="Times New Roman" w:hAnsi="Arial" w:cs="Arial"/>
          <w:sz w:val="24"/>
          <w:szCs w:val="24"/>
          <w:lang w:eastAsia="en-GB"/>
        </w:rPr>
        <w:t>.</w:t>
      </w:r>
    </w:p>
    <w:p w:rsidR="00551E0B" w:rsidRPr="0071546E" w:rsidRDefault="00551E0B" w:rsidP="00CF13FE">
      <w:pPr>
        <w:spacing w:before="100" w:after="0" w:line="480" w:lineRule="auto"/>
        <w:ind w:left="1021" w:right="454"/>
        <w:jc w:val="both"/>
        <w:rPr>
          <w:rFonts w:ascii="Arial" w:eastAsia="Times New Roman" w:hAnsi="Arial" w:cs="Arial"/>
          <w:sz w:val="24"/>
          <w:szCs w:val="24"/>
          <w:lang w:eastAsia="en-GB"/>
        </w:rPr>
      </w:pPr>
    </w:p>
    <w:p w:rsidR="00551E0B" w:rsidRPr="0071546E" w:rsidRDefault="00551E0B" w:rsidP="00CF13FE">
      <w:pPr>
        <w:spacing w:before="100" w:after="0" w:line="480" w:lineRule="auto"/>
        <w:ind w:left="1021" w:right="454"/>
        <w:jc w:val="both"/>
        <w:rPr>
          <w:rFonts w:ascii="Arial" w:eastAsia="Times New Roman" w:hAnsi="Arial" w:cs="Arial"/>
          <w:sz w:val="24"/>
          <w:szCs w:val="24"/>
          <w:lang w:eastAsia="en-GB"/>
        </w:rPr>
      </w:pPr>
    </w:p>
    <w:p w:rsidR="00551E0B" w:rsidRPr="0071546E" w:rsidRDefault="00551E0B" w:rsidP="00CF13FE">
      <w:pPr>
        <w:spacing w:before="100" w:after="0" w:line="480" w:lineRule="auto"/>
        <w:ind w:left="1021" w:right="454"/>
        <w:jc w:val="both"/>
        <w:rPr>
          <w:rFonts w:ascii="Arial" w:eastAsia="Times New Roman" w:hAnsi="Arial" w:cs="Arial"/>
          <w:sz w:val="24"/>
          <w:szCs w:val="24"/>
          <w:lang w:eastAsia="en-GB"/>
        </w:rPr>
      </w:pPr>
    </w:p>
    <w:p w:rsidR="00551E0B" w:rsidRPr="0071546E" w:rsidRDefault="00551E0B" w:rsidP="00CF13FE">
      <w:pPr>
        <w:spacing w:before="100" w:after="0" w:line="480" w:lineRule="auto"/>
        <w:ind w:left="1021" w:right="454"/>
        <w:jc w:val="both"/>
        <w:rPr>
          <w:rFonts w:ascii="Arial" w:eastAsia="Times New Roman" w:hAnsi="Arial" w:cs="Arial"/>
          <w:sz w:val="24"/>
          <w:szCs w:val="24"/>
          <w:lang w:eastAsia="en-GB"/>
        </w:rPr>
      </w:pPr>
    </w:p>
    <w:p w:rsidR="00551E0B" w:rsidRPr="0071546E" w:rsidRDefault="00551E0B" w:rsidP="00CF13FE">
      <w:pPr>
        <w:spacing w:before="100" w:after="0" w:line="480" w:lineRule="auto"/>
        <w:ind w:left="1021" w:right="454"/>
        <w:jc w:val="both"/>
        <w:rPr>
          <w:rFonts w:ascii="Arial" w:eastAsia="Times New Roman" w:hAnsi="Arial" w:cs="Arial"/>
          <w:sz w:val="24"/>
          <w:szCs w:val="24"/>
          <w:lang w:eastAsia="en-GB"/>
        </w:rPr>
      </w:pPr>
    </w:p>
    <w:p w:rsidR="00551E0B" w:rsidRPr="0071546E" w:rsidRDefault="00551E0B" w:rsidP="00CF13FE">
      <w:pPr>
        <w:spacing w:before="100" w:after="0" w:line="480" w:lineRule="auto"/>
        <w:ind w:left="1021" w:right="454"/>
        <w:jc w:val="both"/>
        <w:rPr>
          <w:rFonts w:ascii="Arial" w:eastAsia="Times New Roman" w:hAnsi="Arial" w:cs="Arial"/>
          <w:sz w:val="24"/>
          <w:szCs w:val="24"/>
          <w:lang w:eastAsia="en-GB"/>
        </w:rPr>
      </w:pPr>
    </w:p>
    <w:p w:rsidR="00551E0B" w:rsidRPr="0071546E" w:rsidRDefault="00551E0B" w:rsidP="00CF13FE">
      <w:pPr>
        <w:spacing w:before="100" w:after="0" w:line="480" w:lineRule="auto"/>
        <w:ind w:left="1021" w:right="454"/>
        <w:jc w:val="both"/>
        <w:rPr>
          <w:rFonts w:ascii="Arial" w:eastAsia="Times New Roman" w:hAnsi="Arial" w:cs="Arial"/>
          <w:sz w:val="24"/>
          <w:szCs w:val="24"/>
          <w:lang w:eastAsia="en-GB"/>
        </w:rPr>
      </w:pPr>
    </w:p>
    <w:p w:rsidR="00DE6411" w:rsidRPr="0071546E" w:rsidRDefault="00725033" w:rsidP="00CF13FE">
      <w:pPr>
        <w:spacing w:before="100"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 </w:t>
      </w:r>
    </w:p>
    <w:p w:rsidR="00725033" w:rsidRPr="0071546E" w:rsidRDefault="00725033" w:rsidP="00CF13FE">
      <w:pPr>
        <w:spacing w:before="100" w:after="0" w:line="480" w:lineRule="auto"/>
        <w:ind w:left="1021" w:right="454"/>
        <w:jc w:val="both"/>
        <w:rPr>
          <w:rFonts w:ascii="Arial" w:eastAsia="Times New Roman" w:hAnsi="Arial" w:cs="Arial"/>
          <w:b/>
          <w:sz w:val="28"/>
          <w:szCs w:val="24"/>
          <w:lang w:eastAsia="en-GB"/>
        </w:rPr>
      </w:pPr>
      <w:r w:rsidRPr="0071546E">
        <w:rPr>
          <w:rFonts w:ascii="Arial" w:hAnsi="Arial" w:cs="Arial"/>
          <w:b/>
          <w:sz w:val="24"/>
        </w:rPr>
        <w:t>2.8 Photodynamic therapy assays.</w:t>
      </w:r>
    </w:p>
    <w:p w:rsidR="00725033" w:rsidRPr="0071546E" w:rsidRDefault="00725033" w:rsidP="00CF13FE">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In order to carry out a detailed investigation o</w:t>
      </w:r>
      <w:r w:rsidR="002C2939" w:rsidRPr="0071546E">
        <w:rPr>
          <w:rFonts w:ascii="Arial" w:eastAsia="Times New Roman" w:hAnsi="Arial" w:cs="Arial"/>
          <w:color w:val="000000" w:themeColor="text1"/>
          <w:sz w:val="24"/>
          <w:szCs w:val="24"/>
          <w:lang w:eastAsia="en-GB"/>
        </w:rPr>
        <w:t>f</w:t>
      </w:r>
      <w:r w:rsidRPr="0071546E">
        <w:rPr>
          <w:rFonts w:ascii="Arial" w:eastAsia="Times New Roman" w:hAnsi="Arial" w:cs="Arial"/>
          <w:color w:val="000000" w:themeColor="text1"/>
          <w:sz w:val="24"/>
          <w:szCs w:val="24"/>
          <w:lang w:eastAsia="en-GB"/>
        </w:rPr>
        <w:t xml:space="preserve"> the efficacy of photodynamic therapy on the cyst and trophozoites of </w:t>
      </w:r>
      <w:r w:rsidR="00432D1D" w:rsidRPr="0071546E">
        <w:rPr>
          <w:rFonts w:ascii="Arial" w:eastAsia="Times New Roman" w:hAnsi="Arial" w:cs="Arial"/>
          <w:i/>
          <w:color w:val="000000" w:themeColor="text1"/>
          <w:sz w:val="24"/>
          <w:szCs w:val="24"/>
          <w:lang w:eastAsia="en-GB"/>
        </w:rPr>
        <w:t>Acanthamoeba</w:t>
      </w:r>
      <w:r w:rsidRPr="0071546E">
        <w:rPr>
          <w:rFonts w:ascii="Arial" w:eastAsia="Times New Roman" w:hAnsi="Arial" w:cs="Arial"/>
          <w:color w:val="000000" w:themeColor="text1"/>
          <w:sz w:val="24"/>
          <w:szCs w:val="24"/>
          <w:lang w:eastAsia="en-GB"/>
        </w:rPr>
        <w:t xml:space="preserve">, we selected four porphyrins. These porphyrins have been synthesised to have other compounds as conjugate hence their chemical behaviours are expected to vary. </w:t>
      </w:r>
      <w:r w:rsidR="00E6012B" w:rsidRPr="0071546E">
        <w:rPr>
          <w:rFonts w:ascii="Arial" w:eastAsia="Times New Roman" w:hAnsi="Arial" w:cs="Arial"/>
          <w:color w:val="000000" w:themeColor="text1"/>
          <w:sz w:val="24"/>
          <w:szCs w:val="24"/>
          <w:lang w:eastAsia="en-GB"/>
        </w:rPr>
        <w:t>Firstly,</w:t>
      </w:r>
      <w:r w:rsidRPr="0071546E">
        <w:rPr>
          <w:rFonts w:ascii="Arial" w:eastAsia="Times New Roman" w:hAnsi="Arial" w:cs="Arial"/>
          <w:color w:val="000000" w:themeColor="text1"/>
          <w:sz w:val="24"/>
          <w:szCs w:val="24"/>
          <w:lang w:eastAsia="en-GB"/>
        </w:rPr>
        <w:t xml:space="preserve"> we evaluated the use of toluidine blue to inactivate </w:t>
      </w:r>
      <w:r w:rsidR="00432D1D" w:rsidRPr="0071546E">
        <w:rPr>
          <w:rFonts w:ascii="Arial" w:eastAsia="Times New Roman" w:hAnsi="Arial" w:cs="Arial"/>
          <w:i/>
          <w:color w:val="000000" w:themeColor="text1"/>
          <w:sz w:val="24"/>
          <w:szCs w:val="24"/>
          <w:lang w:eastAsia="en-GB"/>
        </w:rPr>
        <w:t>Acanthamoeba</w:t>
      </w:r>
      <w:r w:rsidRPr="0071546E">
        <w:rPr>
          <w:rFonts w:ascii="Arial" w:eastAsia="Times New Roman" w:hAnsi="Arial" w:cs="Arial"/>
          <w:color w:val="000000" w:themeColor="text1"/>
          <w:sz w:val="24"/>
          <w:szCs w:val="24"/>
          <w:lang w:eastAsia="en-GB"/>
        </w:rPr>
        <w:t xml:space="preserve"> trophozoites as a preliminary test.  This was </w:t>
      </w:r>
      <w:r w:rsidR="00E6012B" w:rsidRPr="0071546E">
        <w:rPr>
          <w:rFonts w:ascii="Arial" w:eastAsia="Times New Roman" w:hAnsi="Arial" w:cs="Arial"/>
          <w:color w:val="000000" w:themeColor="text1"/>
          <w:sz w:val="24"/>
          <w:szCs w:val="24"/>
          <w:lang w:eastAsia="en-GB"/>
        </w:rPr>
        <w:t xml:space="preserve">carried out </w:t>
      </w:r>
      <w:r w:rsidRPr="0071546E">
        <w:rPr>
          <w:rFonts w:ascii="Arial" w:eastAsia="Times New Roman" w:hAnsi="Arial" w:cs="Arial"/>
          <w:color w:val="000000" w:themeColor="text1"/>
          <w:sz w:val="24"/>
          <w:szCs w:val="24"/>
          <w:lang w:eastAsia="en-GB"/>
        </w:rPr>
        <w:t xml:space="preserve">to optimise our light system and establish parameters regarding dosing, quantification of light energy applied and exposure time. The general PDT process is illustrated below fig </w:t>
      </w:r>
      <w:r w:rsidR="00E6012B" w:rsidRPr="0071546E">
        <w:rPr>
          <w:rFonts w:ascii="Arial" w:eastAsia="Times New Roman" w:hAnsi="Arial" w:cs="Arial"/>
          <w:color w:val="000000" w:themeColor="text1"/>
          <w:sz w:val="24"/>
          <w:szCs w:val="24"/>
          <w:lang w:eastAsia="en-GB"/>
        </w:rPr>
        <w:t>2.2</w:t>
      </w:r>
    </w:p>
    <w:p w:rsidR="00725033" w:rsidRPr="0071546E" w:rsidRDefault="00551E0B" w:rsidP="00551E0B">
      <w:pPr>
        <w:spacing w:before="100" w:after="0" w:line="240" w:lineRule="atLeast"/>
        <w:ind w:right="454"/>
        <w:jc w:val="both"/>
        <w:rPr>
          <w:rFonts w:ascii="Arial" w:eastAsia="Times New Roman" w:hAnsi="Arial" w:cs="Arial"/>
          <w:b/>
          <w:color w:val="000000" w:themeColor="text1"/>
          <w:sz w:val="24"/>
          <w:szCs w:val="24"/>
          <w:lang w:eastAsia="en-GB"/>
        </w:rPr>
      </w:pPr>
      <w:r w:rsidRPr="0071546E">
        <w:rPr>
          <w:rFonts w:ascii="Arial" w:eastAsia="Times New Roman" w:hAnsi="Arial" w:cs="Arial"/>
          <w:b/>
          <w:color w:val="000000" w:themeColor="text1"/>
          <w:sz w:val="24"/>
          <w:szCs w:val="24"/>
          <w:lang w:eastAsia="en-GB"/>
        </w:rPr>
        <w:t xml:space="preserve">               </w:t>
      </w:r>
      <w:r w:rsidR="00725033" w:rsidRPr="0071546E">
        <w:rPr>
          <w:rFonts w:ascii="Arial" w:eastAsia="Times New Roman" w:hAnsi="Arial" w:cs="Arial"/>
          <w:b/>
          <w:noProof/>
          <w:color w:val="000000" w:themeColor="text1"/>
          <w:sz w:val="24"/>
          <w:szCs w:val="24"/>
          <w:lang w:eastAsia="en-GB"/>
        </w:rPr>
        <w:drawing>
          <wp:inline distT="0" distB="0" distL="0" distR="0" wp14:anchorId="37C8041B" wp14:editId="0F5240C6">
            <wp:extent cx="4656406" cy="4079240"/>
            <wp:effectExtent l="0" t="0" r="11430" b="16510"/>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725033" w:rsidRPr="0071546E" w:rsidRDefault="00725033" w:rsidP="00551E0B">
      <w:pPr>
        <w:spacing w:before="100" w:after="0" w:line="240" w:lineRule="atLeast"/>
        <w:ind w:left="1021" w:right="454"/>
        <w:jc w:val="both"/>
        <w:rPr>
          <w:rFonts w:ascii="Arial" w:eastAsia="Times New Roman" w:hAnsi="Arial" w:cs="Arial"/>
          <w:color w:val="000000" w:themeColor="text1"/>
          <w:sz w:val="20"/>
          <w:szCs w:val="20"/>
          <w:lang w:eastAsia="en-GB"/>
        </w:rPr>
      </w:pPr>
      <w:r w:rsidRPr="0071546E">
        <w:rPr>
          <w:rFonts w:ascii="Arial" w:eastAsia="Times New Roman" w:hAnsi="Arial" w:cs="Arial"/>
          <w:color w:val="000000" w:themeColor="text1"/>
          <w:sz w:val="20"/>
          <w:szCs w:val="20"/>
          <w:lang w:eastAsia="en-GB"/>
        </w:rPr>
        <w:t xml:space="preserve">Fig </w:t>
      </w:r>
      <w:r w:rsidR="00E6012B" w:rsidRPr="0071546E">
        <w:rPr>
          <w:rFonts w:ascii="Arial" w:eastAsia="Times New Roman" w:hAnsi="Arial" w:cs="Arial"/>
          <w:color w:val="000000" w:themeColor="text1"/>
          <w:sz w:val="20"/>
          <w:szCs w:val="20"/>
          <w:lang w:eastAsia="en-GB"/>
        </w:rPr>
        <w:t>2.2 The</w:t>
      </w:r>
      <w:r w:rsidRPr="0071546E">
        <w:rPr>
          <w:rFonts w:ascii="Arial" w:eastAsia="Times New Roman" w:hAnsi="Arial" w:cs="Arial"/>
          <w:color w:val="000000" w:themeColor="text1"/>
          <w:sz w:val="20"/>
          <w:szCs w:val="20"/>
          <w:lang w:eastAsia="en-GB"/>
        </w:rPr>
        <w:t xml:space="preserve"> general process for </w:t>
      </w:r>
      <w:r w:rsidR="00432D1D" w:rsidRPr="0071546E">
        <w:rPr>
          <w:rFonts w:ascii="Arial" w:eastAsia="Times New Roman" w:hAnsi="Arial" w:cs="Arial"/>
          <w:i/>
          <w:color w:val="000000" w:themeColor="text1"/>
          <w:sz w:val="20"/>
          <w:szCs w:val="20"/>
          <w:lang w:eastAsia="en-GB"/>
        </w:rPr>
        <w:t>Acanthamoeba</w:t>
      </w:r>
      <w:r w:rsidRPr="0071546E">
        <w:rPr>
          <w:rFonts w:ascii="Arial" w:eastAsia="Times New Roman" w:hAnsi="Arial" w:cs="Arial"/>
          <w:color w:val="000000" w:themeColor="text1"/>
          <w:sz w:val="20"/>
          <w:szCs w:val="20"/>
          <w:lang w:eastAsia="en-GB"/>
        </w:rPr>
        <w:t xml:space="preserve"> Photodynamic therapy. Step (1) inoculation of cells with the photosensitiser. Step (2) irradiation (3) incubation, (4) lysis (5) ATP assay an</w:t>
      </w:r>
      <w:r w:rsidR="00BE11C1" w:rsidRPr="0071546E">
        <w:rPr>
          <w:rFonts w:ascii="Arial" w:eastAsia="Times New Roman" w:hAnsi="Arial" w:cs="Arial"/>
          <w:color w:val="000000" w:themeColor="text1"/>
          <w:sz w:val="20"/>
          <w:szCs w:val="20"/>
          <w:lang w:eastAsia="en-GB"/>
        </w:rPr>
        <w:t xml:space="preserve">d finally spectrophotometric </w:t>
      </w:r>
      <w:r w:rsidRPr="0071546E">
        <w:rPr>
          <w:rFonts w:ascii="Arial" w:eastAsia="Times New Roman" w:hAnsi="Arial" w:cs="Arial"/>
          <w:color w:val="000000" w:themeColor="text1"/>
          <w:sz w:val="20"/>
          <w:szCs w:val="20"/>
          <w:lang w:eastAsia="en-GB"/>
        </w:rPr>
        <w:t xml:space="preserve">analysis. </w:t>
      </w:r>
    </w:p>
    <w:p w:rsidR="009C2D9B" w:rsidRPr="0071546E" w:rsidRDefault="009C2D9B" w:rsidP="00551E0B">
      <w:pPr>
        <w:spacing w:before="100" w:after="0" w:line="276" w:lineRule="auto"/>
        <w:ind w:right="454"/>
        <w:jc w:val="both"/>
        <w:rPr>
          <w:rFonts w:ascii="Arial" w:eastAsia="Times New Roman" w:hAnsi="Arial" w:cs="Arial"/>
          <w:color w:val="000000" w:themeColor="text1"/>
          <w:sz w:val="20"/>
          <w:szCs w:val="20"/>
          <w:lang w:eastAsia="en-GB"/>
        </w:rPr>
      </w:pPr>
    </w:p>
    <w:p w:rsidR="00551E0B" w:rsidRPr="0071546E" w:rsidRDefault="00551E0B" w:rsidP="00551E0B">
      <w:pPr>
        <w:spacing w:before="100" w:after="0" w:line="276" w:lineRule="auto"/>
        <w:ind w:right="454"/>
        <w:jc w:val="both"/>
        <w:rPr>
          <w:rFonts w:ascii="Arial" w:eastAsia="Times New Roman" w:hAnsi="Arial" w:cs="Arial"/>
          <w:color w:val="000000" w:themeColor="text1"/>
          <w:sz w:val="20"/>
          <w:szCs w:val="20"/>
          <w:lang w:eastAsia="en-GB"/>
        </w:rPr>
      </w:pPr>
    </w:p>
    <w:p w:rsidR="00725033" w:rsidRPr="0071546E" w:rsidRDefault="00725033" w:rsidP="00CF13FE">
      <w:pPr>
        <w:pStyle w:val="Heading2"/>
        <w:ind w:left="1021" w:right="454"/>
      </w:pPr>
      <w:bookmarkStart w:id="78" w:name="_Toc14711450"/>
      <w:r w:rsidRPr="0071546E">
        <w:t>2.8.1 Toluidine blue assay</w:t>
      </w:r>
      <w:bookmarkEnd w:id="78"/>
    </w:p>
    <w:p w:rsidR="009C2D9B" w:rsidRPr="0071546E" w:rsidRDefault="00D665C6" w:rsidP="00CF13FE">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A stock solution of 1 mM t</w:t>
      </w:r>
      <w:r w:rsidR="00725033" w:rsidRPr="0071546E">
        <w:rPr>
          <w:rFonts w:ascii="Arial" w:eastAsia="Times New Roman" w:hAnsi="Arial" w:cs="Arial"/>
          <w:color w:val="000000" w:themeColor="text1"/>
          <w:sz w:val="24"/>
          <w:szCs w:val="24"/>
          <w:lang w:eastAsia="en-GB"/>
        </w:rPr>
        <w:t>oluidine blue</w:t>
      </w:r>
      <w:r w:rsidRPr="0071546E">
        <w:rPr>
          <w:rFonts w:ascii="Arial" w:eastAsia="Times New Roman" w:hAnsi="Arial" w:cs="Arial"/>
          <w:color w:val="000000" w:themeColor="text1"/>
          <w:sz w:val="24"/>
          <w:szCs w:val="24"/>
          <w:lang w:eastAsia="en-GB"/>
        </w:rPr>
        <w:t xml:space="preserve"> (TB)</w:t>
      </w:r>
      <w:r w:rsidR="00725033" w:rsidRPr="0071546E">
        <w:rPr>
          <w:rFonts w:ascii="Arial" w:eastAsia="Times New Roman" w:hAnsi="Arial" w:cs="Arial"/>
          <w:color w:val="000000" w:themeColor="text1"/>
          <w:sz w:val="24"/>
          <w:szCs w:val="24"/>
          <w:lang w:eastAsia="en-GB"/>
        </w:rPr>
        <w:t xml:space="preserve"> was prepared in distilled water, filter sterilised and stored in the dark at 4</w:t>
      </w:r>
      <w:r w:rsidR="00725033" w:rsidRPr="0071546E">
        <w:rPr>
          <w:rFonts w:ascii="Arial" w:eastAsia="Times New Roman" w:hAnsi="Arial" w:cs="Arial"/>
          <w:color w:val="000000" w:themeColor="text1"/>
          <w:sz w:val="24"/>
          <w:szCs w:val="24"/>
          <w:vertAlign w:val="superscript"/>
          <w:lang w:eastAsia="en-GB"/>
        </w:rPr>
        <w:t>o</w:t>
      </w:r>
      <w:r w:rsidR="00725033" w:rsidRPr="0071546E">
        <w:rPr>
          <w:rFonts w:ascii="Arial" w:eastAsia="Times New Roman" w:hAnsi="Arial" w:cs="Arial"/>
          <w:color w:val="000000" w:themeColor="text1"/>
          <w:sz w:val="24"/>
          <w:szCs w:val="24"/>
          <w:lang w:eastAsia="en-GB"/>
        </w:rPr>
        <w:t>C. Prior to us</w:t>
      </w:r>
      <w:r w:rsidRPr="0071546E">
        <w:rPr>
          <w:rFonts w:ascii="Arial" w:eastAsia="Times New Roman" w:hAnsi="Arial" w:cs="Arial"/>
          <w:color w:val="000000" w:themeColor="text1"/>
          <w:sz w:val="24"/>
          <w:szCs w:val="24"/>
          <w:lang w:eastAsia="en-GB"/>
        </w:rPr>
        <w:t>e,</w:t>
      </w:r>
      <w:r w:rsidR="00725033" w:rsidRPr="0071546E">
        <w:rPr>
          <w:rFonts w:ascii="Arial" w:eastAsia="Times New Roman" w:hAnsi="Arial" w:cs="Arial"/>
          <w:color w:val="000000" w:themeColor="text1"/>
          <w:sz w:val="24"/>
          <w:szCs w:val="24"/>
          <w:lang w:eastAsia="en-GB"/>
        </w:rPr>
        <w:t xml:space="preserve"> the stock was diluted in PBS to get th</w:t>
      </w:r>
      <w:r w:rsidRPr="0071546E">
        <w:rPr>
          <w:rFonts w:ascii="Arial" w:eastAsia="Times New Roman" w:hAnsi="Arial" w:cs="Arial"/>
          <w:color w:val="000000" w:themeColor="text1"/>
          <w:sz w:val="24"/>
          <w:szCs w:val="24"/>
          <w:lang w:eastAsia="en-GB"/>
        </w:rPr>
        <w:t>e required concentration</w:t>
      </w:r>
      <w:r w:rsidR="00725033" w:rsidRPr="0071546E">
        <w:rPr>
          <w:rFonts w:ascii="Arial" w:eastAsia="Times New Roman" w:hAnsi="Arial" w:cs="Arial"/>
          <w:color w:val="000000" w:themeColor="text1"/>
          <w:sz w:val="24"/>
          <w:szCs w:val="24"/>
          <w:lang w:eastAsia="en-GB"/>
        </w:rPr>
        <w:t xml:space="preserve">. </w:t>
      </w:r>
      <w:r w:rsidR="00432D1D" w:rsidRPr="0071546E">
        <w:rPr>
          <w:rFonts w:ascii="Arial" w:eastAsia="Times New Roman" w:hAnsi="Arial" w:cs="Arial"/>
          <w:i/>
          <w:color w:val="000000" w:themeColor="text1"/>
          <w:sz w:val="24"/>
          <w:szCs w:val="24"/>
          <w:lang w:eastAsia="en-GB"/>
        </w:rPr>
        <w:t>Acanthamoeba</w:t>
      </w:r>
      <w:r w:rsidR="00725033" w:rsidRPr="0071546E">
        <w:rPr>
          <w:rFonts w:ascii="Arial" w:eastAsia="Times New Roman" w:hAnsi="Arial" w:cs="Arial"/>
          <w:color w:val="000000" w:themeColor="text1"/>
          <w:sz w:val="24"/>
          <w:szCs w:val="24"/>
          <w:lang w:eastAsia="en-GB"/>
        </w:rPr>
        <w:t xml:space="preserve"> trophozoites were prep</w:t>
      </w:r>
      <w:r w:rsidR="00BE11C1" w:rsidRPr="0071546E">
        <w:rPr>
          <w:rFonts w:ascii="Arial" w:eastAsia="Times New Roman" w:hAnsi="Arial" w:cs="Arial"/>
          <w:color w:val="000000" w:themeColor="text1"/>
          <w:sz w:val="24"/>
          <w:szCs w:val="24"/>
          <w:lang w:eastAsia="en-GB"/>
        </w:rPr>
        <w:t>ared by centrifugation (1500</w:t>
      </w:r>
      <w:r w:rsidR="00725033" w:rsidRPr="0071546E">
        <w:rPr>
          <w:rFonts w:ascii="Arial" w:eastAsia="Times New Roman" w:hAnsi="Arial" w:cs="Arial"/>
          <w:color w:val="000000" w:themeColor="text1"/>
          <w:sz w:val="24"/>
          <w:szCs w:val="24"/>
          <w:lang w:eastAsia="en-GB"/>
        </w:rPr>
        <w:t>g x 5 minutes</w:t>
      </w:r>
      <w:r w:rsidR="00BE11C1" w:rsidRPr="0071546E">
        <w:rPr>
          <w:rFonts w:ascii="Arial" w:eastAsia="Times New Roman" w:hAnsi="Arial" w:cs="Arial"/>
          <w:color w:val="000000" w:themeColor="text1"/>
          <w:sz w:val="24"/>
          <w:szCs w:val="24"/>
          <w:lang w:eastAsia="en-GB"/>
        </w:rPr>
        <w:t>), and then</w:t>
      </w:r>
      <w:r w:rsidR="00725033" w:rsidRPr="0071546E">
        <w:rPr>
          <w:rFonts w:ascii="Arial" w:eastAsia="Times New Roman" w:hAnsi="Arial" w:cs="Arial"/>
          <w:color w:val="000000" w:themeColor="text1"/>
          <w:sz w:val="24"/>
          <w:szCs w:val="24"/>
          <w:lang w:eastAsia="en-GB"/>
        </w:rPr>
        <w:t xml:space="preserve"> re-suspended in fresh PYG media. </w:t>
      </w:r>
      <w:r w:rsidR="002C2939" w:rsidRPr="0071546E">
        <w:rPr>
          <w:rFonts w:ascii="Arial" w:eastAsia="Times New Roman" w:hAnsi="Arial" w:cs="Arial"/>
          <w:color w:val="000000" w:themeColor="text1"/>
          <w:sz w:val="24"/>
          <w:szCs w:val="24"/>
          <w:lang w:eastAsia="en-GB"/>
        </w:rPr>
        <w:t>The c</w:t>
      </w:r>
      <w:r w:rsidR="00725033" w:rsidRPr="0071546E">
        <w:rPr>
          <w:rFonts w:ascii="Arial" w:eastAsia="Times New Roman" w:hAnsi="Arial" w:cs="Arial"/>
          <w:color w:val="000000" w:themeColor="text1"/>
          <w:sz w:val="24"/>
          <w:szCs w:val="24"/>
          <w:lang w:eastAsia="en-GB"/>
        </w:rPr>
        <w:t>ell w</w:t>
      </w:r>
      <w:r w:rsidR="002C2939" w:rsidRPr="0071546E">
        <w:rPr>
          <w:rFonts w:ascii="Arial" w:eastAsia="Times New Roman" w:hAnsi="Arial" w:cs="Arial"/>
          <w:color w:val="000000" w:themeColor="text1"/>
          <w:sz w:val="24"/>
          <w:szCs w:val="24"/>
          <w:lang w:eastAsia="en-GB"/>
        </w:rPr>
        <w:t>as</w:t>
      </w:r>
      <w:r w:rsidR="00725033" w:rsidRPr="0071546E">
        <w:rPr>
          <w:rFonts w:ascii="Arial" w:eastAsia="Times New Roman" w:hAnsi="Arial" w:cs="Arial"/>
          <w:color w:val="000000" w:themeColor="text1"/>
          <w:sz w:val="24"/>
          <w:szCs w:val="24"/>
          <w:lang w:eastAsia="en-GB"/>
        </w:rPr>
        <w:t xml:space="preserve"> counted and a total of 10</w:t>
      </w:r>
      <w:r w:rsidR="00725033" w:rsidRPr="0071546E">
        <w:rPr>
          <w:rFonts w:ascii="Arial" w:eastAsia="Times New Roman" w:hAnsi="Arial" w:cs="Arial"/>
          <w:color w:val="000000" w:themeColor="text1"/>
          <w:sz w:val="24"/>
          <w:szCs w:val="24"/>
          <w:vertAlign w:val="superscript"/>
          <w:lang w:eastAsia="en-GB"/>
        </w:rPr>
        <w:t>6</w:t>
      </w:r>
      <w:r w:rsidR="00725033" w:rsidRPr="0071546E">
        <w:rPr>
          <w:rFonts w:ascii="Arial" w:eastAsia="Times New Roman" w:hAnsi="Arial" w:cs="Arial"/>
          <w:color w:val="000000" w:themeColor="text1"/>
          <w:sz w:val="24"/>
          <w:szCs w:val="24"/>
          <w:lang w:eastAsia="en-GB"/>
        </w:rPr>
        <w:t xml:space="preserve"> cells/ mL is required for </w:t>
      </w:r>
      <w:r w:rsidR="002C2939" w:rsidRPr="0071546E">
        <w:rPr>
          <w:rFonts w:ascii="Arial" w:eastAsia="Times New Roman" w:hAnsi="Arial" w:cs="Arial"/>
          <w:color w:val="000000" w:themeColor="text1"/>
          <w:sz w:val="24"/>
          <w:szCs w:val="24"/>
          <w:lang w:eastAsia="en-GB"/>
        </w:rPr>
        <w:t xml:space="preserve">the </w:t>
      </w:r>
      <w:r w:rsidR="00725033" w:rsidRPr="0071546E">
        <w:rPr>
          <w:rFonts w:ascii="Arial" w:eastAsia="Times New Roman" w:hAnsi="Arial" w:cs="Arial"/>
          <w:color w:val="000000" w:themeColor="text1"/>
          <w:sz w:val="24"/>
          <w:szCs w:val="24"/>
          <w:lang w:eastAsia="en-GB"/>
        </w:rPr>
        <w:t>assay. For photodynamic inactivation studies, 10 µM 5 µM 2.5 µM 1.25 µM 0.625 µM</w:t>
      </w:r>
      <w:r w:rsidR="00507708" w:rsidRPr="0071546E">
        <w:rPr>
          <w:rFonts w:ascii="Arial" w:eastAsia="Times New Roman" w:hAnsi="Arial" w:cs="Arial"/>
          <w:color w:val="000000" w:themeColor="text1"/>
          <w:sz w:val="24"/>
          <w:szCs w:val="24"/>
          <w:lang w:eastAsia="en-GB"/>
        </w:rPr>
        <w:t xml:space="preserve"> of toluidine blue </w:t>
      </w:r>
      <w:r w:rsidR="00725033" w:rsidRPr="0071546E">
        <w:rPr>
          <w:rFonts w:ascii="Arial" w:eastAsia="Times New Roman" w:hAnsi="Arial" w:cs="Arial"/>
          <w:color w:val="000000" w:themeColor="text1"/>
          <w:sz w:val="24"/>
          <w:szCs w:val="24"/>
          <w:lang w:eastAsia="en-GB"/>
        </w:rPr>
        <w:t xml:space="preserve">were diluted in PBS from stock. </w:t>
      </w:r>
      <w:r w:rsidR="00110230" w:rsidRPr="0071546E">
        <w:rPr>
          <w:rFonts w:ascii="Arial" w:eastAsia="Times New Roman" w:hAnsi="Arial" w:cs="Arial"/>
          <w:color w:val="000000" w:themeColor="text1"/>
          <w:sz w:val="24"/>
          <w:szCs w:val="24"/>
          <w:lang w:eastAsia="en-GB"/>
        </w:rPr>
        <w:t xml:space="preserve">The </w:t>
      </w:r>
      <w:r w:rsidR="004B5BD9" w:rsidRPr="0071546E">
        <w:rPr>
          <w:rFonts w:ascii="Arial" w:eastAsia="Times New Roman" w:hAnsi="Arial" w:cs="Arial"/>
          <w:color w:val="000000" w:themeColor="text1"/>
          <w:sz w:val="24"/>
          <w:szCs w:val="24"/>
          <w:lang w:eastAsia="en-GB"/>
        </w:rPr>
        <w:t>100-µl</w:t>
      </w:r>
      <w:r w:rsidR="00725033" w:rsidRPr="0071546E">
        <w:rPr>
          <w:rFonts w:ascii="Arial" w:eastAsia="Times New Roman" w:hAnsi="Arial" w:cs="Arial"/>
          <w:color w:val="000000" w:themeColor="text1"/>
          <w:sz w:val="24"/>
          <w:szCs w:val="24"/>
          <w:lang w:eastAsia="en-GB"/>
        </w:rPr>
        <w:t xml:space="preserve"> amoeba cell suspension was inoculated with 50 µl of diluted TB x 4 replicates and incubated in the dark for 30 minutes at room temperature. TB treated cells were irradiated with a 590 nm wavelength of light using an improvised </w:t>
      </w:r>
      <w:r w:rsidR="0030703E" w:rsidRPr="0071546E">
        <w:rPr>
          <w:rFonts w:ascii="Arial" w:eastAsia="Times New Roman" w:hAnsi="Arial" w:cs="Arial"/>
          <w:color w:val="000000" w:themeColor="text1"/>
          <w:sz w:val="24"/>
          <w:szCs w:val="24"/>
          <w:lang w:eastAsia="en-GB"/>
        </w:rPr>
        <w:t>lightbox</w:t>
      </w:r>
      <w:r w:rsidR="00725033" w:rsidRPr="0071546E">
        <w:rPr>
          <w:rFonts w:ascii="Arial" w:eastAsia="Times New Roman" w:hAnsi="Arial" w:cs="Arial"/>
          <w:color w:val="000000" w:themeColor="text1"/>
          <w:sz w:val="24"/>
          <w:szCs w:val="24"/>
          <w:lang w:eastAsia="en-GB"/>
        </w:rPr>
        <w:t>. The light intensity of the delivered light was measured using a Digital Light Lux Meter. Model number LUX29TK.  Total energy delivered was calculated to be 42 j / cm</w:t>
      </w:r>
      <w:r w:rsidR="00725033" w:rsidRPr="0071546E">
        <w:rPr>
          <w:rFonts w:ascii="Arial" w:eastAsia="Times New Roman" w:hAnsi="Arial" w:cs="Arial"/>
          <w:color w:val="000000" w:themeColor="text1"/>
          <w:sz w:val="24"/>
          <w:szCs w:val="24"/>
          <w:vertAlign w:val="superscript"/>
          <w:lang w:eastAsia="en-GB"/>
        </w:rPr>
        <w:t>2</w:t>
      </w:r>
      <w:r w:rsidR="00725033" w:rsidRPr="0071546E">
        <w:rPr>
          <w:rFonts w:ascii="Arial" w:eastAsia="Times New Roman" w:hAnsi="Arial" w:cs="Arial"/>
          <w:color w:val="000000" w:themeColor="text1"/>
          <w:sz w:val="24"/>
          <w:szCs w:val="24"/>
          <w:lang w:eastAsia="en-GB"/>
        </w:rPr>
        <w:t xml:space="preserve">. A control plate containing </w:t>
      </w:r>
      <w:r w:rsidR="002C2939" w:rsidRPr="0071546E">
        <w:rPr>
          <w:rFonts w:ascii="Arial" w:eastAsia="Times New Roman" w:hAnsi="Arial" w:cs="Arial"/>
          <w:color w:val="000000" w:themeColor="text1"/>
          <w:sz w:val="24"/>
          <w:szCs w:val="24"/>
          <w:lang w:eastAsia="en-GB"/>
        </w:rPr>
        <w:t xml:space="preserve">the </w:t>
      </w:r>
      <w:r w:rsidR="00725033" w:rsidRPr="0071546E">
        <w:rPr>
          <w:rFonts w:ascii="Arial" w:eastAsia="Times New Roman" w:hAnsi="Arial" w:cs="Arial"/>
          <w:color w:val="000000" w:themeColor="text1"/>
          <w:sz w:val="24"/>
          <w:szCs w:val="24"/>
          <w:lang w:eastAsia="en-GB"/>
        </w:rPr>
        <w:t xml:space="preserve">same amount of </w:t>
      </w:r>
      <w:r w:rsidR="00432D1D" w:rsidRPr="0071546E">
        <w:rPr>
          <w:rFonts w:ascii="Arial" w:eastAsia="Times New Roman" w:hAnsi="Arial" w:cs="Arial"/>
          <w:i/>
          <w:color w:val="000000" w:themeColor="text1"/>
          <w:sz w:val="24"/>
          <w:szCs w:val="24"/>
          <w:lang w:eastAsia="en-GB"/>
        </w:rPr>
        <w:t>Acanthamoeba</w:t>
      </w:r>
      <w:r w:rsidR="00725033" w:rsidRPr="0071546E">
        <w:rPr>
          <w:rFonts w:ascii="Arial" w:eastAsia="Times New Roman" w:hAnsi="Arial" w:cs="Arial"/>
          <w:color w:val="000000" w:themeColor="text1"/>
          <w:sz w:val="24"/>
          <w:szCs w:val="24"/>
          <w:lang w:eastAsia="en-GB"/>
        </w:rPr>
        <w:t xml:space="preserve"> cells and toluidine blue was protected from light by covering the plate in an aluminium foil. Plates were further incubated for 24 hours before viability was evaluated microscopically using trypan blue dye exclusion method. To determine the number of viable cells 50 µl of incubated cell suspension and 50 µl of 0.4% trypan blue dye were put in a microfuge tube and mixed properly by pipetting up and down. </w:t>
      </w:r>
    </w:p>
    <w:p w:rsidR="009C2D9B" w:rsidRPr="0071546E" w:rsidRDefault="009C2D9B" w:rsidP="00CF13FE">
      <w:pPr>
        <w:spacing w:before="100" w:after="0" w:line="480" w:lineRule="auto"/>
        <w:ind w:left="1021" w:right="454"/>
        <w:jc w:val="both"/>
        <w:rPr>
          <w:rFonts w:ascii="Arial" w:eastAsia="Times New Roman" w:hAnsi="Arial" w:cs="Arial"/>
          <w:color w:val="000000" w:themeColor="text1"/>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color w:val="000000" w:themeColor="text1"/>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CF13FE">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The mixture </w:t>
      </w:r>
      <w:r w:rsidR="00507708" w:rsidRPr="0071546E">
        <w:rPr>
          <w:rFonts w:ascii="Arial" w:eastAsia="Times New Roman" w:hAnsi="Arial" w:cs="Arial"/>
          <w:color w:val="000000" w:themeColor="text1"/>
          <w:sz w:val="24"/>
          <w:szCs w:val="24"/>
          <w:lang w:eastAsia="en-GB"/>
        </w:rPr>
        <w:t>was left</w:t>
      </w:r>
      <w:r w:rsidRPr="0071546E">
        <w:rPr>
          <w:rFonts w:ascii="Arial" w:eastAsia="Times New Roman" w:hAnsi="Arial" w:cs="Arial"/>
          <w:color w:val="000000" w:themeColor="text1"/>
          <w:sz w:val="24"/>
          <w:szCs w:val="24"/>
          <w:lang w:eastAsia="en-GB"/>
        </w:rPr>
        <w:t xml:space="preserve"> for 3 minutes at room temperature. The total content of the tube was then pipetted into a clear bottom micro-plate and counted. </w:t>
      </w:r>
      <w:r w:rsidR="00D665C6" w:rsidRPr="0071546E">
        <w:rPr>
          <w:rFonts w:ascii="Arial" w:eastAsia="Times New Roman" w:hAnsi="Arial" w:cs="Arial"/>
          <w:color w:val="000000" w:themeColor="text1"/>
          <w:sz w:val="24"/>
          <w:szCs w:val="24"/>
          <w:lang w:eastAsia="en-GB"/>
        </w:rPr>
        <w:t>Cells were counted in three (3) objective views as seen below fig 2.3. An average cell count is taken. This was done for all concentrations of toluidine blue.</w:t>
      </w:r>
    </w:p>
    <w:p w:rsidR="00725033" w:rsidRPr="0071546E" w:rsidRDefault="00725033" w:rsidP="00CF13FE">
      <w:pPr>
        <w:spacing w:before="100" w:after="0" w:line="48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CF13FE">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heme="minorEastAsia" w:hAnsi="Arial" w:cs="Arial"/>
          <w:noProof/>
          <w:sz w:val="24"/>
          <w:szCs w:val="24"/>
          <w:lang w:eastAsia="en-GB"/>
        </w:rPr>
        <w:drawing>
          <wp:inline distT="0" distB="0" distL="0" distR="0" wp14:anchorId="618BB1E9" wp14:editId="47352A82">
            <wp:extent cx="4385310" cy="2911151"/>
            <wp:effectExtent l="0" t="0" r="0" b="381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93697" cy="2983103"/>
                    </a:xfrm>
                    <a:prstGeom prst="rect">
                      <a:avLst/>
                    </a:prstGeom>
                  </pic:spPr>
                </pic:pic>
              </a:graphicData>
            </a:graphic>
          </wp:inline>
        </w:drawing>
      </w:r>
    </w:p>
    <w:p w:rsidR="00725033" w:rsidRPr="0071546E" w:rsidRDefault="00E6012B" w:rsidP="00CF13FE">
      <w:pPr>
        <w:spacing w:before="100" w:after="0" w:line="276" w:lineRule="auto"/>
        <w:ind w:left="1021" w:right="454"/>
        <w:jc w:val="both"/>
        <w:rPr>
          <w:rFonts w:ascii="Arial" w:eastAsia="Times New Roman" w:hAnsi="Arial" w:cs="Arial"/>
          <w:color w:val="000000" w:themeColor="text1"/>
          <w:sz w:val="20"/>
          <w:szCs w:val="20"/>
          <w:lang w:eastAsia="en-GB"/>
        </w:rPr>
      </w:pPr>
      <w:r w:rsidRPr="0071546E">
        <w:rPr>
          <w:rFonts w:ascii="Arial" w:eastAsia="Times New Roman" w:hAnsi="Arial" w:cs="Arial"/>
          <w:color w:val="000000" w:themeColor="text1"/>
          <w:sz w:val="20"/>
          <w:szCs w:val="20"/>
          <w:lang w:eastAsia="en-GB"/>
        </w:rPr>
        <w:t xml:space="preserve">Fig 2.3 </w:t>
      </w:r>
      <w:r w:rsidR="00725033" w:rsidRPr="0071546E">
        <w:rPr>
          <w:rFonts w:ascii="Arial" w:eastAsia="Times New Roman" w:hAnsi="Arial" w:cs="Arial"/>
          <w:color w:val="000000" w:themeColor="text1"/>
          <w:sz w:val="20"/>
          <w:szCs w:val="20"/>
          <w:lang w:eastAsia="en-GB"/>
        </w:rPr>
        <w:t xml:space="preserve">Clear flat-bottom 96-well plate used for microscopy. Each concentration is counted three times by moving the plate around to focus on an area that has not been counted a total of three views (X3 </w:t>
      </w:r>
      <w:r w:rsidR="0030703E" w:rsidRPr="0071546E">
        <w:rPr>
          <w:rFonts w:ascii="Arial" w:eastAsia="Times New Roman" w:hAnsi="Arial" w:cs="Arial"/>
          <w:color w:val="000000" w:themeColor="text1"/>
          <w:sz w:val="20"/>
          <w:szCs w:val="20"/>
          <w:lang w:eastAsia="en-GB"/>
        </w:rPr>
        <w:t>objective)</w:t>
      </w:r>
      <w:r w:rsidR="00725033" w:rsidRPr="0071546E">
        <w:rPr>
          <w:rFonts w:ascii="Arial" w:eastAsia="Times New Roman" w:hAnsi="Arial" w:cs="Arial"/>
          <w:color w:val="000000" w:themeColor="text1"/>
          <w:sz w:val="20"/>
          <w:szCs w:val="20"/>
          <w:lang w:eastAsia="en-GB"/>
        </w:rPr>
        <w:t xml:space="preserve"> was counted for each concentration of toluidine blue.</w:t>
      </w:r>
    </w:p>
    <w:p w:rsidR="00725033" w:rsidRPr="0071546E" w:rsidRDefault="00725033" w:rsidP="00CF13FE">
      <w:pPr>
        <w:spacing w:before="100" w:after="0" w:line="480" w:lineRule="auto"/>
        <w:ind w:left="1021" w:right="454"/>
        <w:jc w:val="both"/>
        <w:rPr>
          <w:rFonts w:ascii="Arial" w:eastAsia="Times New Roman" w:hAnsi="Arial" w:cs="Arial"/>
          <w:b/>
          <w:color w:val="000000" w:themeColor="text1"/>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b/>
          <w:color w:val="000000" w:themeColor="text1"/>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b/>
          <w:color w:val="000000" w:themeColor="text1"/>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b/>
          <w:color w:val="000000" w:themeColor="text1"/>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b/>
          <w:color w:val="000000" w:themeColor="text1"/>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b/>
          <w:color w:val="000000" w:themeColor="text1"/>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b/>
          <w:color w:val="000000" w:themeColor="text1"/>
          <w:sz w:val="24"/>
          <w:szCs w:val="24"/>
          <w:lang w:eastAsia="en-GB"/>
        </w:rPr>
      </w:pPr>
    </w:p>
    <w:p w:rsidR="00725033" w:rsidRPr="0071546E" w:rsidRDefault="00725033" w:rsidP="00CF13FE">
      <w:pPr>
        <w:pStyle w:val="Heading2"/>
        <w:ind w:left="1021" w:right="454"/>
      </w:pPr>
      <w:bookmarkStart w:id="79" w:name="_Toc14711451"/>
      <w:r w:rsidRPr="0071546E">
        <w:t xml:space="preserve">2.8.2 The kinetics of porphyrin accumulation in </w:t>
      </w:r>
      <w:r w:rsidR="00432D1D" w:rsidRPr="0071546E">
        <w:rPr>
          <w:i/>
        </w:rPr>
        <w:t>Acanthamoeba</w:t>
      </w:r>
      <w:r w:rsidRPr="0071546E">
        <w:t xml:space="preserve"> cells</w:t>
      </w:r>
      <w:bookmarkEnd w:id="79"/>
      <w:r w:rsidRPr="0071546E">
        <w:t xml:space="preserve"> </w:t>
      </w:r>
    </w:p>
    <w:p w:rsidR="00725033" w:rsidRPr="0071546E" w:rsidRDefault="00725033" w:rsidP="009C2D9B">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The incubation time prior to photodynamic treatment for bacteria fungi and other mic</w:t>
      </w:r>
      <w:r w:rsidR="00BD4DDD" w:rsidRPr="0071546E">
        <w:rPr>
          <w:rFonts w:ascii="Arial" w:eastAsia="Times New Roman" w:hAnsi="Arial" w:cs="Arial"/>
          <w:color w:val="000000" w:themeColor="text1"/>
          <w:sz w:val="24"/>
          <w:szCs w:val="24"/>
          <w:lang w:eastAsia="en-GB"/>
        </w:rPr>
        <w:t xml:space="preserve">roorganism vary across reports </w:t>
      </w:r>
      <w:r w:rsidRPr="0071546E">
        <w:rPr>
          <w:rFonts w:ascii="Arial" w:eastAsia="Times New Roman" w:hAnsi="Arial" w:cs="Arial"/>
          <w:color w:val="000000" w:themeColor="text1"/>
          <w:sz w:val="24"/>
          <w:szCs w:val="24"/>
          <w:lang w:eastAsia="en-GB"/>
        </w:rPr>
        <w:t xml:space="preserve">(Bliss et al., 2004; Quiroga, Alvarez and Durantini, 2010). The reason for this can be likened to the different morphology of their cell wall. It could also have something to do with the charge of the photosensitiser.  The capacity of porphyrins to bind to the cell wall of </w:t>
      </w:r>
      <w:r w:rsidR="00432D1D" w:rsidRPr="0071546E">
        <w:rPr>
          <w:rFonts w:ascii="Arial" w:eastAsia="Times New Roman" w:hAnsi="Arial" w:cs="Arial"/>
          <w:i/>
          <w:color w:val="000000" w:themeColor="text1"/>
          <w:sz w:val="24"/>
          <w:szCs w:val="24"/>
          <w:lang w:eastAsia="en-GB"/>
        </w:rPr>
        <w:t>Acanthamoeba</w:t>
      </w:r>
      <w:r w:rsidRPr="0071546E">
        <w:rPr>
          <w:rFonts w:ascii="Arial" w:eastAsia="Times New Roman" w:hAnsi="Arial" w:cs="Arial"/>
          <w:color w:val="000000" w:themeColor="text1"/>
          <w:sz w:val="24"/>
          <w:szCs w:val="24"/>
          <w:lang w:eastAsia="en-GB"/>
        </w:rPr>
        <w:t xml:space="preserve"> cysts and trophozoites was evaluate</w:t>
      </w:r>
      <w:r w:rsidR="002C2939" w:rsidRPr="0071546E">
        <w:rPr>
          <w:rFonts w:ascii="Arial" w:eastAsia="Times New Roman" w:hAnsi="Arial" w:cs="Arial"/>
          <w:color w:val="000000" w:themeColor="text1"/>
          <w:sz w:val="24"/>
          <w:szCs w:val="24"/>
          <w:lang w:eastAsia="en-GB"/>
        </w:rPr>
        <w:t>d</w:t>
      </w:r>
      <w:r w:rsidRPr="0071546E">
        <w:rPr>
          <w:rFonts w:ascii="Arial" w:eastAsia="Times New Roman" w:hAnsi="Arial" w:cs="Arial"/>
          <w:color w:val="000000" w:themeColor="text1"/>
          <w:sz w:val="24"/>
          <w:szCs w:val="24"/>
          <w:lang w:eastAsia="en-GB"/>
        </w:rPr>
        <w:t xml:space="preserve"> in cell suspension of 10</w:t>
      </w:r>
      <w:r w:rsidRPr="0071546E">
        <w:rPr>
          <w:rFonts w:ascii="Arial" w:eastAsia="Times New Roman" w:hAnsi="Arial" w:cs="Arial"/>
          <w:color w:val="000000" w:themeColor="text1"/>
          <w:sz w:val="24"/>
          <w:szCs w:val="24"/>
          <w:vertAlign w:val="superscript"/>
          <w:lang w:eastAsia="en-GB"/>
        </w:rPr>
        <w:t>6</w:t>
      </w:r>
      <w:r w:rsidRPr="0071546E">
        <w:rPr>
          <w:rFonts w:ascii="Arial" w:eastAsia="Times New Roman" w:hAnsi="Arial" w:cs="Arial"/>
          <w:color w:val="000000" w:themeColor="text1"/>
          <w:sz w:val="24"/>
          <w:szCs w:val="24"/>
          <w:lang w:eastAsia="en-GB"/>
        </w:rPr>
        <w:t xml:space="preserve"> cells/ ml in PYG media Thus, </w:t>
      </w:r>
      <w:r w:rsidR="00432D1D" w:rsidRPr="0071546E">
        <w:rPr>
          <w:rFonts w:ascii="Arial" w:eastAsia="Times New Roman" w:hAnsi="Arial" w:cs="Arial"/>
          <w:i/>
          <w:color w:val="000000" w:themeColor="text1"/>
          <w:sz w:val="24"/>
          <w:szCs w:val="24"/>
          <w:lang w:eastAsia="en-GB"/>
        </w:rPr>
        <w:t>Acanthamoeba</w:t>
      </w:r>
      <w:r w:rsidRPr="0071546E">
        <w:rPr>
          <w:rFonts w:ascii="Arial" w:eastAsia="Times New Roman" w:hAnsi="Arial" w:cs="Arial"/>
          <w:color w:val="000000" w:themeColor="text1"/>
          <w:sz w:val="24"/>
          <w:szCs w:val="24"/>
          <w:lang w:eastAsia="en-GB"/>
        </w:rPr>
        <w:t xml:space="preserve"> cells 10</w:t>
      </w:r>
      <w:r w:rsidRPr="0071546E">
        <w:rPr>
          <w:rFonts w:ascii="Arial" w:eastAsia="Times New Roman" w:hAnsi="Arial" w:cs="Arial"/>
          <w:color w:val="000000" w:themeColor="text1"/>
          <w:sz w:val="24"/>
          <w:szCs w:val="24"/>
          <w:vertAlign w:val="superscript"/>
          <w:lang w:eastAsia="en-GB"/>
        </w:rPr>
        <w:t>6</w:t>
      </w:r>
      <w:r w:rsidRPr="0071546E">
        <w:rPr>
          <w:rFonts w:ascii="Arial" w:eastAsia="Times New Roman" w:hAnsi="Arial" w:cs="Arial"/>
          <w:color w:val="000000" w:themeColor="text1"/>
          <w:sz w:val="24"/>
          <w:szCs w:val="24"/>
          <w:lang w:eastAsia="en-GB"/>
        </w:rPr>
        <w:t xml:space="preserve"> cells /ml were incubated with 50 μM of all four porphyrin conjugates, and the amount of porphyrin accumulated in the cells was evaluated after lysis and fl</w:t>
      </w:r>
      <w:r w:rsidR="00F64D04" w:rsidRPr="0071546E">
        <w:rPr>
          <w:rFonts w:ascii="Arial" w:eastAsia="Times New Roman" w:hAnsi="Arial" w:cs="Arial"/>
          <w:color w:val="000000" w:themeColor="text1"/>
          <w:sz w:val="24"/>
          <w:szCs w:val="24"/>
          <w:lang w:eastAsia="en-GB"/>
        </w:rPr>
        <w:t>uorescence measurement at 350 nm excitation and 800 n</w:t>
      </w:r>
      <w:r w:rsidRPr="0071546E">
        <w:rPr>
          <w:rFonts w:ascii="Arial" w:eastAsia="Times New Roman" w:hAnsi="Arial" w:cs="Arial"/>
          <w:color w:val="000000" w:themeColor="text1"/>
          <w:sz w:val="24"/>
          <w:szCs w:val="24"/>
          <w:lang w:eastAsia="en-GB"/>
        </w:rPr>
        <w:t>m</w:t>
      </w:r>
      <w:r w:rsidR="00F64D04" w:rsidRPr="0071546E">
        <w:rPr>
          <w:rFonts w:ascii="Arial" w:eastAsia="Times New Roman" w:hAnsi="Arial" w:cs="Arial"/>
          <w:color w:val="000000" w:themeColor="text1"/>
          <w:sz w:val="24"/>
          <w:szCs w:val="24"/>
          <w:lang w:eastAsia="en-GB"/>
        </w:rPr>
        <w:t xml:space="preserve"> emission</w:t>
      </w:r>
      <w:r w:rsidRPr="0071546E">
        <w:rPr>
          <w:rFonts w:ascii="Arial" w:eastAsia="Times New Roman" w:hAnsi="Arial" w:cs="Arial"/>
          <w:color w:val="000000" w:themeColor="text1"/>
          <w:sz w:val="24"/>
          <w:szCs w:val="24"/>
          <w:lang w:eastAsia="en-GB"/>
        </w:rPr>
        <w:t xml:space="preserve"> filters using a spectrophotometer.</w:t>
      </w:r>
    </w:p>
    <w:p w:rsidR="00725033" w:rsidRPr="0071546E" w:rsidRDefault="00725033" w:rsidP="00CF13FE">
      <w:pPr>
        <w:pStyle w:val="Heading2"/>
        <w:ind w:left="1021" w:right="454"/>
      </w:pPr>
      <w:bookmarkStart w:id="80" w:name="_Toc14711452"/>
      <w:r w:rsidRPr="0071546E">
        <w:t xml:space="preserve">2.8.3 Uptake of porphyrins by </w:t>
      </w:r>
      <w:r w:rsidR="00432D1D" w:rsidRPr="0071546E">
        <w:rPr>
          <w:i/>
        </w:rPr>
        <w:t>Acanthamoeba</w:t>
      </w:r>
      <w:r w:rsidRPr="0071546E">
        <w:t xml:space="preserve"> cells.</w:t>
      </w:r>
      <w:bookmarkEnd w:id="80"/>
    </w:p>
    <w:p w:rsidR="009C2D9B" w:rsidRPr="0071546E" w:rsidRDefault="00725033" w:rsidP="009C2D9B">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This experiment was designed to determine and compare the uptake of the four porphyrins used in the present study. The four porphyrin derivatives used in the present study are either anionic (4,4′,4′′,4′′′-(porphine-5,10,15,20-tetryl) tetrakis (benzene sulfonic acid) tetrasodium salt hydrate,) catatonic (5, 10, 15, 20- tetrakis (1-methyl-4-pyridinio) porphyrin tetra (p- toluene </w:t>
      </w:r>
      <w:r w:rsidR="0030703E" w:rsidRPr="0071546E">
        <w:rPr>
          <w:rFonts w:ascii="Arial" w:eastAsia="Times New Roman" w:hAnsi="Arial" w:cs="Arial"/>
          <w:color w:val="000000" w:themeColor="text1"/>
          <w:sz w:val="24"/>
          <w:szCs w:val="24"/>
          <w:lang w:eastAsia="en-GB"/>
        </w:rPr>
        <w:t>sulfonate) or</w:t>
      </w:r>
      <w:r w:rsidRPr="0071546E">
        <w:rPr>
          <w:rFonts w:ascii="Arial" w:eastAsia="Times New Roman" w:hAnsi="Arial" w:cs="Arial"/>
          <w:color w:val="000000" w:themeColor="text1"/>
          <w:sz w:val="24"/>
          <w:szCs w:val="24"/>
          <w:lang w:eastAsia="en-GB"/>
        </w:rPr>
        <w:t xml:space="preserve"> neutral (5, 10, 15, 20-Tetraphenyl-21H, 23H- porphine). </w:t>
      </w:r>
    </w:p>
    <w:p w:rsidR="009C2D9B" w:rsidRPr="0071546E" w:rsidRDefault="009C2D9B" w:rsidP="009C2D9B">
      <w:pPr>
        <w:spacing w:before="100" w:after="0" w:line="480" w:lineRule="auto"/>
        <w:ind w:left="1021" w:right="454"/>
        <w:jc w:val="both"/>
        <w:rPr>
          <w:rFonts w:ascii="Arial" w:eastAsia="Times New Roman" w:hAnsi="Arial" w:cs="Arial"/>
          <w:color w:val="000000" w:themeColor="text1"/>
          <w:sz w:val="24"/>
          <w:szCs w:val="24"/>
          <w:lang w:eastAsia="en-GB"/>
        </w:rPr>
      </w:pPr>
    </w:p>
    <w:p w:rsidR="009C2D9B" w:rsidRPr="0071546E" w:rsidRDefault="009C2D9B" w:rsidP="009C2D9B">
      <w:pPr>
        <w:spacing w:before="100" w:after="0" w:line="480" w:lineRule="auto"/>
        <w:ind w:left="1021" w:right="454"/>
        <w:jc w:val="both"/>
        <w:rPr>
          <w:rFonts w:ascii="Arial" w:eastAsia="Times New Roman" w:hAnsi="Arial" w:cs="Arial"/>
          <w:color w:val="000000" w:themeColor="text1"/>
          <w:sz w:val="24"/>
          <w:szCs w:val="24"/>
          <w:lang w:eastAsia="en-GB"/>
        </w:rPr>
      </w:pPr>
    </w:p>
    <w:p w:rsidR="009C2D9B" w:rsidRPr="0071546E" w:rsidRDefault="00725033" w:rsidP="009C2D9B">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To evaluate the uptake of all four porphyrins by </w:t>
      </w:r>
      <w:r w:rsidR="00432D1D" w:rsidRPr="0071546E">
        <w:rPr>
          <w:rFonts w:ascii="Arial" w:eastAsia="Times New Roman" w:hAnsi="Arial" w:cs="Arial"/>
          <w:i/>
          <w:color w:val="000000" w:themeColor="text1"/>
          <w:sz w:val="24"/>
          <w:szCs w:val="24"/>
          <w:lang w:eastAsia="en-GB"/>
        </w:rPr>
        <w:t>Acanthamoeba</w:t>
      </w:r>
      <w:r w:rsidRPr="0071546E">
        <w:rPr>
          <w:rFonts w:ascii="Arial" w:eastAsia="Times New Roman" w:hAnsi="Arial" w:cs="Arial"/>
          <w:color w:val="000000" w:themeColor="text1"/>
          <w:sz w:val="24"/>
          <w:szCs w:val="24"/>
          <w:lang w:eastAsia="en-GB"/>
        </w:rPr>
        <w:t xml:space="preserve"> cells, 100 µl of 50 µm concentration of each </w:t>
      </w:r>
      <w:r w:rsidR="00731DBE" w:rsidRPr="0071546E">
        <w:rPr>
          <w:rFonts w:ascii="Arial" w:eastAsia="Times New Roman" w:hAnsi="Arial" w:cs="Arial"/>
          <w:color w:val="000000" w:themeColor="text1"/>
          <w:sz w:val="24"/>
          <w:szCs w:val="24"/>
          <w:lang w:eastAsia="en-GB"/>
        </w:rPr>
        <w:t>porphyrin was</w:t>
      </w:r>
      <w:r w:rsidRPr="0071546E">
        <w:rPr>
          <w:rFonts w:ascii="Arial" w:eastAsia="Times New Roman" w:hAnsi="Arial" w:cs="Arial"/>
          <w:color w:val="000000" w:themeColor="text1"/>
          <w:sz w:val="24"/>
          <w:szCs w:val="24"/>
          <w:lang w:eastAsia="en-GB"/>
        </w:rPr>
        <w:t xml:space="preserve"> incubated with 900 µl of </w:t>
      </w:r>
      <w:r w:rsidR="00432D1D" w:rsidRPr="0071546E">
        <w:rPr>
          <w:rFonts w:ascii="Arial" w:eastAsia="Times New Roman" w:hAnsi="Arial" w:cs="Arial"/>
          <w:i/>
          <w:color w:val="000000" w:themeColor="text1"/>
          <w:sz w:val="24"/>
          <w:szCs w:val="24"/>
          <w:lang w:eastAsia="en-GB"/>
        </w:rPr>
        <w:t>Acanthamoeba</w:t>
      </w:r>
      <w:r w:rsidRPr="0071546E">
        <w:rPr>
          <w:rFonts w:ascii="Arial" w:eastAsia="Times New Roman" w:hAnsi="Arial" w:cs="Arial"/>
          <w:color w:val="000000" w:themeColor="text1"/>
          <w:sz w:val="24"/>
          <w:szCs w:val="24"/>
          <w:lang w:eastAsia="en-GB"/>
        </w:rPr>
        <w:t xml:space="preserve"> cells (cysts and trophozoites) at room temperature for 10 minutes. The incubated cells were washed in PBS by centrifugation with a microfuge centrifuge (5000 g x 5 minutes). Each porphyrin sample is </w:t>
      </w:r>
      <w:r w:rsidR="0030703E" w:rsidRPr="0071546E">
        <w:rPr>
          <w:rFonts w:ascii="Arial" w:eastAsia="Times New Roman" w:hAnsi="Arial" w:cs="Arial"/>
          <w:color w:val="000000" w:themeColor="text1"/>
          <w:sz w:val="24"/>
          <w:szCs w:val="24"/>
          <w:lang w:eastAsia="en-GB"/>
        </w:rPr>
        <w:t>washed 5</w:t>
      </w:r>
      <w:r w:rsidRPr="0071546E">
        <w:rPr>
          <w:rFonts w:ascii="Arial" w:eastAsia="Times New Roman" w:hAnsi="Arial" w:cs="Arial"/>
          <w:color w:val="000000" w:themeColor="text1"/>
          <w:sz w:val="24"/>
          <w:szCs w:val="24"/>
          <w:lang w:eastAsia="en-GB"/>
        </w:rPr>
        <w:t xml:space="preserve"> times and 100 µl was taken from microfuge tube into a 96 well plate after each</w:t>
      </w:r>
      <w:r w:rsidR="00BD4DDD" w:rsidRPr="0071546E">
        <w:rPr>
          <w:rFonts w:ascii="Arial" w:eastAsia="Times New Roman" w:hAnsi="Arial" w:cs="Arial"/>
          <w:color w:val="000000" w:themeColor="text1"/>
          <w:sz w:val="24"/>
          <w:szCs w:val="24"/>
          <w:lang w:eastAsia="en-GB"/>
        </w:rPr>
        <w:t xml:space="preserve"> wash as shown in figure 2.4</w:t>
      </w:r>
      <w:r w:rsidRPr="0071546E">
        <w:rPr>
          <w:rFonts w:ascii="Arial" w:eastAsia="Times New Roman" w:hAnsi="Arial" w:cs="Arial"/>
          <w:color w:val="000000" w:themeColor="text1"/>
          <w:sz w:val="24"/>
          <w:szCs w:val="24"/>
          <w:lang w:eastAsia="en-GB"/>
        </w:rPr>
        <w:t>. This process was carried out on both the cyst and the trophozoites. To determine the amount of porphine in the samples, the cells are lysed. Trophozoites were lysed by adding 100 µl of lysis buffer</w:t>
      </w:r>
      <w:r w:rsidRPr="0071546E">
        <w:rPr>
          <w:rFonts w:ascii="Arial" w:eastAsiaTheme="minorEastAsia" w:hAnsi="Arial" w:cs="Arial"/>
          <w:color w:val="111111"/>
          <w:sz w:val="24"/>
          <w:szCs w:val="24"/>
          <w:lang w:val="en"/>
        </w:rPr>
        <w:t xml:space="preserve"> </w:t>
      </w:r>
      <w:r w:rsidRPr="0071546E">
        <w:rPr>
          <w:rFonts w:ascii="Arial" w:eastAsia="Times New Roman" w:hAnsi="Arial" w:cs="Arial"/>
          <w:color w:val="000000" w:themeColor="text1"/>
          <w:sz w:val="24"/>
          <w:szCs w:val="24"/>
          <w:lang w:val="en" w:eastAsia="en-GB"/>
        </w:rPr>
        <w:t>(25 mM Tris-phosphate (pH 7.8), 2 mM DTT, 2 mM 1,2-diaminocyclohexane-N,</w:t>
      </w:r>
      <w:r w:rsidR="005F3F09" w:rsidRPr="0071546E">
        <w:rPr>
          <w:rFonts w:ascii="Arial" w:eastAsia="Times New Roman" w:hAnsi="Arial" w:cs="Arial"/>
          <w:color w:val="000000" w:themeColor="text1"/>
          <w:sz w:val="24"/>
          <w:szCs w:val="24"/>
          <w:lang w:val="en" w:eastAsia="en-GB"/>
        </w:rPr>
        <w:t xml:space="preserve"> </w:t>
      </w:r>
      <w:r w:rsidRPr="0071546E">
        <w:rPr>
          <w:rFonts w:ascii="Arial" w:eastAsia="Times New Roman" w:hAnsi="Arial" w:cs="Arial"/>
          <w:color w:val="000000" w:themeColor="text1"/>
          <w:sz w:val="24"/>
          <w:szCs w:val="24"/>
          <w:lang w:val="en" w:eastAsia="en-GB"/>
        </w:rPr>
        <w:t>N,</w:t>
      </w:r>
      <w:r w:rsidR="005F3F09" w:rsidRPr="0071546E">
        <w:rPr>
          <w:rFonts w:ascii="Arial" w:eastAsia="Times New Roman" w:hAnsi="Arial" w:cs="Arial"/>
          <w:color w:val="000000" w:themeColor="text1"/>
          <w:sz w:val="24"/>
          <w:szCs w:val="24"/>
          <w:lang w:val="en" w:eastAsia="en-GB"/>
        </w:rPr>
        <w:t xml:space="preserve"> </w:t>
      </w:r>
      <w:r w:rsidRPr="0071546E">
        <w:rPr>
          <w:rFonts w:ascii="Arial" w:eastAsia="Times New Roman" w:hAnsi="Arial" w:cs="Arial"/>
          <w:color w:val="000000" w:themeColor="text1"/>
          <w:sz w:val="24"/>
          <w:szCs w:val="24"/>
          <w:lang w:val="en" w:eastAsia="en-GB"/>
        </w:rPr>
        <w:t>N´,</w:t>
      </w:r>
      <w:r w:rsidR="002C2939" w:rsidRPr="0071546E">
        <w:rPr>
          <w:rFonts w:ascii="Arial" w:eastAsia="Times New Roman" w:hAnsi="Arial" w:cs="Arial"/>
          <w:color w:val="000000" w:themeColor="text1"/>
          <w:sz w:val="24"/>
          <w:szCs w:val="24"/>
          <w:lang w:val="en" w:eastAsia="en-GB"/>
        </w:rPr>
        <w:t xml:space="preserve"> </w:t>
      </w:r>
      <w:r w:rsidRPr="0071546E">
        <w:rPr>
          <w:rFonts w:ascii="Arial" w:eastAsia="Times New Roman" w:hAnsi="Arial" w:cs="Arial"/>
          <w:color w:val="000000" w:themeColor="text1"/>
          <w:sz w:val="24"/>
          <w:szCs w:val="24"/>
          <w:lang w:val="en" w:eastAsia="en-GB"/>
        </w:rPr>
        <w:t xml:space="preserve">N´-tetraacetic acid, 10% glycerol, 1% Triton® X-100), </w:t>
      </w:r>
      <w:r w:rsidRPr="0071546E">
        <w:rPr>
          <w:rFonts w:ascii="Arial" w:eastAsia="Times New Roman" w:hAnsi="Arial" w:cs="Arial"/>
          <w:color w:val="000000" w:themeColor="text1"/>
          <w:sz w:val="24"/>
          <w:szCs w:val="24"/>
          <w:lang w:eastAsia="en-GB"/>
        </w:rPr>
        <w:t>while the cysts were lysed with 100 µl 10 mM lysozyme from hens egg white both incubated at 30</w:t>
      </w:r>
      <w:r w:rsidRPr="0071546E">
        <w:rPr>
          <w:rFonts w:ascii="Arial" w:eastAsia="Times New Roman" w:hAnsi="Arial" w:cs="Arial"/>
          <w:color w:val="000000" w:themeColor="text1"/>
          <w:sz w:val="24"/>
          <w:szCs w:val="24"/>
          <w:vertAlign w:val="superscript"/>
          <w:lang w:eastAsia="en-GB"/>
        </w:rPr>
        <w:t>o</w:t>
      </w:r>
      <w:r w:rsidRPr="0071546E">
        <w:rPr>
          <w:rFonts w:ascii="Arial" w:eastAsia="Times New Roman" w:hAnsi="Arial" w:cs="Arial"/>
          <w:color w:val="000000" w:themeColor="text1"/>
          <w:sz w:val="24"/>
          <w:szCs w:val="24"/>
          <w:lang w:eastAsia="en-GB"/>
        </w:rPr>
        <w:t>C  for 35- 40 minutes. The fluorescence from the lysed cells w</w:t>
      </w:r>
      <w:r w:rsidR="002C2939" w:rsidRPr="0071546E">
        <w:rPr>
          <w:rFonts w:ascii="Arial" w:eastAsia="Times New Roman" w:hAnsi="Arial" w:cs="Arial"/>
          <w:color w:val="000000" w:themeColor="text1"/>
          <w:sz w:val="24"/>
          <w:szCs w:val="24"/>
          <w:lang w:eastAsia="en-GB"/>
        </w:rPr>
        <w:t>as</w:t>
      </w:r>
      <w:r w:rsidRPr="0071546E">
        <w:rPr>
          <w:rFonts w:ascii="Arial" w:eastAsia="Times New Roman" w:hAnsi="Arial" w:cs="Arial"/>
          <w:color w:val="000000" w:themeColor="text1"/>
          <w:sz w:val="24"/>
          <w:szCs w:val="24"/>
          <w:lang w:eastAsia="en-GB"/>
        </w:rPr>
        <w:t xml:space="preserve"> then analysed spectrophotome</w:t>
      </w:r>
      <w:r w:rsidR="00731DBE" w:rsidRPr="0071546E">
        <w:rPr>
          <w:rFonts w:ascii="Arial" w:eastAsia="Times New Roman" w:hAnsi="Arial" w:cs="Arial"/>
          <w:color w:val="000000" w:themeColor="text1"/>
          <w:sz w:val="24"/>
          <w:szCs w:val="24"/>
          <w:lang w:eastAsia="en-GB"/>
        </w:rPr>
        <w:t>trically using specific filters:</w:t>
      </w:r>
      <w:r w:rsidRPr="0071546E">
        <w:rPr>
          <w:rFonts w:ascii="Arial" w:eastAsia="Times New Roman" w:hAnsi="Arial" w:cs="Arial"/>
          <w:color w:val="000000" w:themeColor="text1"/>
          <w:sz w:val="24"/>
          <w:szCs w:val="24"/>
          <w:lang w:eastAsia="en-GB"/>
        </w:rPr>
        <w:t xml:space="preserve"> 350 nm bandwidths excitation filter and 800 nm bandwidths emission filter. </w:t>
      </w:r>
    </w:p>
    <w:p w:rsidR="00731DBE" w:rsidRPr="0071546E" w:rsidRDefault="00731DBE" w:rsidP="009C2D9B">
      <w:pPr>
        <w:spacing w:before="100" w:after="0" w:line="480" w:lineRule="auto"/>
        <w:ind w:left="1021" w:right="454"/>
        <w:jc w:val="both"/>
        <w:rPr>
          <w:rFonts w:ascii="Arial" w:eastAsia="Times New Roman" w:hAnsi="Arial" w:cs="Arial"/>
          <w:color w:val="000000" w:themeColor="text1"/>
          <w:sz w:val="24"/>
          <w:szCs w:val="24"/>
          <w:lang w:eastAsia="en-GB"/>
        </w:rPr>
      </w:pPr>
    </w:p>
    <w:p w:rsidR="009C2D9B" w:rsidRPr="0071546E" w:rsidRDefault="009C2D9B" w:rsidP="009C2D9B">
      <w:pPr>
        <w:spacing w:before="100" w:after="0" w:line="480" w:lineRule="auto"/>
        <w:ind w:left="1021" w:right="454"/>
        <w:jc w:val="both"/>
        <w:rPr>
          <w:rFonts w:ascii="Arial" w:eastAsia="Times New Roman" w:hAnsi="Arial" w:cs="Arial"/>
          <w:color w:val="000000" w:themeColor="text1"/>
          <w:sz w:val="24"/>
          <w:szCs w:val="24"/>
          <w:lang w:eastAsia="en-GB"/>
        </w:rPr>
      </w:pPr>
    </w:p>
    <w:p w:rsidR="009C2D9B" w:rsidRPr="0071546E" w:rsidRDefault="009C2D9B" w:rsidP="009C2D9B">
      <w:pPr>
        <w:spacing w:before="100" w:after="0" w:line="480" w:lineRule="auto"/>
        <w:ind w:left="1021" w:right="454"/>
        <w:jc w:val="both"/>
        <w:rPr>
          <w:rFonts w:ascii="Arial" w:eastAsia="Times New Roman" w:hAnsi="Arial" w:cs="Arial"/>
          <w:color w:val="000000" w:themeColor="text1"/>
          <w:sz w:val="24"/>
          <w:szCs w:val="24"/>
          <w:lang w:eastAsia="en-GB"/>
        </w:rPr>
      </w:pPr>
    </w:p>
    <w:p w:rsidR="009C2D9B" w:rsidRPr="0071546E" w:rsidRDefault="009C2D9B" w:rsidP="009C2D9B">
      <w:pPr>
        <w:spacing w:before="100" w:after="0" w:line="480" w:lineRule="auto"/>
        <w:ind w:left="1021" w:right="454"/>
        <w:jc w:val="both"/>
        <w:rPr>
          <w:rFonts w:ascii="Arial" w:eastAsia="Times New Roman" w:hAnsi="Arial" w:cs="Arial"/>
          <w:color w:val="000000" w:themeColor="text1"/>
          <w:sz w:val="24"/>
          <w:szCs w:val="24"/>
          <w:lang w:eastAsia="en-GB"/>
        </w:rPr>
      </w:pPr>
    </w:p>
    <w:p w:rsidR="009C2D9B" w:rsidRPr="0071546E" w:rsidRDefault="009C2D9B" w:rsidP="00551E0B">
      <w:pPr>
        <w:spacing w:before="100" w:after="0" w:line="276" w:lineRule="auto"/>
        <w:ind w:right="454"/>
        <w:jc w:val="both"/>
        <w:rPr>
          <w:rFonts w:ascii="Arial" w:eastAsia="Times New Roman" w:hAnsi="Arial" w:cs="Arial"/>
          <w:color w:val="000000" w:themeColor="text1"/>
          <w:kern w:val="24"/>
          <w:sz w:val="24"/>
          <w:szCs w:val="24"/>
        </w:rPr>
      </w:pPr>
    </w:p>
    <w:p w:rsidR="00725033" w:rsidRPr="0071546E" w:rsidRDefault="00725033" w:rsidP="00CF13FE">
      <w:pPr>
        <w:spacing w:before="100" w:after="0" w:line="276" w:lineRule="auto"/>
        <w:ind w:left="1021" w:right="454"/>
        <w:jc w:val="both"/>
        <w:rPr>
          <w:rFonts w:ascii="Arial" w:eastAsia="Times New Roman" w:hAnsi="Arial" w:cs="Arial"/>
          <w:color w:val="000000" w:themeColor="text1"/>
          <w:sz w:val="24"/>
          <w:szCs w:val="24"/>
          <w:lang w:eastAsia="en-GB"/>
        </w:rPr>
      </w:pPr>
      <w:r w:rsidRPr="0071546E">
        <w:rPr>
          <w:rFonts w:ascii="Arial" w:eastAsiaTheme="minorEastAsia" w:hAnsi="Arial" w:cs="Arial"/>
          <w:noProof/>
          <w:sz w:val="24"/>
          <w:szCs w:val="24"/>
          <w:lang w:eastAsia="en-GB"/>
        </w:rPr>
        <w:drawing>
          <wp:inline distT="0" distB="0" distL="0" distR="0" wp14:anchorId="36A416BF" wp14:editId="5009762D">
            <wp:extent cx="4291671" cy="272453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45853" cy="2758935"/>
                    </a:xfrm>
                    <a:prstGeom prst="rect">
                      <a:avLst/>
                    </a:prstGeom>
                  </pic:spPr>
                </pic:pic>
              </a:graphicData>
            </a:graphic>
          </wp:inline>
        </w:drawing>
      </w:r>
    </w:p>
    <w:p w:rsidR="00725033" w:rsidRPr="0071546E" w:rsidRDefault="00725033" w:rsidP="00CF13FE">
      <w:pPr>
        <w:spacing w:before="100" w:after="0" w:line="240" w:lineRule="auto"/>
        <w:ind w:left="1021" w:right="454"/>
        <w:jc w:val="both"/>
        <w:rPr>
          <w:rFonts w:ascii="Arial" w:eastAsia="Times New Roman" w:hAnsi="Arial" w:cs="Arial"/>
          <w:color w:val="000000" w:themeColor="text1"/>
          <w:sz w:val="20"/>
          <w:szCs w:val="20"/>
          <w:lang w:eastAsia="en-GB"/>
        </w:rPr>
      </w:pPr>
      <w:r w:rsidRPr="0071546E">
        <w:rPr>
          <w:rFonts w:ascii="Arial" w:eastAsia="Times New Roman" w:hAnsi="Arial" w:cs="Arial"/>
          <w:color w:val="000000" w:themeColor="text1"/>
          <w:sz w:val="20"/>
          <w:szCs w:val="20"/>
          <w:lang w:eastAsia="en-GB"/>
        </w:rPr>
        <w:t xml:space="preserve">Fig </w:t>
      </w:r>
      <w:r w:rsidR="00551E0B" w:rsidRPr="0071546E">
        <w:rPr>
          <w:rFonts w:ascii="Arial" w:eastAsia="Times New Roman" w:hAnsi="Arial" w:cs="Arial"/>
          <w:color w:val="000000" w:themeColor="text1"/>
          <w:sz w:val="20"/>
          <w:szCs w:val="20"/>
          <w:lang w:eastAsia="en-GB"/>
        </w:rPr>
        <w:t>2.4 Microplate</w:t>
      </w:r>
      <w:r w:rsidRPr="0071546E">
        <w:rPr>
          <w:rFonts w:ascii="Arial" w:eastAsia="Times New Roman" w:hAnsi="Arial" w:cs="Arial"/>
          <w:color w:val="000000" w:themeColor="text1"/>
          <w:sz w:val="20"/>
          <w:szCs w:val="20"/>
          <w:lang w:eastAsia="en-GB"/>
        </w:rPr>
        <w:t xml:space="preserve"> layout for porphyrin uptake assay. The red layout shows the number of wash and replicates for the cysts while the dark blue layout shows</w:t>
      </w:r>
      <w:r w:rsidR="00486E52" w:rsidRPr="0071546E">
        <w:rPr>
          <w:rFonts w:ascii="Arial" w:eastAsia="Times New Roman" w:hAnsi="Arial" w:cs="Arial"/>
          <w:color w:val="000000" w:themeColor="text1"/>
          <w:sz w:val="20"/>
          <w:szCs w:val="20"/>
          <w:lang w:eastAsia="en-GB"/>
        </w:rPr>
        <w:t xml:space="preserve"> </w:t>
      </w:r>
      <w:r w:rsidR="00530160" w:rsidRPr="0071546E">
        <w:rPr>
          <w:rFonts w:ascii="Arial" w:eastAsia="Times New Roman" w:hAnsi="Arial" w:cs="Arial"/>
          <w:color w:val="000000" w:themeColor="text1"/>
          <w:sz w:val="20"/>
          <w:szCs w:val="20"/>
          <w:lang w:eastAsia="en-GB"/>
        </w:rPr>
        <w:t xml:space="preserve">a </w:t>
      </w:r>
      <w:r w:rsidRPr="0071546E">
        <w:rPr>
          <w:rFonts w:ascii="Arial" w:eastAsia="Times New Roman" w:hAnsi="Arial" w:cs="Arial"/>
          <w:color w:val="000000" w:themeColor="text1"/>
          <w:sz w:val="20"/>
          <w:szCs w:val="20"/>
          <w:lang w:eastAsia="en-GB"/>
        </w:rPr>
        <w:t>number of wash and replicates for trophozoites. Control wells are set up for 100% uptake.</w:t>
      </w:r>
    </w:p>
    <w:p w:rsidR="00E103C0" w:rsidRPr="0071546E" w:rsidRDefault="00E103C0" w:rsidP="00CF13FE">
      <w:pPr>
        <w:pStyle w:val="Heading2"/>
        <w:ind w:left="1021" w:right="454"/>
      </w:pPr>
    </w:p>
    <w:p w:rsidR="00725033" w:rsidRPr="0071546E" w:rsidRDefault="00725033" w:rsidP="00CF13FE">
      <w:pPr>
        <w:pStyle w:val="Heading2"/>
        <w:ind w:left="1021" w:right="454"/>
      </w:pPr>
      <w:bookmarkStart w:id="81" w:name="_Toc14711453"/>
      <w:r w:rsidRPr="0071546E">
        <w:t>2.8.4 Excitation and emission spectrum of porphyrins.</w:t>
      </w:r>
      <w:bookmarkEnd w:id="81"/>
    </w:p>
    <w:p w:rsidR="00725033" w:rsidRPr="0071546E" w:rsidRDefault="00725033" w:rsidP="00CF13FE">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Fluorescence Spectrophotometer PERKIN Elmer LS 55 was used to measure the excitation and emission wavelength of porphyrins. All porphyrins were diluted to a concentration of 1 ppm (first with DMSO and made up with water). Water was used as the solvent blank. Before reading was taken the blank was measure</w:t>
      </w:r>
      <w:r w:rsidR="002C2939" w:rsidRPr="0071546E">
        <w:rPr>
          <w:rFonts w:ascii="Arial" w:eastAsia="Times New Roman" w:hAnsi="Arial" w:cs="Arial"/>
          <w:color w:val="000000" w:themeColor="text1"/>
          <w:sz w:val="24"/>
          <w:szCs w:val="24"/>
          <w:lang w:eastAsia="en-GB"/>
        </w:rPr>
        <w:t>d</w:t>
      </w:r>
      <w:r w:rsidRPr="0071546E">
        <w:rPr>
          <w:rFonts w:ascii="Arial" w:eastAsia="Times New Roman" w:hAnsi="Arial" w:cs="Arial"/>
          <w:color w:val="000000" w:themeColor="text1"/>
          <w:sz w:val="24"/>
          <w:szCs w:val="24"/>
          <w:lang w:eastAsia="en-GB"/>
        </w:rPr>
        <w:t xml:space="preserve"> and the instrument was set to subtract the blank from the sample measurement. Each sample was then measure</w:t>
      </w:r>
      <w:r w:rsidR="002C2939" w:rsidRPr="0071546E">
        <w:rPr>
          <w:rFonts w:ascii="Arial" w:eastAsia="Times New Roman" w:hAnsi="Arial" w:cs="Arial"/>
          <w:color w:val="000000" w:themeColor="text1"/>
          <w:sz w:val="24"/>
          <w:szCs w:val="24"/>
          <w:lang w:eastAsia="en-GB"/>
        </w:rPr>
        <w:t>d</w:t>
      </w:r>
      <w:r w:rsidRPr="0071546E">
        <w:rPr>
          <w:rFonts w:ascii="Arial" w:eastAsia="Times New Roman" w:hAnsi="Arial" w:cs="Arial"/>
          <w:color w:val="000000" w:themeColor="text1"/>
          <w:sz w:val="24"/>
          <w:szCs w:val="24"/>
          <w:lang w:eastAsia="en-GB"/>
        </w:rPr>
        <w:t xml:space="preserve"> at their approximate excitation and emission range.</w:t>
      </w:r>
    </w:p>
    <w:p w:rsidR="009C2D9B" w:rsidRPr="0071546E" w:rsidRDefault="009C2D9B" w:rsidP="00CF13FE">
      <w:pPr>
        <w:spacing w:before="100" w:after="0" w:line="480" w:lineRule="auto"/>
        <w:ind w:left="1021" w:right="454"/>
        <w:jc w:val="both"/>
        <w:rPr>
          <w:rFonts w:ascii="Arial" w:eastAsia="Times New Roman" w:hAnsi="Arial" w:cs="Arial"/>
          <w:color w:val="000000" w:themeColor="text1"/>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color w:val="000000" w:themeColor="text1"/>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color w:val="000000" w:themeColor="text1"/>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CF13FE">
      <w:pPr>
        <w:pStyle w:val="Heading2"/>
        <w:ind w:left="1021" w:right="454"/>
      </w:pPr>
      <w:bookmarkStart w:id="82" w:name="_Toc14711454"/>
      <w:r w:rsidRPr="0071546E">
        <w:t>2.8.3 Porphyrin concentration curve.</w:t>
      </w:r>
      <w:bookmarkEnd w:id="82"/>
      <w:r w:rsidRPr="0071546E">
        <w:t xml:space="preserve"> </w:t>
      </w:r>
    </w:p>
    <w:p w:rsidR="00725033" w:rsidRPr="0071546E" w:rsidRDefault="00507708" w:rsidP="00CF13FE">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To determine the limit of detection, and show linearity of concentration versus fluorescence, </w:t>
      </w:r>
      <w:r w:rsidR="00725033" w:rsidRPr="0071546E">
        <w:rPr>
          <w:rFonts w:ascii="Arial" w:eastAsia="Times New Roman" w:hAnsi="Arial" w:cs="Arial"/>
          <w:color w:val="000000" w:themeColor="text1"/>
          <w:sz w:val="24"/>
          <w:szCs w:val="24"/>
          <w:lang w:eastAsia="en-GB"/>
        </w:rPr>
        <w:t>a concentration curve</w:t>
      </w:r>
      <w:r w:rsidRPr="0071546E">
        <w:rPr>
          <w:rFonts w:ascii="Arial" w:eastAsia="Times New Roman" w:hAnsi="Arial" w:cs="Arial"/>
          <w:color w:val="000000" w:themeColor="text1"/>
          <w:sz w:val="24"/>
          <w:szCs w:val="24"/>
          <w:lang w:eastAsia="en-GB"/>
        </w:rPr>
        <w:t xml:space="preserve"> of porphyrin was generated with</w:t>
      </w:r>
      <w:r w:rsidR="00725033" w:rsidRPr="0071546E">
        <w:rPr>
          <w:rFonts w:ascii="Arial" w:eastAsia="Times New Roman" w:hAnsi="Arial" w:cs="Arial"/>
          <w:color w:val="000000" w:themeColor="text1"/>
          <w:sz w:val="24"/>
          <w:szCs w:val="24"/>
          <w:lang w:eastAsia="en-GB"/>
        </w:rPr>
        <w:t xml:space="preserve"> a stock solution of 5 μM 4,4′,4′′,4′′′-(porphine-5,10,15,20-tetryl) tetrakis (benzenesulfonic acid) tetrasodium salt hydrate was made in distilled water. From the stock, several dilutions from 1000 pmol – 10 pmol was made. In an opaque 96-well plate, 200 μL of each concentration was put in 4 replicates for each concentration and the fluorescence was measured at 400 ex and 750 em wavelengths.</w:t>
      </w:r>
    </w:p>
    <w:p w:rsidR="00725033" w:rsidRPr="0071546E" w:rsidRDefault="00725033" w:rsidP="00CF13FE">
      <w:pPr>
        <w:pStyle w:val="Heading2"/>
        <w:ind w:left="1021" w:right="454"/>
      </w:pPr>
      <w:bookmarkStart w:id="83" w:name="_Toc14711455"/>
      <w:r w:rsidRPr="0071546E">
        <w:t>2.8.4 Photosensitizer preparation</w:t>
      </w:r>
      <w:bookmarkEnd w:id="83"/>
    </w:p>
    <w:p w:rsidR="00725033" w:rsidRPr="0071546E" w:rsidRDefault="00725033" w:rsidP="00CF13FE">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Solvents used in this study for porphyrins were either 0.2% DMSO or water. If the porphyrin was soluble in both then water is used. Preparation of porphyrin stock solution in done in a dark room (partial light). From a stock solution of 100 µM, different half dilutions of porphyrins </w:t>
      </w:r>
      <w:r w:rsidR="002C2939" w:rsidRPr="0071546E">
        <w:rPr>
          <w:rFonts w:ascii="Arial" w:eastAsia="Times New Roman" w:hAnsi="Arial" w:cs="Arial"/>
          <w:color w:val="000000" w:themeColor="text1"/>
          <w:sz w:val="24"/>
          <w:szCs w:val="24"/>
          <w:lang w:eastAsia="en-GB"/>
        </w:rPr>
        <w:t>are</w:t>
      </w:r>
      <w:r w:rsidRPr="0071546E">
        <w:rPr>
          <w:rFonts w:ascii="Arial" w:eastAsia="Times New Roman" w:hAnsi="Arial" w:cs="Arial"/>
          <w:color w:val="000000" w:themeColor="text1"/>
          <w:sz w:val="24"/>
          <w:szCs w:val="24"/>
          <w:lang w:eastAsia="en-GB"/>
        </w:rPr>
        <w:t xml:space="preserve"> set up as shown below. For porphyrins solubilised in 0.2</w:t>
      </w:r>
      <w:r w:rsidR="00982816" w:rsidRPr="0071546E">
        <w:rPr>
          <w:rFonts w:ascii="Arial" w:eastAsia="Times New Roman" w:hAnsi="Arial" w:cs="Arial"/>
          <w:color w:val="000000" w:themeColor="text1"/>
          <w:sz w:val="24"/>
          <w:szCs w:val="24"/>
          <w:lang w:eastAsia="en-GB"/>
        </w:rPr>
        <w:t xml:space="preserve"> </w:t>
      </w:r>
      <w:r w:rsidRPr="0071546E">
        <w:rPr>
          <w:rFonts w:ascii="Arial" w:eastAsia="Times New Roman" w:hAnsi="Arial" w:cs="Arial"/>
          <w:color w:val="000000" w:themeColor="text1"/>
          <w:sz w:val="24"/>
          <w:szCs w:val="24"/>
          <w:lang w:eastAsia="en-GB"/>
        </w:rPr>
        <w:t xml:space="preserve">% DMSO, control of cell + DMSO is set up to monitor </w:t>
      </w:r>
      <w:r w:rsidR="002C2939"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 xml:space="preserve">effects of DMSO. </w:t>
      </w:r>
    </w:p>
    <w:p w:rsidR="009C2D9B" w:rsidRPr="0071546E" w:rsidRDefault="009C2D9B" w:rsidP="00CF13FE">
      <w:pPr>
        <w:spacing w:before="100" w:after="0" w:line="480" w:lineRule="auto"/>
        <w:ind w:left="1021" w:right="454"/>
        <w:jc w:val="both"/>
        <w:rPr>
          <w:rFonts w:ascii="Arial" w:eastAsia="Times New Roman" w:hAnsi="Arial" w:cs="Arial"/>
          <w:color w:val="000000" w:themeColor="text1"/>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CF13FE">
      <w:pPr>
        <w:spacing w:before="100" w:after="0" w:line="480" w:lineRule="auto"/>
        <w:ind w:left="1021" w:right="454"/>
        <w:jc w:val="both"/>
        <w:rPr>
          <w:rFonts w:ascii="Arial" w:eastAsia="Times New Roman" w:hAnsi="Arial" w:cs="Arial"/>
          <w:color w:val="FF0000"/>
          <w:sz w:val="24"/>
          <w:szCs w:val="24"/>
          <w:lang w:eastAsia="en-GB"/>
        </w:rPr>
      </w:pPr>
      <w:r w:rsidRPr="0071546E">
        <w:rPr>
          <w:rFonts w:ascii="Arial" w:eastAsiaTheme="minorEastAsia" w:hAnsi="Arial" w:cs="Arial"/>
          <w:noProof/>
          <w:color w:val="FF0000"/>
          <w:sz w:val="24"/>
          <w:szCs w:val="24"/>
          <w:lang w:eastAsia="en-GB"/>
        </w:rPr>
        <w:drawing>
          <wp:inline distT="0" distB="0" distL="0" distR="0" wp14:anchorId="16077F8E" wp14:editId="38B530F2">
            <wp:extent cx="4726744" cy="27851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46467" cy="2855654"/>
                    </a:xfrm>
                    <a:prstGeom prst="rect">
                      <a:avLst/>
                    </a:prstGeom>
                  </pic:spPr>
                </pic:pic>
              </a:graphicData>
            </a:graphic>
          </wp:inline>
        </w:drawing>
      </w:r>
    </w:p>
    <w:p w:rsidR="00725033" w:rsidRPr="0071546E" w:rsidRDefault="00E6012B" w:rsidP="00CF13FE">
      <w:pPr>
        <w:spacing w:before="100" w:after="0" w:line="240" w:lineRule="auto"/>
        <w:ind w:left="1021" w:right="454"/>
        <w:jc w:val="both"/>
        <w:rPr>
          <w:rFonts w:ascii="Arial" w:eastAsia="Times New Roman" w:hAnsi="Arial" w:cs="Arial"/>
          <w:color w:val="000000" w:themeColor="text1"/>
          <w:sz w:val="20"/>
          <w:szCs w:val="20"/>
          <w:lang w:eastAsia="en-GB"/>
        </w:rPr>
      </w:pPr>
      <w:r w:rsidRPr="0071546E">
        <w:rPr>
          <w:rFonts w:ascii="Arial" w:eastAsia="Times New Roman" w:hAnsi="Arial" w:cs="Arial"/>
          <w:color w:val="000000" w:themeColor="text1"/>
          <w:sz w:val="20"/>
          <w:szCs w:val="20"/>
          <w:lang w:eastAsia="en-GB"/>
        </w:rPr>
        <w:t xml:space="preserve">Fig 2.5 </w:t>
      </w:r>
      <w:r w:rsidR="00725033" w:rsidRPr="0071546E">
        <w:rPr>
          <w:rFonts w:ascii="Arial" w:eastAsia="Times New Roman" w:hAnsi="Arial" w:cs="Arial"/>
          <w:color w:val="000000" w:themeColor="text1"/>
          <w:sz w:val="20"/>
          <w:szCs w:val="20"/>
          <w:lang w:eastAsia="en-GB"/>
        </w:rPr>
        <w:t>Microplate set up for all PDT assay. Usually</w:t>
      </w:r>
      <w:r w:rsidR="002C2939" w:rsidRPr="0071546E">
        <w:rPr>
          <w:rFonts w:ascii="Arial" w:eastAsia="Times New Roman" w:hAnsi="Arial" w:cs="Arial"/>
          <w:color w:val="000000" w:themeColor="text1"/>
          <w:sz w:val="20"/>
          <w:szCs w:val="20"/>
          <w:lang w:eastAsia="en-GB"/>
        </w:rPr>
        <w:t>,</w:t>
      </w:r>
      <w:r w:rsidR="00725033" w:rsidRPr="0071546E">
        <w:rPr>
          <w:rFonts w:ascii="Arial" w:eastAsia="Times New Roman" w:hAnsi="Arial" w:cs="Arial"/>
          <w:color w:val="000000" w:themeColor="text1"/>
          <w:sz w:val="20"/>
          <w:szCs w:val="20"/>
          <w:lang w:eastAsia="en-GB"/>
        </w:rPr>
        <w:t xml:space="preserve"> X8 (shown in red) concentrations (half dilutions) are used. Two control well, a positive and negative control. The positive control contains cells only (yellow) while negative control contains cell annihilated by heating at 100</w:t>
      </w:r>
      <w:r w:rsidR="00725033" w:rsidRPr="0071546E">
        <w:rPr>
          <w:rFonts w:ascii="Arial" w:eastAsia="Times New Roman" w:hAnsi="Arial" w:cs="Arial"/>
          <w:color w:val="000000" w:themeColor="text1"/>
          <w:sz w:val="20"/>
          <w:szCs w:val="20"/>
          <w:vertAlign w:val="superscript"/>
          <w:lang w:eastAsia="en-GB"/>
        </w:rPr>
        <w:t>o</w:t>
      </w:r>
      <w:r w:rsidR="00725033" w:rsidRPr="0071546E">
        <w:rPr>
          <w:rFonts w:ascii="Arial" w:eastAsia="Times New Roman" w:hAnsi="Arial" w:cs="Arial"/>
          <w:color w:val="000000" w:themeColor="text1"/>
          <w:sz w:val="20"/>
          <w:szCs w:val="20"/>
          <w:lang w:eastAsia="en-GB"/>
        </w:rPr>
        <w:t xml:space="preserve">C (green). Percentage viability is extrapolated from the difference </w:t>
      </w:r>
      <w:r w:rsidR="002C2939" w:rsidRPr="0071546E">
        <w:rPr>
          <w:rFonts w:ascii="Arial" w:eastAsia="Times New Roman" w:hAnsi="Arial" w:cs="Arial"/>
          <w:color w:val="000000" w:themeColor="text1"/>
          <w:sz w:val="20"/>
          <w:szCs w:val="20"/>
          <w:lang w:eastAsia="en-GB"/>
        </w:rPr>
        <w:t>between</w:t>
      </w:r>
      <w:r w:rsidR="00725033" w:rsidRPr="0071546E">
        <w:rPr>
          <w:rFonts w:ascii="Arial" w:eastAsia="Times New Roman" w:hAnsi="Arial" w:cs="Arial"/>
          <w:color w:val="000000" w:themeColor="text1"/>
          <w:sz w:val="20"/>
          <w:szCs w:val="20"/>
          <w:lang w:eastAsia="en-GB"/>
        </w:rPr>
        <w:t xml:space="preserve"> the two controls. A control plate with cells+ drug covered with aluminium foil was also set up.</w:t>
      </w:r>
    </w:p>
    <w:p w:rsidR="00725033" w:rsidRPr="0071546E" w:rsidRDefault="00725033" w:rsidP="00CF13FE">
      <w:pPr>
        <w:spacing w:before="100" w:after="0" w:line="276"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CF13FE">
      <w:pPr>
        <w:pStyle w:val="Heading2"/>
        <w:ind w:left="1021" w:right="454"/>
      </w:pPr>
      <w:bookmarkStart w:id="84" w:name="_Toc14711456"/>
      <w:r w:rsidRPr="0071546E">
        <w:t>2.8.5 Porphyrin PDT; Irradiation procedure</w:t>
      </w:r>
      <w:bookmarkEnd w:id="84"/>
    </w:p>
    <w:p w:rsidR="00E6012B" w:rsidRPr="0071546E" w:rsidRDefault="00725033" w:rsidP="00CF13FE">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Not less than 10</w:t>
      </w:r>
      <w:r w:rsidRPr="0071546E">
        <w:rPr>
          <w:rFonts w:ascii="Arial" w:eastAsia="Times New Roman" w:hAnsi="Arial" w:cs="Arial"/>
          <w:color w:val="000000" w:themeColor="text1"/>
          <w:sz w:val="24"/>
          <w:szCs w:val="24"/>
          <w:vertAlign w:val="superscript"/>
          <w:lang w:eastAsia="en-GB"/>
        </w:rPr>
        <w:t>6</w:t>
      </w:r>
      <w:r w:rsidRPr="0071546E">
        <w:rPr>
          <w:rFonts w:ascii="Arial" w:eastAsia="Times New Roman" w:hAnsi="Arial" w:cs="Arial"/>
          <w:color w:val="000000" w:themeColor="text1"/>
          <w:sz w:val="24"/>
          <w:szCs w:val="24"/>
          <w:lang w:eastAsia="en-GB"/>
        </w:rPr>
        <w:t xml:space="preserve"> cell/ml of cysts and trophozoites are required for </w:t>
      </w:r>
      <w:r w:rsidR="002C2939" w:rsidRPr="0071546E">
        <w:rPr>
          <w:rFonts w:ascii="Arial" w:eastAsia="Times New Roman" w:hAnsi="Arial" w:cs="Arial"/>
          <w:color w:val="000000" w:themeColor="text1"/>
          <w:sz w:val="24"/>
          <w:szCs w:val="24"/>
          <w:lang w:eastAsia="en-GB"/>
        </w:rPr>
        <w:t xml:space="preserve">the </w:t>
      </w:r>
      <w:r w:rsidRPr="0071546E">
        <w:rPr>
          <w:rFonts w:ascii="Arial" w:eastAsia="Times New Roman" w:hAnsi="Arial" w:cs="Arial"/>
          <w:color w:val="000000" w:themeColor="text1"/>
          <w:sz w:val="24"/>
          <w:szCs w:val="24"/>
          <w:lang w:eastAsia="en-GB"/>
        </w:rPr>
        <w:t>assay. Cells were centrifuged at 1500 g x 10 minutes and suspended in fresh media. Each well will contain 100 µl of cells in media x 4 replicates. 100 µl of dissolved porphyrin is added to each well</w:t>
      </w:r>
      <w:r w:rsidR="00F51676" w:rsidRPr="0071546E">
        <w:rPr>
          <w:rFonts w:ascii="Arial" w:eastAsia="Times New Roman" w:hAnsi="Arial" w:cs="Arial"/>
          <w:color w:val="000000" w:themeColor="text1"/>
          <w:sz w:val="24"/>
          <w:szCs w:val="24"/>
          <w:lang w:eastAsia="en-GB"/>
        </w:rPr>
        <w:t xml:space="preserve"> </w:t>
      </w:r>
      <w:r w:rsidRPr="0071546E">
        <w:rPr>
          <w:rFonts w:ascii="Arial" w:eastAsia="Times New Roman" w:hAnsi="Arial" w:cs="Arial"/>
          <w:color w:val="000000" w:themeColor="text1"/>
          <w:sz w:val="24"/>
          <w:szCs w:val="24"/>
          <w:lang w:eastAsia="en-GB"/>
        </w:rPr>
        <w:t>containing cells, incubated at room temperature for 10 minutes. After inc</w:t>
      </w:r>
      <w:r w:rsidR="002C2939" w:rsidRPr="0071546E">
        <w:rPr>
          <w:rFonts w:ascii="Arial" w:eastAsia="Times New Roman" w:hAnsi="Arial" w:cs="Arial"/>
          <w:color w:val="000000" w:themeColor="text1"/>
          <w:sz w:val="24"/>
          <w:szCs w:val="24"/>
          <w:lang w:eastAsia="en-GB"/>
        </w:rPr>
        <w:t xml:space="preserve">ubation, excess drug was washed </w:t>
      </w:r>
      <w:r w:rsidRPr="0071546E">
        <w:rPr>
          <w:rFonts w:ascii="Arial" w:eastAsia="Times New Roman" w:hAnsi="Arial" w:cs="Arial"/>
          <w:color w:val="000000" w:themeColor="text1"/>
          <w:sz w:val="24"/>
          <w:szCs w:val="24"/>
          <w:lang w:eastAsia="en-GB"/>
        </w:rPr>
        <w:t>o</w:t>
      </w:r>
      <w:r w:rsidR="002C2939" w:rsidRPr="0071546E">
        <w:rPr>
          <w:rFonts w:ascii="Arial" w:eastAsia="Times New Roman" w:hAnsi="Arial" w:cs="Arial"/>
          <w:color w:val="000000" w:themeColor="text1"/>
          <w:sz w:val="24"/>
          <w:szCs w:val="24"/>
          <w:lang w:eastAsia="en-GB"/>
        </w:rPr>
        <w:t>f</w:t>
      </w:r>
      <w:r w:rsidRPr="0071546E">
        <w:rPr>
          <w:rFonts w:ascii="Arial" w:eastAsia="Times New Roman" w:hAnsi="Arial" w:cs="Arial"/>
          <w:color w:val="000000" w:themeColor="text1"/>
          <w:sz w:val="24"/>
          <w:szCs w:val="24"/>
          <w:lang w:eastAsia="en-GB"/>
        </w:rPr>
        <w:t>f by centrifuging at 2500 g x 5 minutes. Cells were then suspended in fresh media and irradiated for 1 hour using a red LED light.</w:t>
      </w:r>
    </w:p>
    <w:p w:rsidR="009C2D9B" w:rsidRPr="0071546E" w:rsidRDefault="009C2D9B" w:rsidP="00CF13FE">
      <w:pPr>
        <w:spacing w:before="100" w:after="0" w:line="480" w:lineRule="auto"/>
        <w:ind w:left="1021" w:right="454"/>
        <w:jc w:val="both"/>
        <w:rPr>
          <w:rFonts w:ascii="Arial" w:eastAsia="Times New Roman" w:hAnsi="Arial" w:cs="Arial"/>
          <w:color w:val="000000" w:themeColor="text1"/>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color w:val="000000" w:themeColor="text1"/>
          <w:sz w:val="24"/>
          <w:szCs w:val="24"/>
          <w:lang w:eastAsia="en-GB"/>
        </w:rPr>
      </w:pPr>
    </w:p>
    <w:p w:rsidR="009C2D9B" w:rsidRPr="0071546E" w:rsidRDefault="009C2D9B" w:rsidP="00CF13FE">
      <w:pPr>
        <w:spacing w:before="100" w:after="0" w:line="480" w:lineRule="auto"/>
        <w:ind w:left="1021" w:right="454"/>
        <w:jc w:val="both"/>
        <w:rPr>
          <w:rFonts w:ascii="Arial" w:eastAsia="Times New Roman" w:hAnsi="Arial" w:cs="Arial"/>
          <w:color w:val="000000" w:themeColor="text1"/>
          <w:sz w:val="24"/>
          <w:szCs w:val="24"/>
          <w:lang w:eastAsia="en-GB"/>
        </w:rPr>
      </w:pPr>
    </w:p>
    <w:p w:rsidR="00725033" w:rsidRPr="0071546E" w:rsidRDefault="00725033" w:rsidP="00CF13FE">
      <w:pPr>
        <w:spacing w:before="100" w:after="0" w:line="480" w:lineRule="auto"/>
        <w:ind w:left="1021" w:right="454"/>
        <w:jc w:val="both"/>
        <w:rPr>
          <w:rFonts w:ascii="Arial" w:eastAsia="Times New Roman" w:hAnsi="Arial" w:cs="Arial"/>
          <w:b/>
          <w:color w:val="000000" w:themeColor="text1"/>
          <w:sz w:val="28"/>
          <w:szCs w:val="24"/>
          <w:lang w:eastAsia="en-GB"/>
        </w:rPr>
      </w:pPr>
      <w:r w:rsidRPr="0071546E">
        <w:rPr>
          <w:rFonts w:ascii="Arial" w:hAnsi="Arial" w:cs="Arial"/>
          <w:b/>
          <w:sz w:val="24"/>
        </w:rPr>
        <w:t>2.8.6 Reconstitution of ATP standard and Luciferase Enzyme</w:t>
      </w:r>
    </w:p>
    <w:p w:rsidR="00725033" w:rsidRPr="0071546E" w:rsidRDefault="00725033" w:rsidP="00CF13FE">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The whole content of one bottle of the luciferase enzyme</w:t>
      </w:r>
      <w:r w:rsidRPr="0071546E">
        <w:rPr>
          <w:rFonts w:ascii="Arial" w:eastAsia="Times New Roman" w:hAnsi="Arial" w:cs="Arial"/>
          <w:color w:val="000000" w:themeColor="text1"/>
          <w:sz w:val="24"/>
          <w:szCs w:val="24"/>
          <w:lang w:val="en-US" w:eastAsia="en-GB"/>
        </w:rPr>
        <w:t>1µM</w:t>
      </w:r>
      <w:r w:rsidRPr="0071546E">
        <w:rPr>
          <w:rFonts w:ascii="Arial" w:eastAsia="Times New Roman" w:hAnsi="Arial" w:cs="Arial"/>
          <w:color w:val="000000" w:themeColor="text1"/>
          <w:sz w:val="24"/>
          <w:szCs w:val="24"/>
          <w:lang w:eastAsia="en-GB"/>
        </w:rPr>
        <w:t xml:space="preserve"> is dissolved in double distilled water as directed by manufacturers. The solution </w:t>
      </w:r>
      <w:r w:rsidR="00507708" w:rsidRPr="0071546E">
        <w:rPr>
          <w:rFonts w:ascii="Arial" w:eastAsia="Times New Roman" w:hAnsi="Arial" w:cs="Arial"/>
          <w:color w:val="000000" w:themeColor="text1"/>
          <w:sz w:val="24"/>
          <w:szCs w:val="24"/>
          <w:lang w:eastAsia="en-GB"/>
        </w:rPr>
        <w:t>was</w:t>
      </w:r>
      <w:r w:rsidRPr="0071546E">
        <w:rPr>
          <w:rFonts w:ascii="Arial" w:eastAsia="Times New Roman" w:hAnsi="Arial" w:cs="Arial"/>
          <w:color w:val="000000" w:themeColor="text1"/>
          <w:sz w:val="24"/>
          <w:szCs w:val="24"/>
          <w:lang w:eastAsia="en-GB"/>
        </w:rPr>
        <w:t xml:space="preserve"> incubated for 5 minutes without stirring or shaking. </w:t>
      </w:r>
      <w:r w:rsidR="002C2939" w:rsidRPr="0071546E">
        <w:rPr>
          <w:rFonts w:ascii="Arial" w:eastAsia="Times New Roman" w:hAnsi="Arial" w:cs="Arial"/>
          <w:color w:val="000000" w:themeColor="text1"/>
          <w:sz w:val="24"/>
          <w:szCs w:val="24"/>
          <w:lang w:eastAsia="en-GB"/>
        </w:rPr>
        <w:t>The s</w:t>
      </w:r>
      <w:r w:rsidRPr="0071546E">
        <w:rPr>
          <w:rFonts w:ascii="Arial" w:eastAsia="Times New Roman" w:hAnsi="Arial" w:cs="Arial"/>
          <w:color w:val="000000" w:themeColor="text1"/>
          <w:sz w:val="24"/>
          <w:szCs w:val="24"/>
          <w:lang w:eastAsia="en-GB"/>
        </w:rPr>
        <w:t xml:space="preserve">olution </w:t>
      </w:r>
      <w:r w:rsidR="00507708" w:rsidRPr="0071546E">
        <w:rPr>
          <w:rFonts w:ascii="Arial" w:eastAsia="Times New Roman" w:hAnsi="Arial" w:cs="Arial"/>
          <w:color w:val="000000" w:themeColor="text1"/>
          <w:sz w:val="24"/>
          <w:szCs w:val="24"/>
          <w:lang w:eastAsia="en-GB"/>
        </w:rPr>
        <w:t>was</w:t>
      </w:r>
      <w:r w:rsidRPr="0071546E">
        <w:rPr>
          <w:rFonts w:ascii="Arial" w:eastAsia="Times New Roman" w:hAnsi="Arial" w:cs="Arial"/>
          <w:color w:val="000000" w:themeColor="text1"/>
          <w:sz w:val="24"/>
          <w:szCs w:val="24"/>
          <w:lang w:eastAsia="en-GB"/>
        </w:rPr>
        <w:t xml:space="preserve"> homogenised by carefully rotating the bottle. </w:t>
      </w:r>
      <w:r w:rsidR="002C2939" w:rsidRPr="0071546E">
        <w:rPr>
          <w:rFonts w:ascii="Arial" w:eastAsia="Times New Roman" w:hAnsi="Arial" w:cs="Arial"/>
          <w:color w:val="000000" w:themeColor="text1"/>
          <w:sz w:val="24"/>
          <w:szCs w:val="24"/>
          <w:lang w:eastAsia="en-GB"/>
        </w:rPr>
        <w:t>The u</w:t>
      </w:r>
      <w:r w:rsidRPr="0071546E">
        <w:rPr>
          <w:rFonts w:ascii="Arial" w:eastAsia="Times New Roman" w:hAnsi="Arial" w:cs="Arial"/>
          <w:color w:val="000000" w:themeColor="text1"/>
          <w:sz w:val="24"/>
          <w:szCs w:val="24"/>
          <w:lang w:eastAsia="en-GB"/>
        </w:rPr>
        <w:t xml:space="preserve">nused reagent </w:t>
      </w:r>
      <w:r w:rsidR="00507708" w:rsidRPr="0071546E">
        <w:rPr>
          <w:rFonts w:ascii="Arial" w:eastAsia="Times New Roman" w:hAnsi="Arial" w:cs="Arial"/>
          <w:color w:val="000000" w:themeColor="text1"/>
          <w:sz w:val="24"/>
          <w:szCs w:val="24"/>
          <w:lang w:eastAsia="en-GB"/>
        </w:rPr>
        <w:t>was</w:t>
      </w:r>
      <w:r w:rsidRPr="0071546E">
        <w:rPr>
          <w:rFonts w:ascii="Arial" w:eastAsia="Times New Roman" w:hAnsi="Arial" w:cs="Arial"/>
          <w:color w:val="000000" w:themeColor="text1"/>
          <w:sz w:val="24"/>
          <w:szCs w:val="24"/>
          <w:lang w:eastAsia="en-GB"/>
        </w:rPr>
        <w:t xml:space="preserve"> stable for one day at 15 to 25</w:t>
      </w:r>
      <w:r w:rsidRPr="0071546E">
        <w:rPr>
          <w:rFonts w:ascii="Arial" w:eastAsia="Times New Roman" w:hAnsi="Arial" w:cs="Arial"/>
          <w:color w:val="000000" w:themeColor="text1"/>
          <w:sz w:val="24"/>
          <w:szCs w:val="24"/>
          <w:vertAlign w:val="superscript"/>
          <w:lang w:eastAsia="en-GB"/>
        </w:rPr>
        <w:t>o</w:t>
      </w:r>
      <w:r w:rsidRPr="0071546E">
        <w:rPr>
          <w:rFonts w:ascii="Arial" w:eastAsia="Times New Roman" w:hAnsi="Arial" w:cs="Arial"/>
          <w:color w:val="000000" w:themeColor="text1"/>
          <w:sz w:val="24"/>
          <w:szCs w:val="24"/>
          <w:lang w:eastAsia="en-GB"/>
        </w:rPr>
        <w:t>C and for one week when stored at 0 to 4</w:t>
      </w:r>
      <w:r w:rsidRPr="0071546E">
        <w:rPr>
          <w:rFonts w:ascii="Arial" w:eastAsia="Times New Roman" w:hAnsi="Arial" w:cs="Arial"/>
          <w:color w:val="000000" w:themeColor="text1"/>
          <w:sz w:val="24"/>
          <w:szCs w:val="24"/>
          <w:vertAlign w:val="superscript"/>
          <w:lang w:eastAsia="en-GB"/>
        </w:rPr>
        <w:t>o</w:t>
      </w:r>
      <w:r w:rsidRPr="0071546E">
        <w:rPr>
          <w:rFonts w:ascii="Arial" w:eastAsia="Times New Roman" w:hAnsi="Arial" w:cs="Arial"/>
          <w:color w:val="000000" w:themeColor="text1"/>
          <w:sz w:val="24"/>
          <w:szCs w:val="24"/>
          <w:lang w:eastAsia="en-GB"/>
        </w:rPr>
        <w:t xml:space="preserve">C. A standard curve </w:t>
      </w:r>
      <w:r w:rsidR="00507708" w:rsidRPr="0071546E">
        <w:rPr>
          <w:rFonts w:ascii="Arial" w:eastAsia="Times New Roman" w:hAnsi="Arial" w:cs="Arial"/>
          <w:color w:val="000000" w:themeColor="text1"/>
          <w:sz w:val="24"/>
          <w:szCs w:val="24"/>
          <w:lang w:eastAsia="en-GB"/>
        </w:rPr>
        <w:t>was</w:t>
      </w:r>
      <w:r w:rsidRPr="0071546E">
        <w:rPr>
          <w:rFonts w:ascii="Arial" w:eastAsia="Times New Roman" w:hAnsi="Arial" w:cs="Arial"/>
          <w:color w:val="000000" w:themeColor="text1"/>
          <w:sz w:val="24"/>
          <w:szCs w:val="24"/>
          <w:lang w:eastAsia="en-GB"/>
        </w:rPr>
        <w:t xml:space="preserve"> set up prior to each experiment to ensure there </w:t>
      </w:r>
      <w:r w:rsidR="00507708" w:rsidRPr="0071546E">
        <w:rPr>
          <w:rFonts w:ascii="Arial" w:eastAsia="Times New Roman" w:hAnsi="Arial" w:cs="Arial"/>
          <w:color w:val="000000" w:themeColor="text1"/>
          <w:sz w:val="24"/>
          <w:szCs w:val="24"/>
          <w:lang w:eastAsia="en-GB"/>
        </w:rPr>
        <w:t>was</w:t>
      </w:r>
      <w:r w:rsidRPr="0071546E">
        <w:rPr>
          <w:rFonts w:ascii="Arial" w:eastAsia="Times New Roman" w:hAnsi="Arial" w:cs="Arial"/>
          <w:color w:val="000000" w:themeColor="text1"/>
          <w:sz w:val="24"/>
          <w:szCs w:val="24"/>
          <w:lang w:eastAsia="en-GB"/>
        </w:rPr>
        <w:t xml:space="preserve"> no loss </w:t>
      </w:r>
      <w:r w:rsidR="00507708" w:rsidRPr="0071546E">
        <w:rPr>
          <w:rFonts w:ascii="Arial" w:eastAsia="Times New Roman" w:hAnsi="Arial" w:cs="Arial"/>
          <w:color w:val="000000" w:themeColor="text1"/>
          <w:sz w:val="24"/>
          <w:szCs w:val="24"/>
          <w:lang w:eastAsia="en-GB"/>
        </w:rPr>
        <w:t>of</w:t>
      </w:r>
      <w:r w:rsidRPr="0071546E">
        <w:rPr>
          <w:rFonts w:ascii="Arial" w:eastAsia="Times New Roman" w:hAnsi="Arial" w:cs="Arial"/>
          <w:color w:val="000000" w:themeColor="text1"/>
          <w:sz w:val="24"/>
          <w:szCs w:val="24"/>
          <w:lang w:eastAsia="en-GB"/>
        </w:rPr>
        <w:t xml:space="preserve"> activity due to storage. Reconstitution of ATP standard</w:t>
      </w:r>
    </w:p>
    <w:p w:rsidR="00725033" w:rsidRPr="0071546E" w:rsidRDefault="00725033" w:rsidP="00CF13FE">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Each bottle of ATP contains approximately 10 mg</w:t>
      </w:r>
      <w:r w:rsidR="002C2939" w:rsidRPr="0071546E">
        <w:rPr>
          <w:rFonts w:ascii="Arial" w:eastAsia="Times New Roman" w:hAnsi="Arial" w:cs="Arial"/>
          <w:color w:val="000000" w:themeColor="text1"/>
          <w:sz w:val="24"/>
          <w:szCs w:val="24"/>
          <w:lang w:eastAsia="en-GB"/>
        </w:rPr>
        <w:t xml:space="preserve"> of</w:t>
      </w:r>
      <w:r w:rsidRPr="0071546E">
        <w:rPr>
          <w:rFonts w:ascii="Arial" w:eastAsia="Times New Roman" w:hAnsi="Arial" w:cs="Arial"/>
          <w:color w:val="000000" w:themeColor="text1"/>
          <w:sz w:val="24"/>
          <w:szCs w:val="24"/>
          <w:lang w:eastAsia="en-GB"/>
        </w:rPr>
        <w:t xml:space="preserve"> ATP. A stock solution of 10   mg/ml or 16.5 mM ATP </w:t>
      </w:r>
      <w:r w:rsidR="00507708" w:rsidRPr="0071546E">
        <w:rPr>
          <w:rFonts w:ascii="Arial" w:eastAsia="Times New Roman" w:hAnsi="Arial" w:cs="Arial"/>
          <w:color w:val="000000" w:themeColor="text1"/>
          <w:sz w:val="24"/>
          <w:szCs w:val="24"/>
          <w:lang w:eastAsia="en-GB"/>
        </w:rPr>
        <w:t>was</w:t>
      </w:r>
      <w:r w:rsidRPr="0071546E">
        <w:rPr>
          <w:rFonts w:ascii="Arial" w:eastAsia="Times New Roman" w:hAnsi="Arial" w:cs="Arial"/>
          <w:color w:val="000000" w:themeColor="text1"/>
          <w:sz w:val="24"/>
          <w:szCs w:val="24"/>
          <w:lang w:eastAsia="en-GB"/>
        </w:rPr>
        <w:t xml:space="preserve"> made (960 µL of distilled water to 9.60 mg ATP</w:t>
      </w:r>
    </w:p>
    <w:p w:rsidR="00725033" w:rsidRPr="0071546E" w:rsidRDefault="00725033" w:rsidP="00CF13FE">
      <w:pPr>
        <w:spacing w:before="100" w:after="0" w:line="480" w:lineRule="auto"/>
        <w:ind w:left="1021" w:right="454" w:firstLine="57"/>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Photodynamic treatment</w:t>
      </w:r>
    </w:p>
    <w:p w:rsidR="00725033" w:rsidRPr="0071546E" w:rsidRDefault="00725033" w:rsidP="00CF13FE">
      <w:pPr>
        <w:spacing w:before="100" w:after="0" w:line="480" w:lineRule="auto"/>
        <w:ind w:left="1021" w:right="454"/>
        <w:jc w:val="both"/>
        <w:rPr>
          <w:rFonts w:ascii="Arial" w:eastAsia="Times New Roman" w:hAnsi="Arial" w:cs="Arial"/>
          <w:color w:val="000000" w:themeColor="text1"/>
          <w:sz w:val="24"/>
          <w:szCs w:val="24"/>
          <w:lang w:eastAsia="en-GB"/>
        </w:rPr>
      </w:pPr>
      <w:r w:rsidRPr="0071546E">
        <w:rPr>
          <w:rFonts w:ascii="Arial" w:eastAsia="Times New Roman" w:hAnsi="Arial" w:cs="Arial"/>
          <w:color w:val="000000" w:themeColor="text1"/>
          <w:sz w:val="24"/>
          <w:szCs w:val="24"/>
          <w:lang w:eastAsia="en-GB"/>
        </w:rPr>
        <w:t xml:space="preserve">Cells </w:t>
      </w:r>
      <w:r w:rsidR="00507708" w:rsidRPr="0071546E">
        <w:rPr>
          <w:rFonts w:ascii="Arial" w:eastAsia="Times New Roman" w:hAnsi="Arial" w:cs="Arial"/>
          <w:color w:val="000000" w:themeColor="text1"/>
          <w:sz w:val="24"/>
          <w:szCs w:val="24"/>
          <w:lang w:eastAsia="en-GB"/>
        </w:rPr>
        <w:t xml:space="preserve">were </w:t>
      </w:r>
      <w:r w:rsidRPr="0071546E">
        <w:rPr>
          <w:rFonts w:ascii="Arial" w:eastAsia="Times New Roman" w:hAnsi="Arial" w:cs="Arial"/>
          <w:color w:val="000000" w:themeColor="text1"/>
          <w:sz w:val="24"/>
          <w:szCs w:val="24"/>
          <w:lang w:eastAsia="en-GB"/>
        </w:rPr>
        <w:t>exposed (for 60mins) at room temperature to a red LED light (Omega, Aqua light LED light therapy), delivering total energy of 85 j/cm</w:t>
      </w:r>
      <w:r w:rsidRPr="0071546E">
        <w:rPr>
          <w:rFonts w:ascii="Arial" w:eastAsia="Times New Roman" w:hAnsi="Arial" w:cs="Arial"/>
          <w:color w:val="000000" w:themeColor="text1"/>
          <w:sz w:val="24"/>
          <w:szCs w:val="24"/>
          <w:vertAlign w:val="superscript"/>
          <w:lang w:eastAsia="en-GB"/>
        </w:rPr>
        <w:t>2</w:t>
      </w:r>
      <w:r w:rsidRPr="0071546E">
        <w:rPr>
          <w:rFonts w:ascii="Arial" w:eastAsia="Times New Roman" w:hAnsi="Arial" w:cs="Arial"/>
          <w:color w:val="000000" w:themeColor="text1"/>
          <w:sz w:val="24"/>
          <w:szCs w:val="24"/>
          <w:lang w:eastAsia="en-GB"/>
        </w:rPr>
        <w:t xml:space="preserve"> energy. Before exposure, the control sample </w:t>
      </w:r>
      <w:r w:rsidR="00507708" w:rsidRPr="0071546E">
        <w:rPr>
          <w:rFonts w:ascii="Arial" w:eastAsia="Times New Roman" w:hAnsi="Arial" w:cs="Arial"/>
          <w:color w:val="000000" w:themeColor="text1"/>
          <w:sz w:val="24"/>
          <w:szCs w:val="24"/>
          <w:lang w:eastAsia="en-GB"/>
        </w:rPr>
        <w:t>was</w:t>
      </w:r>
      <w:r w:rsidRPr="0071546E">
        <w:rPr>
          <w:rFonts w:ascii="Arial" w:eastAsia="Times New Roman" w:hAnsi="Arial" w:cs="Arial"/>
          <w:color w:val="000000" w:themeColor="text1"/>
          <w:sz w:val="24"/>
          <w:szCs w:val="24"/>
          <w:lang w:eastAsia="en-GB"/>
        </w:rPr>
        <w:t xml:space="preserve"> protected from the LED light by covering it in an aluminium foil. After 60mins exposure, cells </w:t>
      </w:r>
      <w:r w:rsidR="00507708" w:rsidRPr="0071546E">
        <w:rPr>
          <w:rFonts w:ascii="Arial" w:eastAsia="Times New Roman" w:hAnsi="Arial" w:cs="Arial"/>
          <w:color w:val="000000" w:themeColor="text1"/>
          <w:sz w:val="24"/>
          <w:szCs w:val="24"/>
          <w:lang w:eastAsia="en-GB"/>
        </w:rPr>
        <w:t>were</w:t>
      </w:r>
      <w:r w:rsidRPr="0071546E">
        <w:rPr>
          <w:rFonts w:ascii="Arial" w:eastAsia="Times New Roman" w:hAnsi="Arial" w:cs="Arial"/>
          <w:color w:val="000000" w:themeColor="text1"/>
          <w:sz w:val="24"/>
          <w:szCs w:val="24"/>
          <w:lang w:eastAsia="en-GB"/>
        </w:rPr>
        <w:t xml:space="preserve"> incubated at 30</w:t>
      </w:r>
      <w:r w:rsidRPr="0071546E">
        <w:rPr>
          <w:rFonts w:ascii="Arial" w:eastAsia="Times New Roman" w:hAnsi="Arial" w:cs="Arial"/>
          <w:color w:val="000000" w:themeColor="text1"/>
          <w:sz w:val="24"/>
          <w:szCs w:val="24"/>
          <w:vertAlign w:val="superscript"/>
          <w:lang w:eastAsia="en-GB"/>
        </w:rPr>
        <w:t>o</w:t>
      </w:r>
      <w:r w:rsidRPr="0071546E">
        <w:rPr>
          <w:rFonts w:ascii="Arial" w:eastAsia="Times New Roman" w:hAnsi="Arial" w:cs="Arial"/>
          <w:color w:val="000000" w:themeColor="text1"/>
          <w:sz w:val="24"/>
          <w:szCs w:val="24"/>
          <w:lang w:eastAsia="en-GB"/>
        </w:rPr>
        <w:t>C for in a plate shaker incubator (400 g rotor speed) for 24 hours before viability assay.</w:t>
      </w:r>
    </w:p>
    <w:p w:rsidR="00725033" w:rsidRPr="0071546E" w:rsidRDefault="00725033" w:rsidP="00CF13FE">
      <w:pPr>
        <w:spacing w:before="100" w:after="0" w:line="480" w:lineRule="auto"/>
        <w:ind w:left="1021" w:right="454" w:firstLine="57"/>
        <w:jc w:val="both"/>
        <w:rPr>
          <w:rFonts w:ascii="Arial" w:eastAsia="Times New Roman" w:hAnsi="Arial" w:cs="Arial"/>
          <w:color w:val="000000" w:themeColor="text1"/>
          <w:sz w:val="24"/>
          <w:szCs w:val="24"/>
          <w:lang w:eastAsia="en-GB"/>
        </w:rPr>
      </w:pPr>
      <w:r w:rsidRPr="0071546E">
        <w:rPr>
          <w:rFonts w:ascii="Arial" w:eastAsiaTheme="minorEastAsia" w:hAnsi="Arial" w:cs="Arial"/>
          <w:noProof/>
          <w:color w:val="000000" w:themeColor="text1"/>
          <w:sz w:val="24"/>
          <w:szCs w:val="24"/>
          <w:lang w:eastAsia="en-GB"/>
        </w:rPr>
        <w:drawing>
          <wp:inline distT="0" distB="0" distL="0" distR="0" wp14:anchorId="1A237CE6" wp14:editId="5E7B33E2">
            <wp:extent cx="4292082" cy="30041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391354" cy="3073669"/>
                    </a:xfrm>
                    <a:prstGeom prst="rect">
                      <a:avLst/>
                    </a:prstGeom>
                  </pic:spPr>
                </pic:pic>
              </a:graphicData>
            </a:graphic>
          </wp:inline>
        </w:drawing>
      </w:r>
    </w:p>
    <w:p w:rsidR="00725033" w:rsidRPr="0071546E" w:rsidRDefault="00224EEC" w:rsidP="00CF13FE">
      <w:pPr>
        <w:spacing w:before="100" w:after="0" w:line="240" w:lineRule="auto"/>
        <w:ind w:left="1021" w:right="454"/>
        <w:jc w:val="both"/>
        <w:rPr>
          <w:rFonts w:ascii="Arial" w:eastAsia="Times New Roman" w:hAnsi="Arial" w:cs="Arial"/>
          <w:color w:val="000000" w:themeColor="text1"/>
          <w:sz w:val="20"/>
          <w:szCs w:val="20"/>
          <w:lang w:eastAsia="en-GB"/>
        </w:rPr>
      </w:pPr>
      <w:r w:rsidRPr="0071546E">
        <w:rPr>
          <w:rFonts w:ascii="Arial" w:eastAsia="Times New Roman" w:hAnsi="Arial" w:cs="Arial"/>
          <w:color w:val="000000" w:themeColor="text1"/>
          <w:sz w:val="20"/>
          <w:szCs w:val="20"/>
          <w:lang w:eastAsia="en-GB"/>
        </w:rPr>
        <w:t xml:space="preserve">Fig 2.6 </w:t>
      </w:r>
      <w:r w:rsidR="00725033" w:rsidRPr="0071546E">
        <w:rPr>
          <w:rFonts w:ascii="Arial" w:eastAsia="Times New Roman" w:hAnsi="Arial" w:cs="Arial"/>
          <w:color w:val="000000" w:themeColor="text1"/>
          <w:sz w:val="20"/>
          <w:szCs w:val="20"/>
          <w:lang w:eastAsia="en-GB"/>
        </w:rPr>
        <w:t>Irradiation of cells with red LED lamps. For each experiment x 4, clear bottom transparent 96-well plates are used. The trophozoites and cysts will have two plates set up one protected from light and the other exposed to light. A thermometer is set up to make sure localised heat does not exceed 30</w:t>
      </w:r>
      <w:r w:rsidR="00725033" w:rsidRPr="0071546E">
        <w:rPr>
          <w:rFonts w:ascii="Arial" w:eastAsia="Times New Roman" w:hAnsi="Arial" w:cs="Arial"/>
          <w:color w:val="000000" w:themeColor="text1"/>
          <w:sz w:val="20"/>
          <w:szCs w:val="20"/>
          <w:vertAlign w:val="superscript"/>
          <w:lang w:eastAsia="en-GB"/>
        </w:rPr>
        <w:t>o</w:t>
      </w:r>
      <w:r w:rsidR="00725033" w:rsidRPr="0071546E">
        <w:rPr>
          <w:rFonts w:ascii="Arial" w:eastAsia="Times New Roman" w:hAnsi="Arial" w:cs="Arial"/>
          <w:color w:val="000000" w:themeColor="text1"/>
          <w:sz w:val="20"/>
          <w:szCs w:val="20"/>
          <w:lang w:eastAsia="en-GB"/>
        </w:rPr>
        <w:t>C.</w:t>
      </w:r>
    </w:p>
    <w:p w:rsidR="009C2D9B" w:rsidRPr="0071546E" w:rsidRDefault="00725033" w:rsidP="009C2D9B">
      <w:pPr>
        <w:spacing w:before="100" w:after="0" w:line="240" w:lineRule="atLeast"/>
        <w:ind w:left="1021" w:right="454" w:firstLine="57"/>
        <w:jc w:val="both"/>
        <w:rPr>
          <w:rFonts w:ascii="Arial" w:eastAsia="Times New Roman" w:hAnsi="Arial" w:cs="Arial"/>
          <w:color w:val="000000" w:themeColor="text1"/>
          <w:sz w:val="24"/>
          <w:szCs w:val="24"/>
          <w:lang w:eastAsia="en-GB"/>
        </w:rPr>
      </w:pPr>
      <w:r w:rsidRPr="0071546E">
        <w:rPr>
          <w:rFonts w:ascii="Arial" w:eastAsiaTheme="minorEastAsia" w:hAnsi="Arial" w:cs="Arial"/>
          <w:noProof/>
          <w:color w:val="000000" w:themeColor="text1"/>
          <w:sz w:val="24"/>
          <w:szCs w:val="24"/>
          <w:lang w:eastAsia="en-GB"/>
        </w:rPr>
        <w:drawing>
          <wp:inline distT="0" distB="0" distL="0" distR="0" wp14:anchorId="37824503" wp14:editId="1B9E4AC0">
            <wp:extent cx="4076700" cy="330198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35847" cy="3430888"/>
                    </a:xfrm>
                    <a:prstGeom prst="rect">
                      <a:avLst/>
                    </a:prstGeom>
                  </pic:spPr>
                </pic:pic>
              </a:graphicData>
            </a:graphic>
          </wp:inline>
        </w:drawing>
      </w:r>
    </w:p>
    <w:p w:rsidR="009C2D9B" w:rsidRPr="0071546E" w:rsidRDefault="009C2D9B" w:rsidP="009C2D9B">
      <w:pPr>
        <w:spacing w:before="100" w:after="0" w:line="240" w:lineRule="atLeast"/>
        <w:ind w:left="1021" w:right="454"/>
        <w:jc w:val="both"/>
        <w:rPr>
          <w:rFonts w:ascii="Arial" w:eastAsia="Times New Roman" w:hAnsi="Arial" w:cs="Arial"/>
          <w:color w:val="000000" w:themeColor="text1"/>
          <w:sz w:val="20"/>
          <w:szCs w:val="20"/>
          <w:lang w:eastAsia="en-GB"/>
        </w:rPr>
      </w:pPr>
    </w:p>
    <w:p w:rsidR="00725033" w:rsidRPr="0071546E" w:rsidRDefault="00224EEC" w:rsidP="009C2D9B">
      <w:pPr>
        <w:spacing w:before="100" w:after="0" w:line="240" w:lineRule="atLeast"/>
        <w:ind w:left="1021" w:right="454"/>
        <w:jc w:val="both"/>
        <w:rPr>
          <w:rFonts w:ascii="Arial" w:eastAsia="Times New Roman" w:hAnsi="Arial" w:cs="Arial"/>
          <w:color w:val="000000" w:themeColor="text1"/>
          <w:sz w:val="20"/>
          <w:szCs w:val="20"/>
          <w:lang w:eastAsia="en-GB"/>
        </w:rPr>
      </w:pPr>
      <w:r w:rsidRPr="0071546E">
        <w:rPr>
          <w:rFonts w:ascii="Arial" w:eastAsia="Times New Roman" w:hAnsi="Arial" w:cs="Arial"/>
          <w:color w:val="000000" w:themeColor="text1"/>
          <w:sz w:val="20"/>
          <w:szCs w:val="20"/>
          <w:lang w:eastAsia="en-GB"/>
        </w:rPr>
        <w:t xml:space="preserve">Fig 2.7 </w:t>
      </w:r>
      <w:r w:rsidR="00725033" w:rsidRPr="0071546E">
        <w:rPr>
          <w:rFonts w:ascii="Arial" w:eastAsia="Times New Roman" w:hAnsi="Arial" w:cs="Arial"/>
          <w:color w:val="000000" w:themeColor="text1"/>
          <w:sz w:val="20"/>
          <w:szCs w:val="20"/>
          <w:lang w:eastAsia="en-GB"/>
        </w:rPr>
        <w:t>Digital Light Lux Meter. Model number LUX29TK, with Data Logging Function Measurement. Range 0 to 200,000 Lux Auto</w:t>
      </w:r>
      <w:r w:rsidR="00563D9A" w:rsidRPr="0071546E">
        <w:rPr>
          <w:rFonts w:ascii="Arial" w:eastAsia="Times New Roman" w:hAnsi="Arial" w:cs="Arial"/>
          <w:color w:val="000000" w:themeColor="text1"/>
          <w:sz w:val="20"/>
          <w:szCs w:val="20"/>
          <w:lang w:eastAsia="en-GB"/>
        </w:rPr>
        <w:t>-</w:t>
      </w:r>
      <w:r w:rsidR="00725033" w:rsidRPr="0071546E">
        <w:rPr>
          <w:rFonts w:ascii="Arial" w:eastAsia="Times New Roman" w:hAnsi="Arial" w:cs="Arial"/>
          <w:color w:val="000000" w:themeColor="text1"/>
          <w:sz w:val="20"/>
          <w:szCs w:val="20"/>
          <w:lang w:eastAsia="en-GB"/>
        </w:rPr>
        <w:t xml:space="preserve">Ranging Instrument Detachable sensors. </w:t>
      </w:r>
    </w:p>
    <w:sdt>
      <w:sdtPr>
        <w:rPr>
          <w:rFonts w:ascii="Arial" w:eastAsiaTheme="minorEastAsia" w:hAnsi="Arial" w:cs="Arial"/>
          <w:color w:val="5B9BD5" w:themeColor="accent1"/>
          <w:sz w:val="24"/>
          <w:szCs w:val="24"/>
        </w:rPr>
        <w:id w:val="1967466832"/>
        <w:docPartObj>
          <w:docPartGallery w:val="Cover Pages"/>
          <w:docPartUnique/>
        </w:docPartObj>
      </w:sdtPr>
      <w:sdtEndPr>
        <w:rPr>
          <w:rFonts w:eastAsia="Times New Roman"/>
          <w:b/>
          <w:color w:val="auto"/>
          <w:lang w:eastAsia="en-GB"/>
        </w:rPr>
      </w:sdtEndPr>
      <w:sdtContent>
        <w:p w:rsidR="009C2D9B" w:rsidRPr="0071546E" w:rsidRDefault="009B7013" w:rsidP="00DB4711">
          <w:pPr>
            <w:spacing w:before="1540" w:after="240" w:line="240" w:lineRule="atLeast"/>
            <w:ind w:right="454"/>
            <w:rPr>
              <w:rFonts w:ascii="Arial" w:eastAsiaTheme="minorEastAsia" w:hAnsi="Arial" w:cs="Arial"/>
              <w:color w:val="5B9BD5" w:themeColor="accent1"/>
              <w:sz w:val="24"/>
              <w:szCs w:val="24"/>
            </w:rPr>
          </w:pPr>
          <w:r w:rsidRPr="0071546E">
            <w:rPr>
              <w:rFonts w:ascii="Arial" w:eastAsiaTheme="minorEastAsia" w:hAnsi="Arial" w:cs="Arial"/>
              <w:noProof/>
              <w:color w:val="5B9BD5" w:themeColor="accent1"/>
              <w:sz w:val="24"/>
              <w:szCs w:val="24"/>
              <w:lang w:eastAsia="en-GB"/>
            </w:rPr>
            <mc:AlternateContent>
              <mc:Choice Requires="wps">
                <w:drawing>
                  <wp:anchor distT="0" distB="0" distL="114300" distR="114300" simplePos="0" relativeHeight="251758592" behindDoc="0" locked="0" layoutInCell="1" allowOverlap="1">
                    <wp:simplePos x="0" y="0"/>
                    <wp:positionH relativeFrom="margin">
                      <wp:posOffset>20548</wp:posOffset>
                    </wp:positionH>
                    <wp:positionV relativeFrom="paragraph">
                      <wp:posOffset>0</wp:posOffset>
                    </wp:positionV>
                    <wp:extent cx="5157627" cy="1222625"/>
                    <wp:effectExtent l="0" t="0" r="0" b="0"/>
                    <wp:wrapNone/>
                    <wp:docPr id="1196" name="Text Box 1196"/>
                    <wp:cNvGraphicFramePr/>
                    <a:graphic xmlns:a="http://schemas.openxmlformats.org/drawingml/2006/main">
                      <a:graphicData uri="http://schemas.microsoft.com/office/word/2010/wordprocessingShape">
                        <wps:wsp>
                          <wps:cNvSpPr txBox="1"/>
                          <wps:spPr>
                            <a:xfrm>
                              <a:off x="0" y="0"/>
                              <a:ext cx="5157627" cy="1222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7A14" w:rsidRPr="00D17291" w:rsidRDefault="00A87A14" w:rsidP="009B7013">
                                <w:pPr>
                                  <w:pStyle w:val="Title"/>
                                  <w:spacing w:line="360" w:lineRule="auto"/>
                                  <w:ind w:right="454"/>
                                  <w:jc w:val="both"/>
                                  <w:rPr>
                                    <w:rFonts w:ascii="Arial" w:eastAsiaTheme="minorEastAsia" w:hAnsi="Arial" w:cs="Arial"/>
                                    <w:b/>
                                    <w:color w:val="000000" w:themeColor="text1"/>
                                    <w:sz w:val="56"/>
                                  </w:rPr>
                                </w:pPr>
                                <w:r w:rsidRPr="00D17291">
                                  <w:rPr>
                                    <w:rFonts w:ascii="Arial" w:eastAsiaTheme="minorEastAsia" w:hAnsi="Arial" w:cs="Arial"/>
                                    <w:b/>
                                    <w:color w:val="000000" w:themeColor="text1"/>
                                    <w:sz w:val="56"/>
                                  </w:rPr>
                                  <w:t>CHAPTER THREE</w:t>
                                </w:r>
                              </w:p>
                              <w:p w:rsidR="00A87A14" w:rsidRPr="00D17291" w:rsidRDefault="00A87A14" w:rsidP="009B7013">
                                <w:pPr>
                                  <w:pStyle w:val="Subtitle"/>
                                  <w:spacing w:line="360" w:lineRule="auto"/>
                                  <w:ind w:right="454"/>
                                  <w:jc w:val="both"/>
                                  <w:rPr>
                                    <w:rFonts w:ascii="Arial" w:hAnsi="Arial" w:cs="Arial"/>
                                    <w:color w:val="000000" w:themeColor="text1"/>
                                    <w:sz w:val="18"/>
                                  </w:rPr>
                                </w:pPr>
                                <w:r w:rsidRPr="00D17291">
                                  <w:rPr>
                                    <w:rFonts w:ascii="Arial" w:hAnsi="Arial" w:cs="Arial"/>
                                    <w:color w:val="000000" w:themeColor="text1"/>
                                    <w:sz w:val="48"/>
                                  </w:rPr>
                                  <w:t>GENERAL RESULTS</w:t>
                                </w:r>
                              </w:p>
                              <w:p w:rsidR="00A87A14" w:rsidRDefault="00A87A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96" o:spid="_x0000_s1052" type="#_x0000_t202" style="position:absolute;margin-left:1.6pt;margin-top:0;width:406.1pt;height:96.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" filled="f" stroked="f" strokeweight=".5pt">
                    <v:textbox>
                      <w:txbxContent>
                        <w:p w:rsidR="00A87A14" w:rsidRPr="00D17291" w:rsidRDefault="00A87A14" w:rsidP="009B7013">
                          <w:pPr>
                            <w:pStyle w:val="Title"/>
                            <w:spacing w:line="360" w:lineRule="auto"/>
                            <w:ind w:right="454"/>
                            <w:jc w:val="both"/>
                            <w:rPr>
                              <w:rFonts w:ascii="Arial" w:eastAsiaTheme="minorEastAsia" w:hAnsi="Arial" w:cs="Arial"/>
                              <w:b/>
                              <w:color w:val="000000" w:themeColor="text1"/>
                              <w:sz w:val="56"/>
                            </w:rPr>
                          </w:pPr>
                          <w:r w:rsidRPr="00D17291">
                            <w:rPr>
                              <w:rFonts w:ascii="Arial" w:eastAsiaTheme="minorEastAsia" w:hAnsi="Arial" w:cs="Arial"/>
                              <w:b/>
                              <w:color w:val="000000" w:themeColor="text1"/>
                              <w:sz w:val="56"/>
                            </w:rPr>
                            <w:t>CHAPTER THREE</w:t>
                          </w:r>
                        </w:p>
                        <w:p w:rsidR="00A87A14" w:rsidRPr="00D17291" w:rsidRDefault="00A87A14" w:rsidP="009B7013">
                          <w:pPr>
                            <w:pStyle w:val="Subtitle"/>
                            <w:spacing w:line="360" w:lineRule="auto"/>
                            <w:ind w:right="454"/>
                            <w:jc w:val="both"/>
                            <w:rPr>
                              <w:rFonts w:ascii="Arial" w:hAnsi="Arial" w:cs="Arial"/>
                              <w:color w:val="000000" w:themeColor="text1"/>
                              <w:sz w:val="18"/>
                            </w:rPr>
                          </w:pPr>
                          <w:r w:rsidRPr="00D17291">
                            <w:rPr>
                              <w:rFonts w:ascii="Arial" w:hAnsi="Arial" w:cs="Arial"/>
                              <w:color w:val="000000" w:themeColor="text1"/>
                              <w:sz w:val="48"/>
                            </w:rPr>
                            <w:t>GENERAL RESULTS</w:t>
                          </w:r>
                        </w:p>
                        <w:p w:rsidR="00A87A14" w:rsidRDefault="00A87A14"/>
                      </w:txbxContent>
                    </v:textbox>
                    <w10:wrap anchorx="margin"/>
                  </v:shape>
                </w:pict>
              </mc:Fallback>
            </mc:AlternateContent>
          </w:r>
          <w:r w:rsidR="00D17291" w:rsidRPr="0071546E">
            <w:rPr>
              <w:rFonts w:ascii="Arial" w:eastAsiaTheme="minorEastAsia" w:hAnsi="Arial" w:cs="Arial"/>
              <w:noProof/>
              <w:color w:val="5B9BD5" w:themeColor="accent1"/>
              <w:sz w:val="24"/>
              <w:szCs w:val="24"/>
              <w:lang w:eastAsia="en-GB"/>
            </w:rPr>
            <mc:AlternateContent>
              <mc:Choice Requires="wps">
                <w:drawing>
                  <wp:anchor distT="0" distB="0" distL="114300" distR="114300" simplePos="0" relativeHeight="251757568" behindDoc="0" locked="0" layoutInCell="1" allowOverlap="1">
                    <wp:simplePos x="0" y="0"/>
                    <wp:positionH relativeFrom="page">
                      <wp:align>right</wp:align>
                    </wp:positionH>
                    <wp:positionV relativeFrom="paragraph">
                      <wp:posOffset>-913765</wp:posOffset>
                    </wp:positionV>
                    <wp:extent cx="7540625" cy="10712450"/>
                    <wp:effectExtent l="0" t="0" r="22225" b="12700"/>
                    <wp:wrapNone/>
                    <wp:docPr id="1195" name="Rectangle 1195"/>
                    <wp:cNvGraphicFramePr/>
                    <a:graphic xmlns:a="http://schemas.openxmlformats.org/drawingml/2006/main">
                      <a:graphicData uri="http://schemas.microsoft.com/office/word/2010/wordprocessingShape">
                        <wps:wsp>
                          <wps:cNvSpPr/>
                          <wps:spPr>
                            <a:xfrm>
                              <a:off x="0" y="0"/>
                              <a:ext cx="7540625" cy="10712450"/>
                            </a:xfrm>
                            <a:prstGeom prst="rect">
                              <a:avLst/>
                            </a:prstGeom>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229B82" id="Rectangle 1195" o:spid="_x0000_s1026" style="position:absolute;margin-left:542.55pt;margin-top:-71.95pt;width:593.75pt;height:843.5pt;z-index:25175756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" filled="f" strokecolor="#a5a5a5 [3206]" strokeweight=".5pt">
                    <w10:wrap anchorx="page"/>
                  </v:rect>
                </w:pict>
              </mc:Fallback>
            </mc:AlternateContent>
          </w:r>
        </w:p>
        <w:p w:rsidR="00725033" w:rsidRPr="0071546E" w:rsidRDefault="00725033" w:rsidP="00225130">
          <w:pPr>
            <w:spacing w:before="100" w:after="200" w:line="360" w:lineRule="auto"/>
            <w:ind w:left="1021" w:right="454"/>
            <w:rPr>
              <w:rFonts w:ascii="Arial" w:eastAsia="Times New Roman" w:hAnsi="Arial" w:cs="Arial"/>
              <w:b/>
              <w:sz w:val="24"/>
              <w:szCs w:val="24"/>
              <w:lang w:eastAsia="en-GB"/>
            </w:rPr>
          </w:pPr>
          <w:r w:rsidRPr="0071546E">
            <w:rPr>
              <w:rFonts w:ascii="Arial" w:eastAsia="Times New Roman" w:hAnsi="Arial" w:cs="Arial"/>
              <w:b/>
              <w:sz w:val="24"/>
              <w:szCs w:val="24"/>
              <w:lang w:eastAsia="en-GB"/>
            </w:rPr>
            <w:br w:type="page"/>
          </w:r>
        </w:p>
      </w:sdtContent>
    </w:sdt>
    <w:p w:rsidR="00725033" w:rsidRPr="0071546E" w:rsidRDefault="00725033" w:rsidP="00CF13FE">
      <w:pPr>
        <w:pStyle w:val="Heading1"/>
        <w:ind w:left="1021" w:right="454"/>
        <w:rPr>
          <w:rFonts w:eastAsiaTheme="minorEastAsia"/>
        </w:rPr>
      </w:pPr>
      <w:bookmarkStart w:id="85" w:name="_Toc14711457"/>
      <w:r w:rsidRPr="0071546E">
        <w:rPr>
          <w:rFonts w:eastAsiaTheme="minorEastAsia"/>
        </w:rPr>
        <w:t>Chapter 3</w:t>
      </w:r>
      <w:bookmarkEnd w:id="85"/>
    </w:p>
    <w:p w:rsidR="00725033" w:rsidRPr="0071546E" w:rsidRDefault="00725033" w:rsidP="00CF13FE">
      <w:pPr>
        <w:pStyle w:val="Heading1"/>
        <w:ind w:left="1021" w:right="454"/>
        <w:rPr>
          <w:rFonts w:eastAsiaTheme="minorEastAsia"/>
        </w:rPr>
      </w:pPr>
      <w:bookmarkStart w:id="86" w:name="_Toc14711458"/>
      <w:r w:rsidRPr="0071546E">
        <w:rPr>
          <w:rFonts w:eastAsiaTheme="minorEastAsia"/>
        </w:rPr>
        <w:t xml:space="preserve">3.0 Overview of </w:t>
      </w:r>
      <w:r w:rsidR="002C2939" w:rsidRPr="0071546E">
        <w:rPr>
          <w:rFonts w:eastAsiaTheme="minorEastAsia"/>
        </w:rPr>
        <w:t xml:space="preserve">the </w:t>
      </w:r>
      <w:r w:rsidRPr="0071546E">
        <w:rPr>
          <w:rFonts w:eastAsiaTheme="minorEastAsia"/>
        </w:rPr>
        <w:t>chapter.</w:t>
      </w:r>
      <w:bookmarkEnd w:id="86"/>
    </w:p>
    <w:p w:rsidR="00725033" w:rsidRPr="0071546E" w:rsidRDefault="002561B2" w:rsidP="00CF13FE">
      <w:pPr>
        <w:spacing w:before="100" w:after="200" w:line="276" w:lineRule="auto"/>
        <w:ind w:left="1021" w:right="454"/>
        <w:jc w:val="both"/>
        <w:rPr>
          <w:rFonts w:ascii="Arial" w:eastAsiaTheme="minorEastAsia" w:hAnsi="Arial" w:cs="Arial"/>
          <w:color w:val="000000" w:themeColor="text1"/>
          <w:sz w:val="24"/>
          <w:szCs w:val="24"/>
        </w:rPr>
      </w:pPr>
      <w:r w:rsidRPr="0071546E">
        <w:rPr>
          <w:rFonts w:ascii="Arial" w:eastAsiaTheme="minorEastAsia" w:hAnsi="Arial" w:cs="Arial"/>
          <w:color w:val="000000" w:themeColor="text1"/>
          <w:sz w:val="24"/>
          <w:szCs w:val="24"/>
        </w:rPr>
        <w:t>This chapter, reports all relevant</w:t>
      </w:r>
      <w:r w:rsidR="00725033" w:rsidRPr="0071546E">
        <w:rPr>
          <w:rFonts w:ascii="Arial" w:eastAsiaTheme="minorEastAsia" w:hAnsi="Arial" w:cs="Arial"/>
          <w:color w:val="000000" w:themeColor="text1"/>
          <w:sz w:val="24"/>
          <w:szCs w:val="24"/>
        </w:rPr>
        <w:t xml:space="preserve"> data obtained from all laboratory work. It is divided into three sections.</w:t>
      </w:r>
    </w:p>
    <w:p w:rsidR="00725033" w:rsidRPr="0071546E" w:rsidRDefault="00725033" w:rsidP="00CF13FE">
      <w:pPr>
        <w:ind w:left="1021" w:right="454"/>
        <w:rPr>
          <w:rFonts w:ascii="Arial" w:hAnsi="Arial" w:cs="Arial"/>
          <w:b/>
          <w:sz w:val="24"/>
          <w:szCs w:val="24"/>
        </w:rPr>
      </w:pPr>
      <w:r w:rsidRPr="0071546E">
        <w:rPr>
          <w:rFonts w:ascii="Arial" w:hAnsi="Arial" w:cs="Arial"/>
          <w:b/>
          <w:sz w:val="24"/>
          <w:szCs w:val="24"/>
        </w:rPr>
        <w:t xml:space="preserve">Characterisation of </w:t>
      </w:r>
      <w:r w:rsidR="00432D1D" w:rsidRPr="0071546E">
        <w:rPr>
          <w:rFonts w:ascii="Arial" w:hAnsi="Arial" w:cs="Arial"/>
          <w:b/>
          <w:i/>
          <w:sz w:val="24"/>
          <w:szCs w:val="24"/>
        </w:rPr>
        <w:t>Acanthamoeba</w:t>
      </w:r>
    </w:p>
    <w:p w:rsidR="00725033" w:rsidRPr="0071546E" w:rsidRDefault="00DD6702" w:rsidP="00CF13FE">
      <w:pPr>
        <w:spacing w:before="240" w:after="200" w:line="480" w:lineRule="auto"/>
        <w:ind w:left="1021" w:right="454"/>
        <w:jc w:val="both"/>
        <w:rPr>
          <w:rFonts w:ascii="Arial" w:eastAsiaTheme="minorEastAsia" w:hAnsi="Arial" w:cs="Arial"/>
          <w:color w:val="000000" w:themeColor="text1"/>
          <w:sz w:val="24"/>
          <w:szCs w:val="24"/>
        </w:rPr>
      </w:pPr>
      <w:r w:rsidRPr="0071546E">
        <w:rPr>
          <w:rFonts w:ascii="Arial" w:eastAsiaTheme="minorEastAsia" w:hAnsi="Arial" w:cs="Arial"/>
          <w:color w:val="000000" w:themeColor="text1"/>
          <w:sz w:val="24"/>
          <w:szCs w:val="24"/>
        </w:rPr>
        <w:t>S</w:t>
      </w:r>
      <w:r w:rsidR="00725033" w:rsidRPr="0071546E">
        <w:rPr>
          <w:rFonts w:ascii="Arial" w:eastAsiaTheme="minorEastAsia" w:hAnsi="Arial" w:cs="Arial"/>
          <w:color w:val="000000" w:themeColor="text1"/>
          <w:sz w:val="24"/>
          <w:szCs w:val="24"/>
        </w:rPr>
        <w:t xml:space="preserve">ection 3.1 presents results generated while characterising </w:t>
      </w:r>
      <w:r w:rsidR="00432D1D" w:rsidRPr="0071546E">
        <w:rPr>
          <w:rFonts w:ascii="Arial" w:eastAsiaTheme="minorEastAsia" w:hAnsi="Arial" w:cs="Arial"/>
          <w:i/>
          <w:color w:val="000000" w:themeColor="text1"/>
          <w:sz w:val="24"/>
          <w:szCs w:val="24"/>
        </w:rPr>
        <w:t>Acanthamoeba</w:t>
      </w:r>
      <w:r w:rsidR="00725033" w:rsidRPr="0071546E">
        <w:rPr>
          <w:rFonts w:ascii="Arial" w:eastAsiaTheme="minorEastAsia" w:hAnsi="Arial" w:cs="Arial"/>
          <w:i/>
          <w:color w:val="000000" w:themeColor="text1"/>
          <w:sz w:val="24"/>
          <w:szCs w:val="24"/>
        </w:rPr>
        <w:t>.</w:t>
      </w:r>
      <w:r w:rsidR="00725033" w:rsidRPr="0071546E">
        <w:rPr>
          <w:rFonts w:ascii="Arial" w:eastAsiaTheme="minorEastAsia" w:hAnsi="Arial" w:cs="Arial"/>
          <w:color w:val="000000" w:themeColor="text1"/>
          <w:sz w:val="24"/>
          <w:szCs w:val="24"/>
        </w:rPr>
        <w:t xml:space="preserve"> </w:t>
      </w:r>
      <w:r w:rsidR="00190FD1" w:rsidRPr="0071546E">
        <w:rPr>
          <w:rFonts w:ascii="Arial" w:eastAsiaTheme="minorEastAsia" w:hAnsi="Arial" w:cs="Arial"/>
          <w:color w:val="000000" w:themeColor="text1"/>
          <w:sz w:val="24"/>
          <w:szCs w:val="24"/>
        </w:rPr>
        <w:t>These results</w:t>
      </w:r>
      <w:r w:rsidR="00725033" w:rsidRPr="0071546E">
        <w:rPr>
          <w:rFonts w:ascii="Arial" w:eastAsiaTheme="minorEastAsia" w:hAnsi="Arial" w:cs="Arial"/>
          <w:color w:val="000000" w:themeColor="text1"/>
          <w:sz w:val="24"/>
          <w:szCs w:val="24"/>
        </w:rPr>
        <w:t xml:space="preserve"> involve growth kinetic studies fig (3.1), identification and characterisation of isolates sections 3.12 – 3.14. </w:t>
      </w:r>
    </w:p>
    <w:p w:rsidR="00725033" w:rsidRPr="0071546E" w:rsidRDefault="00725033" w:rsidP="00CF13FE">
      <w:pPr>
        <w:spacing w:before="100" w:after="200" w:line="276" w:lineRule="auto"/>
        <w:ind w:left="1021" w:right="454"/>
        <w:jc w:val="both"/>
        <w:rPr>
          <w:rFonts w:ascii="Arial" w:eastAsiaTheme="minorEastAsia" w:hAnsi="Arial" w:cs="Arial"/>
          <w:b/>
          <w:color w:val="000000" w:themeColor="text1"/>
          <w:sz w:val="24"/>
          <w:szCs w:val="24"/>
        </w:rPr>
      </w:pPr>
      <w:r w:rsidRPr="0071546E">
        <w:rPr>
          <w:rFonts w:ascii="Arial" w:eastAsiaTheme="minorEastAsia" w:hAnsi="Arial" w:cs="Arial"/>
          <w:b/>
          <w:color w:val="000000" w:themeColor="text1"/>
          <w:sz w:val="24"/>
          <w:szCs w:val="24"/>
        </w:rPr>
        <w:t>Viability assays</w:t>
      </w:r>
    </w:p>
    <w:p w:rsidR="00725033" w:rsidRPr="0071546E" w:rsidRDefault="002C2939" w:rsidP="00CF13FE">
      <w:pPr>
        <w:spacing w:before="100" w:after="200" w:line="480" w:lineRule="auto"/>
        <w:ind w:left="1021" w:right="454"/>
        <w:jc w:val="both"/>
        <w:rPr>
          <w:rFonts w:ascii="Arial" w:eastAsiaTheme="minorEastAsia" w:hAnsi="Arial" w:cs="Arial"/>
          <w:color w:val="000000" w:themeColor="text1"/>
          <w:sz w:val="24"/>
          <w:szCs w:val="24"/>
        </w:rPr>
      </w:pPr>
      <w:r w:rsidRPr="0071546E">
        <w:rPr>
          <w:rFonts w:ascii="Arial" w:eastAsiaTheme="minorEastAsia" w:hAnsi="Arial" w:cs="Arial"/>
          <w:color w:val="000000" w:themeColor="text1"/>
          <w:sz w:val="24"/>
          <w:szCs w:val="24"/>
        </w:rPr>
        <w:t>V</w:t>
      </w:r>
      <w:r w:rsidR="00725033" w:rsidRPr="0071546E">
        <w:rPr>
          <w:rFonts w:ascii="Arial" w:eastAsiaTheme="minorEastAsia" w:hAnsi="Arial" w:cs="Arial"/>
          <w:color w:val="000000" w:themeColor="text1"/>
          <w:sz w:val="24"/>
          <w:szCs w:val="24"/>
        </w:rPr>
        <w:t>iability assay</w:t>
      </w:r>
      <w:r w:rsidRPr="0071546E">
        <w:rPr>
          <w:rFonts w:ascii="Arial" w:eastAsiaTheme="minorEastAsia" w:hAnsi="Arial" w:cs="Arial"/>
          <w:color w:val="000000" w:themeColor="text1"/>
          <w:sz w:val="24"/>
          <w:szCs w:val="24"/>
        </w:rPr>
        <w:t>s</w:t>
      </w:r>
      <w:r w:rsidR="00725033" w:rsidRPr="0071546E">
        <w:rPr>
          <w:rFonts w:ascii="Arial" w:eastAsiaTheme="minorEastAsia" w:hAnsi="Arial" w:cs="Arial"/>
          <w:color w:val="000000" w:themeColor="text1"/>
          <w:sz w:val="24"/>
          <w:szCs w:val="24"/>
        </w:rPr>
        <w:t xml:space="preserve"> w</w:t>
      </w:r>
      <w:r w:rsidRPr="0071546E">
        <w:rPr>
          <w:rFonts w:ascii="Arial" w:eastAsiaTheme="minorEastAsia" w:hAnsi="Arial" w:cs="Arial"/>
          <w:color w:val="000000" w:themeColor="text1"/>
          <w:sz w:val="24"/>
          <w:szCs w:val="24"/>
        </w:rPr>
        <w:t>ere</w:t>
      </w:r>
      <w:r w:rsidR="00725033" w:rsidRPr="0071546E">
        <w:rPr>
          <w:rFonts w:ascii="Arial" w:eastAsiaTheme="minorEastAsia" w:hAnsi="Arial" w:cs="Arial"/>
          <w:color w:val="000000" w:themeColor="text1"/>
          <w:sz w:val="24"/>
          <w:szCs w:val="24"/>
        </w:rPr>
        <w:t xml:space="preserve"> </w:t>
      </w:r>
      <w:r w:rsidR="00190FD1" w:rsidRPr="0071546E">
        <w:rPr>
          <w:rFonts w:ascii="Arial" w:eastAsiaTheme="minorEastAsia" w:hAnsi="Arial" w:cs="Arial"/>
          <w:color w:val="000000" w:themeColor="text1"/>
          <w:sz w:val="24"/>
          <w:szCs w:val="24"/>
        </w:rPr>
        <w:t>performed</w:t>
      </w:r>
      <w:r w:rsidR="00725033" w:rsidRPr="0071546E">
        <w:rPr>
          <w:rFonts w:ascii="Arial" w:eastAsiaTheme="minorEastAsia" w:hAnsi="Arial" w:cs="Arial"/>
          <w:color w:val="000000" w:themeColor="text1"/>
          <w:sz w:val="24"/>
          <w:szCs w:val="24"/>
        </w:rPr>
        <w:t xml:space="preserve"> to evaluate their </w:t>
      </w:r>
      <w:r w:rsidR="00F21A24" w:rsidRPr="0071546E">
        <w:rPr>
          <w:rFonts w:ascii="Arial" w:eastAsiaTheme="minorEastAsia" w:hAnsi="Arial" w:cs="Arial"/>
          <w:color w:val="000000" w:themeColor="text1"/>
          <w:sz w:val="24"/>
          <w:szCs w:val="24"/>
        </w:rPr>
        <w:t xml:space="preserve">potential use </w:t>
      </w:r>
      <w:r w:rsidR="00476D08" w:rsidRPr="0071546E">
        <w:rPr>
          <w:rFonts w:ascii="Arial" w:eastAsiaTheme="minorEastAsia" w:hAnsi="Arial" w:cs="Arial"/>
          <w:color w:val="000000" w:themeColor="text1"/>
          <w:sz w:val="24"/>
          <w:szCs w:val="24"/>
        </w:rPr>
        <w:t xml:space="preserve">for </w:t>
      </w:r>
      <w:r w:rsidR="00476D08" w:rsidRPr="0071546E">
        <w:rPr>
          <w:rFonts w:ascii="Arial" w:eastAsiaTheme="minorEastAsia" w:hAnsi="Arial" w:cs="Arial"/>
          <w:i/>
          <w:color w:val="000000" w:themeColor="text1"/>
          <w:sz w:val="24"/>
          <w:szCs w:val="24"/>
        </w:rPr>
        <w:t>Acanthamoeba</w:t>
      </w:r>
      <w:r w:rsidR="00725033" w:rsidRPr="0071546E">
        <w:rPr>
          <w:rFonts w:ascii="Arial" w:eastAsiaTheme="minorEastAsia" w:hAnsi="Arial" w:cs="Arial"/>
          <w:color w:val="000000" w:themeColor="text1"/>
          <w:sz w:val="24"/>
          <w:szCs w:val="24"/>
        </w:rPr>
        <w:t xml:space="preserve"> susceptibility testing</w:t>
      </w:r>
      <w:r w:rsidR="00F21A24" w:rsidRPr="0071546E">
        <w:rPr>
          <w:rFonts w:ascii="Arial" w:eastAsiaTheme="minorEastAsia" w:hAnsi="Arial" w:cs="Arial"/>
          <w:color w:val="000000" w:themeColor="text1"/>
          <w:sz w:val="24"/>
          <w:szCs w:val="24"/>
        </w:rPr>
        <w:t>. R</w:t>
      </w:r>
      <w:r w:rsidR="00725033" w:rsidRPr="0071546E">
        <w:rPr>
          <w:rFonts w:ascii="Arial" w:eastAsiaTheme="minorEastAsia" w:hAnsi="Arial" w:cs="Arial"/>
          <w:color w:val="000000" w:themeColor="text1"/>
          <w:sz w:val="24"/>
          <w:szCs w:val="24"/>
        </w:rPr>
        <w:t xml:space="preserve">esults from these assays </w:t>
      </w:r>
      <w:r w:rsidR="00F21A24" w:rsidRPr="0071546E">
        <w:rPr>
          <w:rFonts w:ascii="Arial" w:eastAsiaTheme="minorEastAsia" w:hAnsi="Arial" w:cs="Arial"/>
          <w:color w:val="000000" w:themeColor="text1"/>
          <w:sz w:val="24"/>
          <w:szCs w:val="24"/>
        </w:rPr>
        <w:t>are</w:t>
      </w:r>
      <w:r w:rsidR="00725033" w:rsidRPr="0071546E">
        <w:rPr>
          <w:rFonts w:ascii="Arial" w:eastAsiaTheme="minorEastAsia" w:hAnsi="Arial" w:cs="Arial"/>
          <w:color w:val="000000" w:themeColor="text1"/>
          <w:sz w:val="24"/>
          <w:szCs w:val="24"/>
        </w:rPr>
        <w:t xml:space="preserve"> presented in section 3.2.</w:t>
      </w:r>
    </w:p>
    <w:p w:rsidR="00725033" w:rsidRPr="0071546E" w:rsidRDefault="00725033" w:rsidP="00CF13FE">
      <w:pPr>
        <w:spacing w:before="100" w:after="200" w:line="240" w:lineRule="auto"/>
        <w:ind w:left="1021" w:right="454"/>
        <w:jc w:val="both"/>
        <w:rPr>
          <w:rFonts w:ascii="Arial" w:eastAsiaTheme="minorEastAsia" w:hAnsi="Arial" w:cs="Arial"/>
          <w:color w:val="000000" w:themeColor="text1"/>
          <w:sz w:val="24"/>
          <w:szCs w:val="24"/>
        </w:rPr>
      </w:pPr>
      <w:r w:rsidRPr="0071546E">
        <w:rPr>
          <w:rFonts w:ascii="Arial" w:eastAsiaTheme="minorEastAsia" w:hAnsi="Arial" w:cs="Arial"/>
          <w:b/>
          <w:color w:val="000000" w:themeColor="text1"/>
          <w:sz w:val="24"/>
          <w:szCs w:val="24"/>
        </w:rPr>
        <w:t>Optimisation of ATP based assays</w:t>
      </w:r>
    </w:p>
    <w:p w:rsidR="00F21A24" w:rsidRPr="0071546E" w:rsidRDefault="00725033" w:rsidP="00CF13FE">
      <w:pPr>
        <w:spacing w:line="480" w:lineRule="auto"/>
        <w:ind w:left="1021" w:right="454"/>
        <w:jc w:val="both"/>
        <w:rPr>
          <w:rFonts w:ascii="Arial" w:hAnsi="Arial" w:cs="Arial"/>
          <w:b/>
          <w:sz w:val="28"/>
          <w:szCs w:val="28"/>
        </w:rPr>
      </w:pPr>
      <w:r w:rsidRPr="0071546E">
        <w:rPr>
          <w:rFonts w:ascii="Arial" w:eastAsiaTheme="minorEastAsia" w:hAnsi="Arial" w:cs="Arial"/>
          <w:color w:val="000000" w:themeColor="text1"/>
          <w:sz w:val="24"/>
          <w:szCs w:val="24"/>
        </w:rPr>
        <w:t>Optimisation of ATP based assay involved several experiments ranging from calibration curves, lysis assays, and transmission electron microscopy, are presented in section 3.3.</w:t>
      </w:r>
      <w:r w:rsidR="00F21A24" w:rsidRPr="0071546E">
        <w:rPr>
          <w:rFonts w:ascii="Arial" w:hAnsi="Arial" w:cs="Arial"/>
          <w:b/>
          <w:sz w:val="28"/>
          <w:szCs w:val="28"/>
        </w:rPr>
        <w:t xml:space="preserve"> </w:t>
      </w:r>
    </w:p>
    <w:p w:rsidR="00F21A24" w:rsidRPr="0071546E" w:rsidRDefault="00F21A24" w:rsidP="00CF13FE">
      <w:pPr>
        <w:ind w:left="1021" w:right="454"/>
        <w:rPr>
          <w:rFonts w:ascii="Arial" w:hAnsi="Arial" w:cs="Arial"/>
          <w:b/>
          <w:sz w:val="24"/>
          <w:szCs w:val="28"/>
        </w:rPr>
      </w:pPr>
      <w:r w:rsidRPr="0071546E">
        <w:rPr>
          <w:rFonts w:ascii="Arial" w:hAnsi="Arial" w:cs="Arial"/>
          <w:b/>
          <w:sz w:val="24"/>
          <w:szCs w:val="28"/>
        </w:rPr>
        <w:t>Validation of ATP based assay.</w:t>
      </w:r>
    </w:p>
    <w:p w:rsidR="00725033" w:rsidRPr="0071546E" w:rsidRDefault="00725033" w:rsidP="00CF13FE">
      <w:pPr>
        <w:spacing w:before="100" w:after="200" w:line="480" w:lineRule="auto"/>
        <w:ind w:left="1021" w:right="454"/>
        <w:jc w:val="both"/>
        <w:rPr>
          <w:rFonts w:ascii="Arial" w:eastAsiaTheme="minorEastAsia" w:hAnsi="Arial" w:cs="Arial"/>
          <w:color w:val="000000" w:themeColor="text1"/>
          <w:sz w:val="24"/>
          <w:szCs w:val="24"/>
        </w:rPr>
      </w:pPr>
      <w:r w:rsidRPr="0071546E">
        <w:rPr>
          <w:rFonts w:ascii="Arial" w:eastAsiaTheme="minorEastAsia" w:hAnsi="Arial" w:cs="Arial"/>
          <w:color w:val="000000" w:themeColor="text1"/>
          <w:sz w:val="24"/>
          <w:szCs w:val="24"/>
        </w:rPr>
        <w:t xml:space="preserve">To validate the adaptability of the ATP assay, known anti-parasitic </w:t>
      </w:r>
      <w:r w:rsidR="00F21A24" w:rsidRPr="0071546E">
        <w:rPr>
          <w:rFonts w:ascii="Arial" w:eastAsiaTheme="minorEastAsia" w:hAnsi="Arial" w:cs="Arial"/>
          <w:color w:val="000000" w:themeColor="text1"/>
          <w:sz w:val="24"/>
          <w:szCs w:val="24"/>
        </w:rPr>
        <w:t xml:space="preserve">and anti- fungi </w:t>
      </w:r>
      <w:r w:rsidR="00190FD1" w:rsidRPr="0071546E">
        <w:rPr>
          <w:rFonts w:ascii="Arial" w:eastAsiaTheme="minorEastAsia" w:hAnsi="Arial" w:cs="Arial"/>
          <w:color w:val="000000" w:themeColor="text1"/>
          <w:sz w:val="24"/>
          <w:szCs w:val="24"/>
        </w:rPr>
        <w:t xml:space="preserve">compounds </w:t>
      </w:r>
      <w:r w:rsidRPr="0071546E">
        <w:rPr>
          <w:rFonts w:ascii="Arial" w:eastAsiaTheme="minorEastAsia" w:hAnsi="Arial" w:cs="Arial"/>
          <w:color w:val="000000" w:themeColor="text1"/>
          <w:sz w:val="24"/>
          <w:szCs w:val="24"/>
        </w:rPr>
        <w:t xml:space="preserve">were tested against </w:t>
      </w:r>
      <w:r w:rsidR="00432D1D" w:rsidRPr="0071546E">
        <w:rPr>
          <w:rFonts w:ascii="Arial" w:eastAsiaTheme="minorEastAsia" w:hAnsi="Arial" w:cs="Arial"/>
          <w:i/>
          <w:color w:val="000000" w:themeColor="text1"/>
          <w:sz w:val="24"/>
          <w:szCs w:val="24"/>
        </w:rPr>
        <w:t>Acanthamoeba</w:t>
      </w:r>
      <w:r w:rsidRPr="0071546E">
        <w:rPr>
          <w:rFonts w:ascii="Arial" w:eastAsiaTheme="minorEastAsia" w:hAnsi="Arial" w:cs="Arial"/>
          <w:color w:val="000000" w:themeColor="text1"/>
          <w:sz w:val="24"/>
          <w:szCs w:val="24"/>
        </w:rPr>
        <w:t xml:space="preserve"> cysts and trophozoites. Susceptibility of </w:t>
      </w:r>
      <w:r w:rsidR="00432D1D" w:rsidRPr="0071546E">
        <w:rPr>
          <w:rFonts w:ascii="Arial" w:eastAsiaTheme="minorEastAsia" w:hAnsi="Arial" w:cs="Arial"/>
          <w:i/>
          <w:color w:val="000000" w:themeColor="text1"/>
          <w:sz w:val="24"/>
          <w:szCs w:val="24"/>
        </w:rPr>
        <w:t>Acanthamoeba</w:t>
      </w:r>
      <w:r w:rsidRPr="0071546E">
        <w:rPr>
          <w:rFonts w:ascii="Arial" w:eastAsiaTheme="minorEastAsia" w:hAnsi="Arial" w:cs="Arial"/>
          <w:color w:val="000000" w:themeColor="text1"/>
          <w:sz w:val="24"/>
          <w:szCs w:val="24"/>
        </w:rPr>
        <w:t xml:space="preserve"> to these compounds was evaluated with ATP assay. Results from th</w:t>
      </w:r>
      <w:r w:rsidR="002C2939" w:rsidRPr="0071546E">
        <w:rPr>
          <w:rFonts w:ascii="Arial" w:eastAsiaTheme="minorEastAsia" w:hAnsi="Arial" w:cs="Arial"/>
          <w:color w:val="000000" w:themeColor="text1"/>
          <w:sz w:val="24"/>
          <w:szCs w:val="24"/>
        </w:rPr>
        <w:t>is</w:t>
      </w:r>
      <w:r w:rsidRPr="0071546E">
        <w:rPr>
          <w:rFonts w:ascii="Arial" w:eastAsiaTheme="minorEastAsia" w:hAnsi="Arial" w:cs="Arial"/>
          <w:color w:val="000000" w:themeColor="text1"/>
          <w:sz w:val="24"/>
          <w:szCs w:val="24"/>
        </w:rPr>
        <w:t xml:space="preserve"> experiment </w:t>
      </w:r>
      <w:r w:rsidR="002C2939" w:rsidRPr="0071546E">
        <w:rPr>
          <w:rFonts w:ascii="Arial" w:eastAsiaTheme="minorEastAsia" w:hAnsi="Arial" w:cs="Arial"/>
          <w:color w:val="000000" w:themeColor="text1"/>
          <w:sz w:val="24"/>
          <w:szCs w:val="24"/>
        </w:rPr>
        <w:t>are</w:t>
      </w:r>
      <w:r w:rsidRPr="0071546E">
        <w:rPr>
          <w:rFonts w:ascii="Arial" w:eastAsiaTheme="minorEastAsia" w:hAnsi="Arial" w:cs="Arial"/>
          <w:color w:val="000000" w:themeColor="text1"/>
          <w:sz w:val="24"/>
          <w:szCs w:val="24"/>
        </w:rPr>
        <w:t xml:space="preserve"> presented in section 3.4</w:t>
      </w:r>
    </w:p>
    <w:p w:rsidR="00DB4711" w:rsidRPr="0071546E" w:rsidRDefault="00DB4711" w:rsidP="00CF13FE">
      <w:pPr>
        <w:spacing w:before="100" w:after="200" w:line="276" w:lineRule="auto"/>
        <w:ind w:left="1021" w:right="454"/>
        <w:jc w:val="both"/>
        <w:rPr>
          <w:rFonts w:ascii="Arial" w:eastAsiaTheme="minorEastAsia" w:hAnsi="Arial" w:cs="Arial"/>
          <w:b/>
          <w:color w:val="000000" w:themeColor="text1"/>
          <w:sz w:val="24"/>
          <w:szCs w:val="24"/>
        </w:rPr>
      </w:pPr>
    </w:p>
    <w:p w:rsidR="00DB4711" w:rsidRPr="0071546E" w:rsidRDefault="00DB4711" w:rsidP="00CF13FE">
      <w:pPr>
        <w:spacing w:before="100" w:after="200" w:line="276" w:lineRule="auto"/>
        <w:ind w:left="1021" w:right="454"/>
        <w:jc w:val="both"/>
        <w:rPr>
          <w:rFonts w:ascii="Arial" w:eastAsiaTheme="minorEastAsia" w:hAnsi="Arial" w:cs="Arial"/>
          <w:b/>
          <w:color w:val="000000" w:themeColor="text1"/>
          <w:sz w:val="24"/>
          <w:szCs w:val="24"/>
        </w:rPr>
      </w:pPr>
    </w:p>
    <w:p w:rsidR="00725033" w:rsidRPr="0071546E" w:rsidRDefault="00725033" w:rsidP="00CF13FE">
      <w:pPr>
        <w:spacing w:before="100" w:after="200" w:line="276" w:lineRule="auto"/>
        <w:ind w:left="1021" w:right="454"/>
        <w:jc w:val="both"/>
        <w:rPr>
          <w:rFonts w:ascii="Arial" w:eastAsiaTheme="minorEastAsia" w:hAnsi="Arial" w:cs="Arial"/>
          <w:color w:val="000000" w:themeColor="text1"/>
          <w:sz w:val="24"/>
          <w:szCs w:val="24"/>
        </w:rPr>
      </w:pPr>
      <w:r w:rsidRPr="0071546E">
        <w:rPr>
          <w:rFonts w:ascii="Arial" w:eastAsiaTheme="minorEastAsia" w:hAnsi="Arial" w:cs="Arial"/>
          <w:b/>
          <w:color w:val="000000" w:themeColor="text1"/>
          <w:sz w:val="24"/>
          <w:szCs w:val="24"/>
        </w:rPr>
        <w:t>Photodynamic therapy</w:t>
      </w:r>
    </w:p>
    <w:p w:rsidR="00F21A24" w:rsidRPr="0071546E" w:rsidRDefault="00725033" w:rsidP="00CF13FE">
      <w:pPr>
        <w:spacing w:before="100" w:after="200" w:line="480" w:lineRule="auto"/>
        <w:ind w:left="1021" w:right="454"/>
        <w:jc w:val="both"/>
        <w:rPr>
          <w:rFonts w:ascii="Arial" w:eastAsiaTheme="minorEastAsia" w:hAnsi="Arial" w:cs="Arial"/>
          <w:color w:val="000000" w:themeColor="text1"/>
          <w:sz w:val="24"/>
          <w:szCs w:val="24"/>
        </w:rPr>
      </w:pPr>
      <w:r w:rsidRPr="0071546E">
        <w:rPr>
          <w:rFonts w:ascii="Arial" w:eastAsiaTheme="minorEastAsia" w:hAnsi="Arial" w:cs="Arial"/>
          <w:color w:val="000000" w:themeColor="text1"/>
          <w:sz w:val="24"/>
          <w:szCs w:val="24"/>
        </w:rPr>
        <w:t xml:space="preserve">The </w:t>
      </w:r>
      <w:r w:rsidR="00190FD1" w:rsidRPr="0071546E">
        <w:rPr>
          <w:rFonts w:ascii="Arial" w:eastAsiaTheme="minorEastAsia" w:hAnsi="Arial" w:cs="Arial"/>
          <w:color w:val="000000" w:themeColor="text1"/>
          <w:sz w:val="24"/>
          <w:szCs w:val="24"/>
        </w:rPr>
        <w:t>result</w:t>
      </w:r>
      <w:r w:rsidRPr="0071546E">
        <w:rPr>
          <w:rFonts w:ascii="Arial" w:eastAsiaTheme="minorEastAsia" w:hAnsi="Arial" w:cs="Arial"/>
          <w:color w:val="000000" w:themeColor="text1"/>
          <w:sz w:val="24"/>
          <w:szCs w:val="24"/>
        </w:rPr>
        <w:t xml:space="preserve"> section present</w:t>
      </w:r>
      <w:r w:rsidR="002C2939" w:rsidRPr="0071546E">
        <w:rPr>
          <w:rFonts w:ascii="Arial" w:eastAsiaTheme="minorEastAsia" w:hAnsi="Arial" w:cs="Arial"/>
          <w:color w:val="000000" w:themeColor="text1"/>
          <w:sz w:val="24"/>
          <w:szCs w:val="24"/>
        </w:rPr>
        <w:t>s</w:t>
      </w:r>
      <w:r w:rsidRPr="0071546E">
        <w:rPr>
          <w:rFonts w:ascii="Arial" w:eastAsiaTheme="minorEastAsia" w:hAnsi="Arial" w:cs="Arial"/>
          <w:color w:val="000000" w:themeColor="text1"/>
          <w:sz w:val="24"/>
          <w:szCs w:val="24"/>
        </w:rPr>
        <w:t xml:space="preserve"> photodynamic of </w:t>
      </w:r>
      <w:r w:rsidR="00432D1D" w:rsidRPr="0071546E">
        <w:rPr>
          <w:rFonts w:ascii="Arial" w:eastAsiaTheme="minorEastAsia" w:hAnsi="Arial" w:cs="Arial"/>
          <w:i/>
          <w:color w:val="000000" w:themeColor="text1"/>
          <w:sz w:val="24"/>
          <w:szCs w:val="24"/>
        </w:rPr>
        <w:t>Acanthamoeba</w:t>
      </w:r>
      <w:r w:rsidRPr="0071546E">
        <w:rPr>
          <w:rFonts w:ascii="Arial" w:eastAsiaTheme="minorEastAsia" w:hAnsi="Arial" w:cs="Arial"/>
          <w:color w:val="000000" w:themeColor="text1"/>
          <w:sz w:val="24"/>
          <w:szCs w:val="24"/>
        </w:rPr>
        <w:t xml:space="preserve"> cysts and trophozoites with selected cationic and anionic meso-substituted porphyrins. </w:t>
      </w:r>
    </w:p>
    <w:p w:rsidR="00725033" w:rsidRPr="0071546E" w:rsidRDefault="00725033" w:rsidP="00CF13FE">
      <w:pPr>
        <w:pStyle w:val="Heading2"/>
        <w:ind w:left="1021" w:right="454"/>
        <w:rPr>
          <w:rFonts w:eastAsiaTheme="minorEastAsia"/>
        </w:rPr>
      </w:pPr>
      <w:bookmarkStart w:id="87" w:name="_Toc14711459"/>
      <w:r w:rsidRPr="0071546E">
        <w:rPr>
          <w:rFonts w:eastAsiaTheme="minorEastAsia"/>
        </w:rPr>
        <w:t xml:space="preserve">3.1 Characterisation of </w:t>
      </w:r>
      <w:r w:rsidR="00432D1D" w:rsidRPr="0071546E">
        <w:rPr>
          <w:rFonts w:eastAsiaTheme="minorEastAsia"/>
          <w:i/>
        </w:rPr>
        <w:t>Acanthamoeba</w:t>
      </w:r>
      <w:bookmarkEnd w:id="87"/>
      <w:r w:rsidRPr="0071546E">
        <w:rPr>
          <w:rFonts w:eastAsiaTheme="minorEastAsia"/>
        </w:rPr>
        <w:t xml:space="preserve"> </w:t>
      </w:r>
    </w:p>
    <w:p w:rsidR="00725033" w:rsidRPr="0071546E" w:rsidRDefault="00725033" w:rsidP="00CF13FE">
      <w:pPr>
        <w:pStyle w:val="Heading2"/>
        <w:ind w:left="1021" w:right="454"/>
        <w:rPr>
          <w:rFonts w:eastAsiaTheme="minorEastAsia"/>
        </w:rPr>
      </w:pPr>
      <w:bookmarkStart w:id="88" w:name="_Toc14711460"/>
      <w:r w:rsidRPr="0071546E">
        <w:rPr>
          <w:rFonts w:eastAsiaTheme="minorEastAsia"/>
        </w:rPr>
        <w:t xml:space="preserve">3.1.1 </w:t>
      </w:r>
      <w:r w:rsidR="00432D1D" w:rsidRPr="0071546E">
        <w:rPr>
          <w:rFonts w:eastAsiaTheme="minorEastAsia"/>
          <w:i/>
        </w:rPr>
        <w:t>Acanthamoeba</w:t>
      </w:r>
      <w:r w:rsidRPr="0071546E">
        <w:rPr>
          <w:rFonts w:eastAsiaTheme="minorEastAsia"/>
        </w:rPr>
        <w:t xml:space="preserve"> growth curve</w:t>
      </w:r>
      <w:bookmarkEnd w:id="88"/>
    </w:p>
    <w:p w:rsidR="00486E52" w:rsidRPr="0071546E" w:rsidRDefault="002C2939" w:rsidP="009C2D9B">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i/>
          <w:color w:val="000000" w:themeColor="text1"/>
          <w:sz w:val="24"/>
          <w:szCs w:val="24"/>
        </w:rPr>
        <w:t>The A</w:t>
      </w:r>
      <w:r w:rsidR="00432D1D" w:rsidRPr="0071546E">
        <w:rPr>
          <w:rFonts w:ascii="Arial" w:eastAsiaTheme="minorEastAsia" w:hAnsi="Arial" w:cs="Arial"/>
          <w:i/>
          <w:color w:val="000000" w:themeColor="text1"/>
          <w:sz w:val="24"/>
          <w:szCs w:val="24"/>
        </w:rPr>
        <w:t>canthamoeba</w:t>
      </w:r>
      <w:r w:rsidR="00725033" w:rsidRPr="0071546E">
        <w:rPr>
          <w:rFonts w:ascii="Arial" w:eastAsiaTheme="minorEastAsia" w:hAnsi="Arial" w:cs="Arial"/>
          <w:color w:val="000000" w:themeColor="text1"/>
          <w:sz w:val="24"/>
          <w:szCs w:val="24"/>
        </w:rPr>
        <w:t xml:space="preserve"> growth curve was generated to monitor </w:t>
      </w:r>
      <w:r w:rsidRPr="0071546E">
        <w:rPr>
          <w:rFonts w:ascii="Arial" w:eastAsiaTheme="minorEastAsia" w:hAnsi="Arial" w:cs="Arial"/>
          <w:color w:val="000000" w:themeColor="text1"/>
          <w:sz w:val="24"/>
          <w:szCs w:val="24"/>
        </w:rPr>
        <w:t xml:space="preserve">the </w:t>
      </w:r>
      <w:r w:rsidR="00725033" w:rsidRPr="0071546E">
        <w:rPr>
          <w:rFonts w:ascii="Arial" w:eastAsiaTheme="minorEastAsia" w:hAnsi="Arial" w:cs="Arial"/>
          <w:color w:val="000000" w:themeColor="text1"/>
          <w:sz w:val="24"/>
          <w:szCs w:val="24"/>
        </w:rPr>
        <w:t xml:space="preserve">growth kinetic of </w:t>
      </w:r>
      <w:r w:rsidR="00432D1D" w:rsidRPr="0071546E">
        <w:rPr>
          <w:rFonts w:ascii="Arial" w:eastAsiaTheme="minorEastAsia" w:hAnsi="Arial" w:cs="Arial"/>
          <w:i/>
          <w:color w:val="000000" w:themeColor="text1"/>
          <w:sz w:val="24"/>
          <w:szCs w:val="24"/>
        </w:rPr>
        <w:t>Acanthamoeba</w:t>
      </w:r>
      <w:r w:rsidR="00725033" w:rsidRPr="0071546E">
        <w:rPr>
          <w:rFonts w:ascii="Arial" w:eastAsiaTheme="minorEastAsia" w:hAnsi="Arial" w:cs="Arial"/>
          <w:color w:val="000000" w:themeColor="text1"/>
          <w:sz w:val="24"/>
          <w:szCs w:val="24"/>
        </w:rPr>
        <w:t xml:space="preserve"> in axenic culture. To generate a growth curve, 10</w:t>
      </w:r>
      <w:r w:rsidR="00725033" w:rsidRPr="0071546E">
        <w:rPr>
          <w:rFonts w:ascii="Arial" w:eastAsiaTheme="minorEastAsia" w:hAnsi="Arial" w:cs="Arial"/>
          <w:color w:val="000000" w:themeColor="text1"/>
          <w:sz w:val="24"/>
          <w:szCs w:val="24"/>
          <w:vertAlign w:val="superscript"/>
        </w:rPr>
        <w:t>5</w:t>
      </w:r>
      <w:r w:rsidR="00725033" w:rsidRPr="0071546E">
        <w:rPr>
          <w:rFonts w:ascii="Arial" w:eastAsiaTheme="minorEastAsia" w:hAnsi="Arial" w:cs="Arial"/>
          <w:color w:val="000000" w:themeColor="text1"/>
          <w:sz w:val="24"/>
          <w:szCs w:val="24"/>
        </w:rPr>
        <w:t xml:space="preserve"> cell /ml of two</w:t>
      </w:r>
      <w:r w:rsidR="00725033" w:rsidRPr="0071546E">
        <w:rPr>
          <w:rFonts w:ascii="Arial" w:eastAsiaTheme="minorEastAsia" w:hAnsi="Arial" w:cs="Arial"/>
          <w:i/>
          <w:color w:val="000000" w:themeColor="text1"/>
          <w:sz w:val="24"/>
          <w:szCs w:val="24"/>
        </w:rPr>
        <w:t xml:space="preserve"> </w:t>
      </w:r>
      <w:r w:rsidR="00432D1D" w:rsidRPr="0071546E">
        <w:rPr>
          <w:rFonts w:ascii="Arial" w:eastAsiaTheme="minorEastAsia" w:hAnsi="Arial" w:cs="Arial"/>
          <w:i/>
          <w:color w:val="000000" w:themeColor="text1"/>
          <w:sz w:val="24"/>
          <w:szCs w:val="24"/>
        </w:rPr>
        <w:t>Acanthamoeba</w:t>
      </w:r>
      <w:r w:rsidR="00725033" w:rsidRPr="0071546E">
        <w:rPr>
          <w:rFonts w:ascii="Arial" w:eastAsiaTheme="minorEastAsia" w:hAnsi="Arial" w:cs="Arial"/>
          <w:color w:val="000000" w:themeColor="text1"/>
          <w:sz w:val="24"/>
          <w:szCs w:val="24"/>
        </w:rPr>
        <w:t xml:space="preserve"> isolates (trophozoites) were cultured in a T 75 culture</w:t>
      </w:r>
      <w:r w:rsidR="00F21A24" w:rsidRPr="0071546E">
        <w:rPr>
          <w:rFonts w:ascii="Arial" w:eastAsiaTheme="minorEastAsia" w:hAnsi="Arial" w:cs="Arial"/>
          <w:color w:val="000000" w:themeColor="text1"/>
          <w:sz w:val="24"/>
          <w:szCs w:val="24"/>
        </w:rPr>
        <w:t xml:space="preserve"> flask and cell counts were carried out</w:t>
      </w:r>
      <w:r w:rsidR="00725033" w:rsidRPr="0071546E">
        <w:rPr>
          <w:rFonts w:ascii="Arial" w:eastAsiaTheme="minorEastAsia" w:hAnsi="Arial" w:cs="Arial"/>
          <w:color w:val="000000" w:themeColor="text1"/>
          <w:sz w:val="24"/>
          <w:szCs w:val="24"/>
        </w:rPr>
        <w:t xml:space="preserve"> using both automated and manual cell count methods, </w:t>
      </w:r>
      <w:r w:rsidRPr="0071546E">
        <w:rPr>
          <w:rFonts w:ascii="Arial" w:eastAsiaTheme="minorEastAsia" w:hAnsi="Arial" w:cs="Arial"/>
          <w:color w:val="000000" w:themeColor="text1"/>
          <w:sz w:val="24"/>
          <w:szCs w:val="24"/>
        </w:rPr>
        <w:t>percentage</w:t>
      </w:r>
      <w:r w:rsidR="00725033" w:rsidRPr="0071546E">
        <w:rPr>
          <w:rFonts w:ascii="Arial" w:eastAsiaTheme="minorEastAsia" w:hAnsi="Arial" w:cs="Arial"/>
          <w:color w:val="000000" w:themeColor="text1"/>
          <w:sz w:val="24"/>
          <w:szCs w:val="24"/>
        </w:rPr>
        <w:t xml:space="preserve"> cyst and trophozoites w</w:t>
      </w:r>
      <w:r w:rsidRPr="0071546E">
        <w:rPr>
          <w:rFonts w:ascii="Arial" w:eastAsiaTheme="minorEastAsia" w:hAnsi="Arial" w:cs="Arial"/>
          <w:color w:val="000000" w:themeColor="text1"/>
          <w:sz w:val="24"/>
          <w:szCs w:val="24"/>
        </w:rPr>
        <w:t>ere</w:t>
      </w:r>
      <w:r w:rsidR="00725033" w:rsidRPr="0071546E">
        <w:rPr>
          <w:rFonts w:ascii="Arial" w:eastAsiaTheme="minorEastAsia" w:hAnsi="Arial" w:cs="Arial"/>
          <w:color w:val="000000" w:themeColor="text1"/>
          <w:sz w:val="24"/>
          <w:szCs w:val="24"/>
        </w:rPr>
        <w:t xml:space="preserve"> calculated. Cell number was recorded over a </w:t>
      </w:r>
      <w:r w:rsidR="002561B2" w:rsidRPr="0071546E">
        <w:rPr>
          <w:rFonts w:ascii="Arial" w:eastAsiaTheme="minorEastAsia" w:hAnsi="Arial" w:cs="Arial"/>
          <w:color w:val="000000" w:themeColor="text1"/>
          <w:sz w:val="24"/>
          <w:szCs w:val="24"/>
        </w:rPr>
        <w:t>9-day</w:t>
      </w:r>
      <w:r w:rsidR="00725033" w:rsidRPr="0071546E">
        <w:rPr>
          <w:rFonts w:ascii="Arial" w:eastAsiaTheme="minorEastAsia" w:hAnsi="Arial" w:cs="Arial"/>
          <w:color w:val="000000" w:themeColor="text1"/>
          <w:sz w:val="24"/>
          <w:szCs w:val="24"/>
        </w:rPr>
        <w:t xml:space="preserve"> period and a graph of cell number versus time (days) was plotted to generate a growth curve (Fig </w:t>
      </w:r>
      <w:r w:rsidR="00725033" w:rsidRPr="0071546E">
        <w:rPr>
          <w:rFonts w:ascii="Arial" w:eastAsiaTheme="minorEastAsia" w:hAnsi="Arial" w:cs="Arial"/>
          <w:sz w:val="24"/>
          <w:szCs w:val="24"/>
        </w:rPr>
        <w:t xml:space="preserve">3.1). </w:t>
      </w:r>
      <w:r w:rsidR="00F21A24" w:rsidRPr="0071546E">
        <w:rPr>
          <w:rFonts w:ascii="Arial" w:eastAsiaTheme="minorEastAsia" w:hAnsi="Arial" w:cs="Arial"/>
          <w:sz w:val="24"/>
          <w:szCs w:val="24"/>
        </w:rPr>
        <w:t xml:space="preserve">Also, </w:t>
      </w:r>
      <w:r w:rsidR="00507708" w:rsidRPr="0071546E">
        <w:rPr>
          <w:rFonts w:ascii="Arial" w:eastAsiaTheme="minorEastAsia" w:hAnsi="Arial" w:cs="Arial"/>
          <w:sz w:val="24"/>
          <w:szCs w:val="24"/>
        </w:rPr>
        <w:t>The</w:t>
      </w:r>
      <w:r w:rsidR="00F21A24" w:rsidRPr="0071546E">
        <w:rPr>
          <w:rFonts w:ascii="Arial" w:eastAsiaTheme="minorEastAsia" w:hAnsi="Arial" w:cs="Arial"/>
          <w:sz w:val="24"/>
          <w:szCs w:val="24"/>
        </w:rPr>
        <w:t xml:space="preserve"> percentage of cysts and trophozoites was calculated every 24 hours (3.2). The percentage cysts are calculated by dividing the total number of cells (cysts and trophozoites), then divided by the total number of the cyst and multiplied by 100, the same applies to the percentage trophozoite. </w:t>
      </w:r>
      <w:r w:rsidR="00725033" w:rsidRPr="0071546E">
        <w:rPr>
          <w:rFonts w:ascii="Arial" w:eastAsiaTheme="minorEastAsia" w:hAnsi="Arial" w:cs="Arial"/>
          <w:sz w:val="24"/>
          <w:szCs w:val="24"/>
        </w:rPr>
        <w:t xml:space="preserve">The results show a cell doubling time of about 24 hours, with 94% of </w:t>
      </w:r>
      <w:r w:rsidR="00507708" w:rsidRPr="0071546E">
        <w:rPr>
          <w:rFonts w:ascii="Arial" w:eastAsiaTheme="minorEastAsia" w:hAnsi="Arial" w:cs="Arial"/>
          <w:sz w:val="24"/>
          <w:szCs w:val="24"/>
        </w:rPr>
        <w:t xml:space="preserve">cells being </w:t>
      </w:r>
      <w:r w:rsidR="00725033" w:rsidRPr="0071546E">
        <w:rPr>
          <w:rFonts w:ascii="Arial" w:eastAsiaTheme="minorEastAsia" w:hAnsi="Arial" w:cs="Arial"/>
          <w:sz w:val="24"/>
          <w:szCs w:val="24"/>
        </w:rPr>
        <w:t xml:space="preserve">trophozoites during the exponential phase. The stationary phase starts 5 days after cultivation and more than 90% </w:t>
      </w:r>
      <w:r w:rsidR="00507708" w:rsidRPr="0071546E">
        <w:rPr>
          <w:rFonts w:ascii="Arial" w:eastAsiaTheme="minorEastAsia" w:hAnsi="Arial" w:cs="Arial"/>
          <w:sz w:val="24"/>
          <w:szCs w:val="24"/>
        </w:rPr>
        <w:t xml:space="preserve">of cells appeared as </w:t>
      </w:r>
      <w:r w:rsidR="00725033" w:rsidRPr="0071546E">
        <w:rPr>
          <w:rFonts w:ascii="Arial" w:eastAsiaTheme="minorEastAsia" w:hAnsi="Arial" w:cs="Arial"/>
          <w:sz w:val="24"/>
          <w:szCs w:val="24"/>
        </w:rPr>
        <w:t xml:space="preserve">cysts at this growth phase. This data is in agreement with </w:t>
      </w:r>
      <w:r w:rsidRPr="0071546E">
        <w:rPr>
          <w:rFonts w:ascii="Arial" w:eastAsiaTheme="minorEastAsia" w:hAnsi="Arial" w:cs="Arial"/>
          <w:sz w:val="24"/>
          <w:szCs w:val="24"/>
        </w:rPr>
        <w:t xml:space="preserve">the </w:t>
      </w:r>
      <w:r w:rsidR="00725033" w:rsidRPr="0071546E">
        <w:rPr>
          <w:rFonts w:ascii="Arial" w:eastAsiaTheme="minorEastAsia" w:hAnsi="Arial" w:cs="Arial"/>
          <w:sz w:val="24"/>
          <w:szCs w:val="24"/>
        </w:rPr>
        <w:t xml:space="preserve">amoeba growth curve generated by (Berk and Garduño, 2012). </w:t>
      </w:r>
      <w:r w:rsidR="00476D08" w:rsidRPr="0071546E">
        <w:rPr>
          <w:rFonts w:ascii="Arial" w:eastAsiaTheme="minorEastAsia" w:hAnsi="Arial" w:cs="Arial"/>
          <w:sz w:val="24"/>
          <w:szCs w:val="24"/>
        </w:rPr>
        <w:t>This information’s</w:t>
      </w:r>
      <w:r w:rsidR="00725033" w:rsidRPr="0071546E">
        <w:rPr>
          <w:rFonts w:ascii="Arial" w:eastAsiaTheme="minorEastAsia" w:hAnsi="Arial" w:cs="Arial"/>
          <w:sz w:val="24"/>
          <w:szCs w:val="24"/>
        </w:rPr>
        <w:t xml:space="preserve"> are im</w:t>
      </w:r>
      <w:r w:rsidRPr="0071546E">
        <w:rPr>
          <w:rFonts w:ascii="Arial" w:eastAsiaTheme="minorEastAsia" w:hAnsi="Arial" w:cs="Arial"/>
          <w:sz w:val="24"/>
          <w:szCs w:val="24"/>
        </w:rPr>
        <w:t xml:space="preserve">portant in designing experiment </w:t>
      </w:r>
      <w:r w:rsidR="00725033" w:rsidRPr="0071546E">
        <w:rPr>
          <w:rFonts w:ascii="Arial" w:eastAsiaTheme="minorEastAsia" w:hAnsi="Arial" w:cs="Arial"/>
          <w:sz w:val="24"/>
          <w:szCs w:val="24"/>
        </w:rPr>
        <w:t>w</w:t>
      </w:r>
      <w:r w:rsidRPr="0071546E">
        <w:rPr>
          <w:rFonts w:ascii="Arial" w:eastAsiaTheme="minorEastAsia" w:hAnsi="Arial" w:cs="Arial"/>
          <w:sz w:val="24"/>
          <w:szCs w:val="24"/>
        </w:rPr>
        <w:t>as</w:t>
      </w:r>
      <w:r w:rsidR="00725033" w:rsidRPr="0071546E">
        <w:rPr>
          <w:rFonts w:ascii="Arial" w:eastAsiaTheme="minorEastAsia" w:hAnsi="Arial" w:cs="Arial"/>
          <w:sz w:val="24"/>
          <w:szCs w:val="24"/>
        </w:rPr>
        <w:t xml:space="preserve"> a particular morphological form is required.</w:t>
      </w:r>
    </w:p>
    <w:p w:rsidR="00725033" w:rsidRPr="0071546E" w:rsidRDefault="00725033" w:rsidP="00CF13FE">
      <w:pPr>
        <w:spacing w:before="100" w:after="200" w:line="240" w:lineRule="atLeast"/>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22A6663E" wp14:editId="64AD1EBB">
            <wp:extent cx="4208585" cy="28016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16937" cy="2807180"/>
                    </a:xfrm>
                    <a:prstGeom prst="rect">
                      <a:avLst/>
                    </a:prstGeom>
                  </pic:spPr>
                </pic:pic>
              </a:graphicData>
            </a:graphic>
          </wp:inline>
        </w:drawing>
      </w:r>
    </w:p>
    <w:p w:rsidR="00F21A24" w:rsidRPr="0071546E" w:rsidRDefault="00725033" w:rsidP="005F3F09">
      <w:pPr>
        <w:spacing w:before="100" w:after="200" w:line="240" w:lineRule="auto"/>
        <w:ind w:left="1021" w:right="454"/>
        <w:jc w:val="both"/>
        <w:rPr>
          <w:rFonts w:ascii="Arial" w:eastAsiaTheme="minorEastAsia" w:hAnsi="Arial" w:cs="Arial"/>
          <w:sz w:val="20"/>
          <w:szCs w:val="20"/>
        </w:rPr>
      </w:pPr>
      <w:r w:rsidRPr="0071546E">
        <w:rPr>
          <w:rFonts w:ascii="Arial" w:eastAsiaTheme="minorEastAsia" w:hAnsi="Arial" w:cs="Arial"/>
          <w:sz w:val="20"/>
          <w:szCs w:val="20"/>
        </w:rPr>
        <w:t xml:space="preserve">Fig 3.1 Growth curve of </w:t>
      </w:r>
      <w:r w:rsidR="00432D1D" w:rsidRPr="0071546E">
        <w:rPr>
          <w:rFonts w:ascii="Arial" w:eastAsiaTheme="minorEastAsia" w:hAnsi="Arial" w:cs="Arial"/>
          <w:i/>
          <w:sz w:val="20"/>
          <w:szCs w:val="20"/>
        </w:rPr>
        <w:t>Acanthamoeba</w:t>
      </w:r>
      <w:r w:rsidRPr="0071546E">
        <w:rPr>
          <w:rFonts w:ascii="Arial" w:eastAsiaTheme="minorEastAsia" w:hAnsi="Arial" w:cs="Arial"/>
          <w:sz w:val="20"/>
          <w:szCs w:val="20"/>
        </w:rPr>
        <w:t xml:space="preserve"> in PYG media, cell counts w</w:t>
      </w:r>
      <w:r w:rsidR="002C2939" w:rsidRPr="0071546E">
        <w:rPr>
          <w:rFonts w:ascii="Arial" w:eastAsiaTheme="minorEastAsia" w:hAnsi="Arial" w:cs="Arial"/>
          <w:sz w:val="20"/>
          <w:szCs w:val="20"/>
        </w:rPr>
        <w:t>ere</w:t>
      </w:r>
      <w:r w:rsidRPr="0071546E">
        <w:rPr>
          <w:rFonts w:ascii="Arial" w:eastAsiaTheme="minorEastAsia" w:hAnsi="Arial" w:cs="Arial"/>
          <w:sz w:val="20"/>
          <w:szCs w:val="20"/>
        </w:rPr>
        <w:t xml:space="preserve"> done over a period of 9 days using manual and automated methods. Increase in cell number was observed after 12 hours incubation, with a doubling time of approximately 20 hours. Cell counts w</w:t>
      </w:r>
      <w:r w:rsidR="002C2939" w:rsidRPr="0071546E">
        <w:rPr>
          <w:rFonts w:ascii="Arial" w:eastAsiaTheme="minorEastAsia" w:hAnsi="Arial" w:cs="Arial"/>
          <w:sz w:val="20"/>
          <w:szCs w:val="20"/>
        </w:rPr>
        <w:t>ere</w:t>
      </w:r>
      <w:r w:rsidRPr="0071546E">
        <w:rPr>
          <w:rFonts w:ascii="Arial" w:eastAsiaTheme="minorEastAsia" w:hAnsi="Arial" w:cs="Arial"/>
          <w:sz w:val="20"/>
          <w:szCs w:val="20"/>
        </w:rPr>
        <w:t xml:space="preserve"> stopped when cell number starts to decline (death phase). The error bars show standard error for 4 replicate counts.</w:t>
      </w:r>
      <w:r w:rsidR="00F21A24" w:rsidRPr="0071546E">
        <w:rPr>
          <w:rFonts w:ascii="Arial" w:eastAsiaTheme="minorEastAsia" w:hAnsi="Arial" w:cs="Arial"/>
          <w:sz w:val="20"/>
          <w:szCs w:val="20"/>
        </w:rPr>
        <w:t xml:space="preserve"> </w:t>
      </w:r>
    </w:p>
    <w:p w:rsidR="00F21A24" w:rsidRPr="0071546E" w:rsidRDefault="00F21A24" w:rsidP="00CF13FE">
      <w:pPr>
        <w:spacing w:before="100" w:after="200" w:line="240" w:lineRule="auto"/>
        <w:ind w:left="1021" w:right="454"/>
        <w:jc w:val="both"/>
        <w:rPr>
          <w:rFonts w:ascii="Arial" w:eastAsiaTheme="minorEastAsia" w:hAnsi="Arial" w:cs="Arial"/>
          <w:sz w:val="20"/>
          <w:szCs w:val="20"/>
        </w:rPr>
      </w:pPr>
      <w:r w:rsidRPr="0071546E">
        <w:rPr>
          <w:rFonts w:ascii="Arial" w:eastAsiaTheme="minorEastAsia" w:hAnsi="Arial" w:cs="Arial"/>
          <w:sz w:val="20"/>
          <w:szCs w:val="20"/>
        </w:rPr>
        <w:t xml:space="preserve">     </w:t>
      </w:r>
      <w:r w:rsidRPr="0071546E">
        <w:rPr>
          <w:noProof/>
          <w:lang w:eastAsia="en-GB"/>
        </w:rPr>
        <w:drawing>
          <wp:inline distT="0" distB="0" distL="0" distR="0" wp14:anchorId="5B9FD951" wp14:editId="05CDD117">
            <wp:extent cx="4883785" cy="3313355"/>
            <wp:effectExtent l="0" t="0" r="0" b="1905"/>
            <wp:docPr id="1214" name="Chart 1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86E52" w:rsidRPr="0071546E" w:rsidRDefault="00F21A24" w:rsidP="00507708">
      <w:pPr>
        <w:spacing w:before="100" w:after="200" w:line="240" w:lineRule="auto"/>
        <w:ind w:left="1021" w:right="454"/>
        <w:jc w:val="both"/>
        <w:rPr>
          <w:rFonts w:ascii="Arial" w:eastAsiaTheme="minorEastAsia" w:hAnsi="Arial" w:cs="Arial"/>
          <w:sz w:val="20"/>
          <w:szCs w:val="20"/>
        </w:rPr>
      </w:pPr>
      <w:r w:rsidRPr="0071546E">
        <w:rPr>
          <w:rFonts w:ascii="Arial" w:eastAsiaTheme="minorEastAsia" w:hAnsi="Arial" w:cs="Arial"/>
          <w:sz w:val="20"/>
          <w:szCs w:val="20"/>
        </w:rPr>
        <w:t xml:space="preserve">Fig </w:t>
      </w:r>
      <w:r w:rsidR="00BE11C1" w:rsidRPr="0071546E">
        <w:rPr>
          <w:rFonts w:ascii="Arial" w:eastAsiaTheme="minorEastAsia" w:hAnsi="Arial" w:cs="Arial"/>
          <w:sz w:val="20"/>
          <w:szCs w:val="20"/>
        </w:rPr>
        <w:t>3.2 Percentage</w:t>
      </w:r>
      <w:r w:rsidRPr="0071546E">
        <w:rPr>
          <w:rFonts w:ascii="Arial" w:eastAsiaTheme="minorEastAsia" w:hAnsi="Arial" w:cs="Arial"/>
          <w:sz w:val="20"/>
          <w:szCs w:val="20"/>
        </w:rPr>
        <w:t xml:space="preserve"> cysts and trophozoites calculated every 24 hours while generating an amoeba growth curve. The error bars show the average standard deviation for </w:t>
      </w:r>
      <w:r w:rsidR="00507708" w:rsidRPr="0071546E">
        <w:rPr>
          <w:rFonts w:ascii="Arial" w:eastAsiaTheme="minorEastAsia" w:hAnsi="Arial" w:cs="Arial"/>
          <w:sz w:val="20"/>
          <w:szCs w:val="20"/>
        </w:rPr>
        <w:t>3</w:t>
      </w:r>
      <w:r w:rsidRPr="0071546E">
        <w:rPr>
          <w:rFonts w:ascii="Arial" w:eastAsiaTheme="minorEastAsia" w:hAnsi="Arial" w:cs="Arial"/>
          <w:sz w:val="20"/>
          <w:szCs w:val="20"/>
        </w:rPr>
        <w:t xml:space="preserve"> replicate counts</w:t>
      </w:r>
      <w:r w:rsidR="00507708" w:rsidRPr="0071546E">
        <w:rPr>
          <w:rFonts w:ascii="Arial" w:eastAsiaTheme="minorEastAsia" w:hAnsi="Arial" w:cs="Arial"/>
          <w:sz w:val="20"/>
          <w:szCs w:val="20"/>
        </w:rPr>
        <w:t>.</w:t>
      </w:r>
    </w:p>
    <w:p w:rsidR="00486E52" w:rsidRPr="0071546E" w:rsidRDefault="00486E52" w:rsidP="009C2D9B">
      <w:pPr>
        <w:spacing w:before="100" w:after="200" w:line="240" w:lineRule="auto"/>
        <w:ind w:right="454"/>
        <w:jc w:val="both"/>
        <w:rPr>
          <w:rFonts w:ascii="Arial" w:eastAsiaTheme="minorEastAsia" w:hAnsi="Arial" w:cs="Arial"/>
          <w:sz w:val="20"/>
          <w:szCs w:val="20"/>
        </w:rPr>
      </w:pPr>
    </w:p>
    <w:p w:rsidR="00725033" w:rsidRPr="0071546E" w:rsidRDefault="00725033" w:rsidP="00CF13FE">
      <w:pPr>
        <w:pStyle w:val="Heading2"/>
        <w:ind w:left="1021" w:right="454"/>
        <w:rPr>
          <w:rFonts w:eastAsiaTheme="minorEastAsia"/>
        </w:rPr>
      </w:pPr>
      <w:bookmarkStart w:id="89" w:name="_Toc14711461"/>
      <w:r w:rsidRPr="0071546E">
        <w:rPr>
          <w:rFonts w:eastAsiaTheme="minorEastAsia"/>
        </w:rPr>
        <w:t xml:space="preserve">3.1.2 </w:t>
      </w:r>
      <w:r w:rsidR="00432D1D" w:rsidRPr="0071546E">
        <w:rPr>
          <w:rFonts w:eastAsiaTheme="minorEastAsia"/>
          <w:i/>
        </w:rPr>
        <w:t>Acanthamoeba</w:t>
      </w:r>
      <w:r w:rsidRPr="0071546E">
        <w:rPr>
          <w:rFonts w:eastAsiaTheme="minorEastAsia"/>
        </w:rPr>
        <w:t xml:space="preserve"> genotyping</w:t>
      </w:r>
      <w:r w:rsidR="00F21A24" w:rsidRPr="0071546E">
        <w:rPr>
          <w:rFonts w:eastAsiaTheme="minorEastAsia"/>
        </w:rPr>
        <w:t xml:space="preserve"> (DNA extraction)</w:t>
      </w:r>
      <w:bookmarkEnd w:id="89"/>
    </w:p>
    <w:p w:rsidR="00725033" w:rsidRPr="0071546E" w:rsidRDefault="00725033"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The genotype of </w:t>
      </w:r>
      <w:r w:rsidR="00507708" w:rsidRPr="0071546E">
        <w:rPr>
          <w:rFonts w:ascii="Arial" w:eastAsiaTheme="minorEastAsia" w:hAnsi="Arial" w:cs="Arial"/>
          <w:sz w:val="24"/>
          <w:szCs w:val="24"/>
        </w:rPr>
        <w:t xml:space="preserve">five </w:t>
      </w:r>
      <w:r w:rsidRPr="0071546E">
        <w:rPr>
          <w:rFonts w:ascii="Arial" w:eastAsiaTheme="minorEastAsia" w:hAnsi="Arial" w:cs="Arial"/>
          <w:sz w:val="24"/>
          <w:szCs w:val="24"/>
        </w:rPr>
        <w:t xml:space="preserve">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w:t>
      </w:r>
      <w:r w:rsidR="00507708" w:rsidRPr="0071546E">
        <w:rPr>
          <w:rFonts w:ascii="Arial" w:eastAsiaTheme="minorEastAsia" w:hAnsi="Arial" w:cs="Arial"/>
          <w:sz w:val="24"/>
          <w:szCs w:val="24"/>
        </w:rPr>
        <w:t>isolates</w:t>
      </w:r>
      <w:r w:rsidRPr="0071546E">
        <w:rPr>
          <w:rFonts w:ascii="Arial" w:eastAsiaTheme="minorEastAsia" w:hAnsi="Arial" w:cs="Arial"/>
          <w:sz w:val="24"/>
          <w:szCs w:val="24"/>
        </w:rPr>
        <w:t xml:space="preserve"> SK-14-4, PM19, SK-19-9, SK-19-56, SK-19-59 collected was profiled using PCR. </w:t>
      </w:r>
      <w:r w:rsidR="00432D1D" w:rsidRPr="0071546E">
        <w:rPr>
          <w:rFonts w:ascii="Arial" w:eastAsiaTheme="minorEastAsia" w:hAnsi="Arial" w:cs="Arial"/>
          <w:i/>
          <w:color w:val="131413"/>
          <w:sz w:val="24"/>
          <w:szCs w:val="24"/>
        </w:rPr>
        <w:t>Acanthamoeba</w:t>
      </w:r>
      <w:r w:rsidRPr="0071546E">
        <w:rPr>
          <w:rFonts w:ascii="Arial" w:eastAsiaTheme="minorEastAsia" w:hAnsi="Arial" w:cs="Arial"/>
          <w:color w:val="131413"/>
          <w:sz w:val="24"/>
          <w:szCs w:val="24"/>
        </w:rPr>
        <w:t xml:space="preserve"> genotyping is important for different purposes like taxonomic, epidemiological and clinical studies. Genotyping produces valuable information for the development of novel diagnostic methods. Most importantly in this research</w:t>
      </w:r>
      <w:r w:rsidR="002C2939" w:rsidRPr="0071546E">
        <w:rPr>
          <w:rFonts w:ascii="Arial" w:eastAsiaTheme="minorEastAsia" w:hAnsi="Arial" w:cs="Arial"/>
          <w:color w:val="131413"/>
          <w:sz w:val="24"/>
          <w:szCs w:val="24"/>
        </w:rPr>
        <w:t>,</w:t>
      </w:r>
      <w:r w:rsidRPr="0071546E">
        <w:rPr>
          <w:rFonts w:ascii="Arial" w:eastAsiaTheme="minorEastAsia" w:hAnsi="Arial" w:cs="Arial"/>
          <w:color w:val="131413"/>
          <w:sz w:val="24"/>
          <w:szCs w:val="24"/>
        </w:rPr>
        <w:t xml:space="preserve"> it was performed </w:t>
      </w:r>
      <w:r w:rsidR="00F21A24" w:rsidRPr="0071546E">
        <w:rPr>
          <w:rFonts w:ascii="Arial" w:eastAsiaTheme="minorEastAsia" w:hAnsi="Arial" w:cs="Arial"/>
          <w:color w:val="131413"/>
          <w:sz w:val="24"/>
          <w:szCs w:val="24"/>
        </w:rPr>
        <w:t xml:space="preserve">to identify potential genetic variations that may cause a different response of </w:t>
      </w:r>
      <w:r w:rsidR="00F21A24" w:rsidRPr="0071546E">
        <w:rPr>
          <w:rFonts w:ascii="Arial" w:eastAsiaTheme="minorEastAsia" w:hAnsi="Arial" w:cs="Arial"/>
          <w:i/>
          <w:color w:val="131413"/>
          <w:sz w:val="24"/>
          <w:szCs w:val="24"/>
        </w:rPr>
        <w:t>Acanthamoeba</w:t>
      </w:r>
      <w:r w:rsidR="00F21A24" w:rsidRPr="0071546E">
        <w:rPr>
          <w:rFonts w:ascii="Arial" w:eastAsiaTheme="minorEastAsia" w:hAnsi="Arial" w:cs="Arial"/>
          <w:color w:val="131413"/>
          <w:sz w:val="24"/>
          <w:szCs w:val="24"/>
        </w:rPr>
        <w:t xml:space="preserve"> isolates. The </w:t>
      </w:r>
      <w:r w:rsidR="000959EB" w:rsidRPr="0071546E">
        <w:rPr>
          <w:rFonts w:ascii="Arial" w:eastAsiaTheme="minorEastAsia" w:hAnsi="Arial" w:cs="Arial"/>
          <w:color w:val="131413"/>
          <w:sz w:val="24"/>
          <w:szCs w:val="24"/>
        </w:rPr>
        <w:t>pharmacogenomics</w:t>
      </w:r>
      <w:r w:rsidR="00F21A24" w:rsidRPr="0071546E">
        <w:rPr>
          <w:rFonts w:ascii="Arial" w:eastAsiaTheme="minorEastAsia" w:hAnsi="Arial" w:cs="Arial"/>
          <w:color w:val="131413"/>
          <w:sz w:val="24"/>
          <w:szCs w:val="24"/>
        </w:rPr>
        <w:t xml:space="preserve"> study is a regulatory requirement during drug development</w:t>
      </w:r>
      <w:r w:rsidR="00F21A24" w:rsidRPr="0071546E">
        <w:rPr>
          <w:color w:val="000000"/>
        </w:rPr>
        <w:t xml:space="preserve"> </w:t>
      </w:r>
      <w:r w:rsidR="00F21A24" w:rsidRPr="0071546E">
        <w:rPr>
          <w:rFonts w:ascii="Arial" w:eastAsiaTheme="minorEastAsia" w:hAnsi="Arial" w:cs="Arial"/>
          <w:color w:val="131413"/>
          <w:sz w:val="24"/>
          <w:szCs w:val="24"/>
        </w:rPr>
        <w:t>(Hall et al., 2004).</w:t>
      </w:r>
      <w:r w:rsidR="00F21A24" w:rsidRPr="0071546E">
        <w:rPr>
          <w:rFonts w:ascii="Arial" w:eastAsiaTheme="minorEastAsia" w:hAnsi="Arial" w:cs="Arial"/>
          <w:sz w:val="24"/>
          <w:szCs w:val="24"/>
        </w:rPr>
        <w:t xml:space="preserve"> </w:t>
      </w:r>
      <w:r w:rsidRPr="0071546E">
        <w:rPr>
          <w:rFonts w:ascii="Arial" w:eastAsiaTheme="minorEastAsia" w:hAnsi="Arial" w:cs="Arial"/>
          <w:sz w:val="24"/>
          <w:szCs w:val="24"/>
        </w:rPr>
        <w:t xml:space="preserve">Three common methods </w:t>
      </w:r>
      <w:r w:rsidR="00F21A24" w:rsidRPr="0071546E">
        <w:rPr>
          <w:rFonts w:ascii="Arial" w:eastAsiaTheme="minorEastAsia" w:hAnsi="Arial" w:cs="Arial"/>
          <w:sz w:val="24"/>
          <w:szCs w:val="24"/>
        </w:rPr>
        <w:t>of DNA extraction were compared</w:t>
      </w:r>
      <w:r w:rsidR="002C2939" w:rsidRPr="0071546E">
        <w:rPr>
          <w:rFonts w:ascii="Arial" w:eastAsiaTheme="minorEastAsia" w:hAnsi="Arial" w:cs="Arial"/>
          <w:sz w:val="24"/>
          <w:szCs w:val="24"/>
        </w:rPr>
        <w:t xml:space="preserve"> </w:t>
      </w:r>
      <w:r w:rsidR="00F21A24" w:rsidRPr="0071546E">
        <w:rPr>
          <w:rFonts w:ascii="Arial" w:eastAsiaTheme="minorEastAsia" w:hAnsi="Arial" w:cs="Arial"/>
          <w:sz w:val="24"/>
          <w:szCs w:val="24"/>
        </w:rPr>
        <w:t>(</w:t>
      </w:r>
      <w:r w:rsidRPr="0071546E">
        <w:rPr>
          <w:rFonts w:ascii="Arial" w:eastAsiaTheme="minorEastAsia" w:hAnsi="Arial" w:cs="Arial"/>
          <w:sz w:val="24"/>
          <w:szCs w:val="24"/>
        </w:rPr>
        <w:t>table 3.1</w:t>
      </w:r>
      <w:r w:rsidR="00F21A24" w:rsidRPr="0071546E">
        <w:rPr>
          <w:rFonts w:ascii="Arial" w:eastAsiaTheme="minorEastAsia" w:hAnsi="Arial" w:cs="Arial"/>
          <w:sz w:val="24"/>
          <w:szCs w:val="24"/>
        </w:rPr>
        <w:t>)</w:t>
      </w:r>
      <w:r w:rsidRPr="0071546E">
        <w:rPr>
          <w:rFonts w:ascii="Arial" w:eastAsiaTheme="minorEastAsia" w:hAnsi="Arial" w:cs="Arial"/>
          <w:sz w:val="24"/>
          <w:szCs w:val="24"/>
        </w:rPr>
        <w:t xml:space="preserve">. </w:t>
      </w:r>
      <w:r w:rsidR="00F21A24" w:rsidRPr="0071546E">
        <w:rPr>
          <w:rFonts w:ascii="Arial" w:eastAsiaTheme="minorEastAsia" w:hAnsi="Arial" w:cs="Arial"/>
          <w:sz w:val="24"/>
          <w:szCs w:val="24"/>
        </w:rPr>
        <w:t>Extraction</w:t>
      </w:r>
      <w:r w:rsidRPr="0071546E">
        <w:rPr>
          <w:rFonts w:ascii="Arial" w:eastAsiaTheme="minorEastAsia" w:hAnsi="Arial" w:cs="Arial"/>
          <w:sz w:val="24"/>
          <w:szCs w:val="24"/>
        </w:rPr>
        <w:t xml:space="preserve"> by heating, by physical agitation (sonication) and </w:t>
      </w:r>
      <w:r w:rsidR="00F21A24" w:rsidRPr="0071546E">
        <w:rPr>
          <w:rFonts w:ascii="Arial" w:eastAsiaTheme="minorEastAsia" w:hAnsi="Arial" w:cs="Arial"/>
          <w:sz w:val="24"/>
          <w:szCs w:val="24"/>
        </w:rPr>
        <w:t>InstaGene m</w:t>
      </w:r>
      <w:r w:rsidRPr="0071546E">
        <w:rPr>
          <w:rFonts w:ascii="Arial" w:eastAsiaTheme="minorEastAsia" w:hAnsi="Arial" w:cs="Arial"/>
          <w:sz w:val="24"/>
          <w:szCs w:val="24"/>
        </w:rPr>
        <w:t>atrix</w:t>
      </w:r>
      <w:r w:rsidR="00F21A24" w:rsidRPr="0071546E">
        <w:rPr>
          <w:rFonts w:ascii="Arial" w:eastAsiaTheme="minorEastAsia" w:hAnsi="Arial" w:cs="Arial"/>
          <w:sz w:val="24"/>
          <w:szCs w:val="24"/>
        </w:rPr>
        <w:t xml:space="preserve"> (Chelex; Biorad),</w:t>
      </w:r>
      <w:r w:rsidRPr="0071546E">
        <w:rPr>
          <w:rFonts w:ascii="Arial" w:eastAsiaTheme="minorEastAsia" w:hAnsi="Arial" w:cs="Arial"/>
          <w:sz w:val="24"/>
          <w:szCs w:val="24"/>
        </w:rPr>
        <w:t xml:space="preserve"> were all evaluated. The resu</w:t>
      </w:r>
      <w:r w:rsidR="004904E2" w:rsidRPr="0071546E">
        <w:rPr>
          <w:rFonts w:ascii="Arial" w:eastAsiaTheme="minorEastAsia" w:hAnsi="Arial" w:cs="Arial"/>
          <w:sz w:val="24"/>
          <w:szCs w:val="24"/>
        </w:rPr>
        <w:t>lt</w:t>
      </w:r>
      <w:r w:rsidRPr="0071546E">
        <w:rPr>
          <w:rFonts w:ascii="Arial" w:eastAsiaTheme="minorEastAsia" w:hAnsi="Arial" w:cs="Arial"/>
          <w:sz w:val="24"/>
          <w:szCs w:val="24"/>
        </w:rPr>
        <w:t xml:space="preserve"> </w:t>
      </w:r>
      <w:r w:rsidR="00F21A24" w:rsidRPr="0071546E">
        <w:rPr>
          <w:rFonts w:ascii="Arial" w:eastAsiaTheme="minorEastAsia" w:hAnsi="Arial" w:cs="Arial"/>
          <w:sz w:val="24"/>
          <w:szCs w:val="24"/>
        </w:rPr>
        <w:t xml:space="preserve">of extraction methods </w:t>
      </w:r>
      <w:r w:rsidRPr="0071546E">
        <w:rPr>
          <w:rFonts w:ascii="Arial" w:eastAsiaTheme="minorEastAsia" w:hAnsi="Arial" w:cs="Arial"/>
          <w:sz w:val="24"/>
          <w:szCs w:val="24"/>
        </w:rPr>
        <w:t xml:space="preserve">are </w:t>
      </w:r>
      <w:r w:rsidR="00F21A24" w:rsidRPr="0071546E">
        <w:rPr>
          <w:rFonts w:ascii="Arial" w:eastAsiaTheme="minorEastAsia" w:hAnsi="Arial" w:cs="Arial"/>
          <w:sz w:val="24"/>
          <w:szCs w:val="24"/>
        </w:rPr>
        <w:t>compared</w:t>
      </w:r>
      <w:r w:rsidRPr="0071546E">
        <w:rPr>
          <w:rFonts w:ascii="Arial" w:eastAsiaTheme="minorEastAsia" w:hAnsi="Arial" w:cs="Arial"/>
          <w:sz w:val="24"/>
          <w:szCs w:val="24"/>
        </w:rPr>
        <w:t xml:space="preserve"> in the table below</w:t>
      </w:r>
    </w:p>
    <w:p w:rsidR="00725033" w:rsidRPr="0071546E" w:rsidRDefault="00725033" w:rsidP="00CF13FE">
      <w:pPr>
        <w:spacing w:before="100" w:after="200" w:line="240" w:lineRule="atLeast"/>
        <w:ind w:left="1021" w:right="454"/>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6080CD57" wp14:editId="4852618A">
            <wp:extent cx="4625788" cy="240919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80545" cy="2437709"/>
                    </a:xfrm>
                    <a:prstGeom prst="rect">
                      <a:avLst/>
                    </a:prstGeom>
                  </pic:spPr>
                </pic:pic>
              </a:graphicData>
            </a:graphic>
          </wp:inline>
        </w:drawing>
      </w:r>
      <w:r w:rsidRPr="0071546E">
        <w:rPr>
          <w:rFonts w:ascii="Arial" w:eastAsiaTheme="minorEastAsia" w:hAnsi="Arial" w:cs="Arial"/>
          <w:sz w:val="24"/>
          <w:szCs w:val="24"/>
        </w:rPr>
        <w:t xml:space="preserve"> </w:t>
      </w:r>
    </w:p>
    <w:p w:rsidR="00725033" w:rsidRPr="0071546E" w:rsidRDefault="00725033" w:rsidP="00CF13FE">
      <w:pPr>
        <w:spacing w:before="100" w:after="200" w:line="240" w:lineRule="auto"/>
        <w:ind w:left="1021" w:right="454"/>
        <w:jc w:val="both"/>
        <w:rPr>
          <w:rFonts w:ascii="Arial" w:eastAsiaTheme="minorEastAsia" w:hAnsi="Arial" w:cs="Arial"/>
          <w:sz w:val="20"/>
          <w:szCs w:val="20"/>
        </w:rPr>
      </w:pPr>
      <w:r w:rsidRPr="0071546E">
        <w:rPr>
          <w:rFonts w:ascii="Arial" w:eastAsiaTheme="minorEastAsia" w:hAnsi="Arial" w:cs="Arial"/>
          <w:sz w:val="20"/>
          <w:szCs w:val="20"/>
        </w:rPr>
        <w:t xml:space="preserve">Table 3.1 Concentration and purity of DNA extracted using three DNA extraction methods for 5 strains of </w:t>
      </w:r>
      <w:r w:rsidR="00432D1D" w:rsidRPr="0071546E">
        <w:rPr>
          <w:rFonts w:ascii="Arial" w:eastAsiaTheme="minorEastAsia" w:hAnsi="Arial" w:cs="Arial"/>
          <w:i/>
          <w:sz w:val="20"/>
          <w:szCs w:val="20"/>
        </w:rPr>
        <w:t>Acanthamoeba</w:t>
      </w:r>
      <w:r w:rsidRPr="0071546E">
        <w:rPr>
          <w:rFonts w:ascii="Arial" w:eastAsiaTheme="minorEastAsia" w:hAnsi="Arial" w:cs="Arial"/>
          <w:sz w:val="20"/>
          <w:szCs w:val="20"/>
        </w:rPr>
        <w:t>; SK 14-4, SK 19-9, SK 19-56, SK 19-59 and PM 19.</w:t>
      </w:r>
    </w:p>
    <w:p w:rsidR="00725033" w:rsidRPr="0071546E" w:rsidRDefault="00725033" w:rsidP="00CF13FE">
      <w:pPr>
        <w:spacing w:before="100" w:after="200" w:line="480" w:lineRule="auto"/>
        <w:ind w:left="1021" w:right="454" w:firstLine="57"/>
        <w:jc w:val="both"/>
        <w:rPr>
          <w:rFonts w:ascii="Arial" w:eastAsiaTheme="minorEastAsia" w:hAnsi="Arial" w:cs="Arial"/>
          <w:sz w:val="24"/>
          <w:szCs w:val="24"/>
        </w:rPr>
      </w:pPr>
    </w:p>
    <w:p w:rsidR="00725033" w:rsidRPr="0071546E" w:rsidRDefault="00725033"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As seen in Table 3.1, the highest concentration of DNA extracted was by heating. Boiling at 100</w:t>
      </w:r>
      <w:r w:rsidRPr="0071546E">
        <w:rPr>
          <w:rFonts w:ascii="Arial" w:eastAsiaTheme="minorEastAsia" w:hAnsi="Arial" w:cs="Arial"/>
          <w:sz w:val="24"/>
          <w:szCs w:val="24"/>
          <w:vertAlign w:val="superscript"/>
        </w:rPr>
        <w:t>o</w:t>
      </w:r>
      <w:r w:rsidRPr="0071546E">
        <w:rPr>
          <w:rFonts w:ascii="Arial" w:eastAsiaTheme="minorEastAsia" w:hAnsi="Arial" w:cs="Arial"/>
          <w:sz w:val="24"/>
          <w:szCs w:val="24"/>
        </w:rPr>
        <w:t xml:space="preserve">C extracted more DNA in all five strains, though there </w:t>
      </w:r>
      <w:r w:rsidR="002C2939" w:rsidRPr="0071546E">
        <w:rPr>
          <w:rFonts w:ascii="Arial" w:eastAsiaTheme="minorEastAsia" w:hAnsi="Arial" w:cs="Arial"/>
          <w:sz w:val="24"/>
          <w:szCs w:val="24"/>
        </w:rPr>
        <w:t>are</w:t>
      </w:r>
      <w:r w:rsidRPr="0071546E">
        <w:rPr>
          <w:rFonts w:ascii="Arial" w:eastAsiaTheme="minorEastAsia" w:hAnsi="Arial" w:cs="Arial"/>
          <w:sz w:val="24"/>
          <w:szCs w:val="24"/>
        </w:rPr>
        <w:t xml:space="preserve"> variations in </w:t>
      </w:r>
      <w:r w:rsidR="002C2939" w:rsidRPr="0071546E">
        <w:rPr>
          <w:rFonts w:ascii="Arial" w:eastAsiaTheme="minorEastAsia" w:hAnsi="Arial" w:cs="Arial"/>
          <w:sz w:val="24"/>
          <w:szCs w:val="24"/>
        </w:rPr>
        <w:t xml:space="preserve">the </w:t>
      </w:r>
      <w:r w:rsidRPr="0071546E">
        <w:rPr>
          <w:rFonts w:ascii="Arial" w:eastAsiaTheme="minorEastAsia" w:hAnsi="Arial" w:cs="Arial"/>
          <w:sz w:val="24"/>
          <w:szCs w:val="24"/>
        </w:rPr>
        <w:t>amount of DNA extracted across isolates. Also</w:t>
      </w:r>
      <w:r w:rsidR="002C2939" w:rsidRPr="0071546E">
        <w:rPr>
          <w:rFonts w:ascii="Arial" w:eastAsiaTheme="minorEastAsia" w:hAnsi="Arial" w:cs="Arial"/>
          <w:sz w:val="24"/>
          <w:szCs w:val="24"/>
        </w:rPr>
        <w:t>,</w:t>
      </w:r>
      <w:r w:rsidRPr="0071546E">
        <w:rPr>
          <w:rFonts w:ascii="Arial" w:eastAsiaTheme="minorEastAsia" w:hAnsi="Arial" w:cs="Arial"/>
          <w:sz w:val="24"/>
          <w:szCs w:val="24"/>
        </w:rPr>
        <w:t xml:space="preserve"> DNA extracted by heating showed the highest purity of 2.00 compared to sonication and use of InstaGene matrix at 1.8 and 1.5 respectively.</w:t>
      </w:r>
    </w:p>
    <w:p w:rsidR="00725033" w:rsidRPr="0071546E" w:rsidRDefault="00725033" w:rsidP="00CF13FE">
      <w:pPr>
        <w:pStyle w:val="Heading2"/>
        <w:ind w:left="1021" w:right="454"/>
        <w:rPr>
          <w:rFonts w:eastAsiaTheme="minorEastAsia"/>
        </w:rPr>
      </w:pPr>
      <w:bookmarkStart w:id="90" w:name="_Toc14711462"/>
      <w:r w:rsidRPr="0071546E">
        <w:rPr>
          <w:rFonts w:eastAsiaTheme="minorEastAsia"/>
        </w:rPr>
        <w:t xml:space="preserve">3.1.3 </w:t>
      </w:r>
      <w:r w:rsidR="00F21A24" w:rsidRPr="0071546E">
        <w:rPr>
          <w:rFonts w:eastAsiaTheme="minorEastAsia"/>
        </w:rPr>
        <w:t xml:space="preserve">Agarose gel electrophoresis of the PCR amplified products of </w:t>
      </w:r>
      <w:r w:rsidR="00F21A24" w:rsidRPr="0071546E">
        <w:rPr>
          <w:rFonts w:eastAsiaTheme="minorEastAsia"/>
          <w:i/>
        </w:rPr>
        <w:t>Acanthamoeba</w:t>
      </w:r>
      <w:r w:rsidR="00F21A24" w:rsidRPr="0071546E">
        <w:rPr>
          <w:rFonts w:eastAsiaTheme="minorEastAsia"/>
        </w:rPr>
        <w:t xml:space="preserve"> -DNA</w:t>
      </w:r>
      <w:bookmarkEnd w:id="90"/>
    </w:p>
    <w:p w:rsidR="00725033" w:rsidRPr="0071546E" w:rsidRDefault="00507708"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Extraction of </w:t>
      </w:r>
      <w:r w:rsidRPr="0071546E">
        <w:rPr>
          <w:rFonts w:ascii="Arial" w:eastAsiaTheme="minorEastAsia" w:hAnsi="Arial" w:cs="Arial"/>
          <w:i/>
          <w:iCs/>
          <w:sz w:val="24"/>
          <w:szCs w:val="24"/>
        </w:rPr>
        <w:t>Acanthamoeba</w:t>
      </w:r>
      <w:r w:rsidRPr="0071546E">
        <w:rPr>
          <w:rFonts w:ascii="Arial" w:eastAsiaTheme="minorEastAsia" w:hAnsi="Arial" w:cs="Arial"/>
          <w:sz w:val="24"/>
          <w:szCs w:val="24"/>
        </w:rPr>
        <w:t xml:space="preserve"> DNA via heat shock was selected because it produced an acceptable value of purity (1.8)</w:t>
      </w:r>
      <w:r w:rsidR="00725033" w:rsidRPr="0071546E">
        <w:rPr>
          <w:rFonts w:ascii="Arial" w:eastAsiaTheme="minorEastAsia" w:hAnsi="Arial" w:cs="Arial"/>
          <w:sz w:val="24"/>
          <w:szCs w:val="24"/>
        </w:rPr>
        <w:t>. Gel electrophoresis</w:t>
      </w:r>
      <w:r w:rsidRPr="0071546E">
        <w:rPr>
          <w:rFonts w:ascii="Arial" w:eastAsiaTheme="minorEastAsia" w:hAnsi="Arial" w:cs="Arial"/>
          <w:sz w:val="24"/>
          <w:szCs w:val="24"/>
        </w:rPr>
        <w:t xml:space="preserve"> of extracted DNA</w:t>
      </w:r>
      <w:r w:rsidR="00725033" w:rsidRPr="0071546E">
        <w:rPr>
          <w:rFonts w:ascii="Arial" w:eastAsiaTheme="minorEastAsia" w:hAnsi="Arial" w:cs="Arial"/>
          <w:sz w:val="24"/>
          <w:szCs w:val="24"/>
        </w:rPr>
        <w:t xml:space="preserve"> was performed as </w:t>
      </w:r>
      <w:r w:rsidR="002C2939" w:rsidRPr="0071546E">
        <w:rPr>
          <w:rFonts w:ascii="Arial" w:eastAsiaTheme="minorEastAsia" w:hAnsi="Arial" w:cs="Arial"/>
          <w:sz w:val="24"/>
          <w:szCs w:val="24"/>
        </w:rPr>
        <w:t xml:space="preserve">a </w:t>
      </w:r>
      <w:r w:rsidR="00F21A24" w:rsidRPr="0071546E">
        <w:rPr>
          <w:rFonts w:ascii="Arial" w:eastAsiaTheme="minorEastAsia" w:hAnsi="Arial" w:cs="Arial"/>
          <w:sz w:val="24"/>
          <w:szCs w:val="24"/>
        </w:rPr>
        <w:t xml:space="preserve">quantitative method </w:t>
      </w:r>
      <w:r w:rsidR="00725033" w:rsidRPr="0071546E">
        <w:rPr>
          <w:rFonts w:ascii="Arial" w:eastAsiaTheme="minorEastAsia" w:hAnsi="Arial" w:cs="Arial"/>
          <w:sz w:val="24"/>
          <w:szCs w:val="24"/>
        </w:rPr>
        <w:t xml:space="preserve">to compare the size of the DNA of all </w:t>
      </w:r>
      <w:r w:rsidR="00432D1D" w:rsidRPr="0071546E">
        <w:rPr>
          <w:rFonts w:ascii="Arial" w:eastAsiaTheme="minorEastAsia" w:hAnsi="Arial" w:cs="Arial"/>
          <w:i/>
          <w:sz w:val="24"/>
          <w:szCs w:val="24"/>
        </w:rPr>
        <w:t>Acanthamoeba</w:t>
      </w:r>
      <w:r w:rsidR="00224EEC" w:rsidRPr="0071546E">
        <w:rPr>
          <w:rFonts w:ascii="Arial" w:eastAsiaTheme="minorEastAsia" w:hAnsi="Arial" w:cs="Arial"/>
          <w:sz w:val="24"/>
          <w:szCs w:val="24"/>
        </w:rPr>
        <w:t xml:space="preserve"> isolates fig (3.3)</w:t>
      </w:r>
    </w:p>
    <w:p w:rsidR="003D1302" w:rsidRPr="0071546E" w:rsidRDefault="009C2D9B" w:rsidP="00CF13FE">
      <w:pPr>
        <w:spacing w:before="100" w:after="200" w:line="240" w:lineRule="atLeast"/>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 </w:t>
      </w:r>
      <w:r w:rsidR="00FD4DA6" w:rsidRPr="0071546E">
        <w:rPr>
          <w:noProof/>
          <w:lang w:eastAsia="en-GB"/>
        </w:rPr>
        <w:drawing>
          <wp:inline distT="0" distB="0" distL="0" distR="0" wp14:anchorId="5AFB6FD0" wp14:editId="3313AD09">
            <wp:extent cx="4313817" cy="27857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41025" cy="2803315"/>
                    </a:xfrm>
                    <a:prstGeom prst="rect">
                      <a:avLst/>
                    </a:prstGeom>
                  </pic:spPr>
                </pic:pic>
              </a:graphicData>
            </a:graphic>
          </wp:inline>
        </w:drawing>
      </w:r>
    </w:p>
    <w:p w:rsidR="000B4924" w:rsidRPr="0071546E" w:rsidRDefault="00224EEC" w:rsidP="00CF13F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 xml:space="preserve">Fig 3.3 </w:t>
      </w:r>
      <w:r w:rsidR="00725033" w:rsidRPr="0071546E">
        <w:rPr>
          <w:rFonts w:ascii="Arial" w:eastAsiaTheme="minorEastAsia" w:hAnsi="Arial" w:cs="Arial"/>
          <w:sz w:val="20"/>
          <w:szCs w:val="20"/>
        </w:rPr>
        <w:t>Gel electrophoresis of the five</w:t>
      </w:r>
      <w:r w:rsidR="00725033" w:rsidRPr="0071546E">
        <w:rPr>
          <w:rFonts w:ascii="Arial" w:eastAsiaTheme="minorEastAsia" w:hAnsi="Arial" w:cs="Arial"/>
          <w:i/>
          <w:sz w:val="20"/>
          <w:szCs w:val="20"/>
        </w:rPr>
        <w:t xml:space="preserve"> </w:t>
      </w:r>
      <w:r w:rsidR="00432D1D" w:rsidRPr="0071546E">
        <w:rPr>
          <w:rFonts w:ascii="Arial" w:eastAsiaTheme="minorEastAsia" w:hAnsi="Arial" w:cs="Arial"/>
          <w:i/>
          <w:sz w:val="20"/>
          <w:szCs w:val="20"/>
        </w:rPr>
        <w:t>Acanthamoeba</w:t>
      </w:r>
      <w:r w:rsidR="00725033" w:rsidRPr="0071546E">
        <w:rPr>
          <w:rFonts w:ascii="Arial" w:eastAsiaTheme="minorEastAsia" w:hAnsi="Arial" w:cs="Arial"/>
          <w:sz w:val="20"/>
          <w:szCs w:val="20"/>
        </w:rPr>
        <w:t xml:space="preserve"> </w:t>
      </w:r>
      <w:r w:rsidRPr="0071546E">
        <w:rPr>
          <w:rFonts w:ascii="Arial" w:eastAsiaTheme="minorEastAsia" w:hAnsi="Arial" w:cs="Arial"/>
          <w:sz w:val="20"/>
          <w:szCs w:val="20"/>
        </w:rPr>
        <w:t xml:space="preserve">isolates DNA extraction </w:t>
      </w:r>
      <w:r w:rsidR="00725033" w:rsidRPr="0071546E">
        <w:rPr>
          <w:rFonts w:ascii="Arial" w:eastAsiaTheme="minorEastAsia" w:hAnsi="Arial" w:cs="Arial"/>
          <w:sz w:val="20"/>
          <w:szCs w:val="20"/>
        </w:rPr>
        <w:t xml:space="preserve">method was by boiling. (A) Gel electrophoresis of all the five isolates. Lane 1 is 50bp Bioline ladder, lane 2 is SK-14-4, lane 3 is </w:t>
      </w:r>
      <w:r w:rsidR="00E32C2F" w:rsidRPr="0071546E">
        <w:rPr>
          <w:rFonts w:ascii="Arial" w:eastAsiaTheme="minorEastAsia" w:hAnsi="Arial" w:cs="Arial"/>
          <w:sz w:val="20"/>
          <w:szCs w:val="20"/>
        </w:rPr>
        <w:t>sk19-9</w:t>
      </w:r>
      <w:r w:rsidR="00725033" w:rsidRPr="0071546E">
        <w:rPr>
          <w:rFonts w:ascii="Arial" w:eastAsiaTheme="minorEastAsia" w:hAnsi="Arial" w:cs="Arial"/>
          <w:sz w:val="20"/>
          <w:szCs w:val="20"/>
        </w:rPr>
        <w:t>, lane 4 is SK-19-</w:t>
      </w:r>
      <w:r w:rsidR="00E32C2F" w:rsidRPr="0071546E">
        <w:rPr>
          <w:rFonts w:ascii="Arial" w:eastAsiaTheme="minorEastAsia" w:hAnsi="Arial" w:cs="Arial"/>
          <w:sz w:val="20"/>
          <w:szCs w:val="20"/>
        </w:rPr>
        <w:t>56</w:t>
      </w:r>
      <w:r w:rsidR="00725033" w:rsidRPr="0071546E">
        <w:rPr>
          <w:rFonts w:ascii="Arial" w:eastAsiaTheme="minorEastAsia" w:hAnsi="Arial" w:cs="Arial"/>
          <w:sz w:val="20"/>
          <w:szCs w:val="20"/>
        </w:rPr>
        <w:t>, lane 5 is SK-19-5</w:t>
      </w:r>
      <w:r w:rsidR="00E32C2F" w:rsidRPr="0071546E">
        <w:rPr>
          <w:rFonts w:ascii="Arial" w:eastAsiaTheme="minorEastAsia" w:hAnsi="Arial" w:cs="Arial"/>
          <w:sz w:val="20"/>
          <w:szCs w:val="20"/>
        </w:rPr>
        <w:t>9</w:t>
      </w:r>
      <w:r w:rsidR="00725033" w:rsidRPr="0071546E">
        <w:rPr>
          <w:rFonts w:ascii="Arial" w:eastAsiaTheme="minorEastAsia" w:hAnsi="Arial" w:cs="Arial"/>
          <w:sz w:val="20"/>
          <w:szCs w:val="20"/>
        </w:rPr>
        <w:t>,</w:t>
      </w:r>
      <w:r w:rsidR="00E32C2F" w:rsidRPr="0071546E">
        <w:rPr>
          <w:rFonts w:ascii="Arial" w:eastAsiaTheme="minorEastAsia" w:hAnsi="Arial" w:cs="Arial"/>
          <w:sz w:val="20"/>
          <w:szCs w:val="20"/>
        </w:rPr>
        <w:t xml:space="preserve"> Lane 6 is the control</w:t>
      </w:r>
      <w:r w:rsidR="00725033" w:rsidRPr="0071546E">
        <w:rPr>
          <w:rFonts w:ascii="Arial" w:eastAsiaTheme="minorEastAsia" w:hAnsi="Arial" w:cs="Arial"/>
          <w:sz w:val="20"/>
          <w:szCs w:val="20"/>
        </w:rPr>
        <w:t xml:space="preserve"> and lane </w:t>
      </w:r>
      <w:r w:rsidR="00E32C2F" w:rsidRPr="0071546E">
        <w:rPr>
          <w:rFonts w:ascii="Arial" w:eastAsiaTheme="minorEastAsia" w:hAnsi="Arial" w:cs="Arial"/>
          <w:sz w:val="20"/>
          <w:szCs w:val="20"/>
        </w:rPr>
        <w:t>7</w:t>
      </w:r>
      <w:r w:rsidR="00725033" w:rsidRPr="0071546E">
        <w:rPr>
          <w:rFonts w:ascii="Arial" w:eastAsiaTheme="minorEastAsia" w:hAnsi="Arial" w:cs="Arial"/>
          <w:sz w:val="20"/>
          <w:szCs w:val="20"/>
        </w:rPr>
        <w:t xml:space="preserve"> is </w:t>
      </w:r>
      <w:r w:rsidR="00E32C2F" w:rsidRPr="0071546E">
        <w:rPr>
          <w:rFonts w:ascii="Arial" w:eastAsiaTheme="minorEastAsia" w:hAnsi="Arial" w:cs="Arial"/>
          <w:sz w:val="20"/>
          <w:szCs w:val="20"/>
        </w:rPr>
        <w:t>PM</w:t>
      </w:r>
      <w:r w:rsidR="00725033" w:rsidRPr="0071546E">
        <w:rPr>
          <w:rFonts w:ascii="Arial" w:eastAsiaTheme="minorEastAsia" w:hAnsi="Arial" w:cs="Arial"/>
          <w:sz w:val="20"/>
          <w:szCs w:val="20"/>
        </w:rPr>
        <w:t xml:space="preserve">-19. </w:t>
      </w:r>
      <w:r w:rsidR="00F21A24" w:rsidRPr="0071546E">
        <w:rPr>
          <w:rFonts w:ascii="Arial" w:eastAsiaTheme="minorEastAsia" w:hAnsi="Arial" w:cs="Arial"/>
          <w:sz w:val="20"/>
          <w:szCs w:val="20"/>
        </w:rPr>
        <w:t>Double bands see in each lane show duplicate</w:t>
      </w:r>
      <w:r w:rsidR="000B4924" w:rsidRPr="0071546E">
        <w:rPr>
          <w:rFonts w:ascii="Arial" w:eastAsiaTheme="minorEastAsia" w:hAnsi="Arial" w:cs="Arial"/>
          <w:sz w:val="20"/>
          <w:szCs w:val="20"/>
        </w:rPr>
        <w:t xml:space="preserve"> samples</w:t>
      </w:r>
      <w:r w:rsidR="00725033" w:rsidRPr="0071546E">
        <w:rPr>
          <w:rFonts w:ascii="Arial" w:eastAsiaTheme="minorEastAsia" w:hAnsi="Arial" w:cs="Arial"/>
          <w:sz w:val="24"/>
          <w:szCs w:val="24"/>
        </w:rPr>
        <w:t xml:space="preserve">                                                                                                                                                                        </w:t>
      </w:r>
      <w:r w:rsidR="00F21A24" w:rsidRPr="0071546E">
        <w:rPr>
          <w:rFonts w:ascii="Arial" w:eastAsiaTheme="minorEastAsia" w:hAnsi="Arial" w:cs="Arial"/>
          <w:sz w:val="24"/>
          <w:szCs w:val="24"/>
        </w:rPr>
        <w:t xml:space="preserve">                    </w:t>
      </w:r>
    </w:p>
    <w:p w:rsidR="00725033" w:rsidRPr="0071546E" w:rsidRDefault="000B4924"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 </w:t>
      </w:r>
      <w:r w:rsidR="00224EEC" w:rsidRPr="0071546E">
        <w:rPr>
          <w:rFonts w:ascii="Arial" w:eastAsiaTheme="minorEastAsia" w:hAnsi="Arial" w:cs="Arial"/>
          <w:sz w:val="24"/>
          <w:szCs w:val="24"/>
        </w:rPr>
        <w:t xml:space="preserve">As seen in Fig 3.3 </w:t>
      </w:r>
      <w:r w:rsidR="00725033" w:rsidRPr="0071546E">
        <w:rPr>
          <w:rFonts w:ascii="Arial" w:eastAsiaTheme="minorEastAsia" w:hAnsi="Arial" w:cs="Arial"/>
          <w:sz w:val="24"/>
          <w:szCs w:val="24"/>
        </w:rPr>
        <w:t>the boiling method was useful as it gave bands for four isolates Therefore we can say that from the results that the size of the DNA bands w</w:t>
      </w:r>
      <w:r w:rsidR="002C2939" w:rsidRPr="0071546E">
        <w:rPr>
          <w:rFonts w:ascii="Arial" w:eastAsiaTheme="minorEastAsia" w:hAnsi="Arial" w:cs="Arial"/>
          <w:sz w:val="24"/>
          <w:szCs w:val="24"/>
        </w:rPr>
        <w:t>as</w:t>
      </w:r>
      <w:r w:rsidR="00725033" w:rsidRPr="0071546E">
        <w:rPr>
          <w:rFonts w:ascii="Arial" w:eastAsiaTheme="minorEastAsia" w:hAnsi="Arial" w:cs="Arial"/>
          <w:sz w:val="24"/>
          <w:szCs w:val="24"/>
        </w:rPr>
        <w:t xml:space="preserve"> relatively similar and are at the range of 450-500 </w:t>
      </w:r>
      <w:r w:rsidR="00D90710" w:rsidRPr="0071546E">
        <w:rPr>
          <w:rFonts w:ascii="Arial" w:eastAsiaTheme="minorEastAsia" w:hAnsi="Arial" w:cs="Arial"/>
          <w:sz w:val="24"/>
          <w:szCs w:val="24"/>
        </w:rPr>
        <w:t>bp</w:t>
      </w:r>
      <w:r w:rsidR="00F21A24" w:rsidRPr="0071546E">
        <w:rPr>
          <w:rFonts w:ascii="Arial" w:eastAsiaTheme="minorEastAsia" w:hAnsi="Arial" w:cs="Arial"/>
          <w:sz w:val="24"/>
          <w:szCs w:val="24"/>
        </w:rPr>
        <w:t xml:space="preserve">. The size of </w:t>
      </w:r>
      <w:r w:rsidR="00BE11C1" w:rsidRPr="0071546E">
        <w:rPr>
          <w:rFonts w:ascii="Arial" w:eastAsiaTheme="minorEastAsia" w:hAnsi="Arial" w:cs="Arial"/>
          <w:i/>
          <w:sz w:val="24"/>
          <w:szCs w:val="24"/>
        </w:rPr>
        <w:t>Acanthamoeba</w:t>
      </w:r>
      <w:r w:rsidR="00F21A24" w:rsidRPr="0071546E">
        <w:rPr>
          <w:rFonts w:ascii="Arial" w:eastAsiaTheme="minorEastAsia" w:hAnsi="Arial" w:cs="Arial"/>
          <w:sz w:val="24"/>
          <w:szCs w:val="24"/>
        </w:rPr>
        <w:t xml:space="preserve"> T</w:t>
      </w:r>
      <w:r w:rsidR="00F21A24" w:rsidRPr="0071546E">
        <w:rPr>
          <w:rFonts w:ascii="Arial" w:eastAsiaTheme="minorEastAsia" w:hAnsi="Arial" w:cs="Arial"/>
          <w:sz w:val="24"/>
          <w:szCs w:val="24"/>
          <w:vertAlign w:val="subscript"/>
        </w:rPr>
        <w:t>4</w:t>
      </w:r>
      <w:r w:rsidR="00F21A24" w:rsidRPr="0071546E">
        <w:rPr>
          <w:rFonts w:ascii="Arial" w:eastAsiaTheme="minorEastAsia" w:hAnsi="Arial" w:cs="Arial"/>
          <w:sz w:val="24"/>
          <w:szCs w:val="24"/>
        </w:rPr>
        <w:t xml:space="preserve"> genotype is reported to range from</w:t>
      </w:r>
      <w:r w:rsidR="00F21A24" w:rsidRPr="0071546E">
        <w:t xml:space="preserve"> </w:t>
      </w:r>
      <w:r w:rsidR="00F21A24" w:rsidRPr="0071546E">
        <w:rPr>
          <w:rFonts w:ascii="Arial" w:eastAsiaTheme="minorEastAsia" w:hAnsi="Arial" w:cs="Arial"/>
          <w:sz w:val="24"/>
          <w:szCs w:val="24"/>
        </w:rPr>
        <w:t>423–551 bp</w:t>
      </w:r>
      <w:r w:rsidR="00F21A24" w:rsidRPr="0071546E">
        <w:rPr>
          <w:color w:val="000000"/>
        </w:rPr>
        <w:t xml:space="preserve"> </w:t>
      </w:r>
      <w:r w:rsidR="00F21A24" w:rsidRPr="0071546E">
        <w:rPr>
          <w:rFonts w:ascii="Arial" w:eastAsiaTheme="minorEastAsia" w:hAnsi="Arial" w:cs="Arial"/>
          <w:sz w:val="24"/>
          <w:szCs w:val="24"/>
        </w:rPr>
        <w:t>(Jercic et al., 2019)</w:t>
      </w:r>
    </w:p>
    <w:p w:rsidR="00725033" w:rsidRPr="0071546E" w:rsidRDefault="00725033" w:rsidP="00CF13FE">
      <w:pPr>
        <w:pStyle w:val="Heading2"/>
        <w:ind w:left="1021" w:right="454"/>
        <w:rPr>
          <w:rFonts w:eastAsiaTheme="minorEastAsia"/>
        </w:rPr>
      </w:pPr>
      <w:bookmarkStart w:id="91" w:name="_Toc14711463"/>
      <w:r w:rsidRPr="0071546E">
        <w:rPr>
          <w:rFonts w:eastAsiaTheme="minorEastAsia"/>
        </w:rPr>
        <w:t xml:space="preserve">3.1.4 Sequencing and genotyping of all five isolates of </w:t>
      </w:r>
      <w:r w:rsidR="00432D1D" w:rsidRPr="0071546E">
        <w:rPr>
          <w:rFonts w:eastAsiaTheme="minorEastAsia"/>
          <w:i/>
        </w:rPr>
        <w:t>Acanthamoeba</w:t>
      </w:r>
      <w:bookmarkEnd w:id="91"/>
    </w:p>
    <w:p w:rsidR="00725033" w:rsidRPr="0071546E" w:rsidRDefault="00725033" w:rsidP="00CF13FE">
      <w:pPr>
        <w:suppressAutoHyphens/>
        <w:autoSpaceDN w:val="0"/>
        <w:spacing w:before="120" w:after="2" w:line="480" w:lineRule="auto"/>
        <w:ind w:left="1021" w:right="454"/>
        <w:jc w:val="both"/>
        <w:textAlignment w:val="baseline"/>
        <w:rPr>
          <w:rFonts w:ascii="Arial" w:eastAsia="Times New Roman" w:hAnsi="Arial" w:cs="Arial"/>
          <w:color w:val="000000"/>
          <w:sz w:val="24"/>
          <w:szCs w:val="24"/>
          <w:lang w:eastAsia="en-GB"/>
        </w:rPr>
      </w:pPr>
      <w:r w:rsidRPr="0071546E">
        <w:rPr>
          <w:rFonts w:ascii="Arial" w:eastAsia="Times New Roman" w:hAnsi="Arial" w:cs="Arial"/>
          <w:color w:val="000000"/>
          <w:sz w:val="24"/>
          <w:szCs w:val="24"/>
          <w:lang w:eastAsia="en-GB"/>
        </w:rPr>
        <w:t xml:space="preserve">To evaluate the variations among the five isolates, multiple DNA sequence alignment was </w:t>
      </w:r>
      <w:r w:rsidRPr="0071546E">
        <w:rPr>
          <w:rFonts w:ascii="Arial" w:eastAsia="Times New Roman" w:hAnsi="Arial" w:cs="Arial"/>
          <w:sz w:val="24"/>
          <w:szCs w:val="24"/>
          <w:lang w:eastAsia="en-GB"/>
        </w:rPr>
        <w:t xml:space="preserve">performed </w:t>
      </w:r>
      <w:r w:rsidR="00E41688" w:rsidRPr="0071546E">
        <w:rPr>
          <w:rFonts w:ascii="Arial" w:eastAsia="Times New Roman" w:hAnsi="Arial" w:cs="Arial"/>
          <w:sz w:val="24"/>
          <w:szCs w:val="24"/>
          <w:lang w:eastAsia="en-GB"/>
        </w:rPr>
        <w:t xml:space="preserve">on the elute DNA by DBS genomics (University of Durham) </w:t>
      </w:r>
      <w:r w:rsidR="00BE11C1" w:rsidRPr="0071546E">
        <w:rPr>
          <w:rFonts w:ascii="Arial" w:eastAsia="Times New Roman" w:hAnsi="Arial" w:cs="Arial"/>
          <w:color w:val="000000"/>
          <w:sz w:val="24"/>
          <w:szCs w:val="24"/>
          <w:lang w:eastAsia="en-GB"/>
        </w:rPr>
        <w:t>and</w:t>
      </w:r>
      <w:r w:rsidRPr="0071546E">
        <w:rPr>
          <w:rFonts w:ascii="Arial" w:eastAsia="Times New Roman" w:hAnsi="Arial" w:cs="Arial"/>
          <w:color w:val="000000"/>
          <w:sz w:val="24"/>
          <w:szCs w:val="24"/>
          <w:lang w:eastAsia="en-GB"/>
        </w:rPr>
        <w:t xml:space="preserve"> the </w:t>
      </w:r>
      <w:r w:rsidRPr="0071546E">
        <w:rPr>
          <w:rFonts w:ascii="Arial" w:eastAsia="Times New Roman" w:hAnsi="Arial" w:cs="Arial"/>
          <w:noProof/>
          <w:color w:val="000000"/>
          <w:sz w:val="24"/>
          <w:szCs w:val="24"/>
          <w:lang w:eastAsia="en-GB"/>
        </w:rPr>
        <w:t>alignment</w:t>
      </w:r>
      <w:r w:rsidRPr="0071546E">
        <w:rPr>
          <w:rFonts w:ascii="Arial" w:eastAsia="Times New Roman" w:hAnsi="Arial" w:cs="Arial"/>
          <w:color w:val="000000"/>
          <w:sz w:val="24"/>
          <w:szCs w:val="24"/>
          <w:lang w:eastAsia="en-GB"/>
        </w:rPr>
        <w:t xml:space="preserve"> of the highly variable region Diagnostic Fragment 3(DF3) as shown in </w:t>
      </w:r>
      <w:r w:rsidR="00224EEC" w:rsidRPr="0071546E">
        <w:rPr>
          <w:rFonts w:ascii="Arial" w:eastAsia="Times New Roman" w:hAnsi="Arial" w:cs="Arial"/>
          <w:sz w:val="24"/>
          <w:szCs w:val="24"/>
          <w:lang w:eastAsia="en-GB"/>
        </w:rPr>
        <w:t xml:space="preserve">figure 3.4 </w:t>
      </w:r>
      <w:r w:rsidRPr="0071546E">
        <w:rPr>
          <w:rFonts w:ascii="Arial" w:eastAsia="Times New Roman" w:hAnsi="Arial" w:cs="Arial"/>
          <w:color w:val="000000"/>
          <w:sz w:val="24"/>
          <w:szCs w:val="24"/>
          <w:lang w:eastAsia="en-GB"/>
        </w:rPr>
        <w:t>w</w:t>
      </w:r>
      <w:r w:rsidR="002C2939" w:rsidRPr="0071546E">
        <w:rPr>
          <w:rFonts w:ascii="Arial" w:eastAsia="Times New Roman" w:hAnsi="Arial" w:cs="Arial"/>
          <w:color w:val="000000"/>
          <w:sz w:val="24"/>
          <w:szCs w:val="24"/>
          <w:lang w:eastAsia="en-GB"/>
        </w:rPr>
        <w:t>as</w:t>
      </w:r>
      <w:r w:rsidRPr="0071546E">
        <w:rPr>
          <w:rFonts w:ascii="Arial" w:eastAsia="Times New Roman" w:hAnsi="Arial" w:cs="Arial"/>
          <w:color w:val="000000"/>
          <w:sz w:val="24"/>
          <w:szCs w:val="24"/>
          <w:lang w:eastAsia="en-GB"/>
        </w:rPr>
        <w:t xml:space="preserve"> performed using Clustal Omega (European Bioinformatics </w:t>
      </w:r>
      <w:r w:rsidR="002C2939" w:rsidRPr="0071546E">
        <w:rPr>
          <w:rFonts w:ascii="Arial" w:eastAsia="Times New Roman" w:hAnsi="Arial" w:cs="Arial"/>
          <w:color w:val="000000"/>
          <w:sz w:val="24"/>
          <w:szCs w:val="24"/>
          <w:lang w:eastAsia="en-GB"/>
        </w:rPr>
        <w:t>I</w:t>
      </w:r>
      <w:r w:rsidRPr="0071546E">
        <w:rPr>
          <w:rFonts w:ascii="Arial" w:eastAsia="Times New Roman" w:hAnsi="Arial" w:cs="Arial"/>
          <w:color w:val="000000"/>
          <w:sz w:val="24"/>
          <w:szCs w:val="24"/>
          <w:lang w:eastAsia="en-GB"/>
        </w:rPr>
        <w:t xml:space="preserve">nstitute, Cambridge/ UK). The DF3 fragment considered as a critical region in </w:t>
      </w:r>
      <w:r w:rsidR="00432D1D" w:rsidRPr="0071546E">
        <w:rPr>
          <w:rFonts w:ascii="Arial" w:eastAsia="Times New Roman" w:hAnsi="Arial" w:cs="Arial"/>
          <w:i/>
          <w:color w:val="000000"/>
          <w:sz w:val="24"/>
          <w:szCs w:val="24"/>
          <w:lang w:eastAsia="en-GB"/>
        </w:rPr>
        <w:t>Acanthamoeba</w:t>
      </w:r>
      <w:r w:rsidRPr="0071546E">
        <w:rPr>
          <w:rFonts w:ascii="Arial" w:eastAsia="Times New Roman" w:hAnsi="Arial" w:cs="Arial"/>
          <w:color w:val="000000"/>
          <w:sz w:val="24"/>
          <w:szCs w:val="24"/>
          <w:lang w:eastAsia="en-GB"/>
        </w:rPr>
        <w:t xml:space="preserve"> genotyping as it is a very useful tool to illustrate the diversity within </w:t>
      </w:r>
      <w:r w:rsidR="002C2939" w:rsidRPr="0071546E">
        <w:rPr>
          <w:rFonts w:ascii="Arial" w:eastAsia="Times New Roman" w:hAnsi="Arial" w:cs="Arial"/>
          <w:color w:val="000000"/>
          <w:sz w:val="24"/>
          <w:szCs w:val="24"/>
          <w:lang w:eastAsia="en-GB"/>
        </w:rPr>
        <w:t xml:space="preserve">a </w:t>
      </w:r>
      <w:r w:rsidRPr="0071546E">
        <w:rPr>
          <w:rFonts w:ascii="Arial" w:eastAsia="Times New Roman" w:hAnsi="Arial" w:cs="Arial"/>
          <w:color w:val="000000"/>
          <w:sz w:val="24"/>
          <w:szCs w:val="24"/>
          <w:lang w:eastAsia="en-GB"/>
        </w:rPr>
        <w:t xml:space="preserve">similar genotype (Ledee et al. 2009). </w:t>
      </w:r>
    </w:p>
    <w:p w:rsidR="00725033" w:rsidRPr="0071546E" w:rsidRDefault="00725033" w:rsidP="00CF13FE">
      <w:pPr>
        <w:autoSpaceDE w:val="0"/>
        <w:autoSpaceDN w:val="0"/>
        <w:adjustRightInd w:val="0"/>
        <w:spacing w:before="100" w:after="0" w:line="240" w:lineRule="atLeast"/>
        <w:ind w:left="1021" w:right="454" w:firstLine="57"/>
        <w:jc w:val="both"/>
        <w:rPr>
          <w:rFonts w:ascii="Arial" w:eastAsiaTheme="minorEastAsia" w:hAnsi="Arial" w:cs="Arial"/>
          <w:color w:val="000000"/>
          <w:sz w:val="24"/>
          <w:szCs w:val="24"/>
        </w:rPr>
      </w:pPr>
      <w:r w:rsidRPr="0071546E">
        <w:rPr>
          <w:rFonts w:ascii="Arial" w:eastAsiaTheme="minorEastAsia" w:hAnsi="Arial" w:cs="Arial"/>
          <w:noProof/>
          <w:color w:val="000000"/>
          <w:sz w:val="24"/>
          <w:szCs w:val="24"/>
          <w:lang w:eastAsia="en-GB"/>
        </w:rPr>
        <w:drawing>
          <wp:inline distT="0" distB="0" distL="0" distR="0" wp14:anchorId="023D679E" wp14:editId="08BCDADD">
            <wp:extent cx="3915410" cy="2108498"/>
            <wp:effectExtent l="0" t="0" r="889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48154" cy="2179982"/>
                    </a:xfrm>
                    <a:prstGeom prst="rect">
                      <a:avLst/>
                    </a:prstGeom>
                  </pic:spPr>
                </pic:pic>
              </a:graphicData>
            </a:graphic>
          </wp:inline>
        </w:drawing>
      </w:r>
    </w:p>
    <w:p w:rsidR="00725033" w:rsidRPr="0071546E" w:rsidRDefault="00725033" w:rsidP="00CF13FE">
      <w:pPr>
        <w:keepNext/>
        <w:overflowPunct w:val="0"/>
        <w:autoSpaceDN w:val="0"/>
        <w:spacing w:before="100" w:after="0" w:line="240" w:lineRule="auto"/>
        <w:ind w:left="1021" w:right="454"/>
        <w:jc w:val="both"/>
        <w:textAlignment w:val="baseline"/>
        <w:rPr>
          <w:rFonts w:ascii="Arial" w:eastAsia="Calibri" w:hAnsi="Arial" w:cs="Arial"/>
          <w:iCs/>
          <w:color w:val="000000"/>
          <w:kern w:val="3"/>
          <w:sz w:val="20"/>
          <w:szCs w:val="20"/>
          <w:lang w:eastAsia="en-GB"/>
        </w:rPr>
      </w:pPr>
      <w:bookmarkStart w:id="92" w:name="_Toc557705"/>
      <w:bookmarkStart w:id="93" w:name="_Toc897727"/>
      <w:r w:rsidRPr="0071546E">
        <w:rPr>
          <w:rFonts w:ascii="Arial" w:eastAsia="Calibri" w:hAnsi="Arial" w:cs="Arial"/>
          <w:iCs/>
          <w:color w:val="000000"/>
          <w:kern w:val="3"/>
          <w:sz w:val="20"/>
          <w:szCs w:val="20"/>
          <w:lang w:eastAsia="en-GB"/>
        </w:rPr>
        <w:t>Fig. 3.</w:t>
      </w:r>
      <w:r w:rsidR="00770656" w:rsidRPr="0071546E">
        <w:rPr>
          <w:rFonts w:ascii="Arial" w:eastAsia="Calibri" w:hAnsi="Arial" w:cs="Arial"/>
          <w:iCs/>
          <w:color w:val="000000"/>
          <w:kern w:val="3"/>
          <w:sz w:val="20"/>
          <w:szCs w:val="20"/>
          <w:lang w:eastAsia="en-GB"/>
        </w:rPr>
        <w:t xml:space="preserve">4 </w:t>
      </w:r>
      <w:r w:rsidRPr="0071546E">
        <w:rPr>
          <w:rFonts w:ascii="Arial" w:eastAsia="Calibri" w:hAnsi="Arial" w:cs="Arial"/>
          <w:iCs/>
          <w:color w:val="000000"/>
          <w:kern w:val="3"/>
          <w:sz w:val="20"/>
          <w:szCs w:val="20"/>
          <w:lang w:eastAsia="en-GB"/>
        </w:rPr>
        <w:t xml:space="preserve">Multiple Sequence Alignment of diagnostic fragment 3 (DF3) the 5 </w:t>
      </w:r>
      <w:r w:rsidR="00432D1D" w:rsidRPr="0071546E">
        <w:rPr>
          <w:rFonts w:ascii="Arial" w:eastAsia="Calibri" w:hAnsi="Arial" w:cs="Arial"/>
          <w:i/>
          <w:iCs/>
          <w:color w:val="000000"/>
          <w:kern w:val="3"/>
          <w:sz w:val="20"/>
          <w:szCs w:val="20"/>
          <w:lang w:eastAsia="en-GB"/>
        </w:rPr>
        <w:t>Acanthamoeba</w:t>
      </w:r>
      <w:r w:rsidRPr="0071546E">
        <w:rPr>
          <w:rFonts w:ascii="Arial" w:eastAsia="Calibri" w:hAnsi="Arial" w:cs="Arial"/>
          <w:iCs/>
          <w:color w:val="000000"/>
          <w:kern w:val="3"/>
          <w:sz w:val="20"/>
          <w:szCs w:val="20"/>
          <w:lang w:eastAsia="en-GB"/>
        </w:rPr>
        <w:t xml:space="preserve"> isolates. Highlighted in the green rectangular box are the five isolates of interest, asterisks show the identical base pairs in all sequences aligned, while the gaps are shown with dashes.</w:t>
      </w:r>
      <w:bookmarkEnd w:id="92"/>
      <w:bookmarkEnd w:id="93"/>
      <w:r w:rsidRPr="0071546E">
        <w:rPr>
          <w:rFonts w:ascii="Arial" w:eastAsia="Calibri" w:hAnsi="Arial" w:cs="Arial"/>
          <w:iCs/>
          <w:color w:val="000000"/>
          <w:kern w:val="3"/>
          <w:sz w:val="20"/>
          <w:szCs w:val="20"/>
          <w:lang w:eastAsia="en-GB"/>
        </w:rPr>
        <w:t xml:space="preserve"> This is part of a large study looking at other environmental isolates.</w:t>
      </w:r>
    </w:p>
    <w:p w:rsidR="00725033" w:rsidRPr="0071546E" w:rsidRDefault="00725033" w:rsidP="00CF13FE">
      <w:pPr>
        <w:autoSpaceDE w:val="0"/>
        <w:autoSpaceDN w:val="0"/>
        <w:adjustRightInd w:val="0"/>
        <w:spacing w:before="100" w:after="0" w:line="240" w:lineRule="auto"/>
        <w:ind w:left="1021" w:right="454" w:firstLine="57"/>
        <w:jc w:val="both"/>
        <w:rPr>
          <w:rFonts w:ascii="Arial" w:eastAsiaTheme="minorEastAsia" w:hAnsi="Arial" w:cs="Arial"/>
          <w:color w:val="000000"/>
          <w:sz w:val="24"/>
          <w:szCs w:val="24"/>
        </w:rPr>
      </w:pPr>
    </w:p>
    <w:p w:rsidR="00725033" w:rsidRPr="0071546E" w:rsidRDefault="00725033" w:rsidP="00CF13FE">
      <w:pPr>
        <w:autoSpaceDE w:val="0"/>
        <w:autoSpaceDN w:val="0"/>
        <w:adjustRightInd w:val="0"/>
        <w:spacing w:before="100" w:after="0" w:line="480" w:lineRule="auto"/>
        <w:ind w:left="1021" w:right="454"/>
        <w:jc w:val="both"/>
        <w:rPr>
          <w:rFonts w:ascii="Arial" w:eastAsiaTheme="minorEastAsia" w:hAnsi="Arial" w:cs="Arial"/>
          <w:color w:val="000000"/>
          <w:sz w:val="24"/>
          <w:szCs w:val="24"/>
        </w:rPr>
      </w:pPr>
      <w:r w:rsidRPr="0071546E">
        <w:rPr>
          <w:rFonts w:ascii="Arial" w:eastAsiaTheme="minorEastAsia" w:hAnsi="Arial" w:cs="Arial"/>
          <w:color w:val="000000"/>
          <w:sz w:val="24"/>
          <w:szCs w:val="24"/>
        </w:rPr>
        <w:t>The results from the alignment</w:t>
      </w:r>
      <w:r w:rsidR="00770656" w:rsidRPr="0071546E">
        <w:rPr>
          <w:rFonts w:ascii="Arial" w:eastAsiaTheme="minorEastAsia" w:hAnsi="Arial" w:cs="Arial"/>
          <w:color w:val="000000"/>
          <w:sz w:val="24"/>
          <w:szCs w:val="24"/>
        </w:rPr>
        <w:t xml:space="preserve"> fig (3.4) showed</w:t>
      </w:r>
      <w:r w:rsidRPr="0071546E">
        <w:rPr>
          <w:rFonts w:ascii="Arial" w:eastAsiaTheme="minorEastAsia" w:hAnsi="Arial" w:cs="Arial"/>
          <w:color w:val="000000"/>
          <w:sz w:val="24"/>
          <w:szCs w:val="24"/>
        </w:rPr>
        <w:t xml:space="preserve"> some diversity even though they are classed as the same genotype. The sequence was further analysed using BLAST to confirm the most similar genotype and accession number and all four isolates showed 100% similarity with T4 genotype </w:t>
      </w:r>
      <w:r w:rsidR="00770656" w:rsidRPr="0071546E">
        <w:rPr>
          <w:rFonts w:ascii="Arial" w:eastAsiaTheme="minorEastAsia" w:hAnsi="Arial" w:cs="Arial"/>
          <w:color w:val="000000"/>
          <w:sz w:val="24"/>
          <w:szCs w:val="24"/>
        </w:rPr>
        <w:t>table 3.2. The</w:t>
      </w:r>
      <w:r w:rsidR="00F21A24" w:rsidRPr="0071546E">
        <w:rPr>
          <w:rFonts w:ascii="Arial" w:eastAsiaTheme="minorEastAsia" w:hAnsi="Arial" w:cs="Arial"/>
          <w:color w:val="000000"/>
          <w:sz w:val="24"/>
          <w:szCs w:val="24"/>
        </w:rPr>
        <w:t xml:space="preserve"> evolutionary diversity relationship, Mega 6 software (Molecular Evolutionary Genetics Analysis Version 6.0) was used to generate a neighbour-joining dendrogram (Fig 3.5), which is used to show genetic distance among strains (Xuan et al., 2017)</w:t>
      </w:r>
    </w:p>
    <w:p w:rsidR="00F21A24" w:rsidRPr="0071546E" w:rsidRDefault="00725033" w:rsidP="00CF13FE">
      <w:pPr>
        <w:autoSpaceDE w:val="0"/>
        <w:autoSpaceDN w:val="0"/>
        <w:adjustRightInd w:val="0"/>
        <w:spacing w:before="100" w:after="0" w:line="240" w:lineRule="atLeast"/>
        <w:ind w:left="1021" w:right="454"/>
        <w:jc w:val="both"/>
        <w:rPr>
          <w:rFonts w:ascii="Arial" w:eastAsiaTheme="minorEastAsia" w:hAnsi="Arial" w:cs="Arial"/>
          <w:color w:val="000000"/>
          <w:sz w:val="24"/>
          <w:szCs w:val="24"/>
        </w:rPr>
      </w:pPr>
      <w:r w:rsidRPr="0071546E">
        <w:rPr>
          <w:rFonts w:ascii="Arial" w:eastAsiaTheme="minorEastAsia" w:hAnsi="Arial" w:cs="Arial"/>
          <w:noProof/>
          <w:sz w:val="24"/>
          <w:szCs w:val="24"/>
          <w:lang w:eastAsia="en-GB"/>
        </w:rPr>
        <w:drawing>
          <wp:inline distT="0" distB="0" distL="0" distR="0" wp14:anchorId="5025082F" wp14:editId="37B7D0E0">
            <wp:extent cx="4060371" cy="1621790"/>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145189" cy="1655668"/>
                    </a:xfrm>
                    <a:prstGeom prst="rect">
                      <a:avLst/>
                    </a:prstGeom>
                  </pic:spPr>
                </pic:pic>
              </a:graphicData>
            </a:graphic>
          </wp:inline>
        </w:drawing>
      </w:r>
    </w:p>
    <w:p w:rsidR="00F21A24" w:rsidRPr="0071546E" w:rsidRDefault="00770656" w:rsidP="00CF13FE">
      <w:pPr>
        <w:autoSpaceDE w:val="0"/>
        <w:autoSpaceDN w:val="0"/>
        <w:adjustRightInd w:val="0"/>
        <w:spacing w:before="100" w:after="0" w:line="240" w:lineRule="auto"/>
        <w:ind w:left="1021" w:right="454"/>
        <w:jc w:val="both"/>
        <w:rPr>
          <w:rFonts w:ascii="Arial" w:eastAsiaTheme="minorEastAsia" w:hAnsi="Arial" w:cs="Arial"/>
          <w:color w:val="000000"/>
          <w:sz w:val="20"/>
          <w:szCs w:val="20"/>
        </w:rPr>
      </w:pPr>
      <w:r w:rsidRPr="0071546E">
        <w:rPr>
          <w:rFonts w:ascii="Arial" w:eastAsiaTheme="minorEastAsia" w:hAnsi="Arial" w:cs="Arial"/>
          <w:color w:val="000000"/>
          <w:sz w:val="20"/>
          <w:szCs w:val="20"/>
        </w:rPr>
        <w:t>Table 3.2 Closest</w:t>
      </w:r>
      <w:r w:rsidR="00725033" w:rsidRPr="0071546E">
        <w:rPr>
          <w:rFonts w:ascii="Arial" w:eastAsiaTheme="minorEastAsia" w:hAnsi="Arial" w:cs="Arial"/>
          <w:color w:val="000000"/>
          <w:sz w:val="20"/>
          <w:szCs w:val="20"/>
        </w:rPr>
        <w:t xml:space="preserve"> genotype and accession number to 5 </w:t>
      </w:r>
      <w:r w:rsidR="00432D1D" w:rsidRPr="0071546E">
        <w:rPr>
          <w:rFonts w:ascii="Arial" w:eastAsiaTheme="minorEastAsia" w:hAnsi="Arial" w:cs="Arial"/>
          <w:i/>
          <w:color w:val="000000"/>
          <w:sz w:val="20"/>
          <w:szCs w:val="20"/>
        </w:rPr>
        <w:t>Acanthamoeba</w:t>
      </w:r>
      <w:r w:rsidR="00725033" w:rsidRPr="0071546E">
        <w:rPr>
          <w:rFonts w:ascii="Arial" w:eastAsiaTheme="minorEastAsia" w:hAnsi="Arial" w:cs="Arial"/>
          <w:color w:val="000000"/>
          <w:sz w:val="20"/>
          <w:szCs w:val="20"/>
        </w:rPr>
        <w:t xml:space="preserve"> isolates used. These parameters were identified using BLAST from NCBI homepage. After subjecting the sequences into BLAST</w:t>
      </w:r>
      <w:r w:rsidR="00E103C0" w:rsidRPr="0071546E">
        <w:rPr>
          <w:rFonts w:ascii="Arial" w:eastAsiaTheme="minorEastAsia" w:hAnsi="Arial" w:cs="Arial"/>
          <w:color w:val="000000"/>
          <w:sz w:val="20"/>
          <w:szCs w:val="20"/>
        </w:rPr>
        <w:t>, the</w:t>
      </w:r>
      <w:r w:rsidR="00725033" w:rsidRPr="0071546E">
        <w:rPr>
          <w:rFonts w:ascii="Arial" w:eastAsiaTheme="minorEastAsia" w:hAnsi="Arial" w:cs="Arial"/>
          <w:color w:val="000000"/>
          <w:sz w:val="20"/>
          <w:szCs w:val="20"/>
        </w:rPr>
        <w:t xml:space="preserve"> similarity was (99-100%) with an E (expected) value of 0 in every case.</w:t>
      </w:r>
    </w:p>
    <w:p w:rsidR="0070684E" w:rsidRPr="0071546E" w:rsidRDefault="0070684E" w:rsidP="00CF13FE">
      <w:pPr>
        <w:autoSpaceDE w:val="0"/>
        <w:autoSpaceDN w:val="0"/>
        <w:adjustRightInd w:val="0"/>
        <w:spacing w:before="100" w:after="0" w:line="240" w:lineRule="auto"/>
        <w:ind w:left="1021" w:right="454"/>
        <w:jc w:val="both"/>
        <w:rPr>
          <w:rFonts w:ascii="Arial" w:eastAsiaTheme="minorEastAsia" w:hAnsi="Arial" w:cs="Arial"/>
          <w:color w:val="000000"/>
          <w:sz w:val="20"/>
          <w:szCs w:val="20"/>
        </w:rPr>
      </w:pPr>
    </w:p>
    <w:p w:rsidR="0070684E" w:rsidRPr="0071546E" w:rsidRDefault="0070684E" w:rsidP="00CF13FE">
      <w:pPr>
        <w:autoSpaceDE w:val="0"/>
        <w:autoSpaceDN w:val="0"/>
        <w:adjustRightInd w:val="0"/>
        <w:spacing w:before="100" w:after="0" w:line="240" w:lineRule="auto"/>
        <w:ind w:left="1021" w:right="454"/>
        <w:jc w:val="both"/>
        <w:rPr>
          <w:rFonts w:ascii="Arial" w:eastAsiaTheme="minorEastAsia" w:hAnsi="Arial" w:cs="Arial"/>
          <w:color w:val="000000"/>
          <w:sz w:val="20"/>
          <w:szCs w:val="20"/>
        </w:rPr>
      </w:pPr>
    </w:p>
    <w:p w:rsidR="000B4924" w:rsidRPr="0071546E" w:rsidRDefault="0070684E" w:rsidP="00CF13FE">
      <w:pPr>
        <w:spacing w:before="100" w:after="2" w:line="240" w:lineRule="auto"/>
        <w:ind w:left="1021" w:right="454"/>
        <w:jc w:val="both"/>
        <w:rPr>
          <w:rFonts w:ascii="Arial" w:hAnsi="Arial" w:cs="Arial"/>
          <w:sz w:val="20"/>
          <w:szCs w:val="20"/>
        </w:rPr>
      </w:pPr>
      <w:r w:rsidRPr="0071546E">
        <w:rPr>
          <w:noProof/>
          <w:lang w:eastAsia="en-GB"/>
        </w:rPr>
        <w:drawing>
          <wp:inline distT="0" distB="0" distL="0" distR="0" wp14:anchorId="7A631951" wp14:editId="779D7743">
            <wp:extent cx="3341914" cy="1038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45548" cy="1039354"/>
                    </a:xfrm>
                    <a:prstGeom prst="rect">
                      <a:avLst/>
                    </a:prstGeom>
                  </pic:spPr>
                </pic:pic>
              </a:graphicData>
            </a:graphic>
          </wp:inline>
        </w:drawing>
      </w:r>
    </w:p>
    <w:p w:rsidR="00F21A24" w:rsidRPr="0071546E" w:rsidRDefault="00F21A24" w:rsidP="00CF13FE">
      <w:pPr>
        <w:spacing w:before="100" w:after="2" w:line="240" w:lineRule="auto"/>
        <w:ind w:left="1021" w:right="454"/>
        <w:jc w:val="both"/>
        <w:rPr>
          <w:rFonts w:ascii="Arial" w:hAnsi="Arial" w:cs="Arial"/>
          <w:sz w:val="20"/>
          <w:szCs w:val="20"/>
        </w:rPr>
      </w:pPr>
      <w:r w:rsidRPr="0071546E">
        <w:rPr>
          <w:rFonts w:ascii="Arial" w:hAnsi="Arial" w:cs="Arial"/>
          <w:sz w:val="20"/>
          <w:szCs w:val="20"/>
        </w:rPr>
        <w:t xml:space="preserve">Fig 3.5 </w:t>
      </w:r>
      <w:r w:rsidR="000B4924" w:rsidRPr="0071546E">
        <w:rPr>
          <w:rFonts w:ascii="Arial" w:hAnsi="Arial" w:cs="Arial"/>
          <w:sz w:val="20"/>
          <w:szCs w:val="20"/>
        </w:rPr>
        <w:t xml:space="preserve">Dendrogram of </w:t>
      </w:r>
      <w:r w:rsidR="000B4924" w:rsidRPr="0071546E">
        <w:rPr>
          <w:rFonts w:ascii="Arial" w:hAnsi="Arial" w:cs="Arial"/>
          <w:i/>
          <w:sz w:val="20"/>
          <w:szCs w:val="20"/>
        </w:rPr>
        <w:t>Acanthamoeba</w:t>
      </w:r>
      <w:r w:rsidR="000B4924" w:rsidRPr="0071546E">
        <w:rPr>
          <w:rFonts w:ascii="Arial" w:hAnsi="Arial" w:cs="Arial"/>
          <w:sz w:val="20"/>
          <w:szCs w:val="20"/>
        </w:rPr>
        <w:t xml:space="preserve"> strains based on 18S rDNA sequences. The neighbo</w:t>
      </w:r>
      <w:r w:rsidR="007D08AE" w:rsidRPr="0071546E">
        <w:rPr>
          <w:rFonts w:ascii="Arial" w:hAnsi="Arial" w:cs="Arial"/>
          <w:sz w:val="20"/>
          <w:szCs w:val="20"/>
        </w:rPr>
        <w:t>u</w:t>
      </w:r>
      <w:r w:rsidR="000B4924" w:rsidRPr="0071546E">
        <w:rPr>
          <w:rFonts w:ascii="Arial" w:hAnsi="Arial" w:cs="Arial"/>
          <w:sz w:val="20"/>
          <w:szCs w:val="20"/>
        </w:rPr>
        <w:t xml:space="preserve">ring-joining tree shows the relationship of the </w:t>
      </w:r>
      <w:r w:rsidR="000B4924" w:rsidRPr="0071546E">
        <w:rPr>
          <w:rFonts w:ascii="Arial" w:hAnsi="Arial" w:cs="Arial"/>
          <w:i/>
          <w:sz w:val="20"/>
          <w:szCs w:val="20"/>
        </w:rPr>
        <w:t>Acanthamoeba</w:t>
      </w:r>
      <w:r w:rsidR="000B4924" w:rsidRPr="0071546E">
        <w:rPr>
          <w:rFonts w:ascii="Arial" w:hAnsi="Arial" w:cs="Arial"/>
          <w:sz w:val="20"/>
          <w:szCs w:val="20"/>
        </w:rPr>
        <w:t xml:space="preserve"> st</w:t>
      </w:r>
      <w:r w:rsidR="007D08AE" w:rsidRPr="0071546E">
        <w:rPr>
          <w:rFonts w:ascii="Arial" w:hAnsi="Arial" w:cs="Arial"/>
          <w:sz w:val="20"/>
          <w:szCs w:val="20"/>
        </w:rPr>
        <w:t>ra</w:t>
      </w:r>
      <w:r w:rsidR="000B4924" w:rsidRPr="0071546E">
        <w:rPr>
          <w:rFonts w:ascii="Arial" w:hAnsi="Arial" w:cs="Arial"/>
          <w:sz w:val="20"/>
          <w:szCs w:val="20"/>
        </w:rPr>
        <w:t xml:space="preserve">ins SK- 19-9, PM 19, SK 14-4, SK- 19-59 and SK- 19-56 with already existing </w:t>
      </w:r>
      <w:r w:rsidR="000B4924" w:rsidRPr="0071546E">
        <w:rPr>
          <w:rFonts w:ascii="Arial" w:hAnsi="Arial" w:cs="Arial"/>
          <w:i/>
          <w:sz w:val="20"/>
          <w:szCs w:val="20"/>
        </w:rPr>
        <w:t>Acanthamoeba</w:t>
      </w:r>
      <w:r w:rsidR="000B4924" w:rsidRPr="0071546E">
        <w:rPr>
          <w:rFonts w:ascii="Arial" w:hAnsi="Arial" w:cs="Arial"/>
          <w:sz w:val="20"/>
          <w:szCs w:val="20"/>
        </w:rPr>
        <w:t xml:space="preserve"> reference genes</w:t>
      </w:r>
    </w:p>
    <w:p w:rsidR="0070684E" w:rsidRPr="0071546E" w:rsidRDefault="0070684E" w:rsidP="00CF13FE">
      <w:pPr>
        <w:spacing w:before="100" w:after="2" w:line="240" w:lineRule="auto"/>
        <w:ind w:left="1021" w:right="454"/>
        <w:jc w:val="both"/>
        <w:rPr>
          <w:rFonts w:ascii="Times New Roman" w:eastAsia="Times New Roman" w:hAnsi="Times New Roman" w:cs="Times New Roman"/>
          <w:color w:val="000000"/>
          <w:sz w:val="24"/>
          <w:szCs w:val="24"/>
          <w:lang w:eastAsia="en-GB"/>
        </w:rPr>
      </w:pPr>
    </w:p>
    <w:p w:rsidR="00251DBA" w:rsidRPr="0071546E" w:rsidRDefault="000B4924" w:rsidP="00C0197D">
      <w:pPr>
        <w:suppressAutoHyphens/>
        <w:autoSpaceDN w:val="0"/>
        <w:spacing w:before="120" w:after="2" w:line="480" w:lineRule="auto"/>
        <w:ind w:left="1021" w:right="454"/>
        <w:jc w:val="both"/>
        <w:textAlignment w:val="baseline"/>
        <w:rPr>
          <w:rFonts w:ascii="Times New Roman" w:eastAsia="Times New Roman" w:hAnsi="Times New Roman" w:cs="Times New Roman"/>
          <w:color w:val="000000"/>
          <w:sz w:val="24"/>
          <w:szCs w:val="24"/>
          <w:lang w:eastAsia="en-GB"/>
        </w:rPr>
      </w:pPr>
      <w:r w:rsidRPr="0071546E">
        <w:rPr>
          <w:rFonts w:ascii="Times New Roman" w:eastAsia="Times New Roman" w:hAnsi="Times New Roman" w:cs="Times New Roman"/>
          <w:color w:val="000000"/>
          <w:sz w:val="24"/>
          <w:szCs w:val="24"/>
          <w:lang w:eastAsia="en-GB"/>
        </w:rPr>
        <w:t>The result gotten from (f</w:t>
      </w:r>
      <w:r w:rsidR="0070684E" w:rsidRPr="0071546E">
        <w:rPr>
          <w:rFonts w:ascii="Times New Roman" w:eastAsia="Times New Roman" w:hAnsi="Times New Roman" w:cs="Times New Roman"/>
          <w:color w:val="000000"/>
          <w:sz w:val="24"/>
          <w:szCs w:val="24"/>
          <w:lang w:eastAsia="en-GB"/>
        </w:rPr>
        <w:t xml:space="preserve">ig 3.5) reveals that there is </w:t>
      </w:r>
      <w:r w:rsidR="00731DBE" w:rsidRPr="0071546E">
        <w:rPr>
          <w:rFonts w:ascii="Times New Roman" w:eastAsia="Times New Roman" w:hAnsi="Times New Roman" w:cs="Times New Roman"/>
          <w:color w:val="000000"/>
          <w:sz w:val="24"/>
          <w:szCs w:val="24"/>
          <w:lang w:eastAsia="en-GB"/>
        </w:rPr>
        <w:t>“within-</w:t>
      </w:r>
      <w:r w:rsidR="0070684E" w:rsidRPr="0071546E">
        <w:rPr>
          <w:rFonts w:ascii="Times New Roman" w:eastAsia="Times New Roman" w:hAnsi="Times New Roman" w:cs="Times New Roman"/>
          <w:color w:val="000000"/>
          <w:sz w:val="24"/>
          <w:szCs w:val="24"/>
          <w:lang w:eastAsia="en-GB"/>
        </w:rPr>
        <w:t>isolate</w:t>
      </w:r>
      <w:r w:rsidR="00731DBE" w:rsidRPr="0071546E">
        <w:rPr>
          <w:rFonts w:ascii="Times New Roman" w:eastAsia="Times New Roman" w:hAnsi="Times New Roman" w:cs="Times New Roman"/>
          <w:color w:val="000000"/>
          <w:sz w:val="24"/>
          <w:szCs w:val="24"/>
          <w:lang w:eastAsia="en-GB"/>
        </w:rPr>
        <w:t>”</w:t>
      </w:r>
      <w:r w:rsidR="0070684E" w:rsidRPr="0071546E">
        <w:rPr>
          <w:rFonts w:ascii="Times New Roman" w:eastAsia="Times New Roman" w:hAnsi="Times New Roman" w:cs="Times New Roman"/>
          <w:color w:val="000000"/>
          <w:sz w:val="24"/>
          <w:szCs w:val="24"/>
          <w:lang w:eastAsia="en-GB"/>
        </w:rPr>
        <w:t xml:space="preserve"> diversity, which is not significant enough to suggest the isolates are not T</w:t>
      </w:r>
      <w:r w:rsidR="00251DBA" w:rsidRPr="0071546E">
        <w:rPr>
          <w:rFonts w:ascii="Times New Roman" w:eastAsia="Times New Roman" w:hAnsi="Times New Roman" w:cs="Times New Roman"/>
          <w:color w:val="000000"/>
          <w:sz w:val="24"/>
          <w:szCs w:val="24"/>
          <w:lang w:eastAsia="en-GB"/>
        </w:rPr>
        <w:t>4 genotype</w:t>
      </w:r>
      <w:r w:rsidR="00C0197D" w:rsidRPr="0071546E">
        <w:rPr>
          <w:rFonts w:ascii="Times New Roman" w:eastAsia="Times New Roman" w:hAnsi="Times New Roman" w:cs="Times New Roman"/>
          <w:color w:val="000000"/>
          <w:sz w:val="24"/>
          <w:szCs w:val="24"/>
          <w:lang w:eastAsia="en-GB"/>
        </w:rPr>
        <w:t xml:space="preserve"> as the degree of variation in the family tree for all isolates was </w:t>
      </w:r>
      <w:r w:rsidR="005F3F09" w:rsidRPr="0071546E">
        <w:rPr>
          <w:rFonts w:ascii="Times New Roman" w:eastAsia="Times New Roman" w:hAnsi="Times New Roman" w:cs="Times New Roman"/>
          <w:color w:val="000000"/>
          <w:sz w:val="24"/>
          <w:szCs w:val="24"/>
          <w:lang w:eastAsia="en-GB"/>
        </w:rPr>
        <w:t>less than</w:t>
      </w:r>
      <w:r w:rsidR="00C0197D" w:rsidRPr="0071546E">
        <w:rPr>
          <w:rFonts w:ascii="Times New Roman" w:eastAsia="Times New Roman" w:hAnsi="Times New Roman" w:cs="Times New Roman"/>
          <w:color w:val="000000"/>
          <w:sz w:val="24"/>
          <w:szCs w:val="24"/>
          <w:lang w:eastAsia="en-GB"/>
        </w:rPr>
        <w:t xml:space="preserve"> 0.1 fig 3.5.</w:t>
      </w:r>
    </w:p>
    <w:p w:rsidR="0070684E" w:rsidRPr="0071546E" w:rsidRDefault="00725033" w:rsidP="00CF13FE">
      <w:pPr>
        <w:suppressAutoHyphens/>
        <w:autoSpaceDN w:val="0"/>
        <w:spacing w:before="120" w:after="2" w:line="480" w:lineRule="auto"/>
        <w:ind w:left="1021" w:right="454"/>
        <w:jc w:val="both"/>
        <w:textAlignment w:val="baseline"/>
        <w:rPr>
          <w:rFonts w:ascii="Arial" w:eastAsiaTheme="minorEastAsia" w:hAnsi="Arial" w:cs="Arial"/>
          <w:b/>
          <w:sz w:val="24"/>
          <w:szCs w:val="24"/>
        </w:rPr>
      </w:pPr>
      <w:r w:rsidRPr="0071546E">
        <w:rPr>
          <w:rFonts w:ascii="Arial" w:eastAsiaTheme="minorEastAsia" w:hAnsi="Arial" w:cs="Arial"/>
          <w:b/>
          <w:color w:val="000000"/>
          <w:sz w:val="24"/>
          <w:szCs w:val="24"/>
        </w:rPr>
        <w:t>3</w:t>
      </w:r>
      <w:r w:rsidRPr="0071546E">
        <w:rPr>
          <w:rFonts w:ascii="Arial" w:eastAsiaTheme="minorEastAsia" w:hAnsi="Arial" w:cs="Arial"/>
          <w:b/>
          <w:sz w:val="24"/>
          <w:szCs w:val="24"/>
        </w:rPr>
        <w:t xml:space="preserve">.2 Viability assays </w:t>
      </w:r>
    </w:p>
    <w:p w:rsidR="00725033" w:rsidRPr="0071546E" w:rsidRDefault="00725033" w:rsidP="00CF13FE">
      <w:pPr>
        <w:suppressAutoHyphens/>
        <w:autoSpaceDN w:val="0"/>
        <w:spacing w:before="120" w:after="2" w:line="480" w:lineRule="auto"/>
        <w:ind w:left="1021" w:right="454"/>
        <w:jc w:val="both"/>
        <w:textAlignment w:val="baseline"/>
        <w:rPr>
          <w:rFonts w:ascii="Arial" w:eastAsiaTheme="minorEastAsia" w:hAnsi="Arial" w:cs="Arial"/>
          <w:b/>
          <w:sz w:val="24"/>
          <w:szCs w:val="24"/>
        </w:rPr>
      </w:pPr>
      <w:r w:rsidRPr="0071546E">
        <w:rPr>
          <w:rFonts w:ascii="Arial" w:eastAsiaTheme="minorEastAsia" w:hAnsi="Arial" w:cs="Arial"/>
          <w:b/>
          <w:sz w:val="24"/>
          <w:szCs w:val="24"/>
        </w:rPr>
        <w:t>3.2.1 Alamar blue or Resazurin cell concentration curve.</w:t>
      </w:r>
    </w:p>
    <w:p w:rsidR="00725033" w:rsidRPr="0071546E" w:rsidRDefault="00725033" w:rsidP="00CF13FE">
      <w:pPr>
        <w:spacing w:before="100" w:after="200" w:line="480" w:lineRule="auto"/>
        <w:ind w:left="1021" w:right="454"/>
        <w:jc w:val="both"/>
        <w:rPr>
          <w:rFonts w:ascii="Arial" w:eastAsiaTheme="minorEastAsia" w:hAnsi="Arial" w:cs="Arial"/>
          <w:iCs/>
          <w:sz w:val="24"/>
          <w:szCs w:val="24"/>
        </w:rPr>
      </w:pPr>
      <w:r w:rsidRPr="0071546E">
        <w:rPr>
          <w:rFonts w:ascii="Arial" w:eastAsiaTheme="minorEastAsia" w:hAnsi="Arial" w:cs="Arial"/>
          <w:sz w:val="24"/>
          <w:szCs w:val="24"/>
        </w:rPr>
        <w:t xml:space="preserve">The adaptability of the </w:t>
      </w:r>
      <w:r w:rsidR="002C2939" w:rsidRPr="0071546E">
        <w:rPr>
          <w:rFonts w:ascii="Arial" w:eastAsiaTheme="minorEastAsia" w:hAnsi="Arial" w:cs="Arial"/>
          <w:sz w:val="24"/>
          <w:szCs w:val="24"/>
        </w:rPr>
        <w:t>A</w:t>
      </w:r>
      <w:r w:rsidRPr="0071546E">
        <w:rPr>
          <w:rFonts w:ascii="Arial" w:eastAsiaTheme="minorEastAsia" w:hAnsi="Arial" w:cs="Arial"/>
          <w:sz w:val="24"/>
          <w:szCs w:val="24"/>
        </w:rPr>
        <w:t xml:space="preserve">lamar blue viability assay to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trophozoites was evaluated first by generating a cell concentration curve of cell number versus fluorescence. Alamar blue as explained in </w:t>
      </w:r>
      <w:r w:rsidR="002C2939" w:rsidRPr="0071546E">
        <w:rPr>
          <w:rFonts w:ascii="Arial" w:eastAsiaTheme="minorEastAsia" w:hAnsi="Arial" w:cs="Arial"/>
          <w:sz w:val="24"/>
          <w:szCs w:val="24"/>
        </w:rPr>
        <w:t xml:space="preserve">the </w:t>
      </w:r>
      <w:r w:rsidRPr="0071546E">
        <w:rPr>
          <w:rFonts w:ascii="Arial" w:eastAsiaTheme="minorEastAsia" w:hAnsi="Arial" w:cs="Arial"/>
          <w:sz w:val="24"/>
          <w:szCs w:val="24"/>
        </w:rPr>
        <w:t xml:space="preserve">literature review is a permeability dependent dye and </w:t>
      </w:r>
      <w:r w:rsidR="000B4924" w:rsidRPr="0071546E">
        <w:rPr>
          <w:rFonts w:ascii="Arial" w:eastAsiaTheme="minorEastAsia" w:hAnsi="Arial" w:cs="Arial"/>
          <w:sz w:val="24"/>
          <w:szCs w:val="24"/>
        </w:rPr>
        <w:t>relies on</w:t>
      </w:r>
      <w:r w:rsidRPr="0071546E">
        <w:rPr>
          <w:rFonts w:ascii="Arial" w:eastAsiaTheme="minorEastAsia" w:hAnsi="Arial" w:cs="Arial"/>
          <w:sz w:val="24"/>
          <w:szCs w:val="24"/>
        </w:rPr>
        <w:t xml:space="preserve"> </w:t>
      </w:r>
      <w:r w:rsidR="002C2939" w:rsidRPr="0071546E">
        <w:rPr>
          <w:rFonts w:ascii="Arial" w:eastAsiaTheme="minorEastAsia" w:hAnsi="Arial" w:cs="Arial"/>
          <w:sz w:val="24"/>
          <w:szCs w:val="24"/>
        </w:rPr>
        <w:t xml:space="preserve">the </w:t>
      </w:r>
      <w:r w:rsidRPr="0071546E">
        <w:rPr>
          <w:rFonts w:ascii="Arial" w:eastAsiaTheme="minorEastAsia" w:hAnsi="Arial" w:cs="Arial"/>
          <w:sz w:val="24"/>
          <w:szCs w:val="24"/>
        </w:rPr>
        <w:t>reduction of</w:t>
      </w:r>
      <w:r w:rsidR="000B4924" w:rsidRPr="0071546E">
        <w:rPr>
          <w:rFonts w:ascii="Arial" w:eastAsiaTheme="minorEastAsia" w:hAnsi="Arial" w:cs="Arial"/>
          <w:sz w:val="24"/>
          <w:szCs w:val="24"/>
        </w:rPr>
        <w:t xml:space="preserve"> purple colo</w:t>
      </w:r>
      <w:r w:rsidR="007D08AE" w:rsidRPr="0071546E">
        <w:rPr>
          <w:rFonts w:ascii="Arial" w:eastAsiaTheme="minorEastAsia" w:hAnsi="Arial" w:cs="Arial"/>
          <w:sz w:val="24"/>
          <w:szCs w:val="24"/>
        </w:rPr>
        <w:t>u</w:t>
      </w:r>
      <w:r w:rsidR="000B4924" w:rsidRPr="0071546E">
        <w:rPr>
          <w:rFonts w:ascii="Arial" w:eastAsiaTheme="minorEastAsia" w:hAnsi="Arial" w:cs="Arial"/>
          <w:sz w:val="24"/>
          <w:szCs w:val="24"/>
        </w:rPr>
        <w:t xml:space="preserve">red </w:t>
      </w:r>
      <w:r w:rsidR="002C2939" w:rsidRPr="0071546E">
        <w:rPr>
          <w:rFonts w:ascii="Arial" w:eastAsiaTheme="minorEastAsia" w:hAnsi="Arial" w:cs="Arial"/>
          <w:sz w:val="24"/>
          <w:szCs w:val="24"/>
        </w:rPr>
        <w:t>A</w:t>
      </w:r>
      <w:r w:rsidRPr="0071546E">
        <w:rPr>
          <w:rFonts w:ascii="Arial" w:eastAsiaTheme="minorEastAsia" w:hAnsi="Arial" w:cs="Arial"/>
          <w:sz w:val="24"/>
          <w:szCs w:val="24"/>
        </w:rPr>
        <w:t>lamar blue to</w:t>
      </w:r>
      <w:r w:rsidR="000B4924" w:rsidRPr="0071546E">
        <w:rPr>
          <w:rFonts w:ascii="Arial" w:eastAsiaTheme="minorEastAsia" w:hAnsi="Arial" w:cs="Arial"/>
          <w:sz w:val="24"/>
          <w:szCs w:val="24"/>
        </w:rPr>
        <w:t xml:space="preserve"> pink colo</w:t>
      </w:r>
      <w:r w:rsidR="007D08AE" w:rsidRPr="0071546E">
        <w:rPr>
          <w:rFonts w:ascii="Arial" w:eastAsiaTheme="minorEastAsia" w:hAnsi="Arial" w:cs="Arial"/>
          <w:sz w:val="24"/>
          <w:szCs w:val="24"/>
        </w:rPr>
        <w:t>u</w:t>
      </w:r>
      <w:r w:rsidR="000B4924" w:rsidRPr="0071546E">
        <w:rPr>
          <w:rFonts w:ascii="Arial" w:eastAsiaTheme="minorEastAsia" w:hAnsi="Arial" w:cs="Arial"/>
          <w:sz w:val="24"/>
          <w:szCs w:val="24"/>
        </w:rPr>
        <w:t>red</w:t>
      </w:r>
      <w:r w:rsidRPr="0071546E">
        <w:rPr>
          <w:rFonts w:ascii="Arial" w:eastAsiaTheme="minorEastAsia" w:hAnsi="Arial" w:cs="Arial"/>
          <w:sz w:val="24"/>
          <w:szCs w:val="24"/>
        </w:rPr>
        <w:t xml:space="preserve"> resorufin by intracellular mitochondria reductase enzymes. In this assay</w:t>
      </w:r>
      <w:r w:rsidR="007D08AE" w:rsidRPr="0071546E">
        <w:rPr>
          <w:rFonts w:ascii="Arial" w:eastAsiaTheme="minorEastAsia" w:hAnsi="Arial" w:cs="Arial"/>
          <w:sz w:val="24"/>
          <w:szCs w:val="24"/>
        </w:rPr>
        <w:t>,</w:t>
      </w:r>
      <w:r w:rsidRPr="0071546E">
        <w:rPr>
          <w:rFonts w:ascii="Arial" w:eastAsiaTheme="minorEastAsia" w:hAnsi="Arial" w:cs="Arial"/>
          <w:sz w:val="24"/>
          <w:szCs w:val="24"/>
        </w:rPr>
        <w:t xml:space="preserve"> </w:t>
      </w:r>
      <w:r w:rsidR="000B4924" w:rsidRPr="0071546E">
        <w:rPr>
          <w:rFonts w:ascii="Arial" w:eastAsiaTheme="minorEastAsia" w:hAnsi="Arial" w:cs="Arial"/>
          <w:sz w:val="24"/>
          <w:szCs w:val="24"/>
        </w:rPr>
        <w:t>a varying cell dilution</w:t>
      </w:r>
      <w:r w:rsidRPr="0071546E">
        <w:rPr>
          <w:rFonts w:ascii="Arial" w:eastAsiaTheme="minorEastAsia" w:hAnsi="Arial" w:cs="Arial"/>
          <w:sz w:val="24"/>
          <w:szCs w:val="24"/>
        </w:rPr>
        <w:t xml:space="preserve"> of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trophozoites w</w:t>
      </w:r>
      <w:r w:rsidR="007D08AE" w:rsidRPr="0071546E">
        <w:rPr>
          <w:rFonts w:ascii="Arial" w:eastAsiaTheme="minorEastAsia" w:hAnsi="Arial" w:cs="Arial"/>
          <w:sz w:val="24"/>
          <w:szCs w:val="24"/>
        </w:rPr>
        <w:t>as</w:t>
      </w:r>
      <w:r w:rsidRPr="0071546E">
        <w:rPr>
          <w:rFonts w:ascii="Arial" w:eastAsiaTheme="minorEastAsia" w:hAnsi="Arial" w:cs="Arial"/>
          <w:sz w:val="24"/>
          <w:szCs w:val="24"/>
        </w:rPr>
        <w:t xml:space="preserve"> incubated with Resazurin. The relationship between cell number and fluorescence was measured using 530 -570 nm excitation and emission </w:t>
      </w:r>
      <w:r w:rsidRPr="0071546E">
        <w:rPr>
          <w:rFonts w:ascii="Arial" w:eastAsiaTheme="minorEastAsia" w:hAnsi="Arial" w:cs="Arial"/>
          <w:iCs/>
          <w:sz w:val="24"/>
          <w:szCs w:val="24"/>
        </w:rPr>
        <w:t>wavelength</w:t>
      </w:r>
      <w:r w:rsidRPr="0071546E">
        <w:rPr>
          <w:rFonts w:ascii="Arial" w:eastAsiaTheme="minorEastAsia" w:hAnsi="Arial" w:cs="Arial"/>
          <w:i/>
          <w:iCs/>
          <w:sz w:val="24"/>
          <w:szCs w:val="24"/>
        </w:rPr>
        <w:t>.</w:t>
      </w:r>
      <w:r w:rsidRPr="0071546E">
        <w:rPr>
          <w:rFonts w:ascii="Arial" w:eastAsiaTheme="minorEastAsia" w:hAnsi="Arial" w:cs="Arial"/>
          <w:iCs/>
          <w:sz w:val="24"/>
          <w:szCs w:val="24"/>
        </w:rPr>
        <w:t xml:space="preserve"> </w:t>
      </w:r>
    </w:p>
    <w:p w:rsidR="00725033" w:rsidRPr="0071546E" w:rsidRDefault="00725033" w:rsidP="00CF13FE">
      <w:pPr>
        <w:spacing w:before="100" w:after="200" w:line="240" w:lineRule="atLeast"/>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21D4FBD1" wp14:editId="02CD3D9F">
            <wp:extent cx="4501662" cy="318833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25033" w:rsidRPr="0071546E" w:rsidRDefault="00FB0F2A" w:rsidP="00CF13FE">
      <w:pPr>
        <w:spacing w:before="100" w:after="200" w:line="240" w:lineRule="atLeast"/>
        <w:ind w:left="1021" w:right="454"/>
        <w:jc w:val="both"/>
        <w:rPr>
          <w:rFonts w:ascii="Arial" w:eastAsiaTheme="minorEastAsia" w:hAnsi="Arial" w:cs="Arial"/>
          <w:iCs/>
          <w:sz w:val="20"/>
          <w:szCs w:val="20"/>
        </w:rPr>
      </w:pPr>
      <w:r w:rsidRPr="0071546E">
        <w:rPr>
          <w:rFonts w:ascii="Arial" w:eastAsiaTheme="minorEastAsia" w:hAnsi="Arial" w:cs="Arial"/>
          <w:sz w:val="20"/>
          <w:szCs w:val="20"/>
        </w:rPr>
        <w:t>Fig 3.6</w:t>
      </w:r>
      <w:r w:rsidR="00725033" w:rsidRPr="0071546E">
        <w:rPr>
          <w:rFonts w:ascii="Arial" w:eastAsiaTheme="minorEastAsia" w:hAnsi="Arial" w:cs="Arial"/>
          <w:sz w:val="20"/>
          <w:szCs w:val="20"/>
        </w:rPr>
        <w:t xml:space="preserve"> Standard curve of Resazurin reduction versus cell numbers for </w:t>
      </w:r>
      <w:r w:rsidR="00432D1D" w:rsidRPr="0071546E">
        <w:rPr>
          <w:rFonts w:ascii="Arial" w:eastAsiaTheme="minorEastAsia" w:hAnsi="Arial" w:cs="Arial"/>
          <w:i/>
          <w:sz w:val="20"/>
          <w:szCs w:val="20"/>
        </w:rPr>
        <w:t>Acanthamoeba</w:t>
      </w:r>
      <w:r w:rsidR="00725033" w:rsidRPr="0071546E">
        <w:rPr>
          <w:rFonts w:ascii="Arial" w:eastAsiaTheme="minorEastAsia" w:hAnsi="Arial" w:cs="Arial"/>
          <w:sz w:val="20"/>
          <w:szCs w:val="20"/>
        </w:rPr>
        <w:t xml:space="preserve"> trophozoites. Change in fluorescence was measured at 530-570 nm excitation </w:t>
      </w:r>
      <w:r w:rsidR="00725033" w:rsidRPr="0071546E">
        <w:rPr>
          <w:rFonts w:ascii="Arial" w:eastAsiaTheme="minorEastAsia" w:hAnsi="Arial" w:cs="Arial"/>
          <w:i/>
          <w:iCs/>
          <w:sz w:val="20"/>
          <w:szCs w:val="20"/>
        </w:rPr>
        <w:t>wavelength</w:t>
      </w:r>
      <w:r w:rsidR="00725033" w:rsidRPr="0071546E">
        <w:rPr>
          <w:rFonts w:ascii="Arial" w:eastAsiaTheme="minorEastAsia" w:hAnsi="Arial" w:cs="Arial"/>
          <w:sz w:val="20"/>
          <w:szCs w:val="20"/>
        </w:rPr>
        <w:t xml:space="preserve"> and 585-590 nm emission </w:t>
      </w:r>
      <w:r w:rsidR="00725033" w:rsidRPr="0071546E">
        <w:rPr>
          <w:rFonts w:ascii="Arial" w:eastAsiaTheme="minorEastAsia" w:hAnsi="Arial" w:cs="Arial"/>
          <w:i/>
          <w:iCs/>
          <w:sz w:val="20"/>
          <w:szCs w:val="20"/>
        </w:rPr>
        <w:t xml:space="preserve">wavelength. </w:t>
      </w:r>
      <w:r w:rsidR="00725033" w:rsidRPr="0071546E">
        <w:rPr>
          <w:rFonts w:ascii="Arial" w:eastAsiaTheme="minorEastAsia" w:hAnsi="Arial" w:cs="Arial"/>
          <w:iCs/>
          <w:sz w:val="20"/>
          <w:szCs w:val="20"/>
        </w:rPr>
        <w:t>Error bars show SD for n=4 replicate</w:t>
      </w:r>
      <w:r w:rsidR="002C2939" w:rsidRPr="0071546E">
        <w:rPr>
          <w:rFonts w:ascii="Arial" w:eastAsiaTheme="minorEastAsia" w:hAnsi="Arial" w:cs="Arial"/>
          <w:iCs/>
          <w:sz w:val="20"/>
          <w:szCs w:val="20"/>
        </w:rPr>
        <w:t>s</w:t>
      </w:r>
      <w:r w:rsidR="00725033" w:rsidRPr="0071546E">
        <w:rPr>
          <w:rFonts w:ascii="Arial" w:eastAsiaTheme="minorEastAsia" w:hAnsi="Arial" w:cs="Arial"/>
          <w:iCs/>
          <w:sz w:val="20"/>
          <w:szCs w:val="20"/>
        </w:rPr>
        <w:t xml:space="preserve"> readings fluorescence readings.</w:t>
      </w:r>
    </w:p>
    <w:p w:rsidR="000B4924" w:rsidRPr="0071546E" w:rsidRDefault="000B4924" w:rsidP="00CF13FE">
      <w:pPr>
        <w:spacing w:before="100" w:after="200" w:line="480" w:lineRule="auto"/>
        <w:ind w:left="1021" w:right="454"/>
        <w:jc w:val="both"/>
        <w:rPr>
          <w:rFonts w:ascii="Arial" w:eastAsiaTheme="minorEastAsia" w:hAnsi="Arial" w:cs="Arial"/>
          <w:iCs/>
          <w:sz w:val="24"/>
          <w:szCs w:val="24"/>
        </w:rPr>
      </w:pPr>
    </w:p>
    <w:p w:rsidR="00725033" w:rsidRPr="0071546E" w:rsidRDefault="000B4924" w:rsidP="00CF13FE">
      <w:pPr>
        <w:spacing w:before="100" w:after="200" w:line="480" w:lineRule="auto"/>
        <w:ind w:left="1021" w:right="454"/>
        <w:jc w:val="both"/>
        <w:rPr>
          <w:rFonts w:ascii="Arial" w:eastAsiaTheme="minorEastAsia" w:hAnsi="Arial" w:cs="Arial"/>
          <w:iCs/>
          <w:sz w:val="24"/>
          <w:szCs w:val="24"/>
        </w:rPr>
      </w:pPr>
      <w:r w:rsidRPr="0071546E">
        <w:rPr>
          <w:rFonts w:ascii="Arial" w:eastAsiaTheme="minorEastAsia" w:hAnsi="Arial" w:cs="Arial"/>
          <w:iCs/>
          <w:sz w:val="24"/>
          <w:szCs w:val="24"/>
        </w:rPr>
        <w:t>Although the resazurin</w:t>
      </w:r>
      <w:r w:rsidR="00725033" w:rsidRPr="0071546E">
        <w:rPr>
          <w:rFonts w:ascii="Arial" w:eastAsiaTheme="minorEastAsia" w:hAnsi="Arial" w:cs="Arial"/>
          <w:iCs/>
          <w:sz w:val="24"/>
          <w:szCs w:val="24"/>
        </w:rPr>
        <w:t xml:space="preserve"> concentration curve showed significant sensitivity, </w:t>
      </w:r>
      <w:r w:rsidRPr="0071546E">
        <w:rPr>
          <w:rFonts w:ascii="Arial" w:eastAsiaTheme="minorEastAsia" w:hAnsi="Arial" w:cs="Arial"/>
          <w:iCs/>
          <w:sz w:val="24"/>
          <w:szCs w:val="24"/>
        </w:rPr>
        <w:t>it did not show a good linear response</w:t>
      </w:r>
      <w:r w:rsidR="00725033" w:rsidRPr="0071546E">
        <w:rPr>
          <w:rFonts w:ascii="Arial" w:eastAsiaTheme="minorEastAsia" w:hAnsi="Arial" w:cs="Arial"/>
          <w:iCs/>
          <w:sz w:val="24"/>
          <w:szCs w:val="24"/>
        </w:rPr>
        <w:t>. As seen in fig 3.5, after I hour incubation, linearity saturates.</w:t>
      </w:r>
      <w:r w:rsidRPr="0071546E">
        <w:rPr>
          <w:rFonts w:ascii="Arial" w:eastAsiaTheme="minorEastAsia" w:hAnsi="Arial" w:cs="Arial"/>
          <w:iCs/>
          <w:sz w:val="24"/>
          <w:szCs w:val="24"/>
        </w:rPr>
        <w:t xml:space="preserve"> Based on this data, particularly the non-linearity of the assay, w</w:t>
      </w:r>
      <w:r w:rsidR="00725033" w:rsidRPr="0071546E">
        <w:rPr>
          <w:rFonts w:ascii="Arial" w:eastAsiaTheme="minorEastAsia" w:hAnsi="Arial" w:cs="Arial"/>
          <w:iCs/>
          <w:sz w:val="24"/>
          <w:szCs w:val="24"/>
        </w:rPr>
        <w:t xml:space="preserve">e decided not to </w:t>
      </w:r>
      <w:r w:rsidRPr="0071546E">
        <w:rPr>
          <w:rFonts w:ascii="Arial" w:eastAsiaTheme="minorEastAsia" w:hAnsi="Arial" w:cs="Arial"/>
          <w:iCs/>
          <w:sz w:val="24"/>
          <w:szCs w:val="24"/>
        </w:rPr>
        <w:t xml:space="preserve">use this approach. </w:t>
      </w:r>
      <w:r w:rsidR="00DC4179" w:rsidRPr="0071546E">
        <w:rPr>
          <w:rFonts w:ascii="Arial" w:eastAsiaTheme="minorEastAsia" w:hAnsi="Arial" w:cs="Arial"/>
          <w:iCs/>
          <w:sz w:val="24"/>
          <w:szCs w:val="24"/>
        </w:rPr>
        <w:t>In addition</w:t>
      </w:r>
      <w:r w:rsidR="007D08AE" w:rsidRPr="0071546E">
        <w:rPr>
          <w:rFonts w:ascii="Arial" w:eastAsiaTheme="minorEastAsia" w:hAnsi="Arial" w:cs="Arial"/>
          <w:iCs/>
          <w:sz w:val="24"/>
          <w:szCs w:val="24"/>
        </w:rPr>
        <w:t>,</w:t>
      </w:r>
      <w:r w:rsidRPr="0071546E">
        <w:rPr>
          <w:rFonts w:ascii="Arial" w:eastAsiaTheme="minorEastAsia" w:hAnsi="Arial" w:cs="Arial"/>
          <w:iCs/>
          <w:sz w:val="24"/>
          <w:szCs w:val="24"/>
        </w:rPr>
        <w:t xml:space="preserve"> </w:t>
      </w:r>
      <w:r w:rsidR="00725033" w:rsidRPr="0071546E">
        <w:rPr>
          <w:rFonts w:ascii="Arial" w:eastAsiaTheme="minorEastAsia" w:hAnsi="Arial" w:cs="Arial"/>
          <w:iCs/>
          <w:sz w:val="24"/>
          <w:szCs w:val="24"/>
        </w:rPr>
        <w:t xml:space="preserve">McBride et al., </w:t>
      </w:r>
      <w:r w:rsidRPr="0071546E">
        <w:rPr>
          <w:rFonts w:ascii="Arial" w:eastAsiaTheme="minorEastAsia" w:hAnsi="Arial" w:cs="Arial"/>
          <w:iCs/>
          <w:sz w:val="24"/>
          <w:szCs w:val="24"/>
        </w:rPr>
        <w:t>(</w:t>
      </w:r>
      <w:r w:rsidR="00725033" w:rsidRPr="0071546E">
        <w:rPr>
          <w:rFonts w:ascii="Arial" w:eastAsiaTheme="minorEastAsia" w:hAnsi="Arial" w:cs="Arial"/>
          <w:iCs/>
          <w:sz w:val="24"/>
          <w:szCs w:val="24"/>
        </w:rPr>
        <w:t xml:space="preserve">2005) </w:t>
      </w:r>
      <w:r w:rsidRPr="0071546E">
        <w:rPr>
          <w:rFonts w:ascii="Arial" w:eastAsiaTheme="minorEastAsia" w:hAnsi="Arial" w:cs="Arial"/>
          <w:iCs/>
          <w:sz w:val="24"/>
          <w:szCs w:val="24"/>
        </w:rPr>
        <w:t>ha</w:t>
      </w:r>
      <w:r w:rsidR="007D08AE" w:rsidRPr="0071546E">
        <w:rPr>
          <w:rFonts w:ascii="Arial" w:eastAsiaTheme="minorEastAsia" w:hAnsi="Arial" w:cs="Arial"/>
          <w:iCs/>
          <w:sz w:val="24"/>
          <w:szCs w:val="24"/>
        </w:rPr>
        <w:t>ve</w:t>
      </w:r>
      <w:r w:rsidRPr="0071546E">
        <w:rPr>
          <w:rFonts w:ascii="Arial" w:eastAsiaTheme="minorEastAsia" w:hAnsi="Arial" w:cs="Arial"/>
          <w:iCs/>
          <w:sz w:val="24"/>
          <w:szCs w:val="24"/>
        </w:rPr>
        <w:t xml:space="preserve"> shown</w:t>
      </w:r>
      <w:r w:rsidR="00725033" w:rsidRPr="0071546E">
        <w:rPr>
          <w:rFonts w:ascii="Arial" w:eastAsiaTheme="minorEastAsia" w:hAnsi="Arial" w:cs="Arial"/>
          <w:iCs/>
          <w:sz w:val="24"/>
          <w:szCs w:val="24"/>
        </w:rPr>
        <w:t xml:space="preserve"> that </w:t>
      </w:r>
      <w:r w:rsidR="002C2939" w:rsidRPr="0071546E">
        <w:rPr>
          <w:rFonts w:ascii="Arial" w:eastAsiaTheme="minorEastAsia" w:hAnsi="Arial" w:cs="Arial"/>
          <w:iCs/>
          <w:sz w:val="24"/>
          <w:szCs w:val="24"/>
        </w:rPr>
        <w:t>A</w:t>
      </w:r>
      <w:r w:rsidR="00725033" w:rsidRPr="0071546E">
        <w:rPr>
          <w:rFonts w:ascii="Arial" w:eastAsiaTheme="minorEastAsia" w:hAnsi="Arial" w:cs="Arial"/>
          <w:iCs/>
          <w:sz w:val="24"/>
          <w:szCs w:val="24"/>
        </w:rPr>
        <w:t xml:space="preserve">lamar blue was not a useful viability assay technique for </w:t>
      </w:r>
      <w:r w:rsidR="00432D1D" w:rsidRPr="0071546E">
        <w:rPr>
          <w:rFonts w:ascii="Arial" w:eastAsiaTheme="minorEastAsia" w:hAnsi="Arial" w:cs="Arial"/>
          <w:i/>
          <w:iCs/>
          <w:sz w:val="24"/>
          <w:szCs w:val="24"/>
        </w:rPr>
        <w:t>Acanthamoeba</w:t>
      </w:r>
      <w:r w:rsidR="00725033" w:rsidRPr="0071546E">
        <w:rPr>
          <w:rFonts w:ascii="Arial" w:eastAsiaTheme="minorEastAsia" w:hAnsi="Arial" w:cs="Arial"/>
          <w:i/>
          <w:iCs/>
          <w:sz w:val="24"/>
          <w:szCs w:val="24"/>
        </w:rPr>
        <w:t xml:space="preserve"> </w:t>
      </w:r>
      <w:r w:rsidR="00725033" w:rsidRPr="0071546E">
        <w:rPr>
          <w:rFonts w:ascii="Arial" w:eastAsiaTheme="minorEastAsia" w:hAnsi="Arial" w:cs="Arial"/>
          <w:iCs/>
          <w:sz w:val="24"/>
          <w:szCs w:val="24"/>
        </w:rPr>
        <w:t>cysts.</w:t>
      </w:r>
    </w:p>
    <w:p w:rsidR="00725033" w:rsidRPr="0071546E" w:rsidRDefault="00725033" w:rsidP="00CF13FE">
      <w:pPr>
        <w:pStyle w:val="Heading2"/>
        <w:ind w:left="1021" w:right="454"/>
        <w:rPr>
          <w:rFonts w:eastAsiaTheme="minorEastAsia"/>
          <w:iCs/>
        </w:rPr>
      </w:pPr>
      <w:bookmarkStart w:id="94" w:name="_Toc14711464"/>
      <w:r w:rsidRPr="0071546E">
        <w:rPr>
          <w:rFonts w:eastAsiaTheme="minorEastAsia"/>
        </w:rPr>
        <w:t>3.2.2 Fluorescein diacetate assay (FDA)</w:t>
      </w:r>
      <w:bookmarkEnd w:id="94"/>
    </w:p>
    <w:p w:rsidR="00725033" w:rsidRPr="0071546E" w:rsidRDefault="00725033"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Further </w:t>
      </w:r>
      <w:r w:rsidR="00770656" w:rsidRPr="0071546E">
        <w:rPr>
          <w:rFonts w:ascii="Arial" w:eastAsiaTheme="minorEastAsia" w:hAnsi="Arial" w:cs="Arial"/>
          <w:sz w:val="24"/>
          <w:szCs w:val="24"/>
        </w:rPr>
        <w:t xml:space="preserve">optimization of viability assay </w:t>
      </w:r>
      <w:r w:rsidRPr="0071546E">
        <w:rPr>
          <w:rFonts w:ascii="Arial" w:eastAsiaTheme="minorEastAsia" w:hAnsi="Arial" w:cs="Arial"/>
          <w:sz w:val="24"/>
          <w:szCs w:val="24"/>
        </w:rPr>
        <w:t>was carried out with the flu</w:t>
      </w:r>
      <w:r w:rsidR="00770656" w:rsidRPr="0071546E">
        <w:rPr>
          <w:rFonts w:ascii="Arial" w:eastAsiaTheme="minorEastAsia" w:hAnsi="Arial" w:cs="Arial"/>
          <w:sz w:val="24"/>
          <w:szCs w:val="24"/>
        </w:rPr>
        <w:t xml:space="preserve">orescein diacetate assay fig 3.7. </w:t>
      </w:r>
      <w:r w:rsidRPr="0071546E">
        <w:rPr>
          <w:rFonts w:ascii="Arial" w:eastAsiaTheme="minorEastAsia" w:hAnsi="Arial" w:cs="Arial"/>
          <w:sz w:val="24"/>
          <w:szCs w:val="24"/>
        </w:rPr>
        <w:t xml:space="preserve">The FDA </w:t>
      </w:r>
      <w:r w:rsidR="000B4924" w:rsidRPr="0071546E">
        <w:rPr>
          <w:rFonts w:ascii="Arial" w:eastAsiaTheme="minorEastAsia" w:hAnsi="Arial" w:cs="Arial"/>
          <w:sz w:val="24"/>
          <w:szCs w:val="24"/>
        </w:rPr>
        <w:t xml:space="preserve">cell concentration curve, </w:t>
      </w:r>
      <w:r w:rsidRPr="0071546E">
        <w:rPr>
          <w:rFonts w:ascii="Arial" w:eastAsiaTheme="minorEastAsia" w:hAnsi="Arial" w:cs="Arial"/>
          <w:sz w:val="24"/>
          <w:szCs w:val="24"/>
        </w:rPr>
        <w:t xml:space="preserve">for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trophozoites</w:t>
      </w:r>
      <w:r w:rsidR="007D08AE" w:rsidRPr="0071546E">
        <w:rPr>
          <w:rFonts w:ascii="Arial" w:eastAsiaTheme="minorEastAsia" w:hAnsi="Arial" w:cs="Arial"/>
          <w:sz w:val="24"/>
          <w:szCs w:val="24"/>
        </w:rPr>
        <w:t>,</w:t>
      </w:r>
      <w:r w:rsidRPr="0071546E">
        <w:rPr>
          <w:rFonts w:ascii="Arial" w:eastAsiaTheme="minorEastAsia" w:hAnsi="Arial" w:cs="Arial"/>
          <w:sz w:val="24"/>
          <w:szCs w:val="24"/>
        </w:rPr>
        <w:t xml:space="preserve"> showed a </w:t>
      </w:r>
      <w:r w:rsidR="000B4924" w:rsidRPr="0071546E">
        <w:rPr>
          <w:rFonts w:ascii="Arial" w:eastAsiaTheme="minorEastAsia" w:hAnsi="Arial" w:cs="Arial"/>
          <w:sz w:val="24"/>
          <w:szCs w:val="24"/>
        </w:rPr>
        <w:t>good</w:t>
      </w:r>
      <w:r w:rsidRPr="0071546E">
        <w:rPr>
          <w:rFonts w:ascii="Arial" w:eastAsiaTheme="minorEastAsia" w:hAnsi="Arial" w:cs="Arial"/>
          <w:sz w:val="24"/>
          <w:szCs w:val="24"/>
        </w:rPr>
        <w:t xml:space="preserve"> linear relationship between cell nu</w:t>
      </w:r>
      <w:r w:rsidR="000B4924" w:rsidRPr="0071546E">
        <w:rPr>
          <w:rFonts w:ascii="Arial" w:eastAsiaTheme="minorEastAsia" w:hAnsi="Arial" w:cs="Arial"/>
          <w:sz w:val="24"/>
          <w:szCs w:val="24"/>
        </w:rPr>
        <w:t>mber and fluorescence intensity (fig 3.7)</w:t>
      </w:r>
      <w:r w:rsidRPr="0071546E">
        <w:rPr>
          <w:rFonts w:ascii="Arial" w:eastAsiaTheme="minorEastAsia" w:hAnsi="Arial" w:cs="Arial"/>
          <w:sz w:val="24"/>
          <w:szCs w:val="24"/>
        </w:rPr>
        <w:t xml:space="preserve"> </w:t>
      </w:r>
    </w:p>
    <w:p w:rsidR="000B4924" w:rsidRPr="0071546E" w:rsidRDefault="000B4924" w:rsidP="00CF13FE">
      <w:pPr>
        <w:spacing w:before="100" w:after="200" w:line="240" w:lineRule="atLeast"/>
        <w:ind w:left="1021" w:right="454"/>
        <w:jc w:val="both"/>
        <w:rPr>
          <w:rFonts w:ascii="Arial" w:eastAsiaTheme="minorEastAsia" w:hAnsi="Arial" w:cs="Arial"/>
          <w:sz w:val="24"/>
          <w:szCs w:val="24"/>
        </w:rPr>
      </w:pPr>
      <w:r w:rsidRPr="0071546E">
        <w:rPr>
          <w:noProof/>
          <w:lang w:eastAsia="en-GB"/>
        </w:rPr>
        <w:drawing>
          <wp:inline distT="0" distB="0" distL="0" distR="0" wp14:anchorId="3493A2EB" wp14:editId="1EDDE212">
            <wp:extent cx="4692650" cy="3227942"/>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B4924" w:rsidRPr="0071546E" w:rsidRDefault="000B4924" w:rsidP="00CF13F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Fig 3.7</w:t>
      </w:r>
      <w:r w:rsidR="00725033" w:rsidRPr="0071546E">
        <w:rPr>
          <w:rFonts w:ascii="Arial" w:eastAsiaTheme="minorEastAsia" w:hAnsi="Arial" w:cs="Arial"/>
          <w:sz w:val="20"/>
          <w:szCs w:val="20"/>
        </w:rPr>
        <w:t xml:space="preserve"> (a) Cell density versus fluorescence after 24hrs incubation of </w:t>
      </w:r>
      <w:r w:rsidR="00432D1D" w:rsidRPr="0071546E">
        <w:rPr>
          <w:rFonts w:ascii="Arial" w:eastAsiaTheme="minorEastAsia" w:hAnsi="Arial" w:cs="Arial"/>
          <w:i/>
          <w:sz w:val="20"/>
          <w:szCs w:val="20"/>
        </w:rPr>
        <w:t>Acanthamoeba</w:t>
      </w:r>
      <w:r w:rsidR="00725033" w:rsidRPr="0071546E">
        <w:rPr>
          <w:rFonts w:ascii="Arial" w:eastAsiaTheme="minorEastAsia" w:hAnsi="Arial" w:cs="Arial"/>
          <w:sz w:val="20"/>
          <w:szCs w:val="20"/>
        </w:rPr>
        <w:t xml:space="preserve"> </w:t>
      </w:r>
      <w:r w:rsidR="00563590" w:rsidRPr="0071546E">
        <w:rPr>
          <w:rFonts w:ascii="Arial" w:eastAsiaTheme="minorEastAsia" w:hAnsi="Arial" w:cs="Arial"/>
          <w:sz w:val="20"/>
          <w:szCs w:val="20"/>
        </w:rPr>
        <w:t xml:space="preserve">trophozoites </w:t>
      </w:r>
      <w:r w:rsidR="00725033" w:rsidRPr="0071546E">
        <w:rPr>
          <w:rFonts w:ascii="Arial" w:eastAsiaTheme="minorEastAsia" w:hAnsi="Arial" w:cs="Arial"/>
          <w:sz w:val="20"/>
          <w:szCs w:val="20"/>
        </w:rPr>
        <w:t>with fluorescein diacetate. Fluorescence was measured at ex: 490nm and em: 514nm. Error bars show SD for n=4 replicate</w:t>
      </w:r>
      <w:r w:rsidR="002C2939" w:rsidRPr="0071546E">
        <w:rPr>
          <w:rFonts w:ascii="Arial" w:eastAsiaTheme="minorEastAsia" w:hAnsi="Arial" w:cs="Arial"/>
          <w:sz w:val="20"/>
          <w:szCs w:val="20"/>
        </w:rPr>
        <w:t>s</w:t>
      </w:r>
      <w:r w:rsidR="00725033" w:rsidRPr="0071546E">
        <w:rPr>
          <w:rFonts w:ascii="Arial" w:eastAsiaTheme="minorEastAsia" w:hAnsi="Arial" w:cs="Arial"/>
          <w:sz w:val="20"/>
          <w:szCs w:val="20"/>
        </w:rPr>
        <w:t xml:space="preserve"> readings fluorescence readings.</w:t>
      </w:r>
    </w:p>
    <w:p w:rsidR="007D7D7D" w:rsidRPr="0071546E" w:rsidRDefault="007D7D7D" w:rsidP="00CF13FE">
      <w:pPr>
        <w:spacing w:before="100" w:after="200" w:line="480" w:lineRule="auto"/>
        <w:ind w:left="1021" w:right="454"/>
        <w:jc w:val="both"/>
        <w:rPr>
          <w:rFonts w:ascii="Arial" w:eastAsiaTheme="minorEastAsia" w:hAnsi="Arial" w:cs="Arial"/>
          <w:sz w:val="24"/>
          <w:szCs w:val="24"/>
        </w:rPr>
      </w:pPr>
    </w:p>
    <w:p w:rsidR="000B4924" w:rsidRPr="0071546E" w:rsidRDefault="007D08AE"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The f</w:t>
      </w:r>
      <w:r w:rsidR="000B4924" w:rsidRPr="0071546E">
        <w:rPr>
          <w:rFonts w:ascii="Arial" w:eastAsiaTheme="minorEastAsia" w:hAnsi="Arial" w:cs="Arial"/>
          <w:sz w:val="24"/>
          <w:szCs w:val="24"/>
        </w:rPr>
        <w:t xml:space="preserve">urther study evaluated </w:t>
      </w:r>
      <w:r w:rsidRPr="0071546E">
        <w:rPr>
          <w:rFonts w:ascii="Arial" w:eastAsiaTheme="minorEastAsia" w:hAnsi="Arial" w:cs="Arial"/>
          <w:sz w:val="24"/>
          <w:szCs w:val="24"/>
        </w:rPr>
        <w:t xml:space="preserve">the </w:t>
      </w:r>
      <w:r w:rsidR="000B4924" w:rsidRPr="0071546E">
        <w:rPr>
          <w:rFonts w:ascii="Arial" w:eastAsiaTheme="minorEastAsia" w:hAnsi="Arial" w:cs="Arial"/>
          <w:sz w:val="24"/>
          <w:szCs w:val="24"/>
        </w:rPr>
        <w:t xml:space="preserve">response of </w:t>
      </w:r>
      <w:r w:rsidRPr="0071546E">
        <w:rPr>
          <w:rFonts w:ascii="Arial" w:eastAsiaTheme="minorEastAsia" w:hAnsi="Arial" w:cs="Arial"/>
          <w:i/>
          <w:sz w:val="24"/>
          <w:szCs w:val="24"/>
        </w:rPr>
        <w:t>A</w:t>
      </w:r>
      <w:r w:rsidR="000B4924" w:rsidRPr="0071546E">
        <w:rPr>
          <w:rFonts w:ascii="Arial" w:eastAsiaTheme="minorEastAsia" w:hAnsi="Arial" w:cs="Arial"/>
          <w:i/>
          <w:sz w:val="24"/>
          <w:szCs w:val="24"/>
        </w:rPr>
        <w:t>canthamoeba</w:t>
      </w:r>
      <w:r w:rsidR="000B4924" w:rsidRPr="0071546E">
        <w:rPr>
          <w:rFonts w:ascii="Arial" w:eastAsiaTheme="minorEastAsia" w:hAnsi="Arial" w:cs="Arial"/>
          <w:sz w:val="24"/>
          <w:szCs w:val="24"/>
        </w:rPr>
        <w:t xml:space="preserve"> trophozoites </w:t>
      </w:r>
      <w:r w:rsidRPr="0071546E">
        <w:rPr>
          <w:rFonts w:ascii="Arial" w:eastAsiaTheme="minorEastAsia" w:hAnsi="Arial" w:cs="Arial"/>
          <w:sz w:val="24"/>
          <w:szCs w:val="24"/>
        </w:rPr>
        <w:t>to hydrogen perox</w:t>
      </w:r>
      <w:r w:rsidR="000B4924" w:rsidRPr="0071546E">
        <w:rPr>
          <w:rFonts w:ascii="Arial" w:eastAsiaTheme="minorEastAsia" w:hAnsi="Arial" w:cs="Arial"/>
          <w:sz w:val="24"/>
          <w:szCs w:val="24"/>
        </w:rPr>
        <w:t xml:space="preserve">ide. </w:t>
      </w:r>
      <w:r w:rsidR="00DC4179" w:rsidRPr="0071546E">
        <w:rPr>
          <w:rFonts w:ascii="Arial" w:eastAsiaTheme="minorEastAsia" w:hAnsi="Arial" w:cs="Arial"/>
          <w:sz w:val="24"/>
          <w:szCs w:val="24"/>
        </w:rPr>
        <w:t>The</w:t>
      </w:r>
      <w:r w:rsidR="000B4924" w:rsidRPr="0071546E">
        <w:rPr>
          <w:rFonts w:ascii="Arial" w:eastAsiaTheme="minorEastAsia" w:hAnsi="Arial" w:cs="Arial"/>
          <w:sz w:val="24"/>
          <w:szCs w:val="24"/>
        </w:rPr>
        <w:t xml:space="preserve"> results (fig 3.8) showed good concentration</w:t>
      </w:r>
      <w:r w:rsidRPr="0071546E">
        <w:rPr>
          <w:rFonts w:ascii="Arial" w:eastAsiaTheme="minorEastAsia" w:hAnsi="Arial" w:cs="Arial"/>
          <w:sz w:val="24"/>
          <w:szCs w:val="24"/>
        </w:rPr>
        <w:t>-</w:t>
      </w:r>
      <w:r w:rsidR="000B4924" w:rsidRPr="0071546E">
        <w:rPr>
          <w:rFonts w:ascii="Arial" w:eastAsiaTheme="minorEastAsia" w:hAnsi="Arial" w:cs="Arial"/>
          <w:sz w:val="24"/>
          <w:szCs w:val="24"/>
        </w:rPr>
        <w:t xml:space="preserve">dependent inhibition of </w:t>
      </w:r>
      <w:r w:rsidR="000B4924" w:rsidRPr="0071546E">
        <w:rPr>
          <w:rFonts w:ascii="Arial" w:eastAsiaTheme="minorEastAsia" w:hAnsi="Arial" w:cs="Arial"/>
          <w:i/>
          <w:sz w:val="24"/>
          <w:szCs w:val="24"/>
        </w:rPr>
        <w:t>Acanthamoeba</w:t>
      </w:r>
      <w:r w:rsidR="000B4924" w:rsidRPr="0071546E">
        <w:rPr>
          <w:rFonts w:ascii="Arial" w:eastAsiaTheme="minorEastAsia" w:hAnsi="Arial" w:cs="Arial"/>
          <w:sz w:val="24"/>
          <w:szCs w:val="24"/>
        </w:rPr>
        <w:t xml:space="preserve"> trophozoites. </w:t>
      </w:r>
    </w:p>
    <w:p w:rsidR="000B4924" w:rsidRPr="0071546E" w:rsidRDefault="000B4924" w:rsidP="00CF13FE">
      <w:pPr>
        <w:spacing w:before="100" w:after="200" w:line="480" w:lineRule="auto"/>
        <w:ind w:left="1021" w:right="454"/>
        <w:jc w:val="both"/>
        <w:rPr>
          <w:rFonts w:ascii="Arial" w:eastAsiaTheme="minorEastAsia" w:hAnsi="Arial" w:cs="Arial"/>
          <w:sz w:val="24"/>
          <w:szCs w:val="24"/>
        </w:rPr>
      </w:pPr>
    </w:p>
    <w:p w:rsidR="000B4924" w:rsidRPr="0071546E" w:rsidRDefault="000B4924" w:rsidP="00CF13F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noProof/>
          <w:sz w:val="24"/>
          <w:szCs w:val="24"/>
          <w:lang w:eastAsia="en-GB"/>
        </w:rPr>
        <w:drawing>
          <wp:inline distT="0" distB="0" distL="0" distR="0" wp14:anchorId="31212946" wp14:editId="60392869">
            <wp:extent cx="4880472" cy="375666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B4924" w:rsidRPr="0071546E" w:rsidRDefault="000B4924" w:rsidP="00CF13F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 xml:space="preserve">Fig 3.8. Inhibition of </w:t>
      </w:r>
      <w:r w:rsidRPr="0071546E">
        <w:rPr>
          <w:rFonts w:ascii="Arial" w:eastAsiaTheme="minorEastAsia" w:hAnsi="Arial" w:cs="Arial"/>
          <w:i/>
          <w:sz w:val="20"/>
          <w:szCs w:val="20"/>
        </w:rPr>
        <w:t>Acanthamoeba</w:t>
      </w:r>
      <w:r w:rsidRPr="0071546E">
        <w:rPr>
          <w:rFonts w:ascii="Arial" w:eastAsiaTheme="minorEastAsia" w:hAnsi="Arial" w:cs="Arial"/>
          <w:sz w:val="20"/>
          <w:szCs w:val="20"/>
        </w:rPr>
        <w:t xml:space="preserve"> trophozoites by different dilutions of hydrogen peroxide as reported by the FDA viability assay. </w:t>
      </w:r>
      <w:r w:rsidR="00C0197D" w:rsidRPr="0071546E">
        <w:rPr>
          <w:rFonts w:ascii="Arial" w:eastAsiaTheme="minorEastAsia" w:hAnsi="Arial" w:cs="Arial"/>
          <w:sz w:val="20"/>
          <w:szCs w:val="20"/>
        </w:rPr>
        <w:t xml:space="preserve">The </w:t>
      </w:r>
      <w:r w:rsidRPr="0071546E">
        <w:rPr>
          <w:rFonts w:ascii="Arial" w:eastAsiaTheme="minorEastAsia" w:hAnsi="Arial" w:cs="Arial"/>
          <w:sz w:val="20"/>
          <w:szCs w:val="20"/>
        </w:rPr>
        <w:t>% viability was calculated from Fluorescence measurements of positive control (100% live cells) and negative control (heat</w:t>
      </w:r>
      <w:r w:rsidR="00563D9A" w:rsidRPr="0071546E">
        <w:rPr>
          <w:rFonts w:ascii="Arial" w:eastAsiaTheme="minorEastAsia" w:hAnsi="Arial" w:cs="Arial"/>
          <w:sz w:val="20"/>
          <w:szCs w:val="20"/>
        </w:rPr>
        <w:t>-</w:t>
      </w:r>
      <w:r w:rsidRPr="0071546E">
        <w:rPr>
          <w:rFonts w:ascii="Arial" w:eastAsiaTheme="minorEastAsia" w:hAnsi="Arial" w:cs="Arial"/>
          <w:sz w:val="20"/>
          <w:szCs w:val="20"/>
        </w:rPr>
        <w:t>inactivated cells). The error bars show the mean SD for n=4 replicate readings. Fluorescence was measured at ex: 490nm and em: 514nm</w:t>
      </w:r>
    </w:p>
    <w:p w:rsidR="007D7D7D" w:rsidRPr="0071546E" w:rsidRDefault="007D7D7D" w:rsidP="00CF13FE">
      <w:pPr>
        <w:spacing w:before="100" w:after="200" w:line="480" w:lineRule="auto"/>
        <w:ind w:left="1021" w:right="454"/>
        <w:jc w:val="both"/>
        <w:rPr>
          <w:rFonts w:ascii="Arial" w:eastAsiaTheme="minorEastAsia" w:hAnsi="Arial" w:cs="Arial"/>
          <w:sz w:val="24"/>
          <w:szCs w:val="20"/>
        </w:rPr>
      </w:pPr>
    </w:p>
    <w:p w:rsidR="007D7D7D" w:rsidRPr="0071546E" w:rsidRDefault="000B4924" w:rsidP="00CF13FE">
      <w:pPr>
        <w:spacing w:before="100" w:after="200" w:line="480" w:lineRule="auto"/>
        <w:ind w:left="1021" w:right="454"/>
        <w:jc w:val="both"/>
        <w:rPr>
          <w:rFonts w:ascii="Arial" w:eastAsiaTheme="minorEastAsia" w:hAnsi="Arial" w:cs="Arial"/>
          <w:sz w:val="24"/>
          <w:szCs w:val="20"/>
        </w:rPr>
      </w:pPr>
      <w:r w:rsidRPr="0071546E">
        <w:rPr>
          <w:rFonts w:ascii="Arial" w:eastAsiaTheme="minorEastAsia" w:hAnsi="Arial" w:cs="Arial"/>
          <w:sz w:val="24"/>
          <w:szCs w:val="20"/>
        </w:rPr>
        <w:t>To investigate FDA applicability to cyst viability, a cell concentration curve was generated with the same protocols as the trophozoites. The result (fig 3.9) did</w:t>
      </w:r>
      <w:r w:rsidR="000959EB" w:rsidRPr="0071546E">
        <w:rPr>
          <w:rFonts w:ascii="Arial" w:eastAsiaTheme="minorEastAsia" w:hAnsi="Arial" w:cs="Arial"/>
          <w:sz w:val="24"/>
          <w:szCs w:val="20"/>
        </w:rPr>
        <w:t xml:space="preserve"> not show a linear relationship.</w:t>
      </w:r>
      <w:r w:rsidRPr="0071546E">
        <w:rPr>
          <w:rFonts w:ascii="Arial" w:eastAsiaTheme="minorEastAsia" w:hAnsi="Arial" w:cs="Arial"/>
          <w:sz w:val="24"/>
          <w:szCs w:val="20"/>
        </w:rPr>
        <w:t xml:space="preserve"> </w:t>
      </w:r>
      <w:r w:rsidR="000959EB" w:rsidRPr="0071546E">
        <w:rPr>
          <w:rFonts w:ascii="Arial" w:eastAsiaTheme="minorEastAsia" w:hAnsi="Arial" w:cs="Arial"/>
          <w:sz w:val="24"/>
          <w:szCs w:val="20"/>
        </w:rPr>
        <w:t>In addition,</w:t>
      </w:r>
      <w:r w:rsidRPr="0071546E">
        <w:rPr>
          <w:rFonts w:ascii="Arial" w:eastAsiaTheme="minorEastAsia" w:hAnsi="Arial" w:cs="Arial"/>
          <w:sz w:val="24"/>
          <w:szCs w:val="20"/>
        </w:rPr>
        <w:t xml:space="preserve"> there was high variability between replicate samples as seen in the error bars.</w:t>
      </w:r>
      <w:r w:rsidRPr="0071546E">
        <w:rPr>
          <w:rFonts w:ascii="Arial" w:eastAsiaTheme="minorEastAsia" w:hAnsi="Arial" w:cs="Arial"/>
          <w:sz w:val="24"/>
          <w:szCs w:val="24"/>
        </w:rPr>
        <w:t xml:space="preserve"> </w:t>
      </w:r>
      <w:r w:rsidR="000959EB" w:rsidRPr="0071546E">
        <w:rPr>
          <w:rFonts w:ascii="Arial" w:eastAsiaTheme="minorEastAsia" w:hAnsi="Arial" w:cs="Arial"/>
          <w:sz w:val="24"/>
          <w:szCs w:val="24"/>
        </w:rPr>
        <w:t>A</w:t>
      </w:r>
      <w:r w:rsidR="000959EB" w:rsidRPr="0071546E">
        <w:rPr>
          <w:rFonts w:ascii="Arial" w:eastAsiaTheme="minorEastAsia" w:hAnsi="Arial" w:cs="Arial"/>
          <w:b/>
          <w:sz w:val="24"/>
          <w:szCs w:val="24"/>
        </w:rPr>
        <w:t xml:space="preserve"> </w:t>
      </w:r>
      <w:r w:rsidRPr="0071546E">
        <w:rPr>
          <w:rFonts w:ascii="Arial" w:eastAsiaTheme="minorEastAsia" w:hAnsi="Arial" w:cs="Arial"/>
          <w:sz w:val="24"/>
          <w:szCs w:val="20"/>
        </w:rPr>
        <w:t>similar study by Khunkitti, (1997</w:t>
      </w:r>
      <w:r w:rsidR="000959EB" w:rsidRPr="0071546E">
        <w:rPr>
          <w:rFonts w:ascii="Arial" w:eastAsiaTheme="minorEastAsia" w:hAnsi="Arial" w:cs="Arial"/>
          <w:sz w:val="24"/>
          <w:szCs w:val="20"/>
        </w:rPr>
        <w:t>) had</w:t>
      </w:r>
      <w:r w:rsidRPr="0071546E">
        <w:rPr>
          <w:rFonts w:ascii="Arial" w:eastAsiaTheme="minorEastAsia" w:hAnsi="Arial" w:cs="Arial"/>
          <w:sz w:val="24"/>
          <w:szCs w:val="20"/>
        </w:rPr>
        <w:t xml:space="preserve"> shown that the metabolic inactivity of the cysts is a significant limitation of using FDA for </w:t>
      </w:r>
      <w:r w:rsidRPr="0071546E">
        <w:rPr>
          <w:rFonts w:ascii="Arial" w:eastAsiaTheme="minorEastAsia" w:hAnsi="Arial" w:cs="Arial"/>
          <w:i/>
          <w:sz w:val="24"/>
          <w:szCs w:val="20"/>
        </w:rPr>
        <w:t>Acanthamoeba</w:t>
      </w:r>
      <w:r w:rsidRPr="0071546E">
        <w:rPr>
          <w:rFonts w:ascii="Arial" w:eastAsiaTheme="minorEastAsia" w:hAnsi="Arial" w:cs="Arial"/>
          <w:sz w:val="24"/>
          <w:szCs w:val="20"/>
        </w:rPr>
        <w:t xml:space="preserve"> cyst susceptibility tests. Very low metabolism will result in </w:t>
      </w:r>
      <w:r w:rsidR="007D08AE" w:rsidRPr="0071546E">
        <w:rPr>
          <w:rFonts w:ascii="Arial" w:eastAsiaTheme="minorEastAsia" w:hAnsi="Arial" w:cs="Arial"/>
          <w:sz w:val="24"/>
          <w:szCs w:val="20"/>
        </w:rPr>
        <w:t xml:space="preserve">a </w:t>
      </w:r>
      <w:r w:rsidRPr="0071546E">
        <w:rPr>
          <w:rFonts w:ascii="Arial" w:eastAsiaTheme="minorEastAsia" w:hAnsi="Arial" w:cs="Arial"/>
          <w:sz w:val="24"/>
          <w:szCs w:val="20"/>
        </w:rPr>
        <w:t>reduced reduction of fluorescein diacetate to fluorescein resulting in a non-comparable and inaccurate</w:t>
      </w:r>
      <w:r w:rsidR="007D7D7D" w:rsidRPr="0071546E">
        <w:rPr>
          <w:rFonts w:ascii="Arial" w:eastAsiaTheme="minorEastAsia" w:hAnsi="Arial" w:cs="Arial"/>
          <w:sz w:val="24"/>
          <w:szCs w:val="20"/>
        </w:rPr>
        <w:t xml:space="preserve"> viability report</w:t>
      </w:r>
    </w:p>
    <w:p w:rsidR="00725033" w:rsidRPr="0071546E" w:rsidRDefault="00725033" w:rsidP="00CF13FE">
      <w:pPr>
        <w:spacing w:before="100" w:after="200" w:line="276" w:lineRule="auto"/>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4FAF598E" wp14:editId="150B7A79">
            <wp:extent cx="4780915" cy="3833870"/>
            <wp:effectExtent l="0" t="0" r="635" b="0"/>
            <wp:docPr id="1030" name="Chart 1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725033" w:rsidRPr="0071546E" w:rsidRDefault="001E70FD" w:rsidP="00CF13FE">
      <w:pPr>
        <w:spacing w:before="100" w:after="200" w:line="240" w:lineRule="auto"/>
        <w:ind w:left="1021" w:right="454"/>
        <w:jc w:val="both"/>
        <w:rPr>
          <w:rFonts w:ascii="Arial" w:eastAsiaTheme="minorEastAsia" w:hAnsi="Arial" w:cs="Arial"/>
          <w:sz w:val="20"/>
          <w:szCs w:val="20"/>
        </w:rPr>
      </w:pPr>
      <w:r w:rsidRPr="0071546E">
        <w:rPr>
          <w:rFonts w:ascii="Arial" w:eastAsiaTheme="minorEastAsia" w:hAnsi="Arial" w:cs="Arial"/>
          <w:sz w:val="20"/>
          <w:szCs w:val="20"/>
        </w:rPr>
        <w:t>Fig 3.9</w:t>
      </w:r>
      <w:r w:rsidR="00725033" w:rsidRPr="0071546E">
        <w:rPr>
          <w:rFonts w:ascii="Arial" w:eastAsiaTheme="minorEastAsia" w:hAnsi="Arial" w:cs="Arial"/>
          <w:sz w:val="20"/>
          <w:szCs w:val="20"/>
        </w:rPr>
        <w:t xml:space="preserve"> (b) Cell density versus fluorescence after 24hrs incubation of </w:t>
      </w:r>
      <w:r w:rsidR="00432D1D" w:rsidRPr="0071546E">
        <w:rPr>
          <w:rFonts w:ascii="Arial" w:eastAsiaTheme="minorEastAsia" w:hAnsi="Arial" w:cs="Arial"/>
          <w:i/>
          <w:sz w:val="20"/>
          <w:szCs w:val="20"/>
        </w:rPr>
        <w:t>Acanthamoeba</w:t>
      </w:r>
      <w:r w:rsidR="00725033" w:rsidRPr="0071546E">
        <w:rPr>
          <w:rFonts w:ascii="Arial" w:eastAsiaTheme="minorEastAsia" w:hAnsi="Arial" w:cs="Arial"/>
          <w:sz w:val="20"/>
          <w:szCs w:val="20"/>
        </w:rPr>
        <w:t xml:space="preserve"> cysts with fluorescein diacetate. Fluorescence was measured at ex: 490nm and em: 514nm. Error bars show SD for n=4 replicate</w:t>
      </w:r>
      <w:r w:rsidR="002C2939" w:rsidRPr="0071546E">
        <w:rPr>
          <w:rFonts w:ascii="Arial" w:eastAsiaTheme="minorEastAsia" w:hAnsi="Arial" w:cs="Arial"/>
          <w:sz w:val="20"/>
          <w:szCs w:val="20"/>
        </w:rPr>
        <w:t>s</w:t>
      </w:r>
      <w:r w:rsidR="00725033" w:rsidRPr="0071546E">
        <w:rPr>
          <w:rFonts w:ascii="Arial" w:eastAsiaTheme="minorEastAsia" w:hAnsi="Arial" w:cs="Arial"/>
          <w:sz w:val="20"/>
          <w:szCs w:val="20"/>
        </w:rPr>
        <w:t xml:space="preserve"> readings fluorescence readings.</w:t>
      </w:r>
    </w:p>
    <w:p w:rsidR="00725033" w:rsidRPr="0071546E" w:rsidRDefault="00725033" w:rsidP="00CF13FE">
      <w:pPr>
        <w:spacing w:before="100" w:after="200" w:line="480" w:lineRule="auto"/>
        <w:ind w:left="1021" w:right="454"/>
        <w:jc w:val="both"/>
        <w:rPr>
          <w:rFonts w:ascii="Arial" w:eastAsiaTheme="minorEastAsia" w:hAnsi="Arial" w:cs="Arial"/>
          <w:sz w:val="24"/>
          <w:szCs w:val="24"/>
        </w:rPr>
      </w:pPr>
    </w:p>
    <w:p w:rsidR="001E70FD" w:rsidRPr="0071546E" w:rsidRDefault="001E70FD" w:rsidP="00CF13FE">
      <w:pPr>
        <w:spacing w:before="100" w:after="200" w:line="480" w:lineRule="auto"/>
        <w:ind w:left="1021" w:right="454"/>
        <w:jc w:val="both"/>
        <w:rPr>
          <w:rFonts w:ascii="Arial" w:eastAsiaTheme="minorEastAsia" w:hAnsi="Arial" w:cs="Arial"/>
          <w:sz w:val="24"/>
          <w:szCs w:val="24"/>
        </w:rPr>
      </w:pPr>
    </w:p>
    <w:p w:rsidR="001E70FD" w:rsidRPr="0071546E" w:rsidRDefault="001E70FD" w:rsidP="00CF13FE">
      <w:pPr>
        <w:spacing w:before="100" w:after="200" w:line="480" w:lineRule="auto"/>
        <w:ind w:left="1021" w:right="454"/>
        <w:jc w:val="both"/>
        <w:rPr>
          <w:rFonts w:ascii="Arial" w:eastAsiaTheme="minorEastAsia" w:hAnsi="Arial" w:cs="Arial"/>
          <w:sz w:val="24"/>
          <w:szCs w:val="24"/>
        </w:rPr>
      </w:pPr>
    </w:p>
    <w:p w:rsidR="001E70FD" w:rsidRPr="0071546E" w:rsidRDefault="001E70FD" w:rsidP="00CF13FE">
      <w:pPr>
        <w:spacing w:before="100" w:after="200" w:line="480" w:lineRule="auto"/>
        <w:ind w:left="1021" w:right="454"/>
        <w:jc w:val="both"/>
        <w:rPr>
          <w:rFonts w:ascii="Arial" w:eastAsiaTheme="minorEastAsia" w:hAnsi="Arial" w:cs="Arial"/>
          <w:sz w:val="24"/>
          <w:szCs w:val="24"/>
        </w:rPr>
      </w:pPr>
    </w:p>
    <w:p w:rsidR="000679E0" w:rsidRPr="0071546E" w:rsidRDefault="000679E0" w:rsidP="009C2D9B">
      <w:pPr>
        <w:spacing w:before="100" w:after="200" w:line="480" w:lineRule="auto"/>
        <w:ind w:right="454"/>
        <w:jc w:val="both"/>
        <w:rPr>
          <w:rFonts w:ascii="Arial" w:eastAsiaTheme="minorEastAsia" w:hAnsi="Arial" w:cs="Arial"/>
          <w:sz w:val="24"/>
          <w:szCs w:val="24"/>
        </w:rPr>
      </w:pPr>
    </w:p>
    <w:p w:rsidR="009F6F9E" w:rsidRPr="0071546E" w:rsidRDefault="009F6F9E" w:rsidP="009C2D9B">
      <w:pPr>
        <w:spacing w:before="100" w:after="200" w:line="480" w:lineRule="auto"/>
        <w:ind w:right="454"/>
        <w:jc w:val="both"/>
        <w:rPr>
          <w:rFonts w:ascii="Arial" w:eastAsiaTheme="minorEastAsia" w:hAnsi="Arial" w:cs="Arial"/>
          <w:sz w:val="24"/>
          <w:szCs w:val="24"/>
        </w:rPr>
      </w:pPr>
    </w:p>
    <w:p w:rsidR="00725033" w:rsidRPr="0071546E" w:rsidRDefault="00725033" w:rsidP="00CF13FE">
      <w:pPr>
        <w:pStyle w:val="Heading2"/>
        <w:ind w:left="1021" w:right="454"/>
        <w:rPr>
          <w:rFonts w:eastAsiaTheme="minorEastAsia"/>
        </w:rPr>
      </w:pPr>
      <w:bookmarkStart w:id="95" w:name="_Toc14711465"/>
      <w:r w:rsidRPr="0071546E">
        <w:rPr>
          <w:rFonts w:eastAsiaTheme="minorEastAsia"/>
        </w:rPr>
        <w:t xml:space="preserve">3.2.4 </w:t>
      </w:r>
      <w:bookmarkEnd w:id="95"/>
      <w:r w:rsidR="00C0197D" w:rsidRPr="0071546E">
        <w:rPr>
          <w:rFonts w:eastAsiaTheme="minorEastAsia"/>
        </w:rPr>
        <w:t xml:space="preserve">Viability assay with trypan blue after toluidine blue photodynamic therapy </w:t>
      </w:r>
    </w:p>
    <w:p w:rsidR="009F6F9E" w:rsidRPr="0071546E" w:rsidRDefault="001E70FD"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The final approach with the dye was using trypan blue dye and microscopy to show </w:t>
      </w:r>
      <w:r w:rsidR="007D08AE" w:rsidRPr="0071546E">
        <w:rPr>
          <w:rFonts w:ascii="Arial" w:eastAsiaTheme="minorEastAsia" w:hAnsi="Arial" w:cs="Arial"/>
          <w:sz w:val="24"/>
          <w:szCs w:val="24"/>
        </w:rPr>
        <w:t xml:space="preserve">the </w:t>
      </w:r>
      <w:r w:rsidRPr="0071546E">
        <w:rPr>
          <w:rFonts w:ascii="Arial" w:eastAsiaTheme="minorEastAsia" w:hAnsi="Arial" w:cs="Arial"/>
          <w:sz w:val="24"/>
          <w:szCs w:val="24"/>
        </w:rPr>
        <w:t xml:space="preserve">PDT effect of Toluidine blue on </w:t>
      </w:r>
      <w:r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trophozoites</w:t>
      </w:r>
      <w:r w:rsidR="00725033" w:rsidRPr="0071546E">
        <w:rPr>
          <w:rFonts w:ascii="Arial" w:eastAsiaTheme="minorEastAsia" w:hAnsi="Arial" w:cs="Arial"/>
          <w:sz w:val="24"/>
          <w:szCs w:val="24"/>
        </w:rPr>
        <w:t xml:space="preserve">. </w:t>
      </w:r>
      <w:r w:rsidRPr="0071546E">
        <w:rPr>
          <w:rFonts w:ascii="Arial" w:eastAsiaTheme="minorEastAsia" w:hAnsi="Arial" w:cs="Arial"/>
          <w:sz w:val="24"/>
          <w:szCs w:val="24"/>
        </w:rPr>
        <w:t xml:space="preserve">As </w:t>
      </w:r>
      <w:r w:rsidR="007D08AE" w:rsidRPr="0071546E">
        <w:rPr>
          <w:rFonts w:ascii="Arial" w:eastAsiaTheme="minorEastAsia" w:hAnsi="Arial" w:cs="Arial"/>
          <w:sz w:val="24"/>
          <w:szCs w:val="24"/>
        </w:rPr>
        <w:t xml:space="preserve">we can see in (fig </w:t>
      </w:r>
      <w:r w:rsidR="00BE11C1" w:rsidRPr="0071546E">
        <w:rPr>
          <w:rFonts w:ascii="Arial" w:eastAsiaTheme="minorEastAsia" w:hAnsi="Arial" w:cs="Arial"/>
          <w:sz w:val="24"/>
          <w:szCs w:val="24"/>
        </w:rPr>
        <w:t>3.10),</w:t>
      </w:r>
      <w:r w:rsidRPr="0071546E">
        <w:rPr>
          <w:rFonts w:ascii="Arial" w:eastAsiaTheme="minorEastAsia" w:hAnsi="Arial" w:cs="Arial"/>
          <w:sz w:val="24"/>
          <w:szCs w:val="24"/>
        </w:rPr>
        <w:t xml:space="preserve"> there was a good photodynamic effect. </w:t>
      </w:r>
      <w:r w:rsidR="009F6F9E" w:rsidRPr="0071546E">
        <w:rPr>
          <w:rFonts w:ascii="Arial" w:eastAsiaTheme="minorEastAsia" w:hAnsi="Arial" w:cs="Arial"/>
          <w:sz w:val="24"/>
          <w:szCs w:val="24"/>
        </w:rPr>
        <w:t xml:space="preserve">Furthermore, the image in fig 3.11, presents two microscopic images after photodynamic treatment of Acanthamoeba cells with toluidine blue. The image in 3.11 (A) shows Acanthamoeba cells that appear to have a compromised cell wall. This is because the cells have taken up the blue colour of the toluidine blue dye. The corresponding image fig3.11 (b) is the control sample of </w:t>
      </w:r>
      <w:r w:rsidR="009F6F9E" w:rsidRPr="0071546E">
        <w:rPr>
          <w:rFonts w:ascii="Arial" w:eastAsiaTheme="minorEastAsia" w:hAnsi="Arial" w:cs="Arial"/>
          <w:i/>
          <w:iCs/>
          <w:sz w:val="24"/>
          <w:szCs w:val="24"/>
        </w:rPr>
        <w:t>Acanthamoeba</w:t>
      </w:r>
      <w:r w:rsidR="009F6F9E" w:rsidRPr="0071546E">
        <w:rPr>
          <w:rFonts w:ascii="Arial" w:eastAsiaTheme="minorEastAsia" w:hAnsi="Arial" w:cs="Arial"/>
          <w:sz w:val="24"/>
          <w:szCs w:val="24"/>
        </w:rPr>
        <w:t xml:space="preserve"> cells which was incubated with the same concentration of toluidine blue and exposed to the same amount of red light but were protected from the effect of light using an aluminium foil. The cell cells did not take up the blue colour suggesting that the cell wall integrity remained intact. Hence the photodynamic effect was effective in (A) but was inhibited in (B).</w:t>
      </w:r>
    </w:p>
    <w:p w:rsidR="009F6F9E" w:rsidRPr="0071546E" w:rsidRDefault="009F6F9E" w:rsidP="00CF13FE">
      <w:pPr>
        <w:spacing w:before="100" w:after="200" w:line="480" w:lineRule="auto"/>
        <w:ind w:left="1021" w:right="454"/>
        <w:jc w:val="both"/>
        <w:rPr>
          <w:rFonts w:ascii="Arial" w:eastAsiaTheme="minorEastAsia" w:hAnsi="Arial" w:cs="Arial"/>
          <w:sz w:val="24"/>
          <w:szCs w:val="24"/>
        </w:rPr>
      </w:pPr>
    </w:p>
    <w:p w:rsidR="009F6F9E" w:rsidRPr="0071546E" w:rsidRDefault="009F6F9E" w:rsidP="00CF13FE">
      <w:pPr>
        <w:spacing w:before="100" w:after="200" w:line="480" w:lineRule="auto"/>
        <w:ind w:left="1021" w:right="454"/>
        <w:jc w:val="both"/>
        <w:rPr>
          <w:rFonts w:ascii="Arial" w:eastAsiaTheme="minorEastAsia" w:hAnsi="Arial" w:cs="Arial"/>
          <w:sz w:val="24"/>
          <w:szCs w:val="24"/>
        </w:rPr>
      </w:pPr>
    </w:p>
    <w:p w:rsidR="009F6F9E" w:rsidRPr="0071546E" w:rsidRDefault="009F6F9E" w:rsidP="009F6F9E">
      <w:pPr>
        <w:spacing w:before="100" w:after="200" w:line="480" w:lineRule="auto"/>
        <w:ind w:right="454"/>
        <w:jc w:val="both"/>
        <w:rPr>
          <w:rFonts w:ascii="Arial" w:eastAsiaTheme="minorEastAsia" w:hAnsi="Arial" w:cs="Arial"/>
          <w:sz w:val="24"/>
          <w:szCs w:val="24"/>
        </w:rPr>
      </w:pPr>
    </w:p>
    <w:p w:rsidR="009F6F9E" w:rsidRPr="0071546E" w:rsidRDefault="009F6F9E" w:rsidP="00CF13FE">
      <w:pPr>
        <w:spacing w:before="100" w:after="200" w:line="480" w:lineRule="auto"/>
        <w:ind w:left="1021" w:right="454"/>
        <w:jc w:val="both"/>
        <w:rPr>
          <w:rFonts w:ascii="Arial" w:eastAsiaTheme="minorEastAsia" w:hAnsi="Arial" w:cs="Arial"/>
          <w:sz w:val="24"/>
          <w:szCs w:val="24"/>
        </w:rPr>
      </w:pPr>
    </w:p>
    <w:p w:rsidR="00725033" w:rsidRPr="0071546E" w:rsidRDefault="00725033" w:rsidP="00CF13FE">
      <w:pPr>
        <w:spacing w:before="100" w:after="200" w:line="276" w:lineRule="auto"/>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1DDB9EC1" wp14:editId="0D66267C">
            <wp:extent cx="3938905" cy="3223846"/>
            <wp:effectExtent l="0" t="0" r="444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91">
                      <a:extLst>
                        <a:ext uri="{28A0092B-C50C-407E-A947-70E740481C1C}">
                          <a14:useLocalDpi xmlns:a14="http://schemas.microsoft.com/office/drawing/2010/main" val="0"/>
                        </a:ext>
                      </a:extLst>
                    </a:blip>
                    <a:srcRect l="3144" t="9869" r="13872" b="2319"/>
                    <a:stretch/>
                  </pic:blipFill>
                  <pic:spPr bwMode="auto">
                    <a:xfrm>
                      <a:off x="0" y="0"/>
                      <a:ext cx="4079580" cy="3338983"/>
                    </a:xfrm>
                    <a:prstGeom prst="rect">
                      <a:avLst/>
                    </a:prstGeom>
                    <a:noFill/>
                    <a:ln>
                      <a:noFill/>
                    </a:ln>
                    <a:effectLst/>
                  </pic:spPr>
                </pic:pic>
              </a:graphicData>
            </a:graphic>
          </wp:inline>
        </w:drawing>
      </w:r>
    </w:p>
    <w:p w:rsidR="009F6F9E" w:rsidRPr="0071546E" w:rsidRDefault="007D08AE" w:rsidP="00CF13FE">
      <w:pPr>
        <w:spacing w:before="100" w:after="200" w:line="240" w:lineRule="auto"/>
        <w:ind w:left="1021" w:right="454"/>
        <w:jc w:val="both"/>
        <w:rPr>
          <w:rFonts w:ascii="Arial" w:eastAsiaTheme="minorEastAsia" w:hAnsi="Arial" w:cs="Arial"/>
          <w:sz w:val="20"/>
          <w:szCs w:val="20"/>
        </w:rPr>
      </w:pPr>
      <w:r w:rsidRPr="0071546E">
        <w:rPr>
          <w:rFonts w:ascii="Arial" w:eastAsiaTheme="minorEastAsia" w:hAnsi="Arial" w:cs="Arial"/>
          <w:sz w:val="20"/>
          <w:szCs w:val="20"/>
        </w:rPr>
        <w:t>Fig 3.10</w:t>
      </w:r>
      <w:r w:rsidR="00725033" w:rsidRPr="0071546E">
        <w:rPr>
          <w:rFonts w:ascii="Arial" w:eastAsiaTheme="minorEastAsia" w:hAnsi="Arial" w:cs="Arial"/>
          <w:sz w:val="20"/>
          <w:szCs w:val="20"/>
        </w:rPr>
        <w:t xml:space="preserve"> Photodynamic inactivation of </w:t>
      </w:r>
      <w:r w:rsidR="00432D1D" w:rsidRPr="0071546E">
        <w:rPr>
          <w:rFonts w:ascii="Arial" w:eastAsiaTheme="minorEastAsia" w:hAnsi="Arial" w:cs="Arial"/>
          <w:i/>
          <w:sz w:val="20"/>
          <w:szCs w:val="20"/>
        </w:rPr>
        <w:t>Acanthamoeba</w:t>
      </w:r>
      <w:r w:rsidR="00725033" w:rsidRPr="0071546E">
        <w:rPr>
          <w:rFonts w:ascii="Arial" w:eastAsiaTheme="minorEastAsia" w:hAnsi="Arial" w:cs="Arial"/>
          <w:sz w:val="20"/>
          <w:szCs w:val="20"/>
        </w:rPr>
        <w:t xml:space="preserve"> trophozoites using different co</w:t>
      </w:r>
      <w:r w:rsidR="00021E8F" w:rsidRPr="0071546E">
        <w:rPr>
          <w:rFonts w:ascii="Arial" w:eastAsiaTheme="minorEastAsia" w:hAnsi="Arial" w:cs="Arial"/>
          <w:sz w:val="20"/>
          <w:szCs w:val="20"/>
        </w:rPr>
        <w:t>ncentrations of toluidine blue and</w:t>
      </w:r>
      <w:r w:rsidR="00725033" w:rsidRPr="0071546E">
        <w:rPr>
          <w:rFonts w:ascii="Arial" w:eastAsiaTheme="minorEastAsia" w:hAnsi="Arial" w:cs="Arial"/>
          <w:sz w:val="20"/>
          <w:szCs w:val="20"/>
        </w:rPr>
        <w:t xml:space="preserve"> red fluorescent light. Error bars show standard error for 3 objective</w:t>
      </w:r>
      <w:r w:rsidR="00110230" w:rsidRPr="0071546E">
        <w:rPr>
          <w:rFonts w:ascii="Arial" w:eastAsiaTheme="minorEastAsia" w:hAnsi="Arial" w:cs="Arial"/>
          <w:sz w:val="20"/>
          <w:szCs w:val="20"/>
        </w:rPr>
        <w:t>s</w:t>
      </w:r>
      <w:r w:rsidR="00725033" w:rsidRPr="0071546E">
        <w:rPr>
          <w:rFonts w:ascii="Arial" w:eastAsiaTheme="minorEastAsia" w:hAnsi="Arial" w:cs="Arial"/>
          <w:sz w:val="20"/>
          <w:szCs w:val="20"/>
        </w:rPr>
        <w:t xml:space="preserve"> (X 1000 magnification) views using the inverted microscope after </w:t>
      </w:r>
      <w:r w:rsidR="001E70FD" w:rsidRPr="0071546E">
        <w:rPr>
          <w:rFonts w:ascii="Arial" w:eastAsiaTheme="minorEastAsia" w:hAnsi="Arial" w:cs="Arial"/>
          <w:sz w:val="20"/>
          <w:szCs w:val="20"/>
        </w:rPr>
        <w:t>staining cells with trypan b</w:t>
      </w:r>
      <w:r w:rsidR="009F6F9E" w:rsidRPr="0071546E">
        <w:rPr>
          <w:rFonts w:ascii="Arial" w:eastAsiaTheme="minorEastAsia" w:hAnsi="Arial" w:cs="Arial"/>
          <w:sz w:val="20"/>
          <w:szCs w:val="20"/>
        </w:rPr>
        <w:t>lue.</w:t>
      </w:r>
    </w:p>
    <w:p w:rsidR="009F6F9E" w:rsidRPr="0071546E" w:rsidRDefault="009F6F9E" w:rsidP="00CF13FE">
      <w:pPr>
        <w:spacing w:before="100" w:after="200" w:line="240" w:lineRule="auto"/>
        <w:ind w:left="1021" w:right="454"/>
        <w:jc w:val="both"/>
        <w:rPr>
          <w:rFonts w:ascii="Arial" w:eastAsiaTheme="minorEastAsia" w:hAnsi="Arial" w:cs="Arial"/>
          <w:sz w:val="20"/>
          <w:szCs w:val="20"/>
        </w:rPr>
      </w:pPr>
    </w:p>
    <w:p w:rsidR="009F6F9E" w:rsidRPr="0071546E" w:rsidRDefault="009F6F9E" w:rsidP="00CF13FE">
      <w:pPr>
        <w:spacing w:before="100" w:after="200" w:line="240" w:lineRule="auto"/>
        <w:ind w:left="1021" w:right="454"/>
        <w:jc w:val="both"/>
        <w:rPr>
          <w:rFonts w:ascii="Arial" w:eastAsiaTheme="minorEastAsia" w:hAnsi="Arial" w:cs="Arial"/>
          <w:b/>
          <w:sz w:val="24"/>
          <w:szCs w:val="24"/>
        </w:rPr>
      </w:pPr>
      <w:r w:rsidRPr="0071546E">
        <w:rPr>
          <w:rFonts w:ascii="Arial" w:eastAsiaTheme="minorEastAsia" w:hAnsi="Arial" w:cs="Arial"/>
          <w:b/>
          <w:noProof/>
          <w:sz w:val="24"/>
          <w:szCs w:val="24"/>
          <w:lang w:eastAsia="en-GB"/>
        </w:rPr>
        <w:drawing>
          <wp:inline distT="0" distB="0" distL="0" distR="0" wp14:anchorId="38E414E7">
            <wp:extent cx="4765637" cy="279654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10543" cy="2822891"/>
                    </a:xfrm>
                    <a:prstGeom prst="rect">
                      <a:avLst/>
                    </a:prstGeom>
                    <a:noFill/>
                  </pic:spPr>
                </pic:pic>
              </a:graphicData>
            </a:graphic>
          </wp:inline>
        </w:drawing>
      </w:r>
    </w:p>
    <w:p w:rsidR="009F6F9E" w:rsidRPr="0071546E" w:rsidRDefault="009F6F9E" w:rsidP="009F6F9E">
      <w:pPr>
        <w:spacing w:before="100" w:after="200" w:line="240" w:lineRule="auto"/>
        <w:ind w:left="1021" w:right="454"/>
        <w:jc w:val="both"/>
        <w:rPr>
          <w:rFonts w:ascii="Arial" w:eastAsiaTheme="minorEastAsia" w:hAnsi="Arial" w:cs="Arial"/>
          <w:bCs/>
          <w:sz w:val="20"/>
          <w:szCs w:val="20"/>
        </w:rPr>
      </w:pPr>
      <w:r w:rsidRPr="0071546E">
        <w:rPr>
          <w:rFonts w:ascii="Arial" w:eastAsiaTheme="minorEastAsia" w:hAnsi="Arial" w:cs="Arial"/>
          <w:bCs/>
          <w:sz w:val="20"/>
          <w:szCs w:val="20"/>
        </w:rPr>
        <w:t xml:space="preserve">Fig 3.11. </w:t>
      </w:r>
      <w:r w:rsidRPr="0071546E">
        <w:rPr>
          <w:rFonts w:ascii="Arial" w:eastAsiaTheme="minorEastAsia" w:hAnsi="Arial" w:cs="Arial"/>
          <w:bCs/>
          <w:i/>
          <w:sz w:val="20"/>
          <w:szCs w:val="20"/>
        </w:rPr>
        <w:t>Acanthamoeba</w:t>
      </w:r>
      <w:r w:rsidRPr="0071546E">
        <w:rPr>
          <w:rFonts w:ascii="Arial" w:eastAsiaTheme="minorEastAsia" w:hAnsi="Arial" w:cs="Arial"/>
          <w:bCs/>
          <w:sz w:val="20"/>
          <w:szCs w:val="20"/>
        </w:rPr>
        <w:t xml:space="preserve"> sp. As seen using a light inverted </w:t>
      </w:r>
      <w:r w:rsidRPr="0071546E">
        <w:rPr>
          <w:rFonts w:ascii="Arial" w:eastAsiaTheme="minorEastAsia" w:hAnsi="Arial" w:cs="Arial"/>
          <w:bCs/>
          <w:i/>
          <w:iCs/>
          <w:sz w:val="20"/>
          <w:szCs w:val="20"/>
        </w:rPr>
        <w:t>microscope</w:t>
      </w:r>
      <w:r w:rsidRPr="0071546E">
        <w:rPr>
          <w:rFonts w:ascii="Arial" w:eastAsiaTheme="minorEastAsia" w:hAnsi="Arial" w:cs="Arial"/>
          <w:bCs/>
          <w:sz w:val="20"/>
          <w:szCs w:val="20"/>
        </w:rPr>
        <w:t xml:space="preserve"> (Nikon, Japan) using 10X objectives. (A) The white pointer shows cysts cells, which appears blue in colour because it has taken up the toluidine blue dye, after photodynamic treatment. (B) A control sample of cells exposed to the same concentration of toluidine blue but was protected from the photodynamic effect by covering with an aluminium foil.</w:t>
      </w:r>
    </w:p>
    <w:p w:rsidR="00A63BD7" w:rsidRPr="0071546E" w:rsidRDefault="00A63BD7" w:rsidP="00CF13FE">
      <w:pPr>
        <w:spacing w:before="100" w:after="200" w:line="240" w:lineRule="auto"/>
        <w:ind w:left="1021" w:right="454"/>
        <w:jc w:val="both"/>
        <w:rPr>
          <w:rFonts w:ascii="Arial" w:eastAsiaTheme="minorEastAsia" w:hAnsi="Arial" w:cs="Arial"/>
          <w:sz w:val="20"/>
          <w:szCs w:val="20"/>
        </w:rPr>
      </w:pPr>
      <w:r w:rsidRPr="0071546E">
        <w:rPr>
          <w:rFonts w:ascii="Arial" w:eastAsiaTheme="minorEastAsia" w:hAnsi="Arial" w:cs="Arial"/>
          <w:b/>
          <w:sz w:val="24"/>
          <w:szCs w:val="24"/>
        </w:rPr>
        <w:br w:type="page"/>
      </w:r>
    </w:p>
    <w:p w:rsidR="00725033" w:rsidRPr="0071546E" w:rsidRDefault="00725033" w:rsidP="00CF13FE">
      <w:pPr>
        <w:pStyle w:val="Heading2"/>
        <w:ind w:left="1021" w:right="454"/>
        <w:rPr>
          <w:rFonts w:eastAsiaTheme="minorEastAsia"/>
        </w:rPr>
      </w:pPr>
      <w:bookmarkStart w:id="96" w:name="_Toc14711466"/>
      <w:r w:rsidRPr="0071546E">
        <w:rPr>
          <w:rFonts w:eastAsiaTheme="minorEastAsia"/>
        </w:rPr>
        <w:t>3.3 Adenosine triphosphate assay (ATP)</w:t>
      </w:r>
      <w:bookmarkEnd w:id="96"/>
    </w:p>
    <w:p w:rsidR="001E70FD" w:rsidRPr="0071546E" w:rsidRDefault="0030703E"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After evaluating results from all viability assay methods, we decided to consider</w:t>
      </w:r>
      <w:r w:rsidR="001E70FD" w:rsidRPr="0071546E">
        <w:rPr>
          <w:rFonts w:ascii="Arial" w:eastAsiaTheme="minorEastAsia" w:hAnsi="Arial" w:cs="Arial"/>
          <w:sz w:val="24"/>
          <w:szCs w:val="24"/>
        </w:rPr>
        <w:t xml:space="preserve"> an alternative approach. The issue with the FDA assay was the low metabolism of the cyst and the data presented strongly supports that (fig 3.9)</w:t>
      </w:r>
      <w:r w:rsidR="005F3F09" w:rsidRPr="0071546E">
        <w:rPr>
          <w:rFonts w:ascii="Arial" w:eastAsiaTheme="minorEastAsia" w:hAnsi="Arial" w:cs="Arial"/>
          <w:sz w:val="24"/>
          <w:szCs w:val="24"/>
        </w:rPr>
        <w:t>. ATP viability assay was subsequently carried out</w:t>
      </w:r>
      <w:r w:rsidR="001E70FD" w:rsidRPr="0071546E">
        <w:rPr>
          <w:rFonts w:ascii="Arial" w:eastAsiaTheme="minorEastAsia" w:hAnsi="Arial" w:cs="Arial"/>
          <w:sz w:val="24"/>
          <w:szCs w:val="24"/>
        </w:rPr>
        <w:t>. Part of the protocol in the ATP based assay was lysis of the treated cells to release intracellular ATP. The lysis buffer from the ATP assay kit (Tris EDTA and sodium dodecyl sulfate</w:t>
      </w:r>
      <w:r w:rsidR="007D08AE" w:rsidRPr="0071546E">
        <w:rPr>
          <w:rFonts w:ascii="Arial" w:eastAsiaTheme="minorEastAsia" w:hAnsi="Arial" w:cs="Arial"/>
          <w:sz w:val="24"/>
          <w:szCs w:val="24"/>
        </w:rPr>
        <w:t>)</w:t>
      </w:r>
      <w:r w:rsidR="001E70FD" w:rsidRPr="0071546E">
        <w:rPr>
          <w:rFonts w:ascii="Arial" w:eastAsiaTheme="minorEastAsia" w:hAnsi="Arial" w:cs="Arial"/>
          <w:sz w:val="24"/>
          <w:szCs w:val="24"/>
        </w:rPr>
        <w:t>,</w:t>
      </w:r>
      <w:r w:rsidR="005F3F09" w:rsidRPr="0071546E">
        <w:rPr>
          <w:rFonts w:ascii="Arial" w:eastAsiaTheme="minorEastAsia" w:hAnsi="Arial" w:cs="Arial"/>
          <w:sz w:val="24"/>
          <w:szCs w:val="24"/>
        </w:rPr>
        <w:t xml:space="preserve"> was useful</w:t>
      </w:r>
      <w:r w:rsidR="001E70FD" w:rsidRPr="0071546E">
        <w:rPr>
          <w:rFonts w:ascii="Arial" w:eastAsiaTheme="minorEastAsia" w:hAnsi="Arial" w:cs="Arial"/>
          <w:sz w:val="24"/>
          <w:szCs w:val="24"/>
        </w:rPr>
        <w:t xml:space="preserve"> for trophozoite lysis</w:t>
      </w:r>
      <w:r w:rsidR="005F3F09" w:rsidRPr="0071546E">
        <w:rPr>
          <w:rFonts w:ascii="Arial" w:eastAsiaTheme="minorEastAsia" w:hAnsi="Arial" w:cs="Arial"/>
          <w:sz w:val="24"/>
          <w:szCs w:val="24"/>
        </w:rPr>
        <w:t>: when incubated with the trophozoites, evidence of cell wall distortion and lysis trophozoite cells was seen after microscopic evaluation and staining</w:t>
      </w:r>
      <w:r w:rsidR="001E70FD" w:rsidRPr="0071546E">
        <w:rPr>
          <w:rFonts w:ascii="Arial" w:eastAsiaTheme="minorEastAsia" w:hAnsi="Arial" w:cs="Arial"/>
          <w:sz w:val="24"/>
          <w:szCs w:val="24"/>
        </w:rPr>
        <w:t>. However</w:t>
      </w:r>
      <w:r w:rsidR="007D08AE" w:rsidRPr="0071546E">
        <w:rPr>
          <w:rFonts w:ascii="Arial" w:eastAsiaTheme="minorEastAsia" w:hAnsi="Arial" w:cs="Arial"/>
          <w:sz w:val="24"/>
          <w:szCs w:val="24"/>
        </w:rPr>
        <w:t>,</w:t>
      </w:r>
      <w:r w:rsidR="001E70FD" w:rsidRPr="0071546E">
        <w:rPr>
          <w:rFonts w:ascii="Arial" w:eastAsiaTheme="minorEastAsia" w:hAnsi="Arial" w:cs="Arial"/>
          <w:sz w:val="24"/>
          <w:szCs w:val="24"/>
        </w:rPr>
        <w:t xml:space="preserve"> when we used it for the cyst the level of ATP release was significantly reduced.</w:t>
      </w:r>
      <w:r w:rsidR="005F3F09" w:rsidRPr="0071546E">
        <w:rPr>
          <w:rFonts w:ascii="Arial" w:eastAsiaTheme="minorEastAsia" w:hAnsi="Arial" w:cs="Arial"/>
          <w:sz w:val="24"/>
          <w:szCs w:val="24"/>
        </w:rPr>
        <w:t xml:space="preserve"> However, when incubated with the cysts and monitored microscopically, </w:t>
      </w:r>
      <w:r w:rsidR="001E70FD" w:rsidRPr="0071546E">
        <w:rPr>
          <w:rFonts w:ascii="Arial" w:eastAsiaTheme="minorEastAsia" w:hAnsi="Arial" w:cs="Arial"/>
          <w:sz w:val="24"/>
          <w:szCs w:val="24"/>
        </w:rPr>
        <w:t xml:space="preserve"> </w:t>
      </w:r>
      <w:r w:rsidR="005F3F09" w:rsidRPr="0071546E">
        <w:rPr>
          <w:rFonts w:ascii="Arial" w:eastAsiaTheme="minorEastAsia" w:hAnsi="Arial" w:cs="Arial"/>
          <w:sz w:val="24"/>
          <w:szCs w:val="24"/>
        </w:rPr>
        <w:t>there was no evidence of complete cyst cell wall lysis as cyst cells did not take up dye when stained suggesting an intact cell wall.</w:t>
      </w:r>
    </w:p>
    <w:p w:rsidR="001E70FD" w:rsidRPr="0071546E" w:rsidRDefault="001E70FD" w:rsidP="00CF13FE">
      <w:pPr>
        <w:spacing w:before="100" w:after="200" w:line="480" w:lineRule="auto"/>
        <w:ind w:left="1021" w:right="454"/>
        <w:jc w:val="both"/>
        <w:rPr>
          <w:rFonts w:ascii="Arial" w:eastAsiaTheme="minorEastAsia" w:hAnsi="Arial" w:cs="Arial"/>
          <w:b/>
          <w:sz w:val="24"/>
          <w:szCs w:val="24"/>
        </w:rPr>
      </w:pPr>
      <w:r w:rsidRPr="0071546E">
        <w:rPr>
          <w:rFonts w:ascii="Arial" w:eastAsiaTheme="minorEastAsia" w:hAnsi="Arial" w:cs="Arial"/>
          <w:b/>
          <w:sz w:val="24"/>
          <w:szCs w:val="24"/>
        </w:rPr>
        <w:t xml:space="preserve">3.3.1 Enzymatic lysis with lysozyme </w:t>
      </w:r>
    </w:p>
    <w:p w:rsidR="001E70FD" w:rsidRPr="0071546E" w:rsidRDefault="001E70FD" w:rsidP="009C2D9B">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Based on an ea</w:t>
      </w:r>
      <w:r w:rsidR="007D08AE" w:rsidRPr="0071546E">
        <w:rPr>
          <w:rFonts w:ascii="Arial" w:eastAsiaTheme="minorEastAsia" w:hAnsi="Arial" w:cs="Arial"/>
          <w:sz w:val="24"/>
          <w:szCs w:val="24"/>
        </w:rPr>
        <w:t>r</w:t>
      </w:r>
      <w:r w:rsidRPr="0071546E">
        <w:rPr>
          <w:rFonts w:ascii="Arial" w:eastAsiaTheme="minorEastAsia" w:hAnsi="Arial" w:cs="Arial"/>
          <w:sz w:val="24"/>
          <w:szCs w:val="24"/>
        </w:rPr>
        <w:t>lier</w:t>
      </w:r>
      <w:r w:rsidR="005F3F09" w:rsidRPr="0071546E">
        <w:rPr>
          <w:rFonts w:ascii="Arial" w:eastAsiaTheme="minorEastAsia" w:hAnsi="Arial" w:cs="Arial"/>
          <w:sz w:val="24"/>
          <w:szCs w:val="24"/>
        </w:rPr>
        <w:t xml:space="preserve"> 2018</w:t>
      </w:r>
      <w:r w:rsidRPr="0071546E">
        <w:rPr>
          <w:rFonts w:ascii="Arial" w:eastAsiaTheme="minorEastAsia" w:hAnsi="Arial" w:cs="Arial"/>
          <w:sz w:val="24"/>
          <w:szCs w:val="24"/>
        </w:rPr>
        <w:t xml:space="preserve"> publication by </w:t>
      </w:r>
      <w:r w:rsidR="00BE11C1" w:rsidRPr="0071546E">
        <w:rPr>
          <w:rFonts w:ascii="Arial" w:eastAsiaTheme="minorEastAsia" w:hAnsi="Arial" w:cs="Arial"/>
          <w:sz w:val="24"/>
          <w:szCs w:val="24"/>
        </w:rPr>
        <w:t xml:space="preserve">Anwar </w:t>
      </w:r>
      <w:r w:rsidR="005F3F09" w:rsidRPr="0071546E">
        <w:rPr>
          <w:rFonts w:ascii="Arial" w:eastAsiaTheme="minorEastAsia" w:hAnsi="Arial" w:cs="Arial"/>
          <w:sz w:val="24"/>
          <w:szCs w:val="24"/>
        </w:rPr>
        <w:t>et al</w:t>
      </w:r>
      <w:r w:rsidR="007D08AE" w:rsidRPr="0071546E">
        <w:rPr>
          <w:rFonts w:ascii="Arial" w:eastAsiaTheme="minorEastAsia" w:hAnsi="Arial" w:cs="Arial"/>
          <w:sz w:val="24"/>
          <w:szCs w:val="24"/>
        </w:rPr>
        <w:t xml:space="preserve">, we looked to see if we can enzymatically lyse the cysts. </w:t>
      </w:r>
      <w:r w:rsidR="005F3F09" w:rsidRPr="0071546E">
        <w:rPr>
          <w:rFonts w:ascii="Arial" w:eastAsiaTheme="minorEastAsia" w:hAnsi="Arial" w:cs="Arial"/>
          <w:sz w:val="24"/>
          <w:szCs w:val="24"/>
        </w:rPr>
        <w:t>As seen in fig 3.12, incubation of cysts cells with lysozyme lysed the cells as intracellular organelles can be seen pouring out of the cells after 40 minutes. Staining the cells with trypan blue confirm that the cells incubated with lysozyme had taken up the dye while the control samples did not ( fig 3.13)</w:t>
      </w:r>
    </w:p>
    <w:p w:rsidR="005F3F09" w:rsidRPr="0071546E" w:rsidRDefault="005F3F09" w:rsidP="005F3F09">
      <w:pPr>
        <w:spacing w:before="100" w:after="200" w:line="240" w:lineRule="auto"/>
        <w:ind w:left="1021" w:right="454"/>
        <w:jc w:val="both"/>
        <w:rPr>
          <w:rFonts w:ascii="Arial" w:eastAsiaTheme="minorEastAsia" w:hAnsi="Arial" w:cs="Arial"/>
          <w:sz w:val="24"/>
          <w:szCs w:val="24"/>
        </w:rPr>
      </w:pPr>
      <w:r w:rsidRPr="0071546E">
        <w:rPr>
          <w:noProof/>
          <w:lang w:eastAsia="en-GB"/>
        </w:rPr>
        <w:drawing>
          <wp:inline distT="0" distB="0" distL="0" distR="0" wp14:anchorId="66615B83" wp14:editId="6C2F1D17">
            <wp:extent cx="4894729" cy="3194685"/>
            <wp:effectExtent l="0" t="0" r="127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904405" cy="3201001"/>
                    </a:xfrm>
                    <a:prstGeom prst="rect">
                      <a:avLst/>
                    </a:prstGeom>
                  </pic:spPr>
                </pic:pic>
              </a:graphicData>
            </a:graphic>
          </wp:inline>
        </w:drawing>
      </w:r>
    </w:p>
    <w:p w:rsidR="005F3F09" w:rsidRPr="0071546E" w:rsidRDefault="005F3F09" w:rsidP="005F3F09">
      <w:pPr>
        <w:spacing w:before="100" w:after="200" w:line="240" w:lineRule="auto"/>
        <w:ind w:left="1021" w:right="454"/>
        <w:jc w:val="both"/>
        <w:rPr>
          <w:rFonts w:ascii="Arial" w:eastAsiaTheme="minorEastAsia" w:hAnsi="Arial" w:cs="Arial"/>
          <w:bCs/>
          <w:sz w:val="20"/>
          <w:szCs w:val="20"/>
        </w:rPr>
      </w:pPr>
      <w:r w:rsidRPr="0071546E">
        <w:rPr>
          <w:rFonts w:ascii="Arial" w:eastAsiaTheme="minorEastAsia" w:hAnsi="Arial" w:cs="Arial"/>
          <w:sz w:val="20"/>
          <w:szCs w:val="20"/>
        </w:rPr>
        <w:t>Fig 3.12</w:t>
      </w:r>
      <w:r w:rsidRPr="0071546E">
        <w:rPr>
          <w:rFonts w:ascii="Arial" w:eastAsiaTheme="minorEastAsia" w:hAnsi="Arial" w:cs="Arial"/>
          <w:bCs/>
          <w:sz w:val="20"/>
          <w:szCs w:val="20"/>
        </w:rPr>
        <w:t xml:space="preserve"> Lysis of acanthamoeba cyst with lysozyme. As seen using a light inverted </w:t>
      </w:r>
      <w:r w:rsidRPr="0071546E">
        <w:rPr>
          <w:rFonts w:ascii="Arial" w:eastAsiaTheme="minorEastAsia" w:hAnsi="Arial" w:cs="Arial"/>
          <w:bCs/>
          <w:i/>
          <w:iCs/>
          <w:sz w:val="20"/>
          <w:szCs w:val="20"/>
        </w:rPr>
        <w:t>microscope</w:t>
      </w:r>
      <w:r w:rsidRPr="0071546E">
        <w:rPr>
          <w:rFonts w:ascii="Arial" w:eastAsiaTheme="minorEastAsia" w:hAnsi="Arial" w:cs="Arial"/>
          <w:bCs/>
          <w:sz w:val="20"/>
          <w:szCs w:val="20"/>
        </w:rPr>
        <w:t xml:space="preserve"> (Nikon, Japan) using 10 X obj, (a) control </w:t>
      </w:r>
      <w:r w:rsidRPr="0071546E">
        <w:rPr>
          <w:rFonts w:ascii="Arial" w:eastAsiaTheme="minorEastAsia" w:hAnsi="Arial" w:cs="Arial"/>
          <w:bCs/>
          <w:i/>
          <w:iCs/>
          <w:sz w:val="20"/>
          <w:szCs w:val="20"/>
        </w:rPr>
        <w:t>Acanthamoeba</w:t>
      </w:r>
      <w:r w:rsidRPr="0071546E">
        <w:rPr>
          <w:rFonts w:ascii="Arial" w:eastAsiaTheme="minorEastAsia" w:hAnsi="Arial" w:cs="Arial"/>
          <w:bCs/>
          <w:sz w:val="20"/>
          <w:szCs w:val="20"/>
        </w:rPr>
        <w:t xml:space="preserve"> cyst sample and (b) </w:t>
      </w:r>
      <w:r w:rsidRPr="0071546E">
        <w:rPr>
          <w:rFonts w:ascii="Arial" w:eastAsiaTheme="minorEastAsia" w:hAnsi="Arial" w:cs="Arial"/>
          <w:bCs/>
          <w:i/>
          <w:iCs/>
          <w:sz w:val="20"/>
          <w:szCs w:val="20"/>
        </w:rPr>
        <w:t>Acanthamoeba</w:t>
      </w:r>
      <w:r w:rsidRPr="0071546E">
        <w:rPr>
          <w:rFonts w:ascii="Arial" w:eastAsiaTheme="minorEastAsia" w:hAnsi="Arial" w:cs="Arial"/>
          <w:bCs/>
          <w:sz w:val="20"/>
          <w:szCs w:val="20"/>
        </w:rPr>
        <w:t xml:space="preserve"> cysts treated with 4 mg/ml HEWL.. Arrows show the release of intracellular contents of the cyst after 40 mins incubation with lysozyme.</w:t>
      </w:r>
    </w:p>
    <w:p w:rsidR="005F3F09" w:rsidRPr="0071546E" w:rsidRDefault="005F3F09" w:rsidP="005F3F09">
      <w:pPr>
        <w:spacing w:before="100" w:after="200" w:line="240" w:lineRule="auto"/>
        <w:ind w:left="1021" w:right="454"/>
        <w:jc w:val="both"/>
        <w:rPr>
          <w:rFonts w:ascii="Arial" w:eastAsiaTheme="minorEastAsia" w:hAnsi="Arial" w:cs="Arial"/>
          <w:bCs/>
          <w:sz w:val="20"/>
          <w:szCs w:val="20"/>
        </w:rPr>
      </w:pPr>
    </w:p>
    <w:p w:rsidR="005F3F09" w:rsidRPr="0071546E" w:rsidRDefault="005F3F09" w:rsidP="005F3F09">
      <w:pPr>
        <w:spacing w:before="100" w:after="200" w:line="240" w:lineRule="auto"/>
        <w:ind w:left="1021" w:right="454"/>
        <w:jc w:val="both"/>
        <w:rPr>
          <w:rFonts w:ascii="Arial" w:eastAsiaTheme="minorEastAsia" w:hAnsi="Arial" w:cs="Arial"/>
          <w:sz w:val="20"/>
          <w:szCs w:val="20"/>
        </w:rPr>
      </w:pPr>
      <w:r w:rsidRPr="0071546E">
        <w:rPr>
          <w:noProof/>
          <w:lang w:eastAsia="en-GB"/>
        </w:rPr>
        <w:drawing>
          <wp:inline distT="0" distB="0" distL="0" distR="0" wp14:anchorId="5E5E8002" wp14:editId="68485044">
            <wp:extent cx="4894580" cy="2990626"/>
            <wp:effectExtent l="0" t="0" r="127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902381" cy="2995393"/>
                    </a:xfrm>
                    <a:prstGeom prst="rect">
                      <a:avLst/>
                    </a:prstGeom>
                  </pic:spPr>
                </pic:pic>
              </a:graphicData>
            </a:graphic>
          </wp:inline>
        </w:drawing>
      </w:r>
    </w:p>
    <w:p w:rsidR="005F3F09" w:rsidRPr="0071546E" w:rsidRDefault="005F3F09" w:rsidP="005F3F09">
      <w:pPr>
        <w:spacing w:before="100" w:after="200" w:line="24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Fig 3.13. Staining the control sample (a) and the cyst cell incubated with lysozyme (b) with trypan blue showed that cells incubated with lysozyme had taken-up the blue colour of trypan blue.</w:t>
      </w:r>
    </w:p>
    <w:p w:rsidR="005F3F09" w:rsidRPr="0071546E" w:rsidRDefault="005F3F09" w:rsidP="009C2D9B">
      <w:pPr>
        <w:spacing w:before="100" w:after="200" w:line="480" w:lineRule="auto"/>
        <w:ind w:left="1021" w:right="454"/>
        <w:jc w:val="both"/>
        <w:rPr>
          <w:rFonts w:ascii="Arial" w:eastAsiaTheme="minorEastAsia" w:hAnsi="Arial" w:cs="Arial"/>
          <w:sz w:val="24"/>
          <w:szCs w:val="24"/>
        </w:rPr>
      </w:pPr>
    </w:p>
    <w:p w:rsidR="001E70FD" w:rsidRPr="0071546E" w:rsidRDefault="001E70FD" w:rsidP="005F3F09">
      <w:pPr>
        <w:spacing w:before="100" w:after="200" w:line="480" w:lineRule="auto"/>
        <w:ind w:right="454"/>
        <w:jc w:val="both"/>
        <w:rPr>
          <w:rFonts w:ascii="Arial" w:eastAsiaTheme="minorEastAsia" w:hAnsi="Arial" w:cs="Arial"/>
          <w:sz w:val="24"/>
          <w:szCs w:val="24"/>
        </w:rPr>
      </w:pPr>
    </w:p>
    <w:p w:rsidR="001E70FD" w:rsidRPr="0071546E" w:rsidRDefault="007D08AE" w:rsidP="00CF13FE">
      <w:pPr>
        <w:spacing w:before="100" w:after="200" w:line="480" w:lineRule="auto"/>
        <w:ind w:left="1021" w:right="454"/>
        <w:jc w:val="both"/>
        <w:rPr>
          <w:rFonts w:ascii="Arial" w:eastAsiaTheme="minorEastAsia" w:hAnsi="Arial" w:cs="Arial"/>
          <w:b/>
          <w:sz w:val="24"/>
          <w:szCs w:val="24"/>
        </w:rPr>
      </w:pPr>
      <w:r w:rsidRPr="0071546E">
        <w:rPr>
          <w:rFonts w:ascii="Arial" w:eastAsiaTheme="minorEastAsia" w:hAnsi="Arial" w:cs="Arial"/>
          <w:b/>
          <w:sz w:val="24"/>
          <w:szCs w:val="24"/>
        </w:rPr>
        <w:t>3.3.2 ATP standard curve</w:t>
      </w:r>
    </w:p>
    <w:p w:rsidR="001E70FD" w:rsidRPr="0071546E" w:rsidRDefault="007D08AE" w:rsidP="005F3F09">
      <w:pPr>
        <w:spacing w:before="100" w:after="200" w:line="480" w:lineRule="auto"/>
        <w:ind w:left="1021" w:right="454"/>
        <w:jc w:val="both"/>
        <w:rPr>
          <w:rFonts w:ascii="Arial" w:eastAsiaTheme="minorEastAsia" w:hAnsi="Arial" w:cs="Arial"/>
          <w:sz w:val="28"/>
          <w:szCs w:val="24"/>
        </w:rPr>
      </w:pPr>
      <w:r w:rsidRPr="0071546E">
        <w:rPr>
          <w:rFonts w:ascii="Arial" w:eastAsiaTheme="minorEastAsia" w:hAnsi="Arial" w:cs="Arial"/>
          <w:sz w:val="28"/>
          <w:szCs w:val="24"/>
        </w:rPr>
        <w:t>To investigate the linearity of the relationship between concentration and bioluminescence signal (RLU), we generated an ATP standard curve with varying concentrations of ATP</w:t>
      </w:r>
    </w:p>
    <w:p w:rsidR="001E70FD" w:rsidRPr="0071546E" w:rsidRDefault="009C2D9B" w:rsidP="00CF13FE">
      <w:pPr>
        <w:spacing w:before="100" w:after="200" w:line="240" w:lineRule="atLeast"/>
        <w:ind w:left="1021" w:right="454"/>
        <w:jc w:val="both"/>
        <w:rPr>
          <w:rFonts w:ascii="Arial" w:eastAsiaTheme="minorEastAsia" w:hAnsi="Arial" w:cs="Arial"/>
          <w:sz w:val="24"/>
          <w:szCs w:val="24"/>
        </w:rPr>
      </w:pPr>
      <w:r w:rsidRPr="0071546E">
        <w:rPr>
          <w:rFonts w:ascii="Arial" w:eastAsiaTheme="minorEastAsia" w:hAnsi="Arial" w:cs="Arial"/>
          <w:noProof/>
          <w:sz w:val="24"/>
          <w:szCs w:val="24"/>
          <w:lang w:eastAsia="en-GB"/>
        </w:rPr>
        <mc:AlternateContent>
          <mc:Choice Requires="wps">
            <w:drawing>
              <wp:anchor distT="0" distB="0" distL="114300" distR="114300" simplePos="0" relativeHeight="251716608" behindDoc="0" locked="0" layoutInCell="1" allowOverlap="1">
                <wp:simplePos x="0" y="0"/>
                <wp:positionH relativeFrom="column">
                  <wp:posOffset>3315113</wp:posOffset>
                </wp:positionH>
                <wp:positionV relativeFrom="paragraph">
                  <wp:posOffset>1974957</wp:posOffset>
                </wp:positionV>
                <wp:extent cx="1916935" cy="1449965"/>
                <wp:effectExtent l="0" t="0" r="7620" b="0"/>
                <wp:wrapNone/>
                <wp:docPr id="37" name="Text Box 37"/>
                <wp:cNvGraphicFramePr/>
                <a:graphic xmlns:a="http://schemas.openxmlformats.org/drawingml/2006/main">
                  <a:graphicData uri="http://schemas.microsoft.com/office/word/2010/wordprocessingShape">
                    <wps:wsp>
                      <wps:cNvSpPr txBox="1"/>
                      <wps:spPr>
                        <a:xfrm>
                          <a:off x="0" y="0"/>
                          <a:ext cx="1916935" cy="1449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7A14" w:rsidRDefault="00A87A14">
                            <w:r w:rsidRPr="004C3E7F">
                              <w:rPr>
                                <w:noProof/>
                                <w:lang w:eastAsia="en-GB"/>
                              </w:rPr>
                              <w:drawing>
                                <wp:inline distT="0" distB="0" distL="0" distR="0" wp14:anchorId="1736F4F9" wp14:editId="3260BB44">
                                  <wp:extent cx="2113808" cy="1483995"/>
                                  <wp:effectExtent l="0" t="0" r="127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16862" cy="14861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7" o:spid="_x0000_s1053" type="#_x0000_t202" style="position:absolute;left:0;text-align:left;margin-left:261.05pt;margin-top:155.5pt;width:150.95pt;height:11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" fillcolor="white [3201]" stroked="f" strokeweight=".5pt">
                <v:textbox>
                  <w:txbxContent>
                    <w:p w:rsidR="00A87A14" w:rsidRDefault="00A87A14">
                      <w:r w:rsidRPr="004C3E7F">
                        <w:rPr>
                          <w:noProof/>
                          <w:lang w:eastAsia="en-GB"/>
                        </w:rPr>
                        <w:drawing>
                          <wp:inline distT="0" distB="0" distL="0" distR="0" wp14:anchorId="1736F4F9" wp14:editId="3260BB44">
                            <wp:extent cx="2113808" cy="1483995"/>
                            <wp:effectExtent l="0" t="0" r="127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16862" cy="1486139"/>
                                    </a:xfrm>
                                    <a:prstGeom prst="rect">
                                      <a:avLst/>
                                    </a:prstGeom>
                                    <a:noFill/>
                                    <a:ln>
                                      <a:noFill/>
                                    </a:ln>
                                  </pic:spPr>
                                </pic:pic>
                              </a:graphicData>
                            </a:graphic>
                          </wp:inline>
                        </w:drawing>
                      </w:r>
                    </w:p>
                  </w:txbxContent>
                </v:textbox>
              </v:shape>
            </w:pict>
          </mc:Fallback>
        </mc:AlternateContent>
      </w:r>
      <w:r w:rsidRPr="0071546E">
        <w:rPr>
          <w:rFonts w:ascii="Arial" w:eastAsiaTheme="minorEastAsia" w:hAnsi="Arial" w:cs="Arial"/>
          <w:noProof/>
          <w:sz w:val="24"/>
          <w:szCs w:val="24"/>
          <w:lang w:eastAsia="en-GB"/>
        </w:rPr>
        <w:drawing>
          <wp:inline distT="0" distB="0" distL="0" distR="0" wp14:anchorId="6A6D6C59" wp14:editId="02E2887F">
            <wp:extent cx="5100320" cy="4076241"/>
            <wp:effectExtent l="0" t="0" r="5080" b="63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7D08AE" w:rsidRPr="0071546E" w:rsidRDefault="007D08AE" w:rsidP="00CF13FE">
      <w:pPr>
        <w:spacing w:before="100" w:after="200" w:line="240" w:lineRule="atLeast"/>
        <w:ind w:left="1021" w:right="454"/>
        <w:jc w:val="both"/>
        <w:rPr>
          <w:rFonts w:ascii="Arial" w:eastAsiaTheme="minorEastAsia" w:hAnsi="Arial" w:cs="Arial"/>
          <w:sz w:val="20"/>
          <w:szCs w:val="24"/>
        </w:rPr>
      </w:pPr>
      <w:r w:rsidRPr="0071546E">
        <w:rPr>
          <w:rFonts w:ascii="Arial" w:eastAsiaTheme="minorEastAsia" w:hAnsi="Arial" w:cs="Arial"/>
          <w:sz w:val="20"/>
          <w:szCs w:val="24"/>
        </w:rPr>
        <w:t>Fig 3.1</w:t>
      </w:r>
      <w:r w:rsidR="00EE79A3" w:rsidRPr="0071546E">
        <w:rPr>
          <w:rFonts w:ascii="Arial" w:eastAsiaTheme="minorEastAsia" w:hAnsi="Arial" w:cs="Arial"/>
          <w:sz w:val="20"/>
          <w:szCs w:val="24"/>
        </w:rPr>
        <w:t>4</w:t>
      </w:r>
      <w:r w:rsidRPr="0071546E">
        <w:rPr>
          <w:rFonts w:ascii="Arial" w:eastAsiaTheme="minorEastAsia" w:hAnsi="Arial" w:cs="Arial"/>
          <w:sz w:val="20"/>
          <w:szCs w:val="24"/>
        </w:rPr>
        <w:t xml:space="preserve"> linear relationship between ATP concentration and bioluminescence (relative light unit). Different concentrations of ATP standard ranging from 5ug/mL to 0.019ug/mL was reacted with luciferase enzyme and bioluminescence was measured at 600 nm. Error bars show SD n=4 replicate experiment. Inset graph shows linearity at lower ATP concentrations.</w:t>
      </w:r>
    </w:p>
    <w:p w:rsidR="001E70FD" w:rsidRPr="0071546E" w:rsidRDefault="001E70FD" w:rsidP="009C2D9B">
      <w:pPr>
        <w:spacing w:before="100" w:after="200" w:line="480" w:lineRule="auto"/>
        <w:ind w:right="454"/>
        <w:jc w:val="both"/>
        <w:rPr>
          <w:rFonts w:ascii="Arial" w:eastAsiaTheme="minorEastAsia" w:hAnsi="Arial" w:cs="Arial"/>
          <w:sz w:val="24"/>
          <w:szCs w:val="24"/>
        </w:rPr>
      </w:pPr>
    </w:p>
    <w:p w:rsidR="009C2D9B" w:rsidRPr="0071546E" w:rsidRDefault="009C2D9B" w:rsidP="009C2D9B">
      <w:pPr>
        <w:spacing w:before="100" w:after="200" w:line="480" w:lineRule="auto"/>
        <w:ind w:right="454"/>
        <w:jc w:val="both"/>
        <w:rPr>
          <w:rFonts w:ascii="Arial" w:eastAsiaTheme="minorEastAsia" w:hAnsi="Arial" w:cs="Arial"/>
          <w:sz w:val="24"/>
          <w:szCs w:val="24"/>
        </w:rPr>
      </w:pPr>
    </w:p>
    <w:p w:rsidR="007D08AE" w:rsidRPr="0071546E" w:rsidRDefault="007D08AE"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As see in fig (3.1</w:t>
      </w:r>
      <w:r w:rsidR="009F6F9E" w:rsidRPr="0071546E">
        <w:rPr>
          <w:rFonts w:ascii="Arial" w:eastAsiaTheme="minorEastAsia" w:hAnsi="Arial" w:cs="Arial"/>
          <w:sz w:val="24"/>
          <w:szCs w:val="24"/>
        </w:rPr>
        <w:t>2</w:t>
      </w:r>
      <w:r w:rsidRPr="0071546E">
        <w:rPr>
          <w:rFonts w:ascii="Arial" w:eastAsiaTheme="minorEastAsia" w:hAnsi="Arial" w:cs="Arial"/>
          <w:sz w:val="24"/>
          <w:szCs w:val="24"/>
        </w:rPr>
        <w:t>), ATP concentration has a positive correlation with the bioluminescence signal. The higher the ATP concentration the higher the relative light unit. The experiment was also determined for very low concentrations of ATP see indented graph in fig 3.1</w:t>
      </w:r>
      <w:r w:rsidR="00EE79A3" w:rsidRPr="0071546E">
        <w:rPr>
          <w:rFonts w:ascii="Arial" w:eastAsiaTheme="minorEastAsia" w:hAnsi="Arial" w:cs="Arial"/>
          <w:sz w:val="24"/>
          <w:szCs w:val="24"/>
        </w:rPr>
        <w:t>4</w:t>
      </w:r>
    </w:p>
    <w:p w:rsidR="007D08AE" w:rsidRPr="0071546E" w:rsidRDefault="007D08AE" w:rsidP="00CF13FE">
      <w:pPr>
        <w:spacing w:after="200"/>
        <w:ind w:left="1021" w:right="454"/>
        <w:rPr>
          <w:rFonts w:ascii="Arial" w:hAnsi="Arial" w:cs="Arial"/>
          <w:b/>
          <w:sz w:val="24"/>
          <w:szCs w:val="24"/>
        </w:rPr>
      </w:pPr>
      <w:r w:rsidRPr="0071546E">
        <w:rPr>
          <w:rFonts w:ascii="Arial" w:eastAsiaTheme="minorEastAsia" w:hAnsi="Arial" w:cs="Arial"/>
          <w:b/>
          <w:sz w:val="24"/>
          <w:szCs w:val="24"/>
        </w:rPr>
        <w:t xml:space="preserve">3.3.3 </w:t>
      </w:r>
      <w:r w:rsidRPr="0071546E">
        <w:rPr>
          <w:rFonts w:ascii="Arial" w:hAnsi="Arial" w:cs="Arial"/>
          <w:b/>
          <w:sz w:val="24"/>
          <w:szCs w:val="24"/>
        </w:rPr>
        <w:t>Comparison of different lysis method</w:t>
      </w:r>
    </w:p>
    <w:p w:rsidR="007D08AE" w:rsidRPr="0071546E" w:rsidRDefault="007D08AE" w:rsidP="00CF13FE">
      <w:pPr>
        <w:spacing w:after="200" w:line="480" w:lineRule="auto"/>
        <w:ind w:left="1021" w:right="454"/>
        <w:jc w:val="both"/>
        <w:rPr>
          <w:rFonts w:ascii="Arial" w:hAnsi="Arial" w:cs="Arial"/>
          <w:sz w:val="24"/>
          <w:szCs w:val="24"/>
        </w:rPr>
      </w:pPr>
      <w:r w:rsidRPr="0071546E">
        <w:rPr>
          <w:rFonts w:ascii="Arial" w:hAnsi="Arial" w:cs="Arial"/>
          <w:sz w:val="24"/>
          <w:szCs w:val="24"/>
        </w:rPr>
        <w:t xml:space="preserve">The further investigation compared the use of lysozyme, detergent lysis and sonication, </w:t>
      </w:r>
      <w:r w:rsidR="00BE11C1" w:rsidRPr="0071546E">
        <w:rPr>
          <w:rFonts w:ascii="Arial" w:hAnsi="Arial" w:cs="Arial"/>
          <w:sz w:val="24"/>
          <w:szCs w:val="24"/>
        </w:rPr>
        <w:t>to</w:t>
      </w:r>
      <w:r w:rsidRPr="0071546E">
        <w:rPr>
          <w:rFonts w:ascii="Arial" w:hAnsi="Arial" w:cs="Arial"/>
          <w:sz w:val="24"/>
          <w:szCs w:val="24"/>
        </w:rPr>
        <w:t xml:space="preserve"> determine the most suitable method for controlled lysis of </w:t>
      </w:r>
      <w:r w:rsidRPr="0071546E">
        <w:rPr>
          <w:rFonts w:ascii="Arial" w:hAnsi="Arial" w:cs="Arial"/>
          <w:i/>
          <w:sz w:val="24"/>
          <w:szCs w:val="24"/>
        </w:rPr>
        <w:t>Acanthamoeba</w:t>
      </w:r>
      <w:r w:rsidRPr="0071546E">
        <w:rPr>
          <w:rFonts w:ascii="Arial" w:hAnsi="Arial" w:cs="Arial"/>
          <w:sz w:val="24"/>
          <w:szCs w:val="24"/>
        </w:rPr>
        <w:t xml:space="preserve"> cysts</w:t>
      </w:r>
    </w:p>
    <w:p w:rsidR="007D08AE" w:rsidRPr="0071546E" w:rsidRDefault="007D08AE" w:rsidP="00CF13FE">
      <w:pPr>
        <w:spacing w:before="100" w:after="200" w:line="240" w:lineRule="atLeast"/>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1B90A8D3" wp14:editId="17A973AE">
            <wp:extent cx="4737100" cy="3423138"/>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7D08AE" w:rsidRPr="0071546E" w:rsidRDefault="007D08AE" w:rsidP="00CF13FE">
      <w:pPr>
        <w:spacing w:before="100" w:after="200" w:line="240" w:lineRule="auto"/>
        <w:ind w:left="1021" w:right="454"/>
        <w:jc w:val="both"/>
        <w:rPr>
          <w:rFonts w:ascii="Arial" w:eastAsiaTheme="minorEastAsia" w:hAnsi="Arial" w:cs="Arial"/>
          <w:sz w:val="20"/>
          <w:szCs w:val="20"/>
        </w:rPr>
      </w:pPr>
      <w:r w:rsidRPr="0071546E">
        <w:rPr>
          <w:rFonts w:ascii="Arial" w:eastAsiaTheme="minorEastAsia" w:hAnsi="Arial" w:cs="Arial"/>
          <w:sz w:val="20"/>
          <w:szCs w:val="20"/>
        </w:rPr>
        <w:t>Fig 3.1</w:t>
      </w:r>
      <w:r w:rsidR="00EE79A3" w:rsidRPr="0071546E">
        <w:rPr>
          <w:rFonts w:ascii="Arial" w:eastAsiaTheme="minorEastAsia" w:hAnsi="Arial" w:cs="Arial"/>
          <w:sz w:val="20"/>
          <w:szCs w:val="20"/>
        </w:rPr>
        <w:t>5</w:t>
      </w:r>
      <w:r w:rsidRPr="0071546E">
        <w:rPr>
          <w:rFonts w:ascii="Arial" w:eastAsiaTheme="minorEastAsia" w:hAnsi="Arial" w:cs="Arial"/>
          <w:sz w:val="20"/>
          <w:szCs w:val="20"/>
        </w:rPr>
        <w:t xml:space="preserve"> Activity of released intracellular ATP after lysis of </w:t>
      </w:r>
      <w:r w:rsidRPr="0071546E">
        <w:rPr>
          <w:rFonts w:ascii="Arial" w:eastAsiaTheme="minorEastAsia" w:hAnsi="Arial" w:cs="Arial"/>
          <w:i/>
          <w:sz w:val="20"/>
          <w:szCs w:val="20"/>
        </w:rPr>
        <w:t>Acanthamoeba</w:t>
      </w:r>
      <w:r w:rsidRPr="0071546E">
        <w:rPr>
          <w:rFonts w:ascii="Arial" w:eastAsiaTheme="minorEastAsia" w:hAnsi="Arial" w:cs="Arial"/>
          <w:sz w:val="20"/>
          <w:szCs w:val="20"/>
        </w:rPr>
        <w:t xml:space="preserve"> cysts with different lysis methods. LYZ represents lysis with </w:t>
      </w:r>
      <w:r w:rsidR="00BE11C1" w:rsidRPr="0071546E">
        <w:rPr>
          <w:rFonts w:ascii="Arial" w:eastAsiaTheme="minorEastAsia" w:hAnsi="Arial" w:cs="Arial"/>
          <w:sz w:val="20"/>
          <w:szCs w:val="20"/>
        </w:rPr>
        <w:t>lysozyme;</w:t>
      </w:r>
      <w:r w:rsidRPr="0071546E">
        <w:rPr>
          <w:rFonts w:ascii="Arial" w:eastAsiaTheme="minorEastAsia" w:hAnsi="Arial" w:cs="Arial"/>
          <w:sz w:val="20"/>
          <w:szCs w:val="20"/>
        </w:rPr>
        <w:t xml:space="preserve"> DTG indicates lysis with a detergent buffer while SONI represents lysis by sonication. Two control set up was used in this experiment a negative control containing luciferase enzyme and positive control of known ATP standard. Bioluminescence (RLU) was measured at 600 nm. Error bars show SD for n=4 replicate readings.</w:t>
      </w:r>
    </w:p>
    <w:p w:rsidR="007D08AE" w:rsidRPr="0071546E" w:rsidRDefault="007D08AE" w:rsidP="00CF13FE">
      <w:pPr>
        <w:spacing w:after="200" w:line="480" w:lineRule="auto"/>
        <w:ind w:left="1021" w:right="454"/>
        <w:jc w:val="both"/>
        <w:rPr>
          <w:rFonts w:ascii="Arial" w:hAnsi="Arial" w:cs="Arial"/>
          <w:sz w:val="24"/>
          <w:szCs w:val="24"/>
        </w:rPr>
      </w:pPr>
    </w:p>
    <w:p w:rsidR="007D08AE" w:rsidRPr="0071546E" w:rsidRDefault="007D08AE" w:rsidP="00CF13FE">
      <w:pPr>
        <w:spacing w:before="100" w:after="200" w:line="480" w:lineRule="auto"/>
        <w:ind w:left="1021" w:right="454"/>
        <w:jc w:val="both"/>
        <w:rPr>
          <w:rFonts w:ascii="Arial" w:eastAsiaTheme="minorEastAsia" w:hAnsi="Arial" w:cs="Arial"/>
          <w:sz w:val="24"/>
          <w:szCs w:val="24"/>
        </w:rPr>
      </w:pPr>
    </w:p>
    <w:p w:rsidR="007D08AE" w:rsidRPr="0071546E" w:rsidRDefault="007D08AE"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The relative light unit signal showed more activity of released ATP </w:t>
      </w:r>
      <w:r w:rsidR="000959EB" w:rsidRPr="0071546E">
        <w:rPr>
          <w:rFonts w:ascii="Arial" w:eastAsiaTheme="minorEastAsia" w:hAnsi="Arial" w:cs="Arial"/>
          <w:sz w:val="24"/>
          <w:szCs w:val="24"/>
        </w:rPr>
        <w:t>using lysozyme fig</w:t>
      </w:r>
      <w:r w:rsidRPr="0071546E">
        <w:rPr>
          <w:rFonts w:ascii="Arial" w:eastAsiaTheme="minorEastAsia" w:hAnsi="Arial" w:cs="Arial"/>
          <w:sz w:val="24"/>
          <w:szCs w:val="24"/>
        </w:rPr>
        <w:t xml:space="preserve"> (3.1</w:t>
      </w:r>
      <w:r w:rsidR="00EE79A3" w:rsidRPr="0071546E">
        <w:rPr>
          <w:rFonts w:ascii="Arial" w:eastAsiaTheme="minorEastAsia" w:hAnsi="Arial" w:cs="Arial"/>
          <w:sz w:val="24"/>
          <w:szCs w:val="24"/>
        </w:rPr>
        <w:t>5</w:t>
      </w:r>
      <w:r w:rsidRPr="0071546E">
        <w:rPr>
          <w:rFonts w:ascii="Arial" w:eastAsiaTheme="minorEastAsia" w:hAnsi="Arial" w:cs="Arial"/>
          <w:sz w:val="24"/>
          <w:szCs w:val="24"/>
        </w:rPr>
        <w:t>) compared with sonication and detergent lysis. Further optimisation of the ATP assay involves confirming a linear relationship between the amount of ATP and bioluminescence using known concentrations of ATP (fig 3.1</w:t>
      </w:r>
      <w:r w:rsidR="00EE79A3" w:rsidRPr="0071546E">
        <w:rPr>
          <w:rFonts w:ascii="Arial" w:eastAsiaTheme="minorEastAsia" w:hAnsi="Arial" w:cs="Arial"/>
          <w:sz w:val="24"/>
          <w:szCs w:val="24"/>
        </w:rPr>
        <w:t>5</w:t>
      </w:r>
      <w:r w:rsidRPr="0071546E">
        <w:rPr>
          <w:rFonts w:ascii="Arial" w:eastAsiaTheme="minorEastAsia" w:hAnsi="Arial" w:cs="Arial"/>
          <w:sz w:val="24"/>
          <w:szCs w:val="24"/>
        </w:rPr>
        <w:t>).</w:t>
      </w:r>
    </w:p>
    <w:p w:rsidR="00D32381" w:rsidRPr="0071546E" w:rsidRDefault="00D32381" w:rsidP="00CF13FE">
      <w:pPr>
        <w:spacing w:before="100" w:after="200" w:line="480" w:lineRule="auto"/>
        <w:ind w:left="1021" w:right="454"/>
        <w:jc w:val="both"/>
        <w:rPr>
          <w:rFonts w:ascii="Arial" w:eastAsiaTheme="minorEastAsia" w:hAnsi="Arial" w:cs="Arial"/>
          <w:b/>
          <w:sz w:val="24"/>
          <w:szCs w:val="24"/>
        </w:rPr>
      </w:pPr>
    </w:p>
    <w:p w:rsidR="007D08AE" w:rsidRPr="0071546E" w:rsidRDefault="007D08AE" w:rsidP="00CF13FE">
      <w:pPr>
        <w:spacing w:before="100" w:after="200" w:line="480" w:lineRule="auto"/>
        <w:ind w:left="1021" w:right="454"/>
        <w:jc w:val="both"/>
        <w:rPr>
          <w:rFonts w:ascii="Arial" w:eastAsiaTheme="minorEastAsia" w:hAnsi="Arial" w:cs="Arial"/>
          <w:b/>
          <w:sz w:val="24"/>
          <w:szCs w:val="24"/>
        </w:rPr>
      </w:pPr>
      <w:r w:rsidRPr="0071546E">
        <w:rPr>
          <w:rFonts w:ascii="Arial" w:eastAsiaTheme="minorEastAsia" w:hAnsi="Arial" w:cs="Arial"/>
          <w:b/>
          <w:sz w:val="24"/>
          <w:szCs w:val="24"/>
        </w:rPr>
        <w:t xml:space="preserve">3.3.4 Duration for complete lysis of </w:t>
      </w:r>
      <w:r w:rsidRPr="0071546E">
        <w:rPr>
          <w:rFonts w:ascii="Arial" w:eastAsiaTheme="minorEastAsia" w:hAnsi="Arial" w:cs="Arial"/>
          <w:b/>
          <w:i/>
          <w:sz w:val="24"/>
          <w:szCs w:val="24"/>
        </w:rPr>
        <w:t>Acanthamoeba</w:t>
      </w:r>
      <w:r w:rsidRPr="0071546E">
        <w:rPr>
          <w:rFonts w:ascii="Arial" w:eastAsiaTheme="minorEastAsia" w:hAnsi="Arial" w:cs="Arial"/>
          <w:b/>
          <w:sz w:val="24"/>
          <w:szCs w:val="24"/>
        </w:rPr>
        <w:t xml:space="preserve"> cyst with lysozyme.</w:t>
      </w:r>
    </w:p>
    <w:p w:rsidR="006948F4" w:rsidRPr="0071546E" w:rsidRDefault="006948F4"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Further investigation was carried out to determine the time taken for complete lysis of cysts by lysozyme</w:t>
      </w:r>
    </w:p>
    <w:p w:rsidR="006948F4" w:rsidRPr="0071546E" w:rsidRDefault="006948F4" w:rsidP="00CF13FE">
      <w:pPr>
        <w:spacing w:before="100" w:after="200" w:line="240" w:lineRule="atLeast"/>
        <w:ind w:left="1021" w:right="454"/>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40B58AC0" wp14:editId="0F98B95A">
            <wp:extent cx="4615543" cy="314579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6948F4" w:rsidRPr="0071546E" w:rsidRDefault="006948F4" w:rsidP="00CF13F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Fig 3.1</w:t>
      </w:r>
      <w:r w:rsidR="00EE79A3" w:rsidRPr="0071546E">
        <w:rPr>
          <w:rFonts w:ascii="Arial" w:eastAsiaTheme="minorEastAsia" w:hAnsi="Arial" w:cs="Arial"/>
          <w:sz w:val="20"/>
          <w:szCs w:val="20"/>
        </w:rPr>
        <w:t>6</w:t>
      </w:r>
      <w:r w:rsidRPr="0071546E">
        <w:rPr>
          <w:rFonts w:ascii="Arial" w:eastAsiaTheme="minorEastAsia" w:hAnsi="Arial" w:cs="Arial"/>
          <w:sz w:val="20"/>
          <w:szCs w:val="20"/>
        </w:rPr>
        <w:t xml:space="preserve"> Percentage lysis of </w:t>
      </w:r>
      <w:r w:rsidRPr="0071546E">
        <w:rPr>
          <w:rFonts w:ascii="Arial" w:eastAsiaTheme="minorEastAsia" w:hAnsi="Arial" w:cs="Arial"/>
          <w:i/>
          <w:sz w:val="20"/>
          <w:szCs w:val="20"/>
        </w:rPr>
        <w:t>Acanthamoeba</w:t>
      </w:r>
      <w:r w:rsidRPr="0071546E">
        <w:rPr>
          <w:rFonts w:ascii="Arial" w:eastAsiaTheme="minorEastAsia" w:hAnsi="Arial" w:cs="Arial"/>
          <w:sz w:val="20"/>
          <w:szCs w:val="20"/>
        </w:rPr>
        <w:t xml:space="preserve"> cysts after 40 </w:t>
      </w:r>
      <w:r w:rsidR="0030703E" w:rsidRPr="0071546E">
        <w:rPr>
          <w:rFonts w:ascii="Arial" w:eastAsiaTheme="minorEastAsia" w:hAnsi="Arial" w:cs="Arial"/>
          <w:sz w:val="20"/>
          <w:szCs w:val="20"/>
        </w:rPr>
        <w:t>minutes’</w:t>
      </w:r>
      <w:r w:rsidRPr="0071546E">
        <w:rPr>
          <w:rFonts w:ascii="Arial" w:eastAsiaTheme="minorEastAsia" w:hAnsi="Arial" w:cs="Arial"/>
          <w:sz w:val="20"/>
          <w:szCs w:val="20"/>
        </w:rPr>
        <w:t xml:space="preserve"> incubation at 30</w:t>
      </w:r>
      <w:r w:rsidRPr="0071546E">
        <w:rPr>
          <w:rFonts w:ascii="Arial" w:eastAsiaTheme="minorEastAsia" w:hAnsi="Arial" w:cs="Arial"/>
          <w:sz w:val="20"/>
          <w:szCs w:val="20"/>
          <w:vertAlign w:val="superscript"/>
        </w:rPr>
        <w:t>o</w:t>
      </w:r>
      <w:r w:rsidRPr="0071546E">
        <w:rPr>
          <w:rFonts w:ascii="Arial" w:eastAsiaTheme="minorEastAsia" w:hAnsi="Arial" w:cs="Arial"/>
          <w:sz w:val="20"/>
          <w:szCs w:val="20"/>
        </w:rPr>
        <w:t>C.  The error bars show SD for n=4 replicate readings. Percentage lysis was calculated after dye exclusion with trypan blue.</w:t>
      </w:r>
    </w:p>
    <w:p w:rsidR="006948F4" w:rsidRPr="0071546E" w:rsidRDefault="006948F4"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Results in fig (3.1</w:t>
      </w:r>
      <w:r w:rsidR="00EE79A3" w:rsidRPr="0071546E">
        <w:rPr>
          <w:rFonts w:ascii="Arial" w:eastAsiaTheme="minorEastAsia" w:hAnsi="Arial" w:cs="Arial"/>
          <w:sz w:val="24"/>
          <w:szCs w:val="24"/>
        </w:rPr>
        <w:t>6</w:t>
      </w:r>
      <w:r w:rsidRPr="0071546E">
        <w:rPr>
          <w:rFonts w:ascii="Arial" w:eastAsiaTheme="minorEastAsia" w:hAnsi="Arial" w:cs="Arial"/>
          <w:sz w:val="24"/>
          <w:szCs w:val="24"/>
        </w:rPr>
        <w:t xml:space="preserve">) showed that approximately 100 % of the cell in a population of cysts </w:t>
      </w:r>
      <w:r w:rsidR="00BE11C1" w:rsidRPr="0071546E">
        <w:rPr>
          <w:rFonts w:ascii="Arial" w:eastAsiaTheme="minorEastAsia" w:hAnsi="Arial" w:cs="Arial"/>
          <w:sz w:val="24"/>
          <w:szCs w:val="24"/>
        </w:rPr>
        <w:t>would</w:t>
      </w:r>
      <w:r w:rsidRPr="0071546E">
        <w:rPr>
          <w:rFonts w:ascii="Arial" w:eastAsiaTheme="minorEastAsia" w:hAnsi="Arial" w:cs="Arial"/>
          <w:sz w:val="24"/>
          <w:szCs w:val="24"/>
        </w:rPr>
        <w:t xml:space="preserve"> be completely degraded after 30 - 40 </w:t>
      </w:r>
      <w:r w:rsidR="0030703E" w:rsidRPr="0071546E">
        <w:rPr>
          <w:rFonts w:ascii="Arial" w:eastAsiaTheme="minorEastAsia" w:hAnsi="Arial" w:cs="Arial"/>
          <w:sz w:val="24"/>
          <w:szCs w:val="24"/>
        </w:rPr>
        <w:t>minutes’</w:t>
      </w:r>
      <w:r w:rsidRPr="0071546E">
        <w:rPr>
          <w:rFonts w:ascii="Arial" w:eastAsiaTheme="minorEastAsia" w:hAnsi="Arial" w:cs="Arial"/>
          <w:sz w:val="24"/>
          <w:szCs w:val="24"/>
        </w:rPr>
        <w:t xml:space="preserve"> incubation</w:t>
      </w:r>
    </w:p>
    <w:p w:rsidR="00EE79A3" w:rsidRPr="0071546E" w:rsidRDefault="00EE79A3" w:rsidP="00CF13FE">
      <w:pPr>
        <w:spacing w:before="100" w:after="200" w:line="480" w:lineRule="auto"/>
        <w:ind w:left="1021" w:right="454"/>
        <w:jc w:val="both"/>
        <w:rPr>
          <w:rFonts w:ascii="Arial" w:eastAsiaTheme="minorEastAsia" w:hAnsi="Arial" w:cs="Arial"/>
          <w:sz w:val="24"/>
          <w:szCs w:val="24"/>
        </w:rPr>
      </w:pPr>
    </w:p>
    <w:p w:rsidR="00EE79A3" w:rsidRPr="0071546E" w:rsidRDefault="00EE79A3" w:rsidP="00CF13FE">
      <w:pPr>
        <w:spacing w:before="100" w:after="200" w:line="480" w:lineRule="auto"/>
        <w:ind w:left="1021" w:right="454"/>
        <w:jc w:val="both"/>
        <w:rPr>
          <w:rFonts w:ascii="Arial" w:eastAsiaTheme="minorEastAsia" w:hAnsi="Arial" w:cs="Arial"/>
          <w:b/>
          <w:sz w:val="24"/>
          <w:szCs w:val="24"/>
        </w:rPr>
      </w:pPr>
    </w:p>
    <w:p w:rsidR="001E70FD" w:rsidRPr="0071546E" w:rsidRDefault="006948F4" w:rsidP="00CF13FE">
      <w:pPr>
        <w:spacing w:before="100" w:after="200" w:line="480" w:lineRule="auto"/>
        <w:ind w:left="1021" w:right="454"/>
        <w:jc w:val="both"/>
        <w:rPr>
          <w:rFonts w:ascii="Arial" w:eastAsiaTheme="minorEastAsia" w:hAnsi="Arial" w:cs="Arial"/>
          <w:b/>
          <w:sz w:val="24"/>
          <w:szCs w:val="24"/>
        </w:rPr>
      </w:pPr>
      <w:r w:rsidRPr="0071546E">
        <w:rPr>
          <w:rFonts w:ascii="Arial" w:eastAsiaTheme="minorEastAsia" w:hAnsi="Arial" w:cs="Arial"/>
          <w:b/>
          <w:sz w:val="24"/>
          <w:szCs w:val="24"/>
        </w:rPr>
        <w:t>3.3.5 TEM imaging of cysts lysed with lysozyme</w:t>
      </w:r>
    </w:p>
    <w:p w:rsidR="006948F4" w:rsidRPr="0071546E" w:rsidRDefault="006948F4"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To evaluate enzymatic lysis of </w:t>
      </w:r>
      <w:r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cells, hen’s egg white lysozyme was used. Availability was the bases for selection of hen’s egg</w:t>
      </w:r>
      <w:r w:rsidR="00563D9A" w:rsidRPr="0071546E">
        <w:rPr>
          <w:rFonts w:ascii="Arial" w:eastAsiaTheme="minorEastAsia" w:hAnsi="Arial" w:cs="Arial"/>
          <w:sz w:val="24"/>
          <w:szCs w:val="24"/>
        </w:rPr>
        <w:t>-</w:t>
      </w:r>
      <w:r w:rsidRPr="0071546E">
        <w:rPr>
          <w:rFonts w:ascii="Arial" w:eastAsiaTheme="minorEastAsia" w:hAnsi="Arial" w:cs="Arial"/>
          <w:sz w:val="24"/>
          <w:szCs w:val="24"/>
        </w:rPr>
        <w:t>white lysozyme.</w:t>
      </w:r>
      <w:r w:rsidRPr="0071546E">
        <w:rPr>
          <w:rFonts w:ascii="Arial" w:eastAsiaTheme="minorEastAsia" w:hAnsi="Arial" w:cs="Arial"/>
          <w:i/>
          <w:sz w:val="24"/>
          <w:szCs w:val="24"/>
        </w:rPr>
        <w:t xml:space="preserve"> </w:t>
      </w:r>
      <w:r w:rsidRPr="0071546E">
        <w:rPr>
          <w:rFonts w:ascii="Arial" w:eastAsiaTheme="minorEastAsia" w:hAnsi="Arial" w:cs="Arial"/>
          <w:sz w:val="24"/>
          <w:szCs w:val="24"/>
        </w:rPr>
        <w:t xml:space="preserve">Amoeba cysts were incubated with </w:t>
      </w:r>
      <w:r w:rsidR="00BE11C1" w:rsidRPr="0071546E">
        <w:rPr>
          <w:rFonts w:ascii="Arial" w:eastAsiaTheme="minorEastAsia" w:hAnsi="Arial" w:cs="Arial"/>
          <w:sz w:val="24"/>
          <w:szCs w:val="24"/>
        </w:rPr>
        <w:t>10-µM</w:t>
      </w:r>
      <w:r w:rsidRPr="0071546E">
        <w:rPr>
          <w:rFonts w:ascii="Arial" w:eastAsiaTheme="minorEastAsia" w:hAnsi="Arial" w:cs="Arial"/>
          <w:sz w:val="24"/>
          <w:szCs w:val="24"/>
        </w:rPr>
        <w:t xml:space="preserve"> lysozyme and transmission electron microscopy was used to monitor the degradation of </w:t>
      </w:r>
      <w:r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cysts cell wall</w:t>
      </w:r>
      <w:r w:rsidRPr="0071546E">
        <w:rPr>
          <w:rFonts w:ascii="Arial" w:eastAsiaTheme="minorEastAsia" w:hAnsi="Arial" w:cs="Arial"/>
          <w:b/>
          <w:sz w:val="24"/>
          <w:szCs w:val="24"/>
        </w:rPr>
        <w:t>.</w:t>
      </w:r>
      <w:r w:rsidR="00AD2301" w:rsidRPr="0071546E">
        <w:rPr>
          <w:rFonts w:ascii="Arial" w:eastAsiaTheme="minorEastAsia" w:hAnsi="Arial" w:cs="Arial"/>
          <w:b/>
          <w:sz w:val="24"/>
          <w:szCs w:val="24"/>
        </w:rPr>
        <w:t xml:space="preserve"> </w:t>
      </w:r>
      <w:r w:rsidR="00AD2301" w:rsidRPr="0071546E">
        <w:rPr>
          <w:rFonts w:ascii="Arial" w:eastAsiaTheme="minorEastAsia" w:hAnsi="Arial" w:cs="Arial"/>
          <w:sz w:val="24"/>
          <w:szCs w:val="24"/>
        </w:rPr>
        <w:t xml:space="preserve">The result compared to a sample of cell-only shows complete lysis of </w:t>
      </w:r>
      <w:r w:rsidR="00AD2301" w:rsidRPr="0071546E">
        <w:rPr>
          <w:rFonts w:ascii="Arial" w:eastAsiaTheme="minorEastAsia" w:hAnsi="Arial" w:cs="Arial"/>
          <w:i/>
          <w:sz w:val="24"/>
          <w:szCs w:val="24"/>
        </w:rPr>
        <w:t>Acanthamoeba</w:t>
      </w:r>
      <w:r w:rsidR="00AD2301" w:rsidRPr="0071546E">
        <w:rPr>
          <w:rFonts w:ascii="Arial" w:eastAsiaTheme="minorEastAsia" w:hAnsi="Arial" w:cs="Arial"/>
          <w:sz w:val="24"/>
          <w:szCs w:val="24"/>
        </w:rPr>
        <w:t xml:space="preserve"> cysts </w:t>
      </w:r>
      <w:r w:rsidR="00EE79A3" w:rsidRPr="0071546E">
        <w:rPr>
          <w:rFonts w:ascii="Arial" w:eastAsiaTheme="minorEastAsia" w:hAnsi="Arial" w:cs="Arial"/>
          <w:sz w:val="24"/>
          <w:szCs w:val="24"/>
        </w:rPr>
        <w:t xml:space="preserve">as seen below in </w:t>
      </w:r>
      <w:r w:rsidR="00AD2301" w:rsidRPr="0071546E">
        <w:rPr>
          <w:rFonts w:ascii="Arial" w:eastAsiaTheme="minorEastAsia" w:hAnsi="Arial" w:cs="Arial"/>
          <w:sz w:val="24"/>
          <w:szCs w:val="24"/>
        </w:rPr>
        <w:t>(fig 3.1</w:t>
      </w:r>
      <w:r w:rsidR="00EE79A3" w:rsidRPr="0071546E">
        <w:rPr>
          <w:rFonts w:ascii="Arial" w:eastAsiaTheme="minorEastAsia" w:hAnsi="Arial" w:cs="Arial"/>
          <w:sz w:val="24"/>
          <w:szCs w:val="24"/>
        </w:rPr>
        <w:t>7</w:t>
      </w:r>
      <w:r w:rsidR="00AD2301" w:rsidRPr="0071546E">
        <w:rPr>
          <w:rFonts w:ascii="Arial" w:eastAsiaTheme="minorEastAsia" w:hAnsi="Arial" w:cs="Arial"/>
          <w:sz w:val="24"/>
          <w:szCs w:val="24"/>
        </w:rPr>
        <w:t>)</w:t>
      </w:r>
    </w:p>
    <w:p w:rsidR="00AD2301" w:rsidRPr="0071546E" w:rsidRDefault="00C15FD6" w:rsidP="00CF13FE">
      <w:pPr>
        <w:spacing w:before="100" w:after="200" w:line="240" w:lineRule="atLeast"/>
        <w:ind w:left="1021" w:right="454"/>
        <w:jc w:val="both"/>
        <w:rPr>
          <w:rFonts w:ascii="Arial" w:eastAsiaTheme="minorEastAsia" w:hAnsi="Arial" w:cs="Arial"/>
          <w:b/>
          <w:sz w:val="24"/>
          <w:szCs w:val="24"/>
        </w:rPr>
      </w:pPr>
      <w:r w:rsidRPr="0071546E">
        <w:rPr>
          <w:rFonts w:ascii="Arial" w:eastAsiaTheme="minorEastAsia" w:hAnsi="Arial" w:cs="Arial"/>
          <w:b/>
          <w:sz w:val="24"/>
          <w:szCs w:val="24"/>
        </w:rPr>
        <w:t xml:space="preserve"> </w:t>
      </w:r>
      <w:r w:rsidR="00AD2301" w:rsidRPr="0071546E">
        <w:rPr>
          <w:noProof/>
          <w:lang w:eastAsia="en-GB"/>
        </w:rPr>
        <w:drawing>
          <wp:inline distT="0" distB="0" distL="0" distR="0" wp14:anchorId="68000CA1" wp14:editId="64F1732C">
            <wp:extent cx="4738967" cy="423672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773066" cy="4267205"/>
                    </a:xfrm>
                    <a:prstGeom prst="rect">
                      <a:avLst/>
                    </a:prstGeom>
                  </pic:spPr>
                </pic:pic>
              </a:graphicData>
            </a:graphic>
          </wp:inline>
        </w:drawing>
      </w:r>
    </w:p>
    <w:p w:rsidR="00AD2301" w:rsidRPr="0071546E" w:rsidRDefault="004C61F4" w:rsidP="00CF13FE">
      <w:pPr>
        <w:spacing w:before="100" w:after="200" w:line="240" w:lineRule="atLeast"/>
        <w:ind w:left="1021" w:right="454"/>
        <w:jc w:val="both"/>
        <w:rPr>
          <w:rFonts w:ascii="Arial" w:eastAsiaTheme="minorEastAsia" w:hAnsi="Arial" w:cs="Arial"/>
          <w:b/>
          <w:sz w:val="24"/>
          <w:szCs w:val="24"/>
        </w:rPr>
      </w:pPr>
      <w:r w:rsidRPr="0071546E">
        <w:rPr>
          <w:rFonts w:ascii="Arial" w:eastAsiaTheme="minorEastAsia" w:hAnsi="Arial" w:cs="Arial"/>
          <w:sz w:val="20"/>
          <w:szCs w:val="20"/>
        </w:rPr>
        <w:t>Fig 3.1</w:t>
      </w:r>
      <w:r w:rsidR="00EE79A3" w:rsidRPr="0071546E">
        <w:rPr>
          <w:rFonts w:ascii="Arial" w:eastAsiaTheme="minorEastAsia" w:hAnsi="Arial" w:cs="Arial"/>
          <w:sz w:val="20"/>
          <w:szCs w:val="20"/>
        </w:rPr>
        <w:t>7</w:t>
      </w:r>
      <w:r w:rsidR="00AD2301" w:rsidRPr="0071546E">
        <w:rPr>
          <w:rFonts w:ascii="Arial" w:eastAsiaTheme="minorEastAsia" w:hAnsi="Arial" w:cs="Arial"/>
          <w:sz w:val="20"/>
          <w:szCs w:val="20"/>
        </w:rPr>
        <w:t xml:space="preserve"> Degradation of </w:t>
      </w:r>
      <w:r w:rsidR="00AD2301" w:rsidRPr="0071546E">
        <w:rPr>
          <w:rFonts w:ascii="Arial" w:eastAsiaTheme="minorEastAsia" w:hAnsi="Arial" w:cs="Arial"/>
          <w:i/>
          <w:sz w:val="20"/>
          <w:szCs w:val="20"/>
        </w:rPr>
        <w:t>Acanthamoeba</w:t>
      </w:r>
      <w:r w:rsidR="00AD2301" w:rsidRPr="0071546E">
        <w:rPr>
          <w:rFonts w:ascii="Arial" w:eastAsiaTheme="minorEastAsia" w:hAnsi="Arial" w:cs="Arial"/>
          <w:sz w:val="20"/>
          <w:szCs w:val="20"/>
        </w:rPr>
        <w:t xml:space="preserve"> cysts by 10 mM HEW lysozyme as seen by TEM (A</w:t>
      </w:r>
      <w:r w:rsidR="00BE11C1" w:rsidRPr="0071546E">
        <w:rPr>
          <w:rFonts w:ascii="Arial" w:eastAsiaTheme="minorEastAsia" w:hAnsi="Arial" w:cs="Arial"/>
          <w:sz w:val="20"/>
          <w:szCs w:val="20"/>
        </w:rPr>
        <w:t>) control</w:t>
      </w:r>
      <w:r w:rsidR="00AD2301" w:rsidRPr="0071546E">
        <w:rPr>
          <w:rFonts w:ascii="Arial" w:eastAsiaTheme="minorEastAsia" w:hAnsi="Arial" w:cs="Arial"/>
          <w:sz w:val="20"/>
          <w:szCs w:val="20"/>
        </w:rPr>
        <w:t xml:space="preserve"> of cysts which are not treated with lysozyme (B) shows a replicate of cyst not exposed to lysozyme. Yellow arrows in (A) and (B) shows the endocyst and the exocyst, purple arrow shows the mitochondria while the green arrow shows nucleus. Sample (C), shows sample treated with lysozyme.</w:t>
      </w:r>
      <w:r w:rsidR="00491997" w:rsidRPr="0071546E">
        <w:rPr>
          <w:rFonts w:ascii="Arial" w:eastAsiaTheme="minorEastAsia" w:hAnsi="Arial" w:cs="Arial"/>
          <w:sz w:val="20"/>
          <w:szCs w:val="20"/>
        </w:rPr>
        <w:t xml:space="preserve"> </w:t>
      </w:r>
      <w:r w:rsidR="00AD2301" w:rsidRPr="0071546E">
        <w:rPr>
          <w:rFonts w:ascii="Arial" w:eastAsiaTheme="minorEastAsia" w:hAnsi="Arial" w:cs="Arial"/>
          <w:sz w:val="20"/>
          <w:szCs w:val="20"/>
        </w:rPr>
        <w:t xml:space="preserve">We can see what appear to be the remains of the endocyst, however, most of the cell structures </w:t>
      </w:r>
      <w:r w:rsidR="007D7D7D" w:rsidRPr="0071546E">
        <w:rPr>
          <w:rFonts w:ascii="Arial" w:eastAsiaTheme="minorEastAsia" w:hAnsi="Arial" w:cs="Arial"/>
          <w:sz w:val="20"/>
          <w:szCs w:val="20"/>
        </w:rPr>
        <w:t>were missing</w:t>
      </w:r>
    </w:p>
    <w:p w:rsidR="00C15FD6" w:rsidRPr="0071546E" w:rsidRDefault="00C15FD6" w:rsidP="003333B5">
      <w:pPr>
        <w:spacing w:before="100" w:after="200" w:line="480" w:lineRule="auto"/>
        <w:ind w:right="454"/>
        <w:jc w:val="both"/>
        <w:rPr>
          <w:rFonts w:ascii="Arial" w:eastAsiaTheme="minorEastAsia" w:hAnsi="Arial" w:cs="Arial"/>
          <w:sz w:val="24"/>
          <w:szCs w:val="24"/>
        </w:rPr>
      </w:pPr>
    </w:p>
    <w:p w:rsidR="001E70FD" w:rsidRPr="0071546E" w:rsidRDefault="00491997" w:rsidP="00CF13FE">
      <w:pPr>
        <w:spacing w:before="100" w:after="200" w:line="480" w:lineRule="auto"/>
        <w:ind w:left="1021" w:right="454"/>
        <w:jc w:val="both"/>
        <w:rPr>
          <w:rFonts w:ascii="Arial" w:eastAsiaTheme="minorEastAsia" w:hAnsi="Arial" w:cs="Arial"/>
          <w:b/>
          <w:sz w:val="24"/>
          <w:szCs w:val="24"/>
        </w:rPr>
      </w:pPr>
      <w:r w:rsidRPr="0071546E">
        <w:rPr>
          <w:rFonts w:ascii="Arial" w:eastAsiaTheme="minorEastAsia" w:hAnsi="Arial" w:cs="Arial"/>
          <w:b/>
          <w:sz w:val="24"/>
          <w:szCs w:val="24"/>
        </w:rPr>
        <w:t xml:space="preserve">       </w:t>
      </w:r>
      <w:r w:rsidR="00AD2301" w:rsidRPr="0071546E">
        <w:rPr>
          <w:rFonts w:ascii="Arial" w:eastAsiaTheme="minorEastAsia" w:hAnsi="Arial" w:cs="Arial"/>
          <w:b/>
          <w:sz w:val="24"/>
          <w:szCs w:val="24"/>
        </w:rPr>
        <w:t xml:space="preserve"> 3.3.6 </w:t>
      </w:r>
      <w:r w:rsidR="00AD2301" w:rsidRPr="0071546E">
        <w:rPr>
          <w:rFonts w:ascii="Arial" w:eastAsiaTheme="minorEastAsia" w:hAnsi="Arial" w:cs="Arial"/>
          <w:b/>
          <w:i/>
          <w:sz w:val="24"/>
          <w:szCs w:val="24"/>
        </w:rPr>
        <w:t>Acanthamoeba</w:t>
      </w:r>
      <w:r w:rsidR="00AD2301" w:rsidRPr="0071546E">
        <w:rPr>
          <w:rFonts w:ascii="Arial" w:eastAsiaTheme="minorEastAsia" w:hAnsi="Arial" w:cs="Arial"/>
          <w:b/>
          <w:sz w:val="24"/>
          <w:szCs w:val="24"/>
        </w:rPr>
        <w:t xml:space="preserve"> cell concentration curve</w:t>
      </w:r>
    </w:p>
    <w:p w:rsidR="00AD2301" w:rsidRPr="0071546E" w:rsidRDefault="00C15FD6" w:rsidP="00CF13FE">
      <w:pPr>
        <w:spacing w:before="100" w:after="200" w:line="480" w:lineRule="auto"/>
        <w:ind w:right="454"/>
        <w:jc w:val="both"/>
        <w:rPr>
          <w:rFonts w:ascii="Arial" w:eastAsiaTheme="minorEastAsia" w:hAnsi="Arial" w:cs="Arial"/>
          <w:sz w:val="24"/>
          <w:szCs w:val="24"/>
        </w:rPr>
      </w:pPr>
      <w:r w:rsidRPr="0071546E">
        <w:rPr>
          <w:rFonts w:ascii="Arial" w:eastAsiaTheme="minorEastAsia" w:hAnsi="Arial" w:cs="Arial"/>
          <w:noProof/>
          <w:sz w:val="24"/>
          <w:szCs w:val="24"/>
          <w:lang w:eastAsia="en-GB"/>
        </w:rPr>
        <mc:AlternateContent>
          <mc:Choice Requires="wps">
            <w:drawing>
              <wp:anchor distT="0" distB="0" distL="114300" distR="114300" simplePos="0" relativeHeight="251717632" behindDoc="0" locked="0" layoutInCell="1" allowOverlap="1">
                <wp:simplePos x="0" y="0"/>
                <wp:positionH relativeFrom="column">
                  <wp:posOffset>1516977</wp:posOffset>
                </wp:positionH>
                <wp:positionV relativeFrom="paragraph">
                  <wp:posOffset>172475</wp:posOffset>
                </wp:positionV>
                <wp:extent cx="439387" cy="415636"/>
                <wp:effectExtent l="0" t="0" r="0" b="3810"/>
                <wp:wrapNone/>
                <wp:docPr id="45" name="Text Box 45"/>
                <wp:cNvGraphicFramePr/>
                <a:graphic xmlns:a="http://schemas.openxmlformats.org/drawingml/2006/main">
                  <a:graphicData uri="http://schemas.microsoft.com/office/word/2010/wordprocessingShape">
                    <wps:wsp>
                      <wps:cNvSpPr txBox="1"/>
                      <wps:spPr>
                        <a:xfrm>
                          <a:off x="0" y="0"/>
                          <a:ext cx="439387" cy="4156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7A14" w:rsidRPr="004C61F4" w:rsidRDefault="00A87A14">
                            <w:pPr>
                              <w:rPr>
                                <w:rFonts w:ascii="Arial" w:hAnsi="Arial" w:cs="Arial"/>
                                <w:sz w:val="24"/>
                              </w:rPr>
                            </w:pPr>
                            <w:r w:rsidRPr="004C61F4">
                              <w:rPr>
                                <w:rFonts w:ascii="Arial" w:hAnsi="Arial" w:cs="Arial"/>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5" o:spid="_x0000_s1054" type="#_x0000_t202" style="position:absolute;left:0;text-align:left;margin-left:119.45pt;margin-top:13.6pt;width:34.6pt;height:32.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" fillcolor="white [3201]" stroked="f" strokeweight=".5pt">
                <v:textbox>
                  <w:txbxContent>
                    <w:p w:rsidR="00A87A14" w:rsidRPr="004C61F4" w:rsidRDefault="00A87A14">
                      <w:pPr>
                        <w:rPr>
                          <w:rFonts w:ascii="Arial" w:hAnsi="Arial" w:cs="Arial"/>
                          <w:sz w:val="24"/>
                        </w:rPr>
                      </w:pPr>
                      <w:r w:rsidRPr="004C61F4">
                        <w:rPr>
                          <w:rFonts w:ascii="Arial" w:hAnsi="Arial" w:cs="Arial"/>
                          <w:sz w:val="24"/>
                        </w:rPr>
                        <w:t>A</w:t>
                      </w:r>
                    </w:p>
                  </w:txbxContent>
                </v:textbox>
              </v:shape>
            </w:pict>
          </mc:Fallback>
        </mc:AlternateContent>
      </w:r>
      <w:r w:rsidRPr="0071546E">
        <w:rPr>
          <w:rFonts w:ascii="Arial" w:eastAsiaTheme="minorEastAsia" w:hAnsi="Arial" w:cs="Arial"/>
          <w:sz w:val="24"/>
          <w:szCs w:val="24"/>
        </w:rPr>
        <w:t xml:space="preserve">       </w:t>
      </w:r>
      <w:r w:rsidR="008923EA" w:rsidRPr="0071546E">
        <w:rPr>
          <w:noProof/>
          <w:lang w:eastAsia="en-GB"/>
        </w:rPr>
        <w:drawing>
          <wp:inline distT="0" distB="0" distL="0" distR="0" wp14:anchorId="09063D35" wp14:editId="33013D4B">
            <wp:extent cx="4880473" cy="3040380"/>
            <wp:effectExtent l="0" t="0" r="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D2301" w:rsidRPr="0071546E" w:rsidRDefault="00C15FD6" w:rsidP="00CF13FE">
      <w:pPr>
        <w:spacing w:before="100" w:after="200" w:line="240" w:lineRule="atLeast"/>
        <w:ind w:right="454"/>
        <w:jc w:val="both"/>
        <w:rPr>
          <w:rFonts w:ascii="Arial" w:eastAsiaTheme="minorEastAsia" w:hAnsi="Arial" w:cs="Arial"/>
          <w:sz w:val="24"/>
          <w:szCs w:val="24"/>
        </w:rPr>
      </w:pPr>
      <w:r w:rsidRPr="0071546E">
        <w:rPr>
          <w:rFonts w:ascii="Arial" w:eastAsiaTheme="minorEastAsia" w:hAnsi="Arial" w:cs="Arial"/>
          <w:noProof/>
          <w:sz w:val="24"/>
          <w:szCs w:val="24"/>
          <w:lang w:eastAsia="en-GB"/>
        </w:rPr>
        <mc:AlternateContent>
          <mc:Choice Requires="wps">
            <w:drawing>
              <wp:anchor distT="0" distB="0" distL="114300" distR="114300" simplePos="0" relativeHeight="251718656" behindDoc="0" locked="0" layoutInCell="1" allowOverlap="1">
                <wp:simplePos x="0" y="0"/>
                <wp:positionH relativeFrom="column">
                  <wp:posOffset>1534788</wp:posOffset>
                </wp:positionH>
                <wp:positionV relativeFrom="paragraph">
                  <wp:posOffset>411128</wp:posOffset>
                </wp:positionV>
                <wp:extent cx="427512" cy="463138"/>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27512"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7A14" w:rsidRPr="008923EA" w:rsidRDefault="00A87A14">
                            <w:pPr>
                              <w:rPr>
                                <w:rFonts w:ascii="Arial" w:hAnsi="Arial" w:cs="Arial"/>
                                <w:b/>
                                <w:sz w:val="24"/>
                              </w:rPr>
                            </w:pPr>
                            <w:r w:rsidRPr="008923EA">
                              <w:rPr>
                                <w:rFonts w:ascii="Arial" w:hAnsi="Arial" w:cs="Arial"/>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6" o:spid="_x0000_s1055" type="#_x0000_t202" style="position:absolute;left:0;text-align:left;margin-left:120.85pt;margin-top:32.35pt;width:33.65pt;height:36.4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" fillcolor="white [3201]" stroked="f" strokeweight=".5pt">
                <v:textbox>
                  <w:txbxContent>
                    <w:p w:rsidR="00A87A14" w:rsidRPr="008923EA" w:rsidRDefault="00A87A14">
                      <w:pPr>
                        <w:rPr>
                          <w:rFonts w:ascii="Arial" w:hAnsi="Arial" w:cs="Arial"/>
                          <w:b/>
                          <w:sz w:val="24"/>
                        </w:rPr>
                      </w:pPr>
                      <w:r w:rsidRPr="008923EA">
                        <w:rPr>
                          <w:rFonts w:ascii="Arial" w:hAnsi="Arial" w:cs="Arial"/>
                          <w:b/>
                          <w:sz w:val="24"/>
                        </w:rPr>
                        <w:t>B</w:t>
                      </w:r>
                    </w:p>
                  </w:txbxContent>
                </v:textbox>
              </v:shape>
            </w:pict>
          </mc:Fallback>
        </mc:AlternateContent>
      </w:r>
      <w:r w:rsidRPr="0071546E">
        <w:rPr>
          <w:rFonts w:ascii="Arial" w:eastAsiaTheme="minorEastAsia" w:hAnsi="Arial" w:cs="Arial"/>
          <w:sz w:val="24"/>
          <w:szCs w:val="24"/>
        </w:rPr>
        <w:t xml:space="preserve">                 </w:t>
      </w:r>
      <w:r w:rsidRPr="0071546E">
        <w:rPr>
          <w:noProof/>
          <w:lang w:eastAsia="en-GB"/>
        </w:rPr>
        <w:t xml:space="preserve">                   </w:t>
      </w:r>
      <w:r w:rsidRPr="0071546E">
        <w:rPr>
          <w:noProof/>
          <w:lang w:eastAsia="en-GB"/>
        </w:rPr>
        <w:drawing>
          <wp:inline distT="0" distB="0" distL="0" distR="0" wp14:anchorId="59F13519" wp14:editId="158EEC35">
            <wp:extent cx="5221605" cy="3536414"/>
            <wp:effectExtent l="0" t="0" r="0" b="698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D2301" w:rsidRPr="0071546E" w:rsidRDefault="004C61F4" w:rsidP="00CF13F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Fig 3.1</w:t>
      </w:r>
      <w:r w:rsidR="00EE79A3" w:rsidRPr="0071546E">
        <w:rPr>
          <w:rFonts w:ascii="Arial" w:eastAsiaTheme="minorEastAsia" w:hAnsi="Arial" w:cs="Arial"/>
          <w:sz w:val="20"/>
          <w:szCs w:val="20"/>
        </w:rPr>
        <w:t>8</w:t>
      </w:r>
      <w:r w:rsidR="00AD2301" w:rsidRPr="0071546E">
        <w:rPr>
          <w:rFonts w:ascii="Arial" w:eastAsiaTheme="minorEastAsia" w:hAnsi="Arial" w:cs="Arial"/>
          <w:sz w:val="20"/>
          <w:szCs w:val="20"/>
        </w:rPr>
        <w:t xml:space="preserve"> </w:t>
      </w:r>
      <w:r w:rsidR="00491997" w:rsidRPr="0071546E">
        <w:rPr>
          <w:rFonts w:ascii="Arial" w:eastAsiaTheme="minorEastAsia" w:hAnsi="Arial" w:cs="Arial"/>
          <w:sz w:val="20"/>
          <w:szCs w:val="20"/>
        </w:rPr>
        <w:t xml:space="preserve">Linear correlation of cell number and bioluminescence of </w:t>
      </w:r>
      <w:r w:rsidR="00AD2301" w:rsidRPr="0071546E">
        <w:rPr>
          <w:rFonts w:ascii="Arial" w:eastAsiaTheme="minorEastAsia" w:hAnsi="Arial" w:cs="Arial"/>
          <w:i/>
          <w:sz w:val="20"/>
          <w:szCs w:val="20"/>
        </w:rPr>
        <w:t>Acanthamoeba</w:t>
      </w:r>
      <w:r w:rsidR="00AD2301" w:rsidRPr="0071546E">
        <w:rPr>
          <w:rFonts w:ascii="Arial" w:eastAsiaTheme="minorEastAsia" w:hAnsi="Arial" w:cs="Arial"/>
          <w:sz w:val="20"/>
          <w:szCs w:val="20"/>
        </w:rPr>
        <w:t xml:space="preserve"> concentration curve. </w:t>
      </w:r>
      <w:r w:rsidR="00491997" w:rsidRPr="0071546E">
        <w:rPr>
          <w:rFonts w:ascii="Arial" w:eastAsiaTheme="minorEastAsia" w:hAnsi="Arial" w:cs="Arial"/>
          <w:sz w:val="20"/>
          <w:szCs w:val="20"/>
        </w:rPr>
        <w:t xml:space="preserve">(A) </w:t>
      </w:r>
      <w:r w:rsidR="005171D0" w:rsidRPr="0071546E">
        <w:rPr>
          <w:rFonts w:ascii="Arial" w:eastAsiaTheme="minorEastAsia" w:hAnsi="Arial" w:cs="Arial"/>
          <w:sz w:val="20"/>
          <w:szCs w:val="20"/>
        </w:rPr>
        <w:t>Trophozoite</w:t>
      </w:r>
      <w:r w:rsidR="00491997" w:rsidRPr="0071546E">
        <w:rPr>
          <w:rFonts w:ascii="Arial" w:eastAsiaTheme="minorEastAsia" w:hAnsi="Arial" w:cs="Arial"/>
          <w:sz w:val="20"/>
          <w:szCs w:val="20"/>
        </w:rPr>
        <w:t xml:space="preserve"> concentration curve (B) Cyst concentration </w:t>
      </w:r>
      <w:r w:rsidR="005171D0" w:rsidRPr="0071546E">
        <w:rPr>
          <w:rFonts w:ascii="Arial" w:eastAsiaTheme="minorEastAsia" w:hAnsi="Arial" w:cs="Arial"/>
          <w:sz w:val="20"/>
          <w:szCs w:val="20"/>
        </w:rPr>
        <w:t>curve. The</w:t>
      </w:r>
      <w:r w:rsidR="00AD2301" w:rsidRPr="0071546E">
        <w:rPr>
          <w:rFonts w:ascii="Arial" w:eastAsiaTheme="minorEastAsia" w:hAnsi="Arial" w:cs="Arial"/>
          <w:sz w:val="20"/>
          <w:szCs w:val="20"/>
        </w:rPr>
        <w:t xml:space="preserve"> R</w:t>
      </w:r>
      <w:r w:rsidR="00AD2301" w:rsidRPr="0071546E">
        <w:rPr>
          <w:rFonts w:ascii="Arial" w:eastAsiaTheme="minorEastAsia" w:hAnsi="Arial" w:cs="Arial"/>
          <w:sz w:val="20"/>
          <w:szCs w:val="20"/>
          <w:vertAlign w:val="superscript"/>
        </w:rPr>
        <w:t>2</w:t>
      </w:r>
      <w:r w:rsidR="00AD2301" w:rsidRPr="0071546E">
        <w:rPr>
          <w:rFonts w:ascii="Arial" w:eastAsiaTheme="minorEastAsia" w:hAnsi="Arial" w:cs="Arial"/>
          <w:sz w:val="20"/>
          <w:szCs w:val="20"/>
        </w:rPr>
        <w:t xml:space="preserve"> value shows a linear correlation between the cell numbers and the bioluminescence (RLU) which was measured at 600 nm. Error bars show SD n=4 replicate readings. </w:t>
      </w:r>
    </w:p>
    <w:p w:rsidR="00AD2301" w:rsidRPr="0071546E" w:rsidRDefault="00AD2301" w:rsidP="00CF13FE">
      <w:pPr>
        <w:spacing w:before="100" w:after="200" w:line="480" w:lineRule="auto"/>
        <w:ind w:left="1021" w:right="454"/>
        <w:jc w:val="both"/>
        <w:rPr>
          <w:rFonts w:ascii="Arial" w:eastAsiaTheme="minorEastAsia" w:hAnsi="Arial" w:cs="Arial"/>
          <w:sz w:val="24"/>
          <w:szCs w:val="24"/>
        </w:rPr>
      </w:pPr>
    </w:p>
    <w:p w:rsidR="001E70FD" w:rsidRPr="0071546E" w:rsidRDefault="004C61F4"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cell concentration curve showed</w:t>
      </w:r>
      <w:r w:rsidR="00D32381" w:rsidRPr="0071546E">
        <w:rPr>
          <w:rFonts w:ascii="Arial" w:eastAsiaTheme="minorEastAsia" w:hAnsi="Arial" w:cs="Arial"/>
          <w:sz w:val="24"/>
          <w:szCs w:val="24"/>
        </w:rPr>
        <w:t xml:space="preserve"> good </w:t>
      </w:r>
      <w:r w:rsidRPr="0071546E">
        <w:rPr>
          <w:rFonts w:ascii="Arial" w:eastAsiaTheme="minorEastAsia" w:hAnsi="Arial" w:cs="Arial"/>
          <w:sz w:val="24"/>
          <w:szCs w:val="24"/>
        </w:rPr>
        <w:t>linearity</w:t>
      </w:r>
      <w:r w:rsidR="00D32381" w:rsidRPr="0071546E">
        <w:rPr>
          <w:rFonts w:ascii="Arial" w:eastAsiaTheme="minorEastAsia" w:hAnsi="Arial" w:cs="Arial"/>
          <w:sz w:val="24"/>
          <w:szCs w:val="24"/>
        </w:rPr>
        <w:t xml:space="preserve"> for both morphological forms</w:t>
      </w:r>
      <w:r w:rsidRPr="0071546E">
        <w:rPr>
          <w:rFonts w:ascii="Arial" w:eastAsiaTheme="minorEastAsia" w:hAnsi="Arial" w:cs="Arial"/>
          <w:sz w:val="24"/>
          <w:szCs w:val="24"/>
        </w:rPr>
        <w:t xml:space="preserve"> as seen in (fig 3.1</w:t>
      </w:r>
      <w:r w:rsidR="00EE79A3" w:rsidRPr="0071546E">
        <w:rPr>
          <w:rFonts w:ascii="Arial" w:eastAsiaTheme="minorEastAsia" w:hAnsi="Arial" w:cs="Arial"/>
          <w:sz w:val="24"/>
          <w:szCs w:val="24"/>
        </w:rPr>
        <w:t>8</w:t>
      </w:r>
      <w:r w:rsidRPr="0071546E">
        <w:rPr>
          <w:rFonts w:ascii="Arial" w:eastAsiaTheme="minorEastAsia" w:hAnsi="Arial" w:cs="Arial"/>
          <w:sz w:val="24"/>
          <w:szCs w:val="24"/>
        </w:rPr>
        <w:t xml:space="preserve">). </w:t>
      </w:r>
    </w:p>
    <w:p w:rsidR="004C61F4" w:rsidRPr="0071546E" w:rsidRDefault="004C61F4" w:rsidP="00CF13FE">
      <w:pPr>
        <w:spacing w:before="100" w:after="200" w:line="480" w:lineRule="auto"/>
        <w:ind w:left="1021" w:right="454"/>
        <w:jc w:val="both"/>
        <w:rPr>
          <w:rFonts w:ascii="Arial" w:eastAsiaTheme="minorEastAsia" w:hAnsi="Arial" w:cs="Arial"/>
          <w:b/>
          <w:sz w:val="24"/>
          <w:szCs w:val="24"/>
        </w:rPr>
      </w:pPr>
      <w:r w:rsidRPr="0071546E">
        <w:rPr>
          <w:rFonts w:ascii="Arial" w:eastAsiaTheme="minorEastAsia" w:hAnsi="Arial" w:cs="Arial"/>
          <w:b/>
          <w:sz w:val="24"/>
          <w:szCs w:val="24"/>
        </w:rPr>
        <w:t xml:space="preserve">3.3.7 The stability of luciferase enzyme </w:t>
      </w:r>
    </w:p>
    <w:p w:rsidR="004C61F4" w:rsidRPr="0071546E" w:rsidRDefault="004C61F4" w:rsidP="00CF13FE">
      <w:pPr>
        <w:spacing w:before="100" w:after="200" w:line="480" w:lineRule="auto"/>
        <w:ind w:left="1021" w:right="454"/>
        <w:jc w:val="both"/>
        <w:rPr>
          <w:rFonts w:ascii="Arial" w:eastAsiaTheme="minorEastAsia" w:hAnsi="Arial" w:cs="Arial"/>
          <w:b/>
          <w:sz w:val="24"/>
          <w:szCs w:val="24"/>
        </w:rPr>
      </w:pPr>
      <w:r w:rsidRPr="0071546E">
        <w:rPr>
          <w:rFonts w:ascii="Arial" w:eastAsiaTheme="minorEastAsia" w:hAnsi="Arial" w:cs="Arial"/>
          <w:sz w:val="24"/>
          <w:szCs w:val="24"/>
        </w:rPr>
        <w:t>The stability of luciferase enzyme was checked after 24-hour storage in -20</w:t>
      </w:r>
      <w:r w:rsidR="00731DBE" w:rsidRPr="0071546E">
        <w:rPr>
          <w:rFonts w:ascii="Arial" w:eastAsiaTheme="minorEastAsia" w:hAnsi="Arial" w:cs="Arial"/>
          <w:sz w:val="24"/>
          <w:szCs w:val="24"/>
        </w:rPr>
        <w:t xml:space="preserve"> </w:t>
      </w:r>
      <w:r w:rsidRPr="0071546E">
        <w:rPr>
          <w:rFonts w:ascii="Arial" w:eastAsiaTheme="minorEastAsia" w:hAnsi="Arial" w:cs="Arial"/>
          <w:sz w:val="24"/>
          <w:szCs w:val="24"/>
          <w:vertAlign w:val="superscript"/>
        </w:rPr>
        <w:t>o</w:t>
      </w:r>
      <w:r w:rsidRPr="0071546E">
        <w:rPr>
          <w:rFonts w:ascii="Arial" w:eastAsiaTheme="minorEastAsia" w:hAnsi="Arial" w:cs="Arial"/>
          <w:sz w:val="24"/>
          <w:szCs w:val="24"/>
        </w:rPr>
        <w:t xml:space="preserve">C. This was done to validate storage parameters and to </w:t>
      </w:r>
      <w:r w:rsidR="005700A5" w:rsidRPr="0071546E">
        <w:rPr>
          <w:rFonts w:ascii="Arial" w:eastAsiaTheme="minorEastAsia" w:hAnsi="Arial" w:cs="Arial"/>
          <w:sz w:val="24"/>
          <w:szCs w:val="24"/>
        </w:rPr>
        <w:t>ensure</w:t>
      </w:r>
      <w:r w:rsidRPr="0071546E">
        <w:rPr>
          <w:rFonts w:ascii="Arial" w:eastAsiaTheme="minorEastAsia" w:hAnsi="Arial" w:cs="Arial"/>
          <w:sz w:val="24"/>
          <w:szCs w:val="24"/>
        </w:rPr>
        <w:t xml:space="preserve"> </w:t>
      </w:r>
      <w:r w:rsidR="00D32381" w:rsidRPr="0071546E">
        <w:rPr>
          <w:rFonts w:ascii="Arial" w:eastAsiaTheme="minorEastAsia" w:hAnsi="Arial" w:cs="Arial"/>
          <w:sz w:val="24"/>
          <w:szCs w:val="24"/>
        </w:rPr>
        <w:t xml:space="preserve">results are not misinterpreted </w:t>
      </w:r>
      <w:r w:rsidR="0070090A" w:rsidRPr="0071546E">
        <w:rPr>
          <w:rFonts w:ascii="Arial" w:eastAsiaTheme="minorEastAsia" w:hAnsi="Arial" w:cs="Arial"/>
          <w:sz w:val="24"/>
          <w:szCs w:val="24"/>
        </w:rPr>
        <w:t>because</w:t>
      </w:r>
      <w:r w:rsidR="00D32381" w:rsidRPr="0071546E">
        <w:rPr>
          <w:rFonts w:ascii="Arial" w:eastAsiaTheme="minorEastAsia" w:hAnsi="Arial" w:cs="Arial"/>
          <w:sz w:val="24"/>
          <w:szCs w:val="24"/>
        </w:rPr>
        <w:t xml:space="preserve"> of the loss of enzyme activity during storage.</w:t>
      </w:r>
      <w:r w:rsidRPr="0071546E">
        <w:rPr>
          <w:rFonts w:ascii="Arial" w:eastAsiaTheme="minorEastAsia" w:hAnsi="Arial" w:cs="Arial"/>
          <w:sz w:val="24"/>
          <w:szCs w:val="24"/>
        </w:rPr>
        <w:t xml:space="preserve"> </w:t>
      </w:r>
      <w:r w:rsidR="00D32381" w:rsidRPr="0071546E">
        <w:rPr>
          <w:rFonts w:ascii="Arial" w:eastAsiaTheme="minorEastAsia" w:hAnsi="Arial" w:cs="Arial"/>
          <w:sz w:val="24"/>
          <w:szCs w:val="24"/>
        </w:rPr>
        <w:t>The result</w:t>
      </w:r>
      <w:r w:rsidR="00EE79A3" w:rsidRPr="0071546E">
        <w:rPr>
          <w:rFonts w:ascii="Arial" w:eastAsiaTheme="minorEastAsia" w:hAnsi="Arial" w:cs="Arial"/>
          <w:sz w:val="24"/>
          <w:szCs w:val="24"/>
        </w:rPr>
        <w:t xml:space="preserve"> as seen below in fig 3.19,</w:t>
      </w:r>
      <w:r w:rsidR="00D32381" w:rsidRPr="0071546E">
        <w:rPr>
          <w:rFonts w:ascii="Arial" w:eastAsiaTheme="minorEastAsia" w:hAnsi="Arial" w:cs="Arial"/>
          <w:sz w:val="24"/>
          <w:szCs w:val="24"/>
        </w:rPr>
        <w:t xml:space="preserve"> shows no loss of enzyme activity after 24-hour storage.</w:t>
      </w:r>
    </w:p>
    <w:p w:rsidR="001E70FD" w:rsidRPr="0071546E" w:rsidRDefault="004C61F4" w:rsidP="00CF13FE">
      <w:pPr>
        <w:spacing w:before="100" w:after="200" w:line="240" w:lineRule="atLeast"/>
        <w:ind w:left="1021" w:right="454"/>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72B05405" wp14:editId="719428BE">
            <wp:extent cx="4846955" cy="3966072"/>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C61F4" w:rsidRPr="0071546E" w:rsidRDefault="005700A5" w:rsidP="00CF13F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Fig 3.1</w:t>
      </w:r>
      <w:r w:rsidR="00EE79A3" w:rsidRPr="0071546E">
        <w:rPr>
          <w:rFonts w:ascii="Arial" w:eastAsiaTheme="minorEastAsia" w:hAnsi="Arial" w:cs="Arial"/>
          <w:sz w:val="20"/>
          <w:szCs w:val="20"/>
        </w:rPr>
        <w:t>9</w:t>
      </w:r>
      <w:r w:rsidR="004C61F4" w:rsidRPr="0071546E">
        <w:rPr>
          <w:rFonts w:ascii="Arial" w:eastAsiaTheme="minorEastAsia" w:hAnsi="Arial" w:cs="Arial"/>
          <w:sz w:val="20"/>
          <w:szCs w:val="20"/>
        </w:rPr>
        <w:t xml:space="preserve"> Stability of luciferase enzyme after storage. There was no significant loss of activity of luciferase enzyme after 24hours incubation at -20</w:t>
      </w:r>
      <w:r w:rsidR="00731DBE" w:rsidRPr="0071546E">
        <w:rPr>
          <w:rFonts w:ascii="Arial" w:eastAsiaTheme="minorEastAsia" w:hAnsi="Arial" w:cs="Arial"/>
          <w:sz w:val="20"/>
          <w:szCs w:val="20"/>
        </w:rPr>
        <w:t xml:space="preserve"> </w:t>
      </w:r>
      <w:r w:rsidR="004C61F4" w:rsidRPr="0071546E">
        <w:rPr>
          <w:rFonts w:ascii="Arial" w:eastAsiaTheme="minorEastAsia" w:hAnsi="Arial" w:cs="Arial"/>
          <w:sz w:val="20"/>
          <w:szCs w:val="20"/>
          <w:vertAlign w:val="superscript"/>
        </w:rPr>
        <w:t>o</w:t>
      </w:r>
      <w:r w:rsidR="004C61F4" w:rsidRPr="0071546E">
        <w:rPr>
          <w:rFonts w:ascii="Arial" w:eastAsiaTheme="minorEastAsia" w:hAnsi="Arial" w:cs="Arial"/>
          <w:sz w:val="20"/>
          <w:szCs w:val="20"/>
        </w:rPr>
        <w:t>C</w:t>
      </w:r>
      <w:r w:rsidR="00BE782F" w:rsidRPr="0071546E">
        <w:rPr>
          <w:rFonts w:ascii="Arial" w:eastAsiaTheme="minorEastAsia" w:hAnsi="Arial" w:cs="Arial"/>
          <w:sz w:val="20"/>
          <w:szCs w:val="20"/>
        </w:rPr>
        <w:t xml:space="preserve"> as seen in the response curves. Redline shows </w:t>
      </w:r>
      <w:r w:rsidR="001F62DB" w:rsidRPr="0071546E">
        <w:rPr>
          <w:rFonts w:ascii="Arial" w:eastAsiaTheme="minorEastAsia" w:hAnsi="Arial" w:cs="Arial"/>
          <w:sz w:val="20"/>
          <w:szCs w:val="20"/>
        </w:rPr>
        <w:t xml:space="preserve">the </w:t>
      </w:r>
      <w:r w:rsidR="00BE782F" w:rsidRPr="0071546E">
        <w:rPr>
          <w:rFonts w:ascii="Arial" w:eastAsiaTheme="minorEastAsia" w:hAnsi="Arial" w:cs="Arial"/>
          <w:sz w:val="20"/>
          <w:szCs w:val="20"/>
        </w:rPr>
        <w:t xml:space="preserve">response for the first day while </w:t>
      </w:r>
      <w:r w:rsidR="001F62DB" w:rsidRPr="0071546E">
        <w:rPr>
          <w:rFonts w:ascii="Arial" w:eastAsiaTheme="minorEastAsia" w:hAnsi="Arial" w:cs="Arial"/>
          <w:sz w:val="20"/>
          <w:szCs w:val="20"/>
        </w:rPr>
        <w:t xml:space="preserve">the </w:t>
      </w:r>
      <w:r w:rsidR="00BE782F" w:rsidRPr="0071546E">
        <w:rPr>
          <w:rFonts w:ascii="Arial" w:eastAsiaTheme="minorEastAsia" w:hAnsi="Arial" w:cs="Arial"/>
          <w:sz w:val="20"/>
          <w:szCs w:val="20"/>
        </w:rPr>
        <w:t xml:space="preserve">blue curve shows </w:t>
      </w:r>
      <w:r w:rsidR="001F62DB" w:rsidRPr="0071546E">
        <w:rPr>
          <w:rFonts w:ascii="Arial" w:eastAsiaTheme="minorEastAsia" w:hAnsi="Arial" w:cs="Arial"/>
          <w:sz w:val="20"/>
          <w:szCs w:val="20"/>
        </w:rPr>
        <w:t xml:space="preserve">a </w:t>
      </w:r>
      <w:r w:rsidR="00BE782F" w:rsidRPr="0071546E">
        <w:rPr>
          <w:rFonts w:ascii="Arial" w:eastAsiaTheme="minorEastAsia" w:hAnsi="Arial" w:cs="Arial"/>
          <w:sz w:val="20"/>
          <w:szCs w:val="20"/>
        </w:rPr>
        <w:t>response after 24 hours</w:t>
      </w:r>
      <w:r w:rsidR="004C61F4" w:rsidRPr="0071546E">
        <w:rPr>
          <w:rFonts w:ascii="Arial" w:eastAsiaTheme="minorEastAsia" w:hAnsi="Arial" w:cs="Arial"/>
          <w:sz w:val="20"/>
          <w:szCs w:val="20"/>
        </w:rPr>
        <w:t>. Bioluminescence (RLU) was measured at 600 nm and error bars show SD n=4 replicate experiments.</w:t>
      </w:r>
    </w:p>
    <w:p w:rsidR="00C15FD6" w:rsidRPr="0071546E" w:rsidRDefault="00C15FD6" w:rsidP="00CF13FE">
      <w:pPr>
        <w:spacing w:before="100" w:after="200" w:line="240" w:lineRule="atLeast"/>
        <w:ind w:left="1021" w:right="454"/>
        <w:jc w:val="both"/>
        <w:rPr>
          <w:rFonts w:ascii="Arial" w:eastAsiaTheme="minorEastAsia" w:hAnsi="Arial" w:cs="Arial"/>
          <w:sz w:val="20"/>
          <w:szCs w:val="20"/>
        </w:rPr>
      </w:pPr>
    </w:p>
    <w:p w:rsidR="00D32381" w:rsidRPr="0071546E" w:rsidRDefault="00D32381" w:rsidP="00CF13FE">
      <w:pPr>
        <w:spacing w:before="100" w:after="200" w:line="480" w:lineRule="auto"/>
        <w:ind w:left="1021" w:right="454"/>
        <w:jc w:val="both"/>
        <w:rPr>
          <w:rFonts w:ascii="Arial" w:eastAsiaTheme="minorEastAsia" w:hAnsi="Arial" w:cs="Arial"/>
          <w:b/>
          <w:sz w:val="24"/>
          <w:szCs w:val="24"/>
        </w:rPr>
      </w:pPr>
      <w:r w:rsidRPr="0071546E">
        <w:rPr>
          <w:rFonts w:ascii="Arial" w:eastAsiaTheme="minorEastAsia" w:hAnsi="Arial" w:cs="Arial"/>
          <w:b/>
          <w:sz w:val="24"/>
          <w:szCs w:val="24"/>
        </w:rPr>
        <w:t>3.3.8 Inhibitory effects of phosphate-buffered saline on luciferase Enzyme.</w:t>
      </w:r>
    </w:p>
    <w:p w:rsidR="00D32381" w:rsidRPr="0071546E" w:rsidRDefault="00D32381"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Firefly luciferase is a hydrophobic enzyme and </w:t>
      </w:r>
      <w:r w:rsidR="0070090A" w:rsidRPr="0071546E">
        <w:rPr>
          <w:rFonts w:ascii="Arial" w:eastAsiaTheme="minorEastAsia" w:hAnsi="Arial" w:cs="Arial"/>
          <w:sz w:val="24"/>
          <w:szCs w:val="24"/>
        </w:rPr>
        <w:t>the type of solvent, pH and elements of the reaction mixture can affect its activity (Trajkovska et al., 2005)</w:t>
      </w:r>
      <w:r w:rsidRPr="0071546E">
        <w:rPr>
          <w:rFonts w:ascii="Arial" w:eastAsiaTheme="minorEastAsia" w:hAnsi="Arial" w:cs="Arial"/>
          <w:sz w:val="24"/>
          <w:szCs w:val="24"/>
        </w:rPr>
        <w:t>. The influence of phosphate</w:t>
      </w:r>
      <w:r w:rsidR="00563D9A" w:rsidRPr="0071546E">
        <w:rPr>
          <w:rFonts w:ascii="Arial" w:eastAsiaTheme="minorEastAsia" w:hAnsi="Arial" w:cs="Arial"/>
          <w:sz w:val="24"/>
          <w:szCs w:val="24"/>
        </w:rPr>
        <w:t>-</w:t>
      </w:r>
      <w:r w:rsidRPr="0071546E">
        <w:rPr>
          <w:rFonts w:ascii="Arial" w:eastAsiaTheme="minorEastAsia" w:hAnsi="Arial" w:cs="Arial"/>
          <w:sz w:val="24"/>
          <w:szCs w:val="24"/>
        </w:rPr>
        <w:t>buffered saline was indirectly evaluated through the measurement of the light produced during the ATP luciferase reaction. The reaction mixture used includes distilled water 1 X concentration of PBS and 0.5 X concentration of PBS.</w:t>
      </w:r>
    </w:p>
    <w:p w:rsidR="004C61F4" w:rsidRPr="0071546E" w:rsidRDefault="00A7283C" w:rsidP="00CF13FE">
      <w:pPr>
        <w:spacing w:before="100" w:after="200" w:line="240" w:lineRule="atLeast"/>
        <w:ind w:left="1021" w:right="454"/>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6656687A" wp14:editId="1BF2F447">
            <wp:extent cx="4626610" cy="3281082"/>
            <wp:effectExtent l="0" t="0" r="2540" b="1460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D32381" w:rsidRPr="0071546E" w:rsidRDefault="00D32381" w:rsidP="00CF13F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Fig 3.</w:t>
      </w:r>
      <w:r w:rsidR="00EE79A3" w:rsidRPr="0071546E">
        <w:rPr>
          <w:rFonts w:ascii="Arial" w:eastAsiaTheme="minorEastAsia" w:hAnsi="Arial" w:cs="Arial"/>
          <w:sz w:val="20"/>
          <w:szCs w:val="20"/>
        </w:rPr>
        <w:t>20</w:t>
      </w:r>
      <w:r w:rsidRPr="0071546E">
        <w:rPr>
          <w:rFonts w:ascii="Arial" w:eastAsiaTheme="minorEastAsia" w:hAnsi="Arial" w:cs="Arial"/>
          <w:sz w:val="20"/>
          <w:szCs w:val="20"/>
        </w:rPr>
        <w:t xml:space="preserve"> Reduction of bioluminescence signal caused by inhibitory effects of phosphate buffer saline (PBS) on luciferase enzyme. The broken lines show the highest concentration of PBS used as a solvent for luciferase enzyme (1X mix PBS), while the </w:t>
      </w:r>
      <w:r w:rsidR="00BE782F" w:rsidRPr="0071546E">
        <w:rPr>
          <w:rFonts w:ascii="Arial" w:eastAsiaTheme="minorEastAsia" w:hAnsi="Arial" w:cs="Arial"/>
          <w:sz w:val="20"/>
          <w:szCs w:val="20"/>
        </w:rPr>
        <w:t xml:space="preserve">blue </w:t>
      </w:r>
      <w:r w:rsidR="00BE11C1" w:rsidRPr="0071546E">
        <w:rPr>
          <w:rFonts w:ascii="Arial" w:eastAsiaTheme="minorEastAsia" w:hAnsi="Arial" w:cs="Arial"/>
          <w:sz w:val="20"/>
          <w:szCs w:val="20"/>
        </w:rPr>
        <w:t>straight-line</w:t>
      </w:r>
      <w:r w:rsidR="00BE782F" w:rsidRPr="0071546E">
        <w:rPr>
          <w:rFonts w:ascii="Arial" w:eastAsiaTheme="minorEastAsia" w:hAnsi="Arial" w:cs="Arial"/>
          <w:sz w:val="20"/>
          <w:szCs w:val="20"/>
        </w:rPr>
        <w:t xml:space="preserve"> shows 0.5 mix PBS. The red</w:t>
      </w:r>
      <w:r w:rsidR="001F62DB" w:rsidRPr="0071546E">
        <w:rPr>
          <w:rFonts w:ascii="Arial" w:eastAsiaTheme="minorEastAsia" w:hAnsi="Arial" w:cs="Arial"/>
          <w:sz w:val="20"/>
          <w:szCs w:val="20"/>
        </w:rPr>
        <w:t xml:space="preserve"> </w:t>
      </w:r>
      <w:r w:rsidRPr="0071546E">
        <w:rPr>
          <w:rFonts w:ascii="Arial" w:eastAsiaTheme="minorEastAsia" w:hAnsi="Arial" w:cs="Arial"/>
          <w:sz w:val="20"/>
          <w:szCs w:val="20"/>
        </w:rPr>
        <w:t xml:space="preserve">line </w:t>
      </w:r>
      <w:r w:rsidR="00BE782F" w:rsidRPr="0071546E">
        <w:rPr>
          <w:rFonts w:ascii="Arial" w:eastAsiaTheme="minorEastAsia" w:hAnsi="Arial" w:cs="Arial"/>
          <w:sz w:val="20"/>
          <w:szCs w:val="20"/>
        </w:rPr>
        <w:t xml:space="preserve">represents </w:t>
      </w:r>
      <w:r w:rsidR="001F62DB" w:rsidRPr="0071546E">
        <w:rPr>
          <w:rFonts w:ascii="Arial" w:eastAsiaTheme="minorEastAsia" w:hAnsi="Arial" w:cs="Arial"/>
          <w:sz w:val="20"/>
          <w:szCs w:val="20"/>
        </w:rPr>
        <w:t xml:space="preserve">the </w:t>
      </w:r>
      <w:r w:rsidR="00BE782F" w:rsidRPr="0071546E">
        <w:rPr>
          <w:rFonts w:ascii="Arial" w:eastAsiaTheme="minorEastAsia" w:hAnsi="Arial" w:cs="Arial"/>
          <w:sz w:val="20"/>
          <w:szCs w:val="20"/>
        </w:rPr>
        <w:t>curve for distilled water.</w:t>
      </w:r>
      <w:r w:rsidRPr="0071546E">
        <w:rPr>
          <w:rFonts w:ascii="Arial" w:eastAsiaTheme="minorEastAsia" w:hAnsi="Arial" w:cs="Arial"/>
          <w:sz w:val="20"/>
          <w:szCs w:val="20"/>
        </w:rPr>
        <w:t xml:space="preserve"> Error bars show the standard deviation for 4 replicate sample.</w:t>
      </w:r>
    </w:p>
    <w:p w:rsidR="00D32381" w:rsidRPr="0071546E" w:rsidRDefault="00D32381" w:rsidP="00CF13FE">
      <w:pPr>
        <w:spacing w:before="100" w:after="200" w:line="480" w:lineRule="auto"/>
        <w:ind w:left="1021" w:right="454"/>
        <w:jc w:val="both"/>
        <w:rPr>
          <w:rFonts w:ascii="Arial" w:eastAsiaTheme="minorEastAsia" w:hAnsi="Arial" w:cs="Arial"/>
          <w:sz w:val="24"/>
          <w:szCs w:val="24"/>
        </w:rPr>
      </w:pPr>
    </w:p>
    <w:p w:rsidR="006E7815" w:rsidRPr="0071546E" w:rsidRDefault="00D32381" w:rsidP="00C15FD6">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Fig 3.</w:t>
      </w:r>
      <w:r w:rsidR="00EE79A3" w:rsidRPr="0071546E">
        <w:rPr>
          <w:rFonts w:ascii="Arial" w:eastAsiaTheme="minorEastAsia" w:hAnsi="Arial" w:cs="Arial"/>
          <w:sz w:val="24"/>
          <w:szCs w:val="24"/>
        </w:rPr>
        <w:t>20</w:t>
      </w:r>
      <w:r w:rsidRPr="0071546E">
        <w:rPr>
          <w:rFonts w:ascii="Arial" w:eastAsiaTheme="minorEastAsia" w:hAnsi="Arial" w:cs="Arial"/>
          <w:sz w:val="24"/>
          <w:szCs w:val="24"/>
        </w:rPr>
        <w:t xml:space="preserve"> showed inhibition of luciferase activity in a concentration</w:t>
      </w:r>
      <w:r w:rsidR="001F62DB" w:rsidRPr="0071546E">
        <w:rPr>
          <w:rFonts w:ascii="Arial" w:eastAsiaTheme="minorEastAsia" w:hAnsi="Arial" w:cs="Arial"/>
          <w:sz w:val="24"/>
          <w:szCs w:val="24"/>
        </w:rPr>
        <w:t>-</w:t>
      </w:r>
      <w:r w:rsidRPr="0071546E">
        <w:rPr>
          <w:rFonts w:ascii="Arial" w:eastAsiaTheme="minorEastAsia" w:hAnsi="Arial" w:cs="Arial"/>
          <w:sz w:val="24"/>
          <w:szCs w:val="24"/>
        </w:rPr>
        <w:t xml:space="preserve">dependent manner. This result means distilled water is </w:t>
      </w:r>
      <w:r w:rsidR="001F62DB" w:rsidRPr="0071546E">
        <w:rPr>
          <w:rFonts w:ascii="Arial" w:eastAsiaTheme="minorEastAsia" w:hAnsi="Arial" w:cs="Arial"/>
          <w:sz w:val="24"/>
          <w:szCs w:val="24"/>
        </w:rPr>
        <w:t xml:space="preserve">the </w:t>
      </w:r>
      <w:r w:rsidRPr="0071546E">
        <w:rPr>
          <w:rFonts w:ascii="Arial" w:eastAsiaTheme="minorEastAsia" w:hAnsi="Arial" w:cs="Arial"/>
          <w:sz w:val="24"/>
          <w:szCs w:val="24"/>
        </w:rPr>
        <w:t>preferred solvent for all luciferase assay experiment.</w:t>
      </w:r>
    </w:p>
    <w:p w:rsidR="00725033" w:rsidRPr="0071546E" w:rsidRDefault="00725033" w:rsidP="00C15FD6">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b/>
          <w:sz w:val="24"/>
          <w:szCs w:val="24"/>
        </w:rPr>
        <w:t>3.4 Methods validation with drug assays.</w:t>
      </w:r>
    </w:p>
    <w:p w:rsidR="00725033" w:rsidRPr="0071546E" w:rsidRDefault="00BE782F"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To further </w:t>
      </w:r>
      <w:r w:rsidR="00BE11C1" w:rsidRPr="0071546E">
        <w:rPr>
          <w:rFonts w:ascii="Arial" w:eastAsiaTheme="minorEastAsia" w:hAnsi="Arial" w:cs="Arial"/>
          <w:sz w:val="24"/>
          <w:szCs w:val="24"/>
        </w:rPr>
        <w:t xml:space="preserve">validate </w:t>
      </w:r>
      <w:r w:rsidR="004904E2" w:rsidRPr="0071546E">
        <w:rPr>
          <w:rFonts w:ascii="Arial" w:eastAsiaTheme="minorEastAsia" w:hAnsi="Arial" w:cs="Arial"/>
          <w:sz w:val="24"/>
          <w:szCs w:val="24"/>
        </w:rPr>
        <w:t xml:space="preserve">the </w:t>
      </w:r>
      <w:r w:rsidR="00BE11C1" w:rsidRPr="0071546E">
        <w:rPr>
          <w:rFonts w:ascii="Arial" w:eastAsiaTheme="minorEastAsia" w:hAnsi="Arial" w:cs="Arial"/>
          <w:sz w:val="24"/>
          <w:szCs w:val="24"/>
        </w:rPr>
        <w:t>use</w:t>
      </w:r>
      <w:r w:rsidRPr="0071546E">
        <w:rPr>
          <w:rFonts w:ascii="Arial" w:eastAsiaTheme="minorEastAsia" w:hAnsi="Arial" w:cs="Arial"/>
          <w:sz w:val="24"/>
          <w:szCs w:val="24"/>
        </w:rPr>
        <w:t xml:space="preserve"> of ATP assay for cyst and trophozoite susceptibility testing different compounds were used. </w:t>
      </w:r>
    </w:p>
    <w:p w:rsidR="00725033" w:rsidRPr="0071546E" w:rsidRDefault="00725033" w:rsidP="00CF13FE">
      <w:pPr>
        <w:pStyle w:val="Heading2"/>
        <w:ind w:left="1021" w:right="454"/>
        <w:rPr>
          <w:rFonts w:eastAsiaTheme="minorEastAsia"/>
        </w:rPr>
      </w:pPr>
      <w:bookmarkStart w:id="97" w:name="_Toc14711467"/>
      <w:r w:rsidRPr="0071546E">
        <w:rPr>
          <w:rFonts w:eastAsiaTheme="minorEastAsia"/>
        </w:rPr>
        <w:t>3.4.1 Amphotericin B Drug assay.</w:t>
      </w:r>
      <w:bookmarkEnd w:id="97"/>
    </w:p>
    <w:p w:rsidR="00C15FD6" w:rsidRPr="0071546E" w:rsidRDefault="00725033" w:rsidP="00523469">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Different concentration of amphotericin B fig 3.</w:t>
      </w:r>
      <w:r w:rsidR="00523469" w:rsidRPr="0071546E">
        <w:rPr>
          <w:rFonts w:ascii="Arial" w:eastAsiaTheme="minorEastAsia" w:hAnsi="Arial" w:cs="Arial"/>
          <w:sz w:val="24"/>
          <w:szCs w:val="24"/>
        </w:rPr>
        <w:t>21</w:t>
      </w:r>
      <w:r w:rsidRPr="0071546E">
        <w:rPr>
          <w:rFonts w:ascii="Arial" w:eastAsiaTheme="minorEastAsia" w:hAnsi="Arial" w:cs="Arial"/>
          <w:sz w:val="24"/>
          <w:szCs w:val="24"/>
        </w:rPr>
        <w:t xml:space="preserve"> was incubated with </w:t>
      </w:r>
      <w:r w:rsidR="00432D1D" w:rsidRPr="0071546E">
        <w:rPr>
          <w:rFonts w:ascii="Arial" w:eastAsiaTheme="minorEastAsia" w:hAnsi="Arial" w:cs="Arial"/>
          <w:i/>
          <w:sz w:val="24"/>
          <w:szCs w:val="24"/>
        </w:rPr>
        <w:t>Acanthamoeba</w:t>
      </w:r>
      <w:r w:rsidRPr="0071546E">
        <w:rPr>
          <w:rFonts w:ascii="Arial" w:eastAsiaTheme="minorEastAsia" w:hAnsi="Arial" w:cs="Arial"/>
          <w:i/>
          <w:sz w:val="24"/>
          <w:szCs w:val="24"/>
        </w:rPr>
        <w:t xml:space="preserve"> </w:t>
      </w:r>
      <w:r w:rsidRPr="0071546E">
        <w:rPr>
          <w:rFonts w:ascii="Arial" w:eastAsiaTheme="minorEastAsia" w:hAnsi="Arial" w:cs="Arial"/>
          <w:sz w:val="24"/>
          <w:szCs w:val="24"/>
        </w:rPr>
        <w:t>trophozoites and cysts and viability w</w:t>
      </w:r>
      <w:r w:rsidR="002C2939" w:rsidRPr="0071546E">
        <w:rPr>
          <w:rFonts w:ascii="Arial" w:eastAsiaTheme="minorEastAsia" w:hAnsi="Arial" w:cs="Arial"/>
          <w:sz w:val="24"/>
          <w:szCs w:val="24"/>
        </w:rPr>
        <w:t>ere</w:t>
      </w:r>
      <w:r w:rsidRPr="0071546E">
        <w:rPr>
          <w:rFonts w:ascii="Arial" w:eastAsiaTheme="minorEastAsia" w:hAnsi="Arial" w:cs="Arial"/>
          <w:sz w:val="24"/>
          <w:szCs w:val="24"/>
        </w:rPr>
        <w:t xml:space="preserve"> confirmed using ATP </w:t>
      </w:r>
      <w:r w:rsidR="00052FAA" w:rsidRPr="0071546E">
        <w:rPr>
          <w:rFonts w:ascii="Arial" w:eastAsiaTheme="minorEastAsia" w:hAnsi="Arial" w:cs="Arial"/>
          <w:sz w:val="24"/>
          <w:szCs w:val="24"/>
        </w:rPr>
        <w:t>assay after 24 hours incubation</w:t>
      </w:r>
      <w:r w:rsidR="00B1080F" w:rsidRPr="0071546E">
        <w:rPr>
          <w:rFonts w:ascii="Arial" w:eastAsiaTheme="minorEastAsia" w:hAnsi="Arial" w:cs="Arial"/>
          <w:sz w:val="24"/>
          <w:szCs w:val="24"/>
        </w:rPr>
        <w:t xml:space="preserve"> </w:t>
      </w:r>
    </w:p>
    <w:p w:rsidR="00725033" w:rsidRPr="0071546E" w:rsidRDefault="00B1080F" w:rsidP="00CF13FE">
      <w:pPr>
        <w:spacing w:before="100" w:after="200" w:line="240" w:lineRule="atLeast"/>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 </w:t>
      </w:r>
      <w:r w:rsidR="00725033" w:rsidRPr="0071546E">
        <w:rPr>
          <w:rFonts w:ascii="Arial" w:eastAsiaTheme="minorEastAsia" w:hAnsi="Arial" w:cs="Arial"/>
          <w:noProof/>
          <w:sz w:val="24"/>
          <w:szCs w:val="24"/>
          <w:lang w:eastAsia="en-GB"/>
        </w:rPr>
        <w:drawing>
          <wp:inline distT="0" distB="0" distL="0" distR="0" wp14:anchorId="7033772B" wp14:editId="016FADE0">
            <wp:extent cx="4384430" cy="316484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84661A" w:rsidRPr="0071546E" w:rsidRDefault="00BE782F" w:rsidP="00CF13F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Fig 3.</w:t>
      </w:r>
      <w:r w:rsidR="00523469" w:rsidRPr="0071546E">
        <w:rPr>
          <w:rFonts w:ascii="Arial" w:eastAsiaTheme="minorEastAsia" w:hAnsi="Arial" w:cs="Arial"/>
          <w:sz w:val="20"/>
          <w:szCs w:val="20"/>
        </w:rPr>
        <w:t>21</w:t>
      </w:r>
      <w:r w:rsidR="00725033" w:rsidRPr="0071546E">
        <w:rPr>
          <w:rFonts w:ascii="Arial" w:eastAsiaTheme="minorEastAsia" w:hAnsi="Arial" w:cs="Arial"/>
          <w:sz w:val="20"/>
          <w:szCs w:val="20"/>
        </w:rPr>
        <w:t xml:space="preserve"> </w:t>
      </w:r>
      <w:r w:rsidR="0084661A" w:rsidRPr="0071546E">
        <w:rPr>
          <w:rFonts w:ascii="Arial" w:eastAsiaTheme="minorEastAsia" w:hAnsi="Arial" w:cs="Arial"/>
          <w:sz w:val="20"/>
          <w:szCs w:val="20"/>
        </w:rPr>
        <w:t xml:space="preserve">Viability of </w:t>
      </w:r>
      <w:r w:rsidR="0084661A" w:rsidRPr="0071546E">
        <w:rPr>
          <w:rFonts w:ascii="Arial" w:eastAsiaTheme="minorEastAsia" w:hAnsi="Arial" w:cs="Arial"/>
          <w:i/>
          <w:sz w:val="20"/>
          <w:szCs w:val="20"/>
        </w:rPr>
        <w:t>Acanthamoeba</w:t>
      </w:r>
      <w:r w:rsidR="0084661A" w:rsidRPr="0071546E">
        <w:rPr>
          <w:rFonts w:ascii="Arial" w:eastAsiaTheme="minorEastAsia" w:hAnsi="Arial" w:cs="Arial"/>
          <w:sz w:val="20"/>
          <w:szCs w:val="20"/>
        </w:rPr>
        <w:t xml:space="preserve"> cysts and trophozoites determined by ATP assay, after 24-hour incubation with varying concentrations of amphotericin B. the redline shows trophozoite viability while the blue line shows cyst viability. Percentage viability was calculated from control cells. Bioluminescence signal was measured at 600 nm. The error bars represent </w:t>
      </w:r>
      <w:r w:rsidR="00A03908" w:rsidRPr="0071546E">
        <w:rPr>
          <w:rFonts w:ascii="Arial" w:eastAsiaTheme="minorEastAsia" w:hAnsi="Arial" w:cs="Arial"/>
          <w:sz w:val="20"/>
          <w:szCs w:val="20"/>
        </w:rPr>
        <w:t xml:space="preserve">the </w:t>
      </w:r>
      <w:r w:rsidR="0084661A" w:rsidRPr="0071546E">
        <w:rPr>
          <w:rFonts w:ascii="Arial" w:eastAsiaTheme="minorEastAsia" w:hAnsi="Arial" w:cs="Arial"/>
          <w:sz w:val="20"/>
          <w:szCs w:val="20"/>
        </w:rPr>
        <w:t>standard deviation for 4 replicate reading taken.</w:t>
      </w:r>
    </w:p>
    <w:p w:rsidR="0084661A" w:rsidRPr="0071546E" w:rsidRDefault="0084661A" w:rsidP="00CF13FE">
      <w:pPr>
        <w:spacing w:before="100" w:after="200" w:line="240" w:lineRule="auto"/>
        <w:ind w:left="1021" w:right="454"/>
        <w:jc w:val="both"/>
        <w:rPr>
          <w:rFonts w:ascii="Arial" w:eastAsiaTheme="minorEastAsia" w:hAnsi="Arial" w:cs="Arial"/>
          <w:sz w:val="20"/>
          <w:szCs w:val="20"/>
        </w:rPr>
      </w:pPr>
    </w:p>
    <w:p w:rsidR="00725033" w:rsidRPr="0071546E" w:rsidRDefault="00725033"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Results from the amp</w:t>
      </w:r>
      <w:r w:rsidR="0084661A" w:rsidRPr="0071546E">
        <w:rPr>
          <w:rFonts w:ascii="Arial" w:eastAsiaTheme="minorEastAsia" w:hAnsi="Arial" w:cs="Arial"/>
          <w:sz w:val="24"/>
          <w:szCs w:val="24"/>
        </w:rPr>
        <w:t>hotericin B drug assay fig (3.</w:t>
      </w:r>
      <w:r w:rsidR="00523469" w:rsidRPr="0071546E">
        <w:rPr>
          <w:rFonts w:ascii="Arial" w:eastAsiaTheme="minorEastAsia" w:hAnsi="Arial" w:cs="Arial"/>
          <w:sz w:val="24"/>
          <w:szCs w:val="24"/>
        </w:rPr>
        <w:t>21</w:t>
      </w:r>
      <w:r w:rsidRPr="0071546E">
        <w:rPr>
          <w:rFonts w:ascii="Arial" w:eastAsiaTheme="minorEastAsia" w:hAnsi="Arial" w:cs="Arial"/>
          <w:sz w:val="24"/>
          <w:szCs w:val="24"/>
        </w:rPr>
        <w:t>) showed a concentration</w:t>
      </w:r>
      <w:r w:rsidR="002C2939" w:rsidRPr="0071546E">
        <w:rPr>
          <w:rFonts w:ascii="Arial" w:eastAsiaTheme="minorEastAsia" w:hAnsi="Arial" w:cs="Arial"/>
          <w:sz w:val="24"/>
          <w:szCs w:val="24"/>
        </w:rPr>
        <w:t>-</w:t>
      </w:r>
      <w:r w:rsidRPr="0071546E">
        <w:rPr>
          <w:rFonts w:ascii="Arial" w:eastAsiaTheme="minorEastAsia" w:hAnsi="Arial" w:cs="Arial"/>
          <w:sz w:val="24"/>
          <w:szCs w:val="24"/>
        </w:rPr>
        <w:t xml:space="preserve">dependent inhibition of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cysts and trophozoites. The response kinetics</w:t>
      </w:r>
      <w:r w:rsidR="002C2939" w:rsidRPr="0071546E">
        <w:rPr>
          <w:rFonts w:ascii="Arial" w:eastAsiaTheme="minorEastAsia" w:hAnsi="Arial" w:cs="Arial"/>
          <w:sz w:val="24"/>
          <w:szCs w:val="24"/>
        </w:rPr>
        <w:t>, however,</w:t>
      </w:r>
      <w:r w:rsidRPr="0071546E">
        <w:rPr>
          <w:rFonts w:ascii="Arial" w:eastAsiaTheme="minorEastAsia" w:hAnsi="Arial" w:cs="Arial"/>
          <w:sz w:val="24"/>
          <w:szCs w:val="24"/>
        </w:rPr>
        <w:t xml:space="preserve"> was different for cysts and trophozoites. The trophozoites showed greater susceptibility as seen from the response curve</w:t>
      </w:r>
      <w:r w:rsidR="0084661A" w:rsidRPr="0071546E">
        <w:rPr>
          <w:rFonts w:ascii="Arial" w:eastAsiaTheme="minorEastAsia" w:hAnsi="Arial" w:cs="Arial"/>
          <w:sz w:val="24"/>
          <w:szCs w:val="24"/>
        </w:rPr>
        <w:t xml:space="preserve"> (red line) fig (3.</w:t>
      </w:r>
      <w:r w:rsidR="00523469" w:rsidRPr="0071546E">
        <w:rPr>
          <w:rFonts w:ascii="Arial" w:eastAsiaTheme="minorEastAsia" w:hAnsi="Arial" w:cs="Arial"/>
          <w:sz w:val="24"/>
          <w:szCs w:val="24"/>
        </w:rPr>
        <w:t>21</w:t>
      </w:r>
      <w:r w:rsidRPr="0071546E">
        <w:rPr>
          <w:rFonts w:ascii="Arial" w:eastAsiaTheme="minorEastAsia" w:hAnsi="Arial" w:cs="Arial"/>
          <w:sz w:val="24"/>
          <w:szCs w:val="24"/>
        </w:rPr>
        <w:t>). A l</w:t>
      </w:r>
      <w:r w:rsidR="00832C20" w:rsidRPr="0071546E">
        <w:rPr>
          <w:rFonts w:ascii="Arial" w:eastAsiaTheme="minorEastAsia" w:hAnsi="Arial" w:cs="Arial"/>
          <w:sz w:val="24"/>
          <w:szCs w:val="24"/>
        </w:rPr>
        <w:t>ethal concentration of 500 µg/ml</w:t>
      </w:r>
      <w:r w:rsidRPr="0071546E">
        <w:rPr>
          <w:rFonts w:ascii="Arial" w:eastAsiaTheme="minorEastAsia" w:hAnsi="Arial" w:cs="Arial"/>
          <w:sz w:val="24"/>
          <w:szCs w:val="24"/>
        </w:rPr>
        <w:t xml:space="preserve"> was seen in both morphological forms. However</w:t>
      </w:r>
      <w:r w:rsidR="002C2939" w:rsidRPr="0071546E">
        <w:rPr>
          <w:rFonts w:ascii="Arial" w:eastAsiaTheme="minorEastAsia" w:hAnsi="Arial" w:cs="Arial"/>
          <w:sz w:val="24"/>
          <w:szCs w:val="24"/>
        </w:rPr>
        <w:t>,</w:t>
      </w:r>
      <w:r w:rsidRPr="0071546E">
        <w:rPr>
          <w:rFonts w:ascii="Arial" w:eastAsiaTheme="minorEastAsia" w:hAnsi="Arial" w:cs="Arial"/>
          <w:sz w:val="24"/>
          <w:szCs w:val="24"/>
        </w:rPr>
        <w:t xml:space="preserve"> the IC</w:t>
      </w:r>
      <w:r w:rsidRPr="0071546E">
        <w:rPr>
          <w:rFonts w:ascii="Arial" w:eastAsiaTheme="minorEastAsia" w:hAnsi="Arial" w:cs="Arial"/>
          <w:sz w:val="24"/>
          <w:szCs w:val="24"/>
          <w:vertAlign w:val="subscript"/>
        </w:rPr>
        <w:t>50</w:t>
      </w:r>
      <w:r w:rsidRPr="0071546E">
        <w:rPr>
          <w:rFonts w:ascii="Arial" w:eastAsiaTheme="minorEastAsia" w:hAnsi="Arial" w:cs="Arial"/>
          <w:sz w:val="24"/>
          <w:szCs w:val="24"/>
        </w:rPr>
        <w:t xml:space="preserve"> for the trophozoites was approximately 15 µg/ml while the cyst showed a greater resistance at 50 µg/ml. Furthermore, the minimal inhibitory concentration for the cysts was greater at (250 µg/ml) against 100 µg/ml for the trophozoites. </w:t>
      </w:r>
    </w:p>
    <w:p w:rsidR="00725033" w:rsidRPr="0071546E" w:rsidRDefault="00725033" w:rsidP="00CF13FE">
      <w:pPr>
        <w:pStyle w:val="Heading2"/>
        <w:ind w:left="1021" w:right="454"/>
        <w:rPr>
          <w:rFonts w:eastAsiaTheme="minorEastAsia"/>
        </w:rPr>
      </w:pPr>
      <w:bookmarkStart w:id="98" w:name="_Toc14711468"/>
      <w:r w:rsidRPr="0071546E">
        <w:rPr>
          <w:rFonts w:eastAsiaTheme="minorEastAsia"/>
        </w:rPr>
        <w:t>3.4.2 Miltefosine Drug assay</w:t>
      </w:r>
      <w:bookmarkEnd w:id="98"/>
    </w:p>
    <w:p w:rsidR="00725033" w:rsidRPr="0071546E" w:rsidRDefault="00725033"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The susceptibility of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with miltefosine was also evaluated by incubating different concentration of miltefosine with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cysts and trophozoites and viability accessed afte</w:t>
      </w:r>
      <w:r w:rsidR="0084661A" w:rsidRPr="0071546E">
        <w:rPr>
          <w:rFonts w:ascii="Arial" w:eastAsiaTheme="minorEastAsia" w:hAnsi="Arial" w:cs="Arial"/>
          <w:sz w:val="24"/>
          <w:szCs w:val="24"/>
        </w:rPr>
        <w:t>r 24 hours incubation. Fig (3.</w:t>
      </w:r>
      <w:r w:rsidR="009F6F9E" w:rsidRPr="0071546E">
        <w:rPr>
          <w:rFonts w:ascii="Arial" w:eastAsiaTheme="minorEastAsia" w:hAnsi="Arial" w:cs="Arial"/>
          <w:sz w:val="24"/>
          <w:szCs w:val="24"/>
        </w:rPr>
        <w:t>2</w:t>
      </w:r>
      <w:r w:rsidR="00523469" w:rsidRPr="0071546E">
        <w:rPr>
          <w:rFonts w:ascii="Arial" w:eastAsiaTheme="minorEastAsia" w:hAnsi="Arial" w:cs="Arial"/>
          <w:sz w:val="24"/>
          <w:szCs w:val="24"/>
        </w:rPr>
        <w:t>2</w:t>
      </w:r>
      <w:r w:rsidRPr="0071546E">
        <w:rPr>
          <w:rFonts w:ascii="Arial" w:eastAsiaTheme="minorEastAsia" w:hAnsi="Arial" w:cs="Arial"/>
          <w:sz w:val="24"/>
          <w:szCs w:val="24"/>
        </w:rPr>
        <w:t xml:space="preserve">) </w:t>
      </w:r>
    </w:p>
    <w:p w:rsidR="00725033" w:rsidRPr="0071546E" w:rsidRDefault="00725033" w:rsidP="00CF13FE">
      <w:pPr>
        <w:spacing w:before="100" w:after="200" w:line="240" w:lineRule="atLeast"/>
        <w:ind w:left="1021" w:right="454" w:firstLine="57"/>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346E2A97" wp14:editId="0164AFE3">
            <wp:extent cx="4149970" cy="2918460"/>
            <wp:effectExtent l="0" t="0" r="3175"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84661A" w:rsidRPr="0071546E" w:rsidRDefault="0084661A" w:rsidP="00CF13F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Fig 3.</w:t>
      </w:r>
      <w:r w:rsidR="009F6F9E" w:rsidRPr="0071546E">
        <w:rPr>
          <w:rFonts w:ascii="Arial" w:eastAsiaTheme="minorEastAsia" w:hAnsi="Arial" w:cs="Arial"/>
          <w:sz w:val="20"/>
          <w:szCs w:val="20"/>
        </w:rPr>
        <w:t>2</w:t>
      </w:r>
      <w:r w:rsidR="00523469" w:rsidRPr="0071546E">
        <w:rPr>
          <w:rFonts w:ascii="Arial" w:eastAsiaTheme="minorEastAsia" w:hAnsi="Arial" w:cs="Arial"/>
          <w:sz w:val="20"/>
          <w:szCs w:val="20"/>
        </w:rPr>
        <w:t>2</w:t>
      </w:r>
      <w:r w:rsidRPr="0071546E">
        <w:rPr>
          <w:rFonts w:ascii="Arial" w:eastAsiaTheme="minorEastAsia" w:hAnsi="Arial" w:cs="Arial"/>
          <w:sz w:val="20"/>
          <w:szCs w:val="20"/>
        </w:rPr>
        <w:t xml:space="preserve"> Viability of </w:t>
      </w:r>
      <w:r w:rsidRPr="0071546E">
        <w:rPr>
          <w:rFonts w:ascii="Arial" w:eastAsiaTheme="minorEastAsia" w:hAnsi="Arial" w:cs="Arial"/>
          <w:i/>
          <w:sz w:val="20"/>
          <w:szCs w:val="20"/>
        </w:rPr>
        <w:t>Acanthamoeba</w:t>
      </w:r>
      <w:r w:rsidRPr="0071546E">
        <w:rPr>
          <w:rFonts w:ascii="Arial" w:eastAsiaTheme="minorEastAsia" w:hAnsi="Arial" w:cs="Arial"/>
          <w:sz w:val="20"/>
          <w:szCs w:val="20"/>
        </w:rPr>
        <w:t xml:space="preserve"> cysts and trophozoites determined by ATP assay, after 24-hour incubation with varying concentrations of miltefosine. </w:t>
      </w:r>
      <w:r w:rsidR="00BE11C1" w:rsidRPr="0071546E">
        <w:rPr>
          <w:rFonts w:ascii="Arial" w:eastAsiaTheme="minorEastAsia" w:hAnsi="Arial" w:cs="Arial"/>
          <w:sz w:val="20"/>
          <w:szCs w:val="20"/>
        </w:rPr>
        <w:t>The</w:t>
      </w:r>
      <w:r w:rsidRPr="0071546E">
        <w:rPr>
          <w:rFonts w:ascii="Arial" w:eastAsiaTheme="minorEastAsia" w:hAnsi="Arial" w:cs="Arial"/>
          <w:sz w:val="20"/>
          <w:szCs w:val="20"/>
        </w:rPr>
        <w:t xml:space="preserve"> red line shows </w:t>
      </w:r>
      <w:r w:rsidR="00BE11C1" w:rsidRPr="0071546E">
        <w:rPr>
          <w:rFonts w:ascii="Arial" w:eastAsiaTheme="minorEastAsia" w:hAnsi="Arial" w:cs="Arial"/>
          <w:sz w:val="20"/>
          <w:szCs w:val="20"/>
        </w:rPr>
        <w:t>trophozoites</w:t>
      </w:r>
      <w:r w:rsidRPr="0071546E">
        <w:rPr>
          <w:rFonts w:ascii="Arial" w:eastAsiaTheme="minorEastAsia" w:hAnsi="Arial" w:cs="Arial"/>
          <w:sz w:val="20"/>
          <w:szCs w:val="20"/>
        </w:rPr>
        <w:t xml:space="preserve"> viability while the blue line shows cyst viability. Percentage viability was calculated from control cells. Bioluminescence signal was measured at 600 nm. The error bars represent the standard deviation for 4 replicate reading taken</w:t>
      </w:r>
    </w:p>
    <w:p w:rsidR="00725033" w:rsidRPr="0071546E" w:rsidRDefault="0084661A" w:rsidP="00CF13FE">
      <w:pPr>
        <w:spacing w:before="100" w:after="200" w:line="480" w:lineRule="auto"/>
        <w:ind w:left="1021" w:right="454"/>
        <w:jc w:val="both"/>
        <w:rPr>
          <w:rFonts w:ascii="Arial" w:eastAsiaTheme="minorEastAsia" w:hAnsi="Arial" w:cs="Arial"/>
          <w:sz w:val="20"/>
          <w:szCs w:val="20"/>
        </w:rPr>
      </w:pPr>
      <w:r w:rsidRPr="0071546E">
        <w:rPr>
          <w:rFonts w:ascii="Arial" w:eastAsiaTheme="minorEastAsia" w:hAnsi="Arial" w:cs="Arial"/>
          <w:sz w:val="24"/>
          <w:szCs w:val="24"/>
        </w:rPr>
        <w:t>As seen in the</w:t>
      </w:r>
      <w:r w:rsidR="00523469" w:rsidRPr="0071546E">
        <w:rPr>
          <w:rFonts w:ascii="Arial" w:eastAsiaTheme="minorEastAsia" w:hAnsi="Arial" w:cs="Arial"/>
          <w:sz w:val="24"/>
          <w:szCs w:val="24"/>
        </w:rPr>
        <w:t xml:space="preserve"> response curve</w:t>
      </w:r>
      <w:r w:rsidRPr="0071546E">
        <w:rPr>
          <w:rFonts w:ascii="Arial" w:eastAsiaTheme="minorEastAsia" w:hAnsi="Arial" w:cs="Arial"/>
          <w:sz w:val="24"/>
          <w:szCs w:val="24"/>
        </w:rPr>
        <w:t xml:space="preserve"> fig 3.</w:t>
      </w:r>
      <w:r w:rsidR="009F6F9E" w:rsidRPr="0071546E">
        <w:rPr>
          <w:rFonts w:ascii="Arial" w:eastAsiaTheme="minorEastAsia" w:hAnsi="Arial" w:cs="Arial"/>
          <w:sz w:val="24"/>
          <w:szCs w:val="24"/>
        </w:rPr>
        <w:t>2</w:t>
      </w:r>
      <w:r w:rsidR="00523469" w:rsidRPr="0071546E">
        <w:rPr>
          <w:rFonts w:ascii="Arial" w:eastAsiaTheme="minorEastAsia" w:hAnsi="Arial" w:cs="Arial"/>
          <w:sz w:val="24"/>
          <w:szCs w:val="24"/>
        </w:rPr>
        <w:t>2</w:t>
      </w:r>
      <w:r w:rsidRPr="0071546E">
        <w:rPr>
          <w:rFonts w:ascii="Arial" w:eastAsiaTheme="minorEastAsia" w:hAnsi="Arial" w:cs="Arial"/>
          <w:sz w:val="24"/>
          <w:szCs w:val="24"/>
        </w:rPr>
        <w:t>,</w:t>
      </w:r>
      <w:r w:rsidR="00725033" w:rsidRPr="0071546E">
        <w:rPr>
          <w:rFonts w:ascii="Arial" w:eastAsiaTheme="minorEastAsia" w:hAnsi="Arial" w:cs="Arial"/>
          <w:sz w:val="24"/>
          <w:szCs w:val="24"/>
        </w:rPr>
        <w:t xml:space="preserve"> </w:t>
      </w:r>
      <w:r w:rsidR="00432D1D" w:rsidRPr="0071546E">
        <w:rPr>
          <w:rFonts w:ascii="Arial" w:eastAsiaTheme="minorEastAsia" w:hAnsi="Arial" w:cs="Arial"/>
          <w:i/>
          <w:sz w:val="24"/>
          <w:szCs w:val="24"/>
        </w:rPr>
        <w:t>Acanthamoeba</w:t>
      </w:r>
      <w:r w:rsidR="00725033" w:rsidRPr="0071546E">
        <w:rPr>
          <w:rFonts w:ascii="Arial" w:eastAsiaTheme="minorEastAsia" w:hAnsi="Arial" w:cs="Arial"/>
          <w:sz w:val="24"/>
          <w:szCs w:val="24"/>
        </w:rPr>
        <w:t xml:space="preserve"> trophozoites were more susceptible to miltefosine than the cysts. A 100% inhibition of the trophozoites was observed at 50 μg/</w:t>
      </w:r>
      <w:r w:rsidR="00BE11C1" w:rsidRPr="0071546E">
        <w:rPr>
          <w:rFonts w:ascii="Arial" w:eastAsiaTheme="minorEastAsia" w:hAnsi="Arial" w:cs="Arial"/>
          <w:sz w:val="24"/>
          <w:szCs w:val="24"/>
        </w:rPr>
        <w:t>ml;</w:t>
      </w:r>
      <w:r w:rsidR="00725033" w:rsidRPr="0071546E">
        <w:rPr>
          <w:rFonts w:ascii="Arial" w:eastAsiaTheme="minorEastAsia" w:hAnsi="Arial" w:cs="Arial"/>
          <w:sz w:val="24"/>
          <w:szCs w:val="24"/>
        </w:rPr>
        <w:t xml:space="preserve"> three times of this concentration was not enough to totally inactivate the cysts. The IC</w:t>
      </w:r>
      <w:r w:rsidR="00725033" w:rsidRPr="0071546E">
        <w:rPr>
          <w:rFonts w:ascii="Arial" w:eastAsiaTheme="minorEastAsia" w:hAnsi="Arial" w:cs="Arial"/>
          <w:sz w:val="24"/>
          <w:szCs w:val="24"/>
          <w:vertAlign w:val="subscript"/>
        </w:rPr>
        <w:t>50</w:t>
      </w:r>
      <w:r w:rsidR="00725033" w:rsidRPr="0071546E">
        <w:rPr>
          <w:rFonts w:ascii="Arial" w:eastAsiaTheme="minorEastAsia" w:hAnsi="Arial" w:cs="Arial"/>
          <w:sz w:val="24"/>
          <w:szCs w:val="24"/>
        </w:rPr>
        <w:t xml:space="preserve"> for the trophozoites was 15 µg/ml while </w:t>
      </w:r>
      <w:r w:rsidR="002C2939" w:rsidRPr="0071546E">
        <w:rPr>
          <w:rFonts w:ascii="Arial" w:eastAsiaTheme="minorEastAsia" w:hAnsi="Arial" w:cs="Arial"/>
          <w:sz w:val="24"/>
          <w:szCs w:val="24"/>
        </w:rPr>
        <w:t xml:space="preserve">the cysts </w:t>
      </w:r>
      <w:r w:rsidR="00725033" w:rsidRPr="0071546E">
        <w:rPr>
          <w:rFonts w:ascii="Arial" w:eastAsiaTheme="minorEastAsia" w:hAnsi="Arial" w:cs="Arial"/>
          <w:sz w:val="24"/>
          <w:szCs w:val="24"/>
        </w:rPr>
        <w:t>w</w:t>
      </w:r>
      <w:r w:rsidRPr="0071546E">
        <w:rPr>
          <w:rFonts w:ascii="Arial" w:eastAsiaTheme="minorEastAsia" w:hAnsi="Arial" w:cs="Arial"/>
          <w:sz w:val="24"/>
          <w:szCs w:val="24"/>
        </w:rPr>
        <w:t>ere</w:t>
      </w:r>
      <w:r w:rsidR="00725033" w:rsidRPr="0071546E">
        <w:rPr>
          <w:rFonts w:ascii="Arial" w:eastAsiaTheme="minorEastAsia" w:hAnsi="Arial" w:cs="Arial"/>
          <w:sz w:val="24"/>
          <w:szCs w:val="24"/>
        </w:rPr>
        <w:t xml:space="preserve"> 25 µg/ml. minimal inhibitory concentration for trophozoites </w:t>
      </w:r>
      <w:r w:rsidR="00476D08" w:rsidRPr="0071546E">
        <w:rPr>
          <w:rFonts w:ascii="Arial" w:eastAsiaTheme="minorEastAsia" w:hAnsi="Arial" w:cs="Arial"/>
          <w:sz w:val="24"/>
          <w:szCs w:val="24"/>
        </w:rPr>
        <w:t>was 25</w:t>
      </w:r>
      <w:r w:rsidR="00725033" w:rsidRPr="0071546E">
        <w:rPr>
          <w:rFonts w:ascii="Arial" w:eastAsiaTheme="minorEastAsia" w:hAnsi="Arial" w:cs="Arial"/>
          <w:sz w:val="24"/>
          <w:szCs w:val="24"/>
        </w:rPr>
        <w:t xml:space="preserve"> µg/ml and again the cysts showed more resistance at approximately 125 µg/ml. </w:t>
      </w:r>
    </w:p>
    <w:p w:rsidR="00725033" w:rsidRPr="0071546E" w:rsidRDefault="00725033" w:rsidP="00CF13FE">
      <w:pPr>
        <w:pStyle w:val="Heading2"/>
        <w:ind w:left="1021" w:right="454"/>
        <w:rPr>
          <w:rFonts w:eastAsiaTheme="minorEastAsia"/>
        </w:rPr>
      </w:pPr>
      <w:bookmarkStart w:id="99" w:name="_Toc14711469"/>
      <w:r w:rsidRPr="0071546E">
        <w:rPr>
          <w:rFonts w:eastAsiaTheme="minorEastAsia"/>
        </w:rPr>
        <w:t>3.4.3 Povidone-iodine drug assay.</w:t>
      </w:r>
      <w:bookmarkEnd w:id="99"/>
    </w:p>
    <w:p w:rsidR="00725033" w:rsidRPr="0071546E" w:rsidRDefault="00725033" w:rsidP="00CF13FE">
      <w:pPr>
        <w:spacing w:before="100" w:after="200" w:line="480" w:lineRule="auto"/>
        <w:ind w:left="1021" w:right="454" w:firstLine="57"/>
        <w:jc w:val="both"/>
        <w:rPr>
          <w:rFonts w:ascii="Arial" w:eastAsiaTheme="minorEastAsia" w:hAnsi="Arial" w:cs="Arial"/>
          <w:sz w:val="24"/>
          <w:szCs w:val="24"/>
        </w:rPr>
      </w:pPr>
      <w:r w:rsidRPr="0071546E">
        <w:rPr>
          <w:rFonts w:ascii="Arial" w:eastAsiaTheme="minorEastAsia" w:hAnsi="Arial" w:cs="Arial"/>
          <w:sz w:val="24"/>
          <w:szCs w:val="24"/>
        </w:rPr>
        <w:t>Further drug assay was carried out. This time Povidone</w:t>
      </w:r>
      <w:r w:rsidR="002C2939" w:rsidRPr="0071546E">
        <w:rPr>
          <w:rFonts w:ascii="Arial" w:eastAsiaTheme="minorEastAsia" w:hAnsi="Arial" w:cs="Arial"/>
          <w:sz w:val="24"/>
          <w:szCs w:val="24"/>
        </w:rPr>
        <w:t>-</w:t>
      </w:r>
      <w:r w:rsidRPr="0071546E">
        <w:rPr>
          <w:rFonts w:ascii="Arial" w:eastAsiaTheme="minorEastAsia" w:hAnsi="Arial" w:cs="Arial"/>
          <w:sz w:val="24"/>
          <w:szCs w:val="24"/>
        </w:rPr>
        <w:t>iodine was used to further validate the adaptability of ATP assay for cysts and trophozoites viability. As usual, different concentrations of povidone</w:t>
      </w:r>
      <w:r w:rsidR="002C2939" w:rsidRPr="0071546E">
        <w:rPr>
          <w:rFonts w:ascii="Arial" w:eastAsiaTheme="minorEastAsia" w:hAnsi="Arial" w:cs="Arial"/>
          <w:sz w:val="24"/>
          <w:szCs w:val="24"/>
        </w:rPr>
        <w:t>-</w:t>
      </w:r>
      <w:r w:rsidRPr="0071546E">
        <w:rPr>
          <w:rFonts w:ascii="Arial" w:eastAsiaTheme="minorEastAsia" w:hAnsi="Arial" w:cs="Arial"/>
          <w:sz w:val="24"/>
          <w:szCs w:val="24"/>
        </w:rPr>
        <w:t>iodine was incubated with the cysts and trophozoites over a 24-hour period and viability was evaluated with ATP assay.</w:t>
      </w:r>
    </w:p>
    <w:p w:rsidR="00725033" w:rsidRPr="0071546E" w:rsidRDefault="00725033" w:rsidP="00CF13FE">
      <w:pPr>
        <w:spacing w:before="100" w:after="200" w:line="240" w:lineRule="atLeast"/>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0EBC4BF5" wp14:editId="68BA9F7A">
            <wp:extent cx="4610100" cy="2764790"/>
            <wp:effectExtent l="0" t="0" r="0" b="0"/>
            <wp:docPr id="1036" name="Chart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27A94" w:rsidRPr="0071546E" w:rsidRDefault="0084661A" w:rsidP="009F6F9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Fig 3.2</w:t>
      </w:r>
      <w:r w:rsidR="00523469" w:rsidRPr="0071546E">
        <w:rPr>
          <w:rFonts w:ascii="Arial" w:eastAsiaTheme="minorEastAsia" w:hAnsi="Arial" w:cs="Arial"/>
          <w:sz w:val="20"/>
          <w:szCs w:val="20"/>
        </w:rPr>
        <w:t>3</w:t>
      </w:r>
      <w:r w:rsidRPr="0071546E">
        <w:rPr>
          <w:rFonts w:ascii="Arial" w:eastAsiaTheme="minorEastAsia" w:hAnsi="Arial" w:cs="Arial"/>
          <w:sz w:val="20"/>
          <w:szCs w:val="20"/>
        </w:rPr>
        <w:t xml:space="preserve"> Viability of </w:t>
      </w:r>
      <w:r w:rsidRPr="0071546E">
        <w:rPr>
          <w:rFonts w:ascii="Arial" w:eastAsiaTheme="minorEastAsia" w:hAnsi="Arial" w:cs="Arial"/>
          <w:i/>
          <w:sz w:val="20"/>
          <w:szCs w:val="20"/>
        </w:rPr>
        <w:t>Acanthamoeba</w:t>
      </w:r>
      <w:r w:rsidRPr="0071546E">
        <w:rPr>
          <w:rFonts w:ascii="Arial" w:eastAsiaTheme="minorEastAsia" w:hAnsi="Arial" w:cs="Arial"/>
          <w:sz w:val="20"/>
          <w:szCs w:val="20"/>
        </w:rPr>
        <w:t xml:space="preserve"> cysts and trophozoites determined by ATP assay, after 24-hour incubation with varying concentrations of povidone-iodine. </w:t>
      </w:r>
      <w:r w:rsidR="0011587B" w:rsidRPr="0071546E">
        <w:rPr>
          <w:rFonts w:ascii="Arial" w:eastAsiaTheme="minorEastAsia" w:hAnsi="Arial" w:cs="Arial"/>
          <w:sz w:val="20"/>
          <w:szCs w:val="20"/>
        </w:rPr>
        <w:t>The</w:t>
      </w:r>
      <w:r w:rsidRPr="0071546E">
        <w:rPr>
          <w:rFonts w:ascii="Arial" w:eastAsiaTheme="minorEastAsia" w:hAnsi="Arial" w:cs="Arial"/>
          <w:sz w:val="20"/>
          <w:szCs w:val="20"/>
        </w:rPr>
        <w:t xml:space="preserve"> red line shows </w:t>
      </w:r>
      <w:r w:rsidR="00BE11C1" w:rsidRPr="0071546E">
        <w:rPr>
          <w:rFonts w:ascii="Arial" w:eastAsiaTheme="minorEastAsia" w:hAnsi="Arial" w:cs="Arial"/>
          <w:sz w:val="20"/>
          <w:szCs w:val="20"/>
        </w:rPr>
        <w:t>trophozoites</w:t>
      </w:r>
      <w:r w:rsidRPr="0071546E">
        <w:rPr>
          <w:rFonts w:ascii="Arial" w:eastAsiaTheme="minorEastAsia" w:hAnsi="Arial" w:cs="Arial"/>
          <w:sz w:val="20"/>
          <w:szCs w:val="20"/>
        </w:rPr>
        <w:t xml:space="preserve"> viability while the blue line shows cyst viability. Percentage viability was calculated from control cells. Bioluminescence signal was measured at 600 nm. The error bars represent the standard deviation for 4 replicate reading taken</w:t>
      </w:r>
    </w:p>
    <w:p w:rsidR="00127A94" w:rsidRPr="0071546E" w:rsidRDefault="00725033" w:rsidP="009F6F9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Results f</w:t>
      </w:r>
      <w:r w:rsidR="0084661A" w:rsidRPr="0071546E">
        <w:rPr>
          <w:rFonts w:ascii="Arial" w:eastAsiaTheme="minorEastAsia" w:hAnsi="Arial" w:cs="Arial"/>
          <w:sz w:val="24"/>
          <w:szCs w:val="24"/>
        </w:rPr>
        <w:t>rom povidone drug test fig (3.2</w:t>
      </w:r>
      <w:r w:rsidR="00523469" w:rsidRPr="0071546E">
        <w:rPr>
          <w:rFonts w:ascii="Arial" w:eastAsiaTheme="minorEastAsia" w:hAnsi="Arial" w:cs="Arial"/>
          <w:sz w:val="24"/>
          <w:szCs w:val="24"/>
        </w:rPr>
        <w:t>3</w:t>
      </w:r>
      <w:r w:rsidRPr="0071546E">
        <w:rPr>
          <w:rFonts w:ascii="Arial" w:eastAsiaTheme="minorEastAsia" w:hAnsi="Arial" w:cs="Arial"/>
          <w:sz w:val="24"/>
          <w:szCs w:val="24"/>
        </w:rPr>
        <w:t xml:space="preserve">), showed that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trophozoites were more susceptible to povidone</w:t>
      </w:r>
      <w:r w:rsidR="00563D9A" w:rsidRPr="0071546E">
        <w:rPr>
          <w:rFonts w:ascii="Arial" w:eastAsiaTheme="minorEastAsia" w:hAnsi="Arial" w:cs="Arial"/>
          <w:sz w:val="24"/>
          <w:szCs w:val="24"/>
        </w:rPr>
        <w:t>-</w:t>
      </w:r>
      <w:r w:rsidRPr="0071546E">
        <w:rPr>
          <w:rFonts w:ascii="Arial" w:eastAsiaTheme="minorEastAsia" w:hAnsi="Arial" w:cs="Arial"/>
          <w:sz w:val="24"/>
          <w:szCs w:val="24"/>
        </w:rPr>
        <w:t xml:space="preserve">iodine than amphotericin </w:t>
      </w:r>
      <w:r w:rsidR="0084661A" w:rsidRPr="0071546E">
        <w:rPr>
          <w:rFonts w:ascii="Arial" w:eastAsiaTheme="minorEastAsia" w:hAnsi="Arial" w:cs="Arial"/>
          <w:sz w:val="24"/>
          <w:szCs w:val="24"/>
        </w:rPr>
        <w:t>B and m</w:t>
      </w:r>
      <w:r w:rsidRPr="0071546E">
        <w:rPr>
          <w:rFonts w:ascii="Arial" w:eastAsiaTheme="minorEastAsia" w:hAnsi="Arial" w:cs="Arial"/>
          <w:sz w:val="24"/>
          <w:szCs w:val="24"/>
        </w:rPr>
        <w:t>ilte</w:t>
      </w:r>
      <w:r w:rsidR="0084661A" w:rsidRPr="0071546E">
        <w:rPr>
          <w:rFonts w:ascii="Arial" w:eastAsiaTheme="minorEastAsia" w:hAnsi="Arial" w:cs="Arial"/>
          <w:sz w:val="24"/>
          <w:szCs w:val="24"/>
        </w:rPr>
        <w:t>fosine. A concentration of 100 µ</w:t>
      </w:r>
      <w:r w:rsidRPr="0071546E">
        <w:rPr>
          <w:rFonts w:ascii="Arial" w:eastAsiaTheme="minorEastAsia" w:hAnsi="Arial" w:cs="Arial"/>
          <w:sz w:val="24"/>
          <w:szCs w:val="24"/>
        </w:rPr>
        <w:t>g/</w:t>
      </w:r>
      <w:r w:rsidR="0084661A" w:rsidRPr="0071546E">
        <w:rPr>
          <w:rFonts w:ascii="Arial" w:eastAsiaTheme="minorEastAsia" w:hAnsi="Arial" w:cs="Arial"/>
          <w:sz w:val="24"/>
          <w:szCs w:val="24"/>
        </w:rPr>
        <w:t>m</w:t>
      </w:r>
      <w:r w:rsidRPr="0071546E">
        <w:rPr>
          <w:rFonts w:ascii="Arial" w:eastAsiaTheme="minorEastAsia" w:hAnsi="Arial" w:cs="Arial"/>
          <w:sz w:val="24"/>
          <w:szCs w:val="24"/>
        </w:rPr>
        <w:t xml:space="preserve">l was lethal for the trophozoites while 500 </w:t>
      </w:r>
      <w:r w:rsidR="0084661A" w:rsidRPr="0071546E">
        <w:rPr>
          <w:rFonts w:ascii="Arial" w:eastAsiaTheme="minorEastAsia" w:hAnsi="Arial" w:cs="Arial"/>
          <w:sz w:val="24"/>
          <w:szCs w:val="24"/>
        </w:rPr>
        <w:t>µg/ml</w:t>
      </w:r>
      <w:r w:rsidRPr="0071546E">
        <w:rPr>
          <w:rFonts w:ascii="Arial" w:eastAsiaTheme="minorEastAsia" w:hAnsi="Arial" w:cs="Arial"/>
          <w:sz w:val="24"/>
          <w:szCs w:val="24"/>
        </w:rPr>
        <w:t xml:space="preserve"> was lethal for cysts. The IC</w:t>
      </w:r>
      <w:r w:rsidRPr="0071546E">
        <w:rPr>
          <w:rFonts w:ascii="Arial" w:eastAsiaTheme="minorEastAsia" w:hAnsi="Arial" w:cs="Arial"/>
          <w:sz w:val="24"/>
          <w:szCs w:val="24"/>
          <w:vertAlign w:val="subscript"/>
        </w:rPr>
        <w:t xml:space="preserve">50 </w:t>
      </w:r>
      <w:r w:rsidRPr="0071546E">
        <w:rPr>
          <w:rFonts w:ascii="Arial" w:eastAsiaTheme="minorEastAsia" w:hAnsi="Arial" w:cs="Arial"/>
          <w:sz w:val="24"/>
          <w:szCs w:val="24"/>
        </w:rPr>
        <w:t xml:space="preserve">for the cysts was 100 </w:t>
      </w:r>
      <w:r w:rsidR="0084661A" w:rsidRPr="0071546E">
        <w:rPr>
          <w:rFonts w:ascii="Arial" w:eastAsiaTheme="minorEastAsia" w:hAnsi="Arial" w:cs="Arial"/>
          <w:sz w:val="24"/>
          <w:szCs w:val="24"/>
        </w:rPr>
        <w:t>µg/ml</w:t>
      </w:r>
      <w:r w:rsidRPr="0071546E">
        <w:rPr>
          <w:rFonts w:ascii="Arial" w:eastAsiaTheme="minorEastAsia" w:hAnsi="Arial" w:cs="Arial"/>
          <w:sz w:val="24"/>
          <w:szCs w:val="24"/>
        </w:rPr>
        <w:t>,</w:t>
      </w:r>
      <w:r w:rsidR="0084661A" w:rsidRPr="0071546E">
        <w:rPr>
          <w:rFonts w:ascii="Arial" w:eastAsiaTheme="minorEastAsia" w:hAnsi="Arial" w:cs="Arial"/>
          <w:sz w:val="24"/>
          <w:szCs w:val="24"/>
        </w:rPr>
        <w:t xml:space="preserve"> while IC</w:t>
      </w:r>
      <w:r w:rsidR="0084661A" w:rsidRPr="0071546E">
        <w:rPr>
          <w:rFonts w:ascii="Arial" w:eastAsiaTheme="minorEastAsia" w:hAnsi="Arial" w:cs="Arial"/>
          <w:sz w:val="24"/>
          <w:szCs w:val="24"/>
          <w:vertAlign w:val="subscript"/>
        </w:rPr>
        <w:t>50</w:t>
      </w:r>
      <w:r w:rsidR="0084661A" w:rsidRPr="0071546E">
        <w:rPr>
          <w:rFonts w:ascii="Arial" w:eastAsiaTheme="minorEastAsia" w:hAnsi="Arial" w:cs="Arial"/>
          <w:sz w:val="24"/>
          <w:szCs w:val="24"/>
        </w:rPr>
        <w:t xml:space="preserve"> was 15</w:t>
      </w:r>
      <w:r w:rsidRPr="0071546E">
        <w:rPr>
          <w:rFonts w:ascii="Arial" w:eastAsiaTheme="minorEastAsia" w:hAnsi="Arial" w:cs="Arial"/>
          <w:sz w:val="24"/>
          <w:szCs w:val="24"/>
        </w:rPr>
        <w:t xml:space="preserve"> </w:t>
      </w:r>
      <w:r w:rsidR="0084661A" w:rsidRPr="0071546E">
        <w:rPr>
          <w:rFonts w:ascii="Arial" w:eastAsiaTheme="minorEastAsia" w:hAnsi="Arial" w:cs="Arial"/>
          <w:sz w:val="24"/>
          <w:szCs w:val="24"/>
        </w:rPr>
        <w:t>µg/ml for trophozoites</w:t>
      </w:r>
      <w:r w:rsidRPr="0071546E">
        <w:rPr>
          <w:rFonts w:ascii="Arial" w:eastAsiaTheme="minorEastAsia" w:hAnsi="Arial" w:cs="Arial"/>
          <w:sz w:val="24"/>
          <w:szCs w:val="24"/>
        </w:rPr>
        <w:t xml:space="preserve">. More drug test was carried out using caspofungin a new class of antifungal </w:t>
      </w:r>
    </w:p>
    <w:p w:rsidR="00725033" w:rsidRPr="0071546E" w:rsidRDefault="00725033" w:rsidP="00CF13FE">
      <w:pPr>
        <w:pStyle w:val="Heading2"/>
        <w:ind w:left="1021" w:right="454"/>
        <w:rPr>
          <w:rFonts w:eastAsiaTheme="minorEastAsia"/>
        </w:rPr>
      </w:pPr>
      <w:bookmarkStart w:id="100" w:name="_Toc14711470"/>
      <w:r w:rsidRPr="0071546E">
        <w:rPr>
          <w:rFonts w:eastAsiaTheme="minorEastAsia"/>
        </w:rPr>
        <w:t>3.4.4 Caspofungin Drug assay.</w:t>
      </w:r>
      <w:bookmarkEnd w:id="100"/>
    </w:p>
    <w:p w:rsidR="00725033" w:rsidRPr="0071546E" w:rsidRDefault="00725033"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Different concentration of caspofungin was also used against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cysts and trophozoites</w:t>
      </w:r>
      <w:r w:rsidRPr="0071546E">
        <w:rPr>
          <w:rFonts w:ascii="Arial" w:eastAsiaTheme="minorEastAsia" w:hAnsi="Arial" w:cs="Arial"/>
          <w:i/>
          <w:sz w:val="24"/>
          <w:szCs w:val="24"/>
        </w:rPr>
        <w:t xml:space="preserve">. </w:t>
      </w:r>
      <w:r w:rsidRPr="0071546E">
        <w:rPr>
          <w:rFonts w:ascii="Arial" w:eastAsiaTheme="minorEastAsia" w:hAnsi="Arial" w:cs="Arial"/>
          <w:sz w:val="24"/>
          <w:szCs w:val="24"/>
        </w:rPr>
        <w:t>Viability was evaluated using ATP assay after 24-hour incubation at 30</w:t>
      </w:r>
      <w:r w:rsidRPr="0071546E">
        <w:rPr>
          <w:rFonts w:ascii="Arial" w:eastAsiaTheme="minorEastAsia" w:hAnsi="Arial" w:cs="Arial"/>
          <w:sz w:val="24"/>
          <w:szCs w:val="24"/>
          <w:vertAlign w:val="superscript"/>
        </w:rPr>
        <w:t>o</w:t>
      </w:r>
      <w:r w:rsidRPr="0071546E">
        <w:rPr>
          <w:rFonts w:ascii="Arial" w:eastAsiaTheme="minorEastAsia" w:hAnsi="Arial" w:cs="Arial"/>
          <w:sz w:val="24"/>
          <w:szCs w:val="24"/>
        </w:rPr>
        <w:t>C</w:t>
      </w:r>
    </w:p>
    <w:p w:rsidR="0084661A" w:rsidRPr="0071546E" w:rsidRDefault="00725033" w:rsidP="00CF13FE">
      <w:pPr>
        <w:spacing w:before="100" w:after="200" w:line="240" w:lineRule="atLeast"/>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5A84F21F" wp14:editId="39497132">
            <wp:extent cx="4725670" cy="3393195"/>
            <wp:effectExtent l="0" t="0" r="0" b="0"/>
            <wp:docPr id="1211" name="Chart 1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84661A" w:rsidRPr="0071546E" w:rsidRDefault="0084661A" w:rsidP="00CF13FE">
      <w:pPr>
        <w:spacing w:before="100" w:after="200" w:line="240" w:lineRule="atLeast"/>
        <w:ind w:left="1021" w:right="454"/>
        <w:jc w:val="both"/>
        <w:rPr>
          <w:rFonts w:ascii="Arial" w:eastAsiaTheme="minorEastAsia" w:hAnsi="Arial" w:cs="Arial"/>
          <w:sz w:val="24"/>
          <w:szCs w:val="24"/>
        </w:rPr>
      </w:pPr>
      <w:r w:rsidRPr="0071546E">
        <w:rPr>
          <w:rFonts w:ascii="Arial" w:eastAsiaTheme="minorEastAsia" w:hAnsi="Arial" w:cs="Arial"/>
          <w:sz w:val="20"/>
          <w:szCs w:val="20"/>
        </w:rPr>
        <w:t>Fig 3.2</w:t>
      </w:r>
      <w:r w:rsidR="00523469" w:rsidRPr="0071546E">
        <w:rPr>
          <w:rFonts w:ascii="Arial" w:eastAsiaTheme="minorEastAsia" w:hAnsi="Arial" w:cs="Arial"/>
          <w:sz w:val="20"/>
          <w:szCs w:val="20"/>
        </w:rPr>
        <w:t xml:space="preserve">4 </w:t>
      </w:r>
      <w:r w:rsidRPr="0071546E">
        <w:rPr>
          <w:rFonts w:ascii="Arial" w:eastAsiaTheme="minorEastAsia" w:hAnsi="Arial" w:cs="Arial"/>
          <w:sz w:val="20"/>
          <w:szCs w:val="20"/>
        </w:rPr>
        <w:t xml:space="preserve">Viability of </w:t>
      </w:r>
      <w:r w:rsidRPr="0071546E">
        <w:rPr>
          <w:rFonts w:ascii="Arial" w:eastAsiaTheme="minorEastAsia" w:hAnsi="Arial" w:cs="Arial"/>
          <w:i/>
          <w:sz w:val="20"/>
          <w:szCs w:val="20"/>
        </w:rPr>
        <w:t>Acanthamoeba</w:t>
      </w:r>
      <w:r w:rsidRPr="0071546E">
        <w:rPr>
          <w:rFonts w:ascii="Arial" w:eastAsiaTheme="minorEastAsia" w:hAnsi="Arial" w:cs="Arial"/>
          <w:sz w:val="20"/>
          <w:szCs w:val="20"/>
        </w:rPr>
        <w:t xml:space="preserve"> cysts and trophozoites determined by ATP assay, after 24-hour incubation with varying concentrations of caspofungin. </w:t>
      </w:r>
      <w:r w:rsidR="00BE11C1" w:rsidRPr="0071546E">
        <w:rPr>
          <w:rFonts w:ascii="Arial" w:eastAsiaTheme="minorEastAsia" w:hAnsi="Arial" w:cs="Arial"/>
          <w:sz w:val="20"/>
          <w:szCs w:val="20"/>
        </w:rPr>
        <w:t>The</w:t>
      </w:r>
      <w:r w:rsidRPr="0071546E">
        <w:rPr>
          <w:rFonts w:ascii="Arial" w:eastAsiaTheme="minorEastAsia" w:hAnsi="Arial" w:cs="Arial"/>
          <w:sz w:val="20"/>
          <w:szCs w:val="20"/>
        </w:rPr>
        <w:t xml:space="preserve"> red line shows trophozoite viability while the blue line shows cyst viability. Percentage viability was calculated from control cells. Bioluminescence signal was measured at 600 nm. The error bars represent the standard deviation for 4 replicate reading taken</w:t>
      </w:r>
    </w:p>
    <w:p w:rsidR="009F6F9E" w:rsidRPr="0071546E" w:rsidRDefault="00432D1D" w:rsidP="009F6F9E">
      <w:pPr>
        <w:spacing w:line="480" w:lineRule="auto"/>
        <w:ind w:left="1021" w:right="454"/>
        <w:jc w:val="both"/>
        <w:rPr>
          <w:noProof/>
          <w:lang w:eastAsia="en-GB"/>
        </w:rPr>
      </w:pPr>
      <w:r w:rsidRPr="0071546E">
        <w:rPr>
          <w:rFonts w:ascii="Arial" w:eastAsiaTheme="minorEastAsia" w:hAnsi="Arial" w:cs="Arial"/>
          <w:i/>
          <w:sz w:val="24"/>
          <w:szCs w:val="24"/>
        </w:rPr>
        <w:t>Acanthamoeba</w:t>
      </w:r>
      <w:r w:rsidR="00725033" w:rsidRPr="0071546E">
        <w:rPr>
          <w:rFonts w:ascii="Arial" w:eastAsiaTheme="minorEastAsia" w:hAnsi="Arial" w:cs="Arial"/>
          <w:sz w:val="24"/>
          <w:szCs w:val="24"/>
        </w:rPr>
        <w:t xml:space="preserve"> cysts and trophozoites were less susceptible to Caspofungin (fig 3.</w:t>
      </w:r>
      <w:r w:rsidR="00832C20" w:rsidRPr="0071546E">
        <w:rPr>
          <w:rFonts w:ascii="Arial" w:eastAsiaTheme="minorEastAsia" w:hAnsi="Arial" w:cs="Arial"/>
          <w:sz w:val="24"/>
          <w:szCs w:val="24"/>
        </w:rPr>
        <w:t>2</w:t>
      </w:r>
      <w:r w:rsidR="00523469" w:rsidRPr="0071546E">
        <w:rPr>
          <w:rFonts w:ascii="Arial" w:eastAsiaTheme="minorEastAsia" w:hAnsi="Arial" w:cs="Arial"/>
          <w:sz w:val="24"/>
          <w:szCs w:val="24"/>
        </w:rPr>
        <w:t>4</w:t>
      </w:r>
      <w:r w:rsidR="00725033" w:rsidRPr="0071546E">
        <w:rPr>
          <w:rFonts w:ascii="Arial" w:eastAsiaTheme="minorEastAsia" w:hAnsi="Arial" w:cs="Arial"/>
          <w:sz w:val="24"/>
          <w:szCs w:val="24"/>
        </w:rPr>
        <w:t xml:space="preserve">). A concentration of 500 mg/l was not able to give 100 % inhibition of both morphological forms. </w:t>
      </w:r>
      <w:r w:rsidR="00832C20" w:rsidRPr="0071546E">
        <w:rPr>
          <w:rFonts w:ascii="Arial" w:eastAsiaTheme="minorEastAsia" w:hAnsi="Arial" w:cs="Arial"/>
          <w:sz w:val="24"/>
          <w:szCs w:val="24"/>
        </w:rPr>
        <w:t>The IC</w:t>
      </w:r>
      <w:r w:rsidR="00832C20" w:rsidRPr="0071546E">
        <w:rPr>
          <w:rFonts w:ascii="Arial" w:eastAsiaTheme="minorEastAsia" w:hAnsi="Arial" w:cs="Arial"/>
          <w:sz w:val="24"/>
          <w:szCs w:val="24"/>
          <w:vertAlign w:val="subscript"/>
        </w:rPr>
        <w:t>50</w:t>
      </w:r>
      <w:r w:rsidR="00832C20" w:rsidRPr="0071546E">
        <w:rPr>
          <w:rFonts w:ascii="Arial" w:eastAsiaTheme="minorEastAsia" w:hAnsi="Arial" w:cs="Arial"/>
          <w:sz w:val="24"/>
          <w:szCs w:val="24"/>
        </w:rPr>
        <w:t xml:space="preserve"> for the trophozoites was about 50 µg/ml while the cysts w</w:t>
      </w:r>
      <w:r w:rsidR="00325823" w:rsidRPr="0071546E">
        <w:rPr>
          <w:rFonts w:ascii="Arial" w:eastAsiaTheme="minorEastAsia" w:hAnsi="Arial" w:cs="Arial"/>
          <w:sz w:val="24"/>
          <w:szCs w:val="24"/>
        </w:rPr>
        <w:t>ere</w:t>
      </w:r>
      <w:r w:rsidR="00832C20" w:rsidRPr="0071546E">
        <w:rPr>
          <w:rFonts w:ascii="Arial" w:eastAsiaTheme="minorEastAsia" w:hAnsi="Arial" w:cs="Arial"/>
          <w:sz w:val="24"/>
          <w:szCs w:val="24"/>
        </w:rPr>
        <w:t xml:space="preserve"> about 100 µg/ml. The table below shows Regrowth assay for the highest concentration of test compound used for </w:t>
      </w:r>
      <w:r w:rsidR="00325823" w:rsidRPr="0071546E">
        <w:rPr>
          <w:rFonts w:ascii="Arial" w:eastAsiaTheme="minorEastAsia" w:hAnsi="Arial" w:cs="Arial"/>
          <w:sz w:val="24"/>
          <w:szCs w:val="24"/>
        </w:rPr>
        <w:t xml:space="preserve">the </w:t>
      </w:r>
      <w:r w:rsidR="00832C20" w:rsidRPr="0071546E">
        <w:rPr>
          <w:rFonts w:ascii="Arial" w:eastAsiaTheme="minorEastAsia" w:hAnsi="Arial" w:cs="Arial"/>
          <w:sz w:val="24"/>
          <w:szCs w:val="24"/>
        </w:rPr>
        <w:t>assay.</w:t>
      </w:r>
      <w:r w:rsidR="001335B0" w:rsidRPr="0071546E">
        <w:rPr>
          <w:noProof/>
          <w:lang w:eastAsia="en-GB"/>
        </w:rPr>
        <w:t xml:space="preserve"> </w:t>
      </w:r>
    </w:p>
    <w:p w:rsidR="00DA1020" w:rsidRPr="0071546E" w:rsidRDefault="00DA1020" w:rsidP="00DA1020">
      <w:pPr>
        <w:pStyle w:val="Heading2"/>
        <w:ind w:left="1021"/>
        <w:rPr>
          <w:rFonts w:eastAsiaTheme="minorEastAsia"/>
        </w:rPr>
      </w:pPr>
      <w:r w:rsidRPr="0071546E">
        <w:rPr>
          <w:rFonts w:eastAsiaTheme="minorEastAsia"/>
        </w:rPr>
        <w:t>3.4.5 Regrowth assay.</w:t>
      </w:r>
    </w:p>
    <w:p w:rsidR="00DA1020" w:rsidRPr="0071546E" w:rsidRDefault="00DA1020" w:rsidP="009F6F9E">
      <w:pPr>
        <w:spacing w:line="480" w:lineRule="auto"/>
        <w:ind w:left="1021" w:right="454"/>
        <w:jc w:val="both"/>
        <w:rPr>
          <w:rFonts w:ascii="Arial" w:eastAsiaTheme="minorEastAsia" w:hAnsi="Arial" w:cs="Arial"/>
          <w:iCs/>
          <w:sz w:val="24"/>
          <w:szCs w:val="24"/>
        </w:rPr>
      </w:pPr>
      <w:r w:rsidRPr="0071546E">
        <w:rPr>
          <w:rFonts w:ascii="Arial" w:eastAsiaTheme="minorEastAsia" w:hAnsi="Arial" w:cs="Arial"/>
          <w:iCs/>
          <w:sz w:val="24"/>
          <w:szCs w:val="24"/>
        </w:rPr>
        <w:t>Terminal subculture otherwise called regrowth assay was carried out using the highest concentration of drug for each test compound. Cells incubated with the highest concentration of each compound was cultured in fresh amoeba media and allowed over a period of two weeks while monitoring growth. Results, as seen in table 3.1, shows that both morphological forms of pathogen did not survive the highest concentration of Amphotericin B and povidone-iodine used hence the cells did not replicate in fresh media. However, the cells incubated with Caspofungin and Miltefosine did survive after 7 days in fresh amoeba media as seen in table 3.1</w:t>
      </w:r>
    </w:p>
    <w:p w:rsidR="00DA1020" w:rsidRPr="0071546E" w:rsidRDefault="00DA1020" w:rsidP="00DA1020">
      <w:pPr>
        <w:spacing w:line="240" w:lineRule="auto"/>
        <w:ind w:left="1021" w:right="454"/>
        <w:jc w:val="both"/>
        <w:rPr>
          <w:rFonts w:ascii="Arial" w:hAnsi="Arial" w:cs="Arial"/>
          <w:iCs/>
          <w:noProof/>
          <w:sz w:val="20"/>
          <w:szCs w:val="20"/>
          <w:lang w:eastAsia="en-GB"/>
        </w:rPr>
      </w:pPr>
      <w:r w:rsidRPr="0071546E">
        <w:rPr>
          <w:rFonts w:ascii="Arial" w:hAnsi="Arial" w:cs="Arial"/>
          <w:iCs/>
          <w:noProof/>
          <w:sz w:val="20"/>
          <w:szCs w:val="20"/>
          <w:lang w:eastAsia="en-GB"/>
        </w:rPr>
        <w:t>Table 3.1 Survival after Regrowth assay for the highest concentration of all test compounds used in the present study.</w:t>
      </w:r>
    </w:p>
    <w:p w:rsidR="00DA1020" w:rsidRPr="0071546E" w:rsidRDefault="00DA1020" w:rsidP="00DA1020">
      <w:pPr>
        <w:spacing w:line="240" w:lineRule="auto"/>
        <w:ind w:left="1021" w:right="454"/>
        <w:jc w:val="both"/>
        <w:rPr>
          <w:rFonts w:ascii="Arial" w:hAnsi="Arial" w:cs="Arial"/>
          <w:iCs/>
          <w:noProof/>
          <w:sz w:val="20"/>
          <w:szCs w:val="20"/>
          <w:lang w:eastAsia="en-GB"/>
        </w:rPr>
      </w:pPr>
      <w:r w:rsidRPr="0071546E">
        <w:rPr>
          <w:noProof/>
          <w:lang w:eastAsia="en-GB"/>
        </w:rPr>
        <w:drawing>
          <wp:inline distT="0" distB="0" distL="0" distR="0" wp14:anchorId="2D45CE22" wp14:editId="608C7B6E">
            <wp:extent cx="4851400" cy="2065468"/>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859367" cy="2068860"/>
                    </a:xfrm>
                    <a:prstGeom prst="rect">
                      <a:avLst/>
                    </a:prstGeom>
                  </pic:spPr>
                </pic:pic>
              </a:graphicData>
            </a:graphic>
          </wp:inline>
        </w:drawing>
      </w:r>
    </w:p>
    <w:p w:rsidR="00DA1020" w:rsidRPr="0071546E" w:rsidRDefault="00DA1020" w:rsidP="00DA1020">
      <w:pPr>
        <w:spacing w:line="240" w:lineRule="auto"/>
        <w:ind w:left="1021" w:right="454"/>
        <w:jc w:val="both"/>
        <w:rPr>
          <w:rFonts w:ascii="Arial" w:hAnsi="Arial" w:cs="Arial"/>
          <w:iCs/>
          <w:noProof/>
          <w:sz w:val="20"/>
          <w:szCs w:val="20"/>
          <w:lang w:eastAsia="en-GB"/>
        </w:rPr>
      </w:pPr>
      <w:r w:rsidRPr="0071546E">
        <w:rPr>
          <w:noProof/>
        </w:rPr>
        <w:t xml:space="preserve"> </w:t>
      </w:r>
    </w:p>
    <w:p w:rsidR="00523469" w:rsidRPr="0071546E" w:rsidRDefault="00523469" w:rsidP="00E44593">
      <w:pPr>
        <w:rPr>
          <w:lang w:eastAsia="en-GB"/>
        </w:rPr>
      </w:pPr>
    </w:p>
    <w:p w:rsidR="00E44593" w:rsidRPr="0071546E" w:rsidRDefault="00E44593" w:rsidP="00E44593">
      <w:pPr>
        <w:rPr>
          <w:lang w:eastAsia="en-GB"/>
        </w:rPr>
      </w:pPr>
    </w:p>
    <w:p w:rsidR="00725033" w:rsidRPr="0071546E" w:rsidRDefault="00725033" w:rsidP="00CF13FE">
      <w:pPr>
        <w:pStyle w:val="Heading2"/>
        <w:ind w:left="1021" w:right="454"/>
        <w:rPr>
          <w:rFonts w:eastAsiaTheme="minorEastAsia"/>
        </w:rPr>
      </w:pPr>
      <w:bookmarkStart w:id="101" w:name="_Toc14711471"/>
      <w:r w:rsidRPr="0071546E">
        <w:rPr>
          <w:rFonts w:eastAsiaTheme="minorEastAsia"/>
        </w:rPr>
        <w:t>3.5 Photodynamic therapy</w:t>
      </w:r>
      <w:bookmarkEnd w:id="101"/>
      <w:r w:rsidRPr="0071546E">
        <w:rPr>
          <w:rFonts w:eastAsiaTheme="minorEastAsia"/>
        </w:rPr>
        <w:t xml:space="preserve"> </w:t>
      </w:r>
    </w:p>
    <w:p w:rsidR="00725033" w:rsidRPr="0071546E" w:rsidRDefault="00725033"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After validating the ATP viability assay with different compounds, porphyrin was selected as </w:t>
      </w:r>
      <w:r w:rsidR="002C2939" w:rsidRPr="0071546E">
        <w:rPr>
          <w:rFonts w:ascii="Arial" w:eastAsiaTheme="minorEastAsia" w:hAnsi="Arial" w:cs="Arial"/>
          <w:sz w:val="24"/>
          <w:szCs w:val="24"/>
        </w:rPr>
        <w:t xml:space="preserve">a </w:t>
      </w:r>
      <w:r w:rsidRPr="0071546E">
        <w:rPr>
          <w:rFonts w:ascii="Arial" w:eastAsiaTheme="minorEastAsia" w:hAnsi="Arial" w:cs="Arial"/>
          <w:sz w:val="24"/>
          <w:szCs w:val="24"/>
        </w:rPr>
        <w:t>photosensitizer for photodynamic assay. This is primarily because the porphyrins exhibit powerful fluorescence from 400 to 730 nm; a wavelength ra</w:t>
      </w:r>
      <w:r w:rsidR="002C2939" w:rsidRPr="0071546E">
        <w:rPr>
          <w:rFonts w:ascii="Arial" w:eastAsiaTheme="minorEastAsia" w:hAnsi="Arial" w:cs="Arial"/>
          <w:sz w:val="24"/>
          <w:szCs w:val="24"/>
        </w:rPr>
        <w:t>n</w:t>
      </w:r>
      <w:r w:rsidRPr="0071546E">
        <w:rPr>
          <w:rFonts w:ascii="Arial" w:eastAsiaTheme="minorEastAsia" w:hAnsi="Arial" w:cs="Arial"/>
          <w:sz w:val="24"/>
          <w:szCs w:val="24"/>
        </w:rPr>
        <w:t>ge in which deeper penetration of tissues occur</w:t>
      </w:r>
      <w:r w:rsidR="002C2939" w:rsidRPr="0071546E">
        <w:rPr>
          <w:rFonts w:ascii="Arial" w:eastAsiaTheme="minorEastAsia" w:hAnsi="Arial" w:cs="Arial"/>
          <w:sz w:val="24"/>
          <w:szCs w:val="24"/>
        </w:rPr>
        <w:t>s</w:t>
      </w:r>
      <w:r w:rsidR="00832C20" w:rsidRPr="0071546E">
        <w:rPr>
          <w:rFonts w:ascii="Arial" w:eastAsiaTheme="minorEastAsia" w:hAnsi="Arial" w:cs="Arial"/>
          <w:sz w:val="24"/>
          <w:szCs w:val="24"/>
        </w:rPr>
        <w:t xml:space="preserve"> see (fig 1.14)</w:t>
      </w:r>
      <w:r w:rsidRPr="0071546E">
        <w:rPr>
          <w:rFonts w:ascii="Arial" w:eastAsiaTheme="minorEastAsia" w:hAnsi="Arial" w:cs="Arial"/>
          <w:sz w:val="24"/>
          <w:szCs w:val="24"/>
        </w:rPr>
        <w:t>.  Porphyrins can be conjugated with desired compounds and molecules to reduce their polarity by addition of desired side groups hence enhancing permeability into bacterial cells. Four (4) porphyrins were used for PDT</w:t>
      </w:r>
    </w:p>
    <w:p w:rsidR="00725033" w:rsidRPr="0071546E" w:rsidRDefault="00725033" w:rsidP="00CF13FE">
      <w:pPr>
        <w:spacing w:before="100" w:after="200" w:line="480" w:lineRule="auto"/>
        <w:ind w:left="1021" w:right="454"/>
        <w:contextualSpacing/>
        <w:jc w:val="both"/>
        <w:rPr>
          <w:rFonts w:ascii="Arial" w:eastAsiaTheme="minorEastAsia" w:hAnsi="Arial" w:cs="Arial"/>
          <w:sz w:val="24"/>
          <w:szCs w:val="24"/>
        </w:rPr>
      </w:pPr>
      <w:r w:rsidRPr="0071546E">
        <w:rPr>
          <w:rFonts w:ascii="Arial" w:eastAsiaTheme="minorEastAsia" w:hAnsi="Arial" w:cs="Arial"/>
          <w:sz w:val="24"/>
          <w:szCs w:val="24"/>
        </w:rPr>
        <w:t xml:space="preserve">Tetra anionic 4, 4′, 4′′, 4′′′-(porphine-5, 10, 15, 20-tetrayl) tetrakis (benzene sulfonic acid) tetrasodium salt hydrate [TPPS4]. </w:t>
      </w:r>
    </w:p>
    <w:p w:rsidR="00725033" w:rsidRPr="0071546E" w:rsidRDefault="00725033" w:rsidP="00CF13FE">
      <w:pPr>
        <w:spacing w:before="100" w:after="200" w:line="480" w:lineRule="auto"/>
        <w:ind w:left="1021" w:right="454"/>
        <w:contextualSpacing/>
        <w:jc w:val="both"/>
        <w:rPr>
          <w:rFonts w:ascii="Arial" w:eastAsiaTheme="minorEastAsia" w:hAnsi="Arial" w:cs="Arial"/>
          <w:sz w:val="24"/>
          <w:szCs w:val="24"/>
        </w:rPr>
      </w:pPr>
      <w:r w:rsidRPr="0071546E">
        <w:rPr>
          <w:rFonts w:ascii="Arial" w:eastAsiaTheme="minorEastAsia" w:hAnsi="Arial" w:cs="Arial"/>
          <w:sz w:val="24"/>
          <w:szCs w:val="24"/>
        </w:rPr>
        <w:t>5, 10, 15, 20-tetrakis (1-methyl-4-pyridino) porphyrin tetra (P-toluene sulfonate).</w:t>
      </w:r>
    </w:p>
    <w:p w:rsidR="00725033" w:rsidRPr="0071546E" w:rsidRDefault="00725033" w:rsidP="00CF13FE">
      <w:pPr>
        <w:spacing w:before="100" w:after="200" w:line="480" w:lineRule="auto"/>
        <w:ind w:left="1021" w:right="454"/>
        <w:contextualSpacing/>
        <w:jc w:val="both"/>
        <w:rPr>
          <w:rFonts w:ascii="Arial" w:eastAsiaTheme="minorEastAsia" w:hAnsi="Arial" w:cs="Arial"/>
          <w:sz w:val="24"/>
          <w:szCs w:val="24"/>
        </w:rPr>
      </w:pPr>
      <w:r w:rsidRPr="0071546E">
        <w:rPr>
          <w:rFonts w:ascii="Arial" w:eastAsiaTheme="minorEastAsia" w:hAnsi="Arial" w:cs="Arial"/>
          <w:sz w:val="24"/>
          <w:szCs w:val="24"/>
        </w:rPr>
        <w:t>5, 10, 15, 20- tetrakis (pentafluorophenyl)-21H, 23H-porphine Iron (III) chloride</w:t>
      </w:r>
    </w:p>
    <w:p w:rsidR="00725033" w:rsidRPr="0071546E" w:rsidRDefault="00725033" w:rsidP="00CF13FE">
      <w:pPr>
        <w:spacing w:before="100" w:after="200" w:line="480" w:lineRule="auto"/>
        <w:ind w:left="1021" w:right="454"/>
        <w:contextualSpacing/>
        <w:jc w:val="both"/>
        <w:rPr>
          <w:rFonts w:ascii="Arial" w:eastAsiaTheme="minorEastAsia" w:hAnsi="Arial" w:cs="Arial"/>
          <w:sz w:val="24"/>
          <w:szCs w:val="24"/>
        </w:rPr>
      </w:pPr>
      <w:r w:rsidRPr="0071546E">
        <w:rPr>
          <w:rFonts w:ascii="Arial" w:eastAsiaTheme="minorEastAsia" w:hAnsi="Arial" w:cs="Arial"/>
          <w:sz w:val="24"/>
          <w:szCs w:val="24"/>
        </w:rPr>
        <w:t>5, 10, 15, 20-Tetrakis (4-methyl</w:t>
      </w:r>
      <w:r w:rsidR="00486E52" w:rsidRPr="0071546E">
        <w:rPr>
          <w:rFonts w:ascii="Arial" w:eastAsiaTheme="minorEastAsia" w:hAnsi="Arial" w:cs="Arial"/>
          <w:sz w:val="24"/>
          <w:szCs w:val="24"/>
        </w:rPr>
        <w:t xml:space="preserve"> </w:t>
      </w:r>
      <w:r w:rsidRPr="0071546E">
        <w:rPr>
          <w:rFonts w:ascii="Arial" w:eastAsiaTheme="minorEastAsia" w:hAnsi="Arial" w:cs="Arial"/>
          <w:sz w:val="24"/>
          <w:szCs w:val="24"/>
        </w:rPr>
        <w:t>phenyl)-21H23H porphine</w:t>
      </w:r>
    </w:p>
    <w:p w:rsidR="00832C20" w:rsidRPr="0071546E" w:rsidRDefault="00832C20" w:rsidP="00CF13FE">
      <w:pPr>
        <w:spacing w:before="100" w:after="200" w:line="480" w:lineRule="auto"/>
        <w:ind w:left="1021" w:right="454"/>
        <w:jc w:val="both"/>
        <w:rPr>
          <w:rFonts w:ascii="Arial" w:eastAsiaTheme="minorEastAsia" w:hAnsi="Arial" w:cs="Arial"/>
          <w:sz w:val="24"/>
          <w:szCs w:val="24"/>
        </w:rPr>
      </w:pPr>
    </w:p>
    <w:p w:rsidR="0018244C" w:rsidRPr="0071546E" w:rsidRDefault="00725033" w:rsidP="00E44593">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First, the fluorescence spectrum of porphyrins </w:t>
      </w:r>
      <w:r w:rsidR="00832C20" w:rsidRPr="0071546E">
        <w:rPr>
          <w:rFonts w:ascii="Arial" w:eastAsiaTheme="minorEastAsia" w:hAnsi="Arial" w:cs="Arial"/>
          <w:sz w:val="24"/>
          <w:szCs w:val="24"/>
        </w:rPr>
        <w:t xml:space="preserve">was evaluated </w:t>
      </w:r>
      <w:r w:rsidR="0018244C" w:rsidRPr="0071546E">
        <w:rPr>
          <w:rFonts w:ascii="Arial" w:eastAsiaTheme="minorEastAsia" w:hAnsi="Arial" w:cs="Arial"/>
          <w:sz w:val="24"/>
          <w:szCs w:val="24"/>
        </w:rPr>
        <w:t>using the Gemini™ XPS and EM Microplate Readers to determine the optimal excitation and emission settings for fluorescence intensity assays. Comparison of relative fluorescence units (RFUs) between samples is allowed by a unique calibration against an internal standard</w:t>
      </w:r>
    </w:p>
    <w:p w:rsidR="0018244C" w:rsidRPr="0071546E" w:rsidRDefault="0018244C" w:rsidP="0018244C">
      <w:pPr>
        <w:spacing w:before="100" w:after="200" w:line="480" w:lineRule="auto"/>
        <w:ind w:right="454"/>
        <w:jc w:val="both"/>
        <w:rPr>
          <w:rFonts w:ascii="Arial" w:eastAsiaTheme="minorEastAsia" w:hAnsi="Arial" w:cs="Arial"/>
          <w:sz w:val="24"/>
          <w:szCs w:val="24"/>
        </w:rPr>
      </w:pPr>
    </w:p>
    <w:p w:rsidR="00725033" w:rsidRPr="0071546E" w:rsidRDefault="00725033" w:rsidP="00CF13FE">
      <w:pPr>
        <w:pStyle w:val="Heading2"/>
        <w:ind w:left="1021" w:right="454"/>
        <w:rPr>
          <w:rFonts w:eastAsiaTheme="minorEastAsia"/>
        </w:rPr>
      </w:pPr>
      <w:bookmarkStart w:id="102" w:name="_Toc14711472"/>
      <w:r w:rsidRPr="0071546E">
        <w:rPr>
          <w:rFonts w:eastAsiaTheme="minorEastAsia"/>
        </w:rPr>
        <w:t>3.5.1 Spectra of porphyrins used for PDT</w:t>
      </w:r>
      <w:bookmarkEnd w:id="102"/>
    </w:p>
    <w:p w:rsidR="00725033" w:rsidRPr="0071546E" w:rsidRDefault="001335B0" w:rsidP="001335B0">
      <w:pPr>
        <w:spacing w:before="100" w:after="0" w:line="240" w:lineRule="auto"/>
        <w:ind w:right="454"/>
        <w:rPr>
          <w:rFonts w:ascii="Arial" w:eastAsiaTheme="minorEastAsia" w:hAnsi="Arial" w:cs="Arial"/>
          <w:sz w:val="24"/>
          <w:szCs w:val="24"/>
        </w:rPr>
      </w:pPr>
      <w:r w:rsidRPr="0071546E">
        <w:rPr>
          <w:rFonts w:ascii="Arial" w:eastAsiaTheme="minorEastAsia" w:hAnsi="Arial" w:cs="Arial"/>
          <w:sz w:val="24"/>
          <w:szCs w:val="24"/>
        </w:rPr>
        <w:t xml:space="preserve">             </w:t>
      </w:r>
      <w:r w:rsidR="00DE6411" w:rsidRPr="0071546E">
        <w:rPr>
          <w:rFonts w:ascii="Arial" w:eastAsiaTheme="minorEastAsia" w:hAnsi="Arial" w:cs="Arial"/>
          <w:sz w:val="24"/>
          <w:szCs w:val="24"/>
        </w:rPr>
        <w:t xml:space="preserve">  </w:t>
      </w:r>
      <w:r w:rsidR="00725033" w:rsidRPr="0071546E">
        <w:rPr>
          <w:rFonts w:ascii="Arial" w:eastAsiaTheme="minorEastAsia" w:hAnsi="Arial" w:cs="Arial"/>
          <w:noProof/>
          <w:sz w:val="24"/>
          <w:szCs w:val="24"/>
          <w:lang w:eastAsia="en-GB"/>
        </w:rPr>
        <w:drawing>
          <wp:inline distT="0" distB="0" distL="0" distR="0" wp14:anchorId="51884E26" wp14:editId="752AF07A">
            <wp:extent cx="4442908" cy="3076575"/>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510194" cy="3123168"/>
                    </a:xfrm>
                    <a:prstGeom prst="rect">
                      <a:avLst/>
                    </a:prstGeom>
                  </pic:spPr>
                </pic:pic>
              </a:graphicData>
            </a:graphic>
          </wp:inline>
        </w:drawing>
      </w:r>
    </w:p>
    <w:p w:rsidR="00725033" w:rsidRPr="0071546E" w:rsidRDefault="00725033" w:rsidP="00CF13FE">
      <w:pPr>
        <w:spacing w:before="100" w:after="200" w:line="276" w:lineRule="auto"/>
        <w:ind w:left="1021" w:right="454"/>
        <w:jc w:val="both"/>
        <w:rPr>
          <w:rFonts w:ascii="Arial" w:eastAsiaTheme="minorEastAsia" w:hAnsi="Arial" w:cs="Arial"/>
          <w:sz w:val="20"/>
          <w:szCs w:val="20"/>
        </w:rPr>
      </w:pPr>
      <w:r w:rsidRPr="0071546E">
        <w:rPr>
          <w:rFonts w:ascii="Arial" w:eastAsiaTheme="minorEastAsia" w:hAnsi="Arial" w:cs="Arial"/>
          <w:sz w:val="20"/>
          <w:szCs w:val="20"/>
        </w:rPr>
        <w:t xml:space="preserve">Fig </w:t>
      </w:r>
      <w:r w:rsidR="00832C20" w:rsidRPr="0071546E">
        <w:rPr>
          <w:rFonts w:ascii="Arial" w:eastAsiaTheme="minorEastAsia" w:hAnsi="Arial" w:cs="Arial"/>
          <w:sz w:val="20"/>
          <w:szCs w:val="20"/>
        </w:rPr>
        <w:t>3.2</w:t>
      </w:r>
      <w:r w:rsidR="0018244C" w:rsidRPr="0071546E">
        <w:rPr>
          <w:rFonts w:ascii="Arial" w:eastAsiaTheme="minorEastAsia" w:hAnsi="Arial" w:cs="Arial"/>
          <w:sz w:val="20"/>
          <w:szCs w:val="20"/>
        </w:rPr>
        <w:t>5</w:t>
      </w:r>
      <w:r w:rsidRPr="0071546E">
        <w:rPr>
          <w:rFonts w:ascii="Arial" w:eastAsiaTheme="minorEastAsia" w:hAnsi="Arial" w:cs="Arial"/>
          <w:sz w:val="20"/>
          <w:szCs w:val="20"/>
        </w:rPr>
        <w:t>.  Excitation and emission spectrum of 5, 10, 15, 20-tetrakis (1-methyl-4-pyridino) porphyrin tetra (P-toluene sulfonate). Arrows show emission and excitation maximums</w:t>
      </w:r>
    </w:p>
    <w:p w:rsidR="0018244C" w:rsidRPr="0071546E" w:rsidRDefault="0018244C" w:rsidP="00CF13FE">
      <w:pPr>
        <w:spacing w:before="100" w:after="200" w:line="276" w:lineRule="auto"/>
        <w:ind w:left="1021" w:right="454"/>
        <w:jc w:val="both"/>
        <w:rPr>
          <w:rFonts w:ascii="Arial" w:eastAsiaTheme="minorEastAsia" w:hAnsi="Arial" w:cs="Arial"/>
          <w:sz w:val="20"/>
          <w:szCs w:val="20"/>
        </w:rPr>
      </w:pPr>
    </w:p>
    <w:p w:rsidR="0018244C" w:rsidRPr="0071546E" w:rsidRDefault="0018244C" w:rsidP="0018244C">
      <w:pPr>
        <w:spacing w:before="100" w:after="200" w:line="276" w:lineRule="auto"/>
        <w:ind w:left="1021" w:right="454"/>
        <w:jc w:val="both"/>
        <w:rPr>
          <w:rFonts w:ascii="Arial" w:eastAsiaTheme="minorEastAsia" w:hAnsi="Arial" w:cs="Arial"/>
          <w:sz w:val="20"/>
          <w:szCs w:val="20"/>
        </w:rPr>
      </w:pPr>
    </w:p>
    <w:p w:rsidR="0018244C" w:rsidRPr="0071546E" w:rsidRDefault="0018244C" w:rsidP="0018244C">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As seen in fig 3.25, the fluorescence spectrum showed that the porphyrins have excitation maximum of 400 nm and emission maximum 700 nm (see appendix for all four porphyrins.). In addition, a porphyrin calibration curve was set up to show the linear relationship between concentration and fluorescence. fig 3.26 showed good linearity between fluorescence and concentration at a dynamic range of porphyrin</w:t>
      </w:r>
    </w:p>
    <w:p w:rsidR="0018244C" w:rsidRPr="0071546E" w:rsidRDefault="0018244C" w:rsidP="00CF13FE">
      <w:pPr>
        <w:spacing w:before="100" w:after="200" w:line="276" w:lineRule="auto"/>
        <w:ind w:left="1021" w:right="454"/>
        <w:jc w:val="both"/>
        <w:rPr>
          <w:rFonts w:ascii="Arial" w:eastAsiaTheme="minorEastAsia" w:hAnsi="Arial" w:cs="Arial"/>
          <w:sz w:val="20"/>
          <w:szCs w:val="20"/>
        </w:rPr>
      </w:pPr>
    </w:p>
    <w:p w:rsidR="00725033" w:rsidRPr="0071546E" w:rsidRDefault="00725033" w:rsidP="00CF13FE">
      <w:pPr>
        <w:spacing w:after="200" w:line="276" w:lineRule="auto"/>
        <w:ind w:left="1021" w:right="454"/>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0B586F03" wp14:editId="5AA76EC6">
            <wp:extent cx="4704080" cy="3591499"/>
            <wp:effectExtent l="0" t="0" r="1270" b="0"/>
            <wp:docPr id="1031" name="Chart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725033" w:rsidRPr="0071546E" w:rsidRDefault="00832C20" w:rsidP="00CF13FE">
      <w:pPr>
        <w:spacing w:after="200" w:line="240" w:lineRule="auto"/>
        <w:ind w:left="1021" w:right="454"/>
        <w:jc w:val="both"/>
        <w:rPr>
          <w:rFonts w:ascii="Arial" w:eastAsiaTheme="minorEastAsia" w:hAnsi="Arial" w:cs="Arial"/>
          <w:sz w:val="20"/>
          <w:szCs w:val="20"/>
        </w:rPr>
      </w:pPr>
      <w:r w:rsidRPr="0071546E">
        <w:rPr>
          <w:rFonts w:ascii="Arial" w:eastAsiaTheme="minorEastAsia" w:hAnsi="Arial" w:cs="Arial"/>
          <w:sz w:val="20"/>
          <w:szCs w:val="20"/>
        </w:rPr>
        <w:t>Figure 3.2</w:t>
      </w:r>
      <w:r w:rsidR="0018244C" w:rsidRPr="0071546E">
        <w:rPr>
          <w:rFonts w:ascii="Arial" w:eastAsiaTheme="minorEastAsia" w:hAnsi="Arial" w:cs="Arial"/>
          <w:sz w:val="20"/>
          <w:szCs w:val="20"/>
        </w:rPr>
        <w:t>6</w:t>
      </w:r>
      <w:r w:rsidR="00725033" w:rsidRPr="0071546E">
        <w:rPr>
          <w:rFonts w:ascii="Arial" w:eastAsiaTheme="minorEastAsia" w:hAnsi="Arial" w:cs="Arial"/>
          <w:sz w:val="20"/>
          <w:szCs w:val="20"/>
        </w:rPr>
        <w:t xml:space="preserve"> Calibration curve of porphyrin showing </w:t>
      </w:r>
      <w:r w:rsidR="002C2939" w:rsidRPr="0071546E">
        <w:rPr>
          <w:rFonts w:ascii="Arial" w:eastAsiaTheme="minorEastAsia" w:hAnsi="Arial" w:cs="Arial"/>
          <w:sz w:val="20"/>
          <w:szCs w:val="20"/>
        </w:rPr>
        <w:t xml:space="preserve">a </w:t>
      </w:r>
      <w:r w:rsidR="00725033" w:rsidRPr="0071546E">
        <w:rPr>
          <w:rFonts w:ascii="Arial" w:eastAsiaTheme="minorEastAsia" w:hAnsi="Arial" w:cs="Arial"/>
          <w:sz w:val="20"/>
          <w:szCs w:val="20"/>
        </w:rPr>
        <w:t>linear relationship between concentration and fluorescence.</w:t>
      </w:r>
      <w:r w:rsidR="00F00099" w:rsidRPr="0071546E">
        <w:rPr>
          <w:rFonts w:ascii="Arial" w:eastAsiaTheme="minorEastAsia" w:hAnsi="Arial" w:cs="Arial"/>
          <w:sz w:val="20"/>
          <w:szCs w:val="20"/>
        </w:rPr>
        <w:t xml:space="preserve"> Error bars show </w:t>
      </w:r>
      <w:r w:rsidR="004904E2" w:rsidRPr="0071546E">
        <w:rPr>
          <w:rFonts w:ascii="Arial" w:eastAsiaTheme="minorEastAsia" w:hAnsi="Arial" w:cs="Arial"/>
          <w:sz w:val="20"/>
          <w:szCs w:val="20"/>
        </w:rPr>
        <w:t xml:space="preserve">the </w:t>
      </w:r>
      <w:r w:rsidR="00F00099" w:rsidRPr="0071546E">
        <w:rPr>
          <w:rFonts w:ascii="Arial" w:eastAsiaTheme="minorEastAsia" w:hAnsi="Arial" w:cs="Arial"/>
          <w:sz w:val="20"/>
          <w:szCs w:val="20"/>
        </w:rPr>
        <w:t>standard deviation for four replicate readings.</w:t>
      </w:r>
    </w:p>
    <w:p w:rsidR="00725033" w:rsidRPr="0071546E" w:rsidRDefault="00725033" w:rsidP="0018244C">
      <w:pPr>
        <w:spacing w:before="100" w:after="200" w:line="480" w:lineRule="auto"/>
        <w:ind w:right="454"/>
        <w:jc w:val="both"/>
        <w:rPr>
          <w:rFonts w:ascii="Arial" w:eastAsiaTheme="minorEastAsia" w:hAnsi="Arial" w:cs="Arial"/>
          <w:sz w:val="24"/>
          <w:szCs w:val="24"/>
        </w:rPr>
      </w:pPr>
    </w:p>
    <w:p w:rsidR="00725033" w:rsidRPr="0071546E" w:rsidRDefault="00725033" w:rsidP="00CF13FE">
      <w:pPr>
        <w:pStyle w:val="Heading2"/>
        <w:ind w:left="1021" w:right="454"/>
        <w:rPr>
          <w:rFonts w:eastAsiaTheme="minorEastAsia"/>
        </w:rPr>
      </w:pPr>
      <w:bookmarkStart w:id="103" w:name="_Toc14711473"/>
      <w:r w:rsidRPr="0071546E">
        <w:rPr>
          <w:rFonts w:eastAsiaTheme="minorEastAsia"/>
        </w:rPr>
        <w:t xml:space="preserve">3.5.2 </w:t>
      </w:r>
      <w:r w:rsidR="00A8770D" w:rsidRPr="0071546E">
        <w:rPr>
          <w:rFonts w:eastAsiaTheme="minorEastAsia"/>
        </w:rPr>
        <w:t>Porphyrin uptake after incubation</w:t>
      </w:r>
      <w:bookmarkEnd w:id="103"/>
      <w:r w:rsidR="00A8770D" w:rsidRPr="0071546E">
        <w:rPr>
          <w:rFonts w:eastAsiaTheme="minorEastAsia"/>
        </w:rPr>
        <w:t xml:space="preserve"> </w:t>
      </w:r>
    </w:p>
    <w:p w:rsidR="00725033" w:rsidRPr="0071546E" w:rsidRDefault="00725033"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To evaluate </w:t>
      </w:r>
      <w:r w:rsidR="002C2939" w:rsidRPr="0071546E">
        <w:rPr>
          <w:rFonts w:ascii="Arial" w:eastAsiaTheme="minorEastAsia" w:hAnsi="Arial" w:cs="Arial"/>
          <w:sz w:val="24"/>
          <w:szCs w:val="24"/>
        </w:rPr>
        <w:t xml:space="preserve">the </w:t>
      </w:r>
      <w:r w:rsidRPr="0071546E">
        <w:rPr>
          <w:rFonts w:ascii="Arial" w:eastAsiaTheme="minorEastAsia" w:hAnsi="Arial" w:cs="Arial"/>
          <w:sz w:val="24"/>
          <w:szCs w:val="24"/>
        </w:rPr>
        <w:t xml:space="preserve">uptake of porphyrin by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cells, 10</w:t>
      </w:r>
      <w:r w:rsidRPr="0071546E">
        <w:rPr>
          <w:rFonts w:ascii="Arial" w:eastAsiaTheme="minorEastAsia" w:hAnsi="Arial" w:cs="Arial"/>
          <w:sz w:val="24"/>
          <w:szCs w:val="24"/>
          <w:vertAlign w:val="superscript"/>
        </w:rPr>
        <w:t>6</w:t>
      </w:r>
      <w:r w:rsidRPr="0071546E">
        <w:rPr>
          <w:rFonts w:ascii="Arial" w:eastAsiaTheme="minorEastAsia" w:hAnsi="Arial" w:cs="Arial"/>
          <w:sz w:val="24"/>
          <w:szCs w:val="24"/>
        </w:rPr>
        <w:t xml:space="preserve"> cells /ml </w:t>
      </w:r>
      <w:r w:rsidR="00D5653B" w:rsidRPr="0071546E">
        <w:rPr>
          <w:rFonts w:ascii="Arial" w:eastAsiaTheme="minorEastAsia" w:hAnsi="Arial" w:cs="Arial"/>
          <w:sz w:val="24"/>
          <w:szCs w:val="24"/>
        </w:rPr>
        <w:t>of Acanthamoeba</w:t>
      </w:r>
      <w:r w:rsidRPr="0071546E">
        <w:rPr>
          <w:rFonts w:ascii="Arial" w:eastAsiaTheme="minorEastAsia" w:hAnsi="Arial" w:cs="Arial"/>
          <w:sz w:val="24"/>
          <w:szCs w:val="24"/>
        </w:rPr>
        <w:t xml:space="preserve"> cyst and trophozoites suspension in PBS were incubated with porphyrins for 5, 10, 20 and 30 minutes. At each of these time points, the cells were washed once then lysed and f</w:t>
      </w:r>
      <w:r w:rsidR="002C2939" w:rsidRPr="0071546E">
        <w:rPr>
          <w:rFonts w:ascii="Arial" w:eastAsiaTheme="minorEastAsia" w:hAnsi="Arial" w:cs="Arial"/>
          <w:sz w:val="24"/>
          <w:szCs w:val="24"/>
        </w:rPr>
        <w:t>luorescence was measured at 400</w:t>
      </w:r>
      <w:r w:rsidR="00832C20" w:rsidRPr="0071546E">
        <w:rPr>
          <w:rFonts w:ascii="Arial" w:eastAsiaTheme="minorEastAsia" w:hAnsi="Arial" w:cs="Arial"/>
          <w:sz w:val="24"/>
          <w:szCs w:val="24"/>
        </w:rPr>
        <w:t xml:space="preserve"> excitations</w:t>
      </w:r>
      <w:r w:rsidRPr="0071546E">
        <w:rPr>
          <w:rFonts w:ascii="Arial" w:eastAsiaTheme="minorEastAsia" w:hAnsi="Arial" w:cs="Arial"/>
          <w:sz w:val="24"/>
          <w:szCs w:val="24"/>
        </w:rPr>
        <w:t xml:space="preserve"> and 730 em</w:t>
      </w:r>
      <w:r w:rsidR="00832C20" w:rsidRPr="0071546E">
        <w:rPr>
          <w:rFonts w:ascii="Arial" w:eastAsiaTheme="minorEastAsia" w:hAnsi="Arial" w:cs="Arial"/>
          <w:sz w:val="24"/>
          <w:szCs w:val="24"/>
        </w:rPr>
        <w:t>ission w</w:t>
      </w:r>
      <w:r w:rsidRPr="0071546E">
        <w:rPr>
          <w:rFonts w:ascii="Arial" w:eastAsiaTheme="minorEastAsia" w:hAnsi="Arial" w:cs="Arial"/>
          <w:sz w:val="24"/>
          <w:szCs w:val="24"/>
        </w:rPr>
        <w:t>avelength</w:t>
      </w:r>
      <w:r w:rsidR="00832C20" w:rsidRPr="0071546E">
        <w:rPr>
          <w:rFonts w:ascii="Arial" w:eastAsiaTheme="minorEastAsia" w:hAnsi="Arial" w:cs="Arial"/>
          <w:sz w:val="24"/>
          <w:szCs w:val="24"/>
        </w:rPr>
        <w:t>s</w:t>
      </w:r>
      <w:r w:rsidRPr="0071546E">
        <w:rPr>
          <w:rFonts w:ascii="Arial" w:eastAsiaTheme="minorEastAsia" w:hAnsi="Arial" w:cs="Arial"/>
          <w:sz w:val="24"/>
          <w:szCs w:val="24"/>
        </w:rPr>
        <w:t>.  Fig (3.</w:t>
      </w:r>
      <w:r w:rsidR="00832C20" w:rsidRPr="0071546E">
        <w:rPr>
          <w:rFonts w:ascii="Arial" w:eastAsiaTheme="minorEastAsia" w:hAnsi="Arial" w:cs="Arial"/>
          <w:sz w:val="24"/>
          <w:szCs w:val="24"/>
        </w:rPr>
        <w:t>2</w:t>
      </w:r>
      <w:r w:rsidR="0018244C" w:rsidRPr="0071546E">
        <w:rPr>
          <w:rFonts w:ascii="Arial" w:eastAsiaTheme="minorEastAsia" w:hAnsi="Arial" w:cs="Arial"/>
          <w:sz w:val="24"/>
          <w:szCs w:val="24"/>
        </w:rPr>
        <w:t>7</w:t>
      </w:r>
      <w:r w:rsidRPr="0071546E">
        <w:rPr>
          <w:rFonts w:ascii="Arial" w:eastAsiaTheme="minorEastAsia" w:hAnsi="Arial" w:cs="Arial"/>
          <w:sz w:val="24"/>
          <w:szCs w:val="24"/>
        </w:rPr>
        <w:t xml:space="preserve">) shows the uptake dynamics for four porphyrins on </w:t>
      </w:r>
      <w:r w:rsidR="00832C20" w:rsidRPr="0071546E">
        <w:rPr>
          <w:rFonts w:ascii="Arial" w:eastAsiaTheme="minorEastAsia" w:hAnsi="Arial" w:cs="Arial"/>
          <w:sz w:val="24"/>
          <w:szCs w:val="24"/>
        </w:rPr>
        <w:t>trophozoites (A) and cyst (B)</w:t>
      </w:r>
      <w:r w:rsidRPr="0071546E">
        <w:rPr>
          <w:rFonts w:ascii="Arial" w:eastAsiaTheme="minorEastAsia" w:hAnsi="Arial" w:cs="Arial"/>
          <w:sz w:val="24"/>
          <w:szCs w:val="24"/>
        </w:rPr>
        <w:t>. The maximum uptake was reached after 10 minutes, a</w:t>
      </w:r>
      <w:r w:rsidR="002C2939" w:rsidRPr="0071546E">
        <w:rPr>
          <w:rFonts w:ascii="Arial" w:eastAsiaTheme="minorEastAsia" w:hAnsi="Arial" w:cs="Arial"/>
          <w:sz w:val="24"/>
          <w:szCs w:val="24"/>
        </w:rPr>
        <w:t>n</w:t>
      </w:r>
      <w:r w:rsidRPr="0071546E">
        <w:rPr>
          <w:rFonts w:ascii="Arial" w:eastAsiaTheme="minorEastAsia" w:hAnsi="Arial" w:cs="Arial"/>
          <w:sz w:val="24"/>
          <w:szCs w:val="24"/>
        </w:rPr>
        <w:t xml:space="preserve"> increase in fluorescence was not significant after 10 minutes meaning that the uptake saturation point is about 10 minutes after incubation. Generally, uptake was higher in trophozoites than cysts and varies among the porphyrins used. The cationic porphyrins showed and maintained greater permeability in trophozoites and the cysts compared to the only anionic porphyrin used. </w:t>
      </w:r>
    </w:p>
    <w:p w:rsidR="00725033" w:rsidRPr="0071546E" w:rsidRDefault="00725033" w:rsidP="00CF13FE">
      <w:pPr>
        <w:spacing w:before="100" w:after="200" w:line="240" w:lineRule="auto"/>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mc:AlternateContent>
          <mc:Choice Requires="wps">
            <w:drawing>
              <wp:anchor distT="0" distB="0" distL="114300" distR="114300" simplePos="0" relativeHeight="251676672" behindDoc="0" locked="0" layoutInCell="1" allowOverlap="1" wp14:anchorId="645193F8" wp14:editId="28A67C78">
                <wp:simplePos x="0" y="0"/>
                <wp:positionH relativeFrom="column">
                  <wp:posOffset>1680029</wp:posOffset>
                </wp:positionH>
                <wp:positionV relativeFrom="paragraph">
                  <wp:posOffset>238125</wp:posOffset>
                </wp:positionV>
                <wp:extent cx="308759" cy="380011"/>
                <wp:effectExtent l="0" t="0" r="0" b="1270"/>
                <wp:wrapNone/>
                <wp:docPr id="82" name="Text Box 82"/>
                <wp:cNvGraphicFramePr/>
                <a:graphic xmlns:a="http://schemas.openxmlformats.org/drawingml/2006/main">
                  <a:graphicData uri="http://schemas.microsoft.com/office/word/2010/wordprocessingShape">
                    <wps:wsp>
                      <wps:cNvSpPr txBox="1"/>
                      <wps:spPr>
                        <a:xfrm>
                          <a:off x="0" y="0"/>
                          <a:ext cx="308759" cy="380011"/>
                        </a:xfrm>
                        <a:prstGeom prst="rect">
                          <a:avLst/>
                        </a:prstGeom>
                        <a:solidFill>
                          <a:sysClr val="window" lastClr="FFFFFF"/>
                        </a:solidFill>
                        <a:ln w="6350">
                          <a:noFill/>
                        </a:ln>
                        <a:effectLst/>
                      </wps:spPr>
                      <wps:txbx>
                        <w:txbxContent>
                          <w:p w:rsidR="00A87A14" w:rsidRPr="00940C9D" w:rsidRDefault="00A87A14" w:rsidP="00725033">
                            <w:pPr>
                              <w:rPr>
                                <w:rFonts w:ascii="Times New Roman" w:hAnsi="Times New Roman" w:cs="Times New Roman"/>
                                <w:b/>
                                <w:sz w:val="28"/>
                              </w:rPr>
                            </w:pPr>
                            <w:r w:rsidRPr="00940C9D">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5193F8" id="Text Box 82" o:spid="_x0000_s1056" type="#_x0000_t202" style="position:absolute;left:0;text-align:left;margin-left:132.3pt;margin-top:18.75pt;width:24.3pt;height:2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" fillcolor="window" stroked="f" strokeweight=".5pt">
                <v:textbox>
                  <w:txbxContent>
                    <w:p w:rsidR="00A87A14" w:rsidRPr="00940C9D" w:rsidRDefault="00A87A14" w:rsidP="00725033">
                      <w:pPr>
                        <w:rPr>
                          <w:rFonts w:ascii="Times New Roman" w:hAnsi="Times New Roman" w:cs="Times New Roman"/>
                          <w:b/>
                          <w:sz w:val="28"/>
                        </w:rPr>
                      </w:pPr>
                      <w:r w:rsidRPr="00940C9D">
                        <w:rPr>
                          <w:rFonts w:ascii="Times New Roman" w:hAnsi="Times New Roman" w:cs="Times New Roman"/>
                          <w:b/>
                          <w:sz w:val="28"/>
                        </w:rPr>
                        <w:t>A</w:t>
                      </w:r>
                    </w:p>
                  </w:txbxContent>
                </v:textbox>
              </v:shape>
            </w:pict>
          </mc:Fallback>
        </mc:AlternateContent>
      </w:r>
      <w:r w:rsidRPr="0071546E">
        <w:rPr>
          <w:rFonts w:ascii="Arial" w:eastAsiaTheme="minorEastAsia" w:hAnsi="Arial" w:cs="Arial"/>
          <w:noProof/>
          <w:sz w:val="24"/>
          <w:szCs w:val="24"/>
          <w:lang w:eastAsia="en-GB"/>
        </w:rPr>
        <w:drawing>
          <wp:inline distT="0" distB="0" distL="0" distR="0" wp14:anchorId="1601C63D" wp14:editId="5D1EBFF1">
            <wp:extent cx="4478216" cy="2977515"/>
            <wp:effectExtent l="0" t="0" r="0" b="0"/>
            <wp:docPr id="1032" name="Chart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725033" w:rsidRPr="0071546E" w:rsidRDefault="00832C20" w:rsidP="00CF13FE">
      <w:pPr>
        <w:spacing w:before="100" w:after="200" w:line="240" w:lineRule="atLeast"/>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mc:AlternateContent>
          <mc:Choice Requires="wps">
            <w:drawing>
              <wp:anchor distT="0" distB="0" distL="114300" distR="114300" simplePos="0" relativeHeight="251677696" behindDoc="0" locked="0" layoutInCell="1" allowOverlap="1" wp14:anchorId="40DFA073" wp14:editId="5E1B2D99">
                <wp:simplePos x="0" y="0"/>
                <wp:positionH relativeFrom="column">
                  <wp:posOffset>1643924</wp:posOffset>
                </wp:positionH>
                <wp:positionV relativeFrom="paragraph">
                  <wp:posOffset>192224</wp:posOffset>
                </wp:positionV>
                <wp:extent cx="356260" cy="440675"/>
                <wp:effectExtent l="0" t="0" r="5715" b="0"/>
                <wp:wrapNone/>
                <wp:docPr id="73" name="Text Box 73"/>
                <wp:cNvGraphicFramePr/>
                <a:graphic xmlns:a="http://schemas.openxmlformats.org/drawingml/2006/main">
                  <a:graphicData uri="http://schemas.microsoft.com/office/word/2010/wordprocessingShape">
                    <wps:wsp>
                      <wps:cNvSpPr txBox="1"/>
                      <wps:spPr>
                        <a:xfrm>
                          <a:off x="0" y="0"/>
                          <a:ext cx="356260" cy="440675"/>
                        </a:xfrm>
                        <a:prstGeom prst="rect">
                          <a:avLst/>
                        </a:prstGeom>
                        <a:solidFill>
                          <a:sysClr val="window" lastClr="FFFFFF"/>
                        </a:solidFill>
                        <a:ln w="6350">
                          <a:noFill/>
                        </a:ln>
                        <a:effectLst/>
                      </wps:spPr>
                      <wps:txbx>
                        <w:txbxContent>
                          <w:p w:rsidR="00A87A14" w:rsidRPr="00896BCA" w:rsidRDefault="00A87A14" w:rsidP="00725033">
                            <w:pPr>
                              <w:rPr>
                                <w:rFonts w:ascii="Times New Roman" w:hAnsi="Times New Roman" w:cs="Times New Roman"/>
                                <w:b/>
                                <w:sz w:val="32"/>
                              </w:rPr>
                            </w:pPr>
                            <w:r>
                              <w:rPr>
                                <w:rFonts w:ascii="Times New Roman" w:hAnsi="Times New Roman" w:cs="Times New Roman"/>
                                <w:b/>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DFA073" id="Text Box 73" o:spid="_x0000_s1057" type="#_x0000_t202" style="position:absolute;left:0;text-align:left;margin-left:129.45pt;margin-top:15.15pt;width:28.05pt;height:34.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" fillcolor="window" stroked="f" strokeweight=".5pt">
                <v:textbox>
                  <w:txbxContent>
                    <w:p w:rsidR="00A87A14" w:rsidRPr="00896BCA" w:rsidRDefault="00A87A14" w:rsidP="00725033">
                      <w:pPr>
                        <w:rPr>
                          <w:rFonts w:ascii="Times New Roman" w:hAnsi="Times New Roman" w:cs="Times New Roman"/>
                          <w:b/>
                          <w:sz w:val="32"/>
                        </w:rPr>
                      </w:pPr>
                      <w:r>
                        <w:rPr>
                          <w:rFonts w:ascii="Times New Roman" w:hAnsi="Times New Roman" w:cs="Times New Roman"/>
                          <w:b/>
                          <w:sz w:val="32"/>
                        </w:rPr>
                        <w:t>B</w:t>
                      </w:r>
                    </w:p>
                  </w:txbxContent>
                </v:textbox>
              </v:shape>
            </w:pict>
          </mc:Fallback>
        </mc:AlternateContent>
      </w:r>
      <w:r w:rsidR="00725033" w:rsidRPr="0071546E">
        <w:rPr>
          <w:rFonts w:ascii="Arial" w:eastAsiaTheme="minorEastAsia" w:hAnsi="Arial" w:cs="Arial"/>
          <w:noProof/>
          <w:sz w:val="24"/>
          <w:szCs w:val="24"/>
          <w:lang w:eastAsia="en-GB"/>
        </w:rPr>
        <w:drawing>
          <wp:inline distT="0" distB="0" distL="0" distR="0" wp14:anchorId="7FB659B6" wp14:editId="119CA12B">
            <wp:extent cx="4384431" cy="2660650"/>
            <wp:effectExtent l="0" t="0" r="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32C20" w:rsidRPr="0071546E" w:rsidRDefault="00832C20" w:rsidP="00127A94">
      <w:pPr>
        <w:spacing w:before="100" w:after="200" w:line="240" w:lineRule="atLeast"/>
        <w:ind w:left="1021" w:right="454"/>
        <w:jc w:val="both"/>
        <w:rPr>
          <w:rStyle w:val="Heading2Char"/>
          <w:rFonts w:eastAsiaTheme="minorEastAsia"/>
          <w:b w:val="0"/>
          <w:sz w:val="20"/>
          <w:szCs w:val="20"/>
          <w:lang w:eastAsia="en-US"/>
        </w:rPr>
      </w:pPr>
      <w:r w:rsidRPr="0071546E">
        <w:rPr>
          <w:rFonts w:ascii="Arial" w:eastAsiaTheme="minorEastAsia" w:hAnsi="Arial" w:cs="Arial"/>
          <w:sz w:val="20"/>
          <w:szCs w:val="20"/>
        </w:rPr>
        <w:t>Fig 3.2</w:t>
      </w:r>
      <w:r w:rsidR="0018244C" w:rsidRPr="0071546E">
        <w:rPr>
          <w:rFonts w:ascii="Arial" w:eastAsiaTheme="minorEastAsia" w:hAnsi="Arial" w:cs="Arial"/>
          <w:sz w:val="20"/>
          <w:szCs w:val="20"/>
        </w:rPr>
        <w:t>7</w:t>
      </w:r>
      <w:r w:rsidR="00725033" w:rsidRPr="0071546E">
        <w:rPr>
          <w:rFonts w:ascii="Arial" w:eastAsiaTheme="minorEastAsia" w:hAnsi="Arial" w:cs="Arial"/>
          <w:sz w:val="20"/>
          <w:szCs w:val="20"/>
        </w:rPr>
        <w:t xml:space="preserve"> Amount of porphyrin recovered from </w:t>
      </w:r>
      <w:r w:rsidR="00432D1D" w:rsidRPr="0071546E">
        <w:rPr>
          <w:rFonts w:ascii="Arial" w:eastAsiaTheme="minorEastAsia" w:hAnsi="Arial" w:cs="Arial"/>
          <w:i/>
          <w:sz w:val="20"/>
          <w:szCs w:val="20"/>
        </w:rPr>
        <w:t>Acanthamoeba</w:t>
      </w:r>
      <w:r w:rsidR="00725033" w:rsidRPr="0071546E">
        <w:rPr>
          <w:rFonts w:ascii="Arial" w:eastAsiaTheme="minorEastAsia" w:hAnsi="Arial" w:cs="Arial"/>
          <w:sz w:val="20"/>
          <w:szCs w:val="20"/>
        </w:rPr>
        <w:t xml:space="preserve"> </w:t>
      </w:r>
      <w:r w:rsidR="00325823" w:rsidRPr="0071546E">
        <w:rPr>
          <w:rFonts w:ascii="Arial" w:eastAsiaTheme="minorEastAsia" w:hAnsi="Arial" w:cs="Arial"/>
          <w:sz w:val="20"/>
          <w:szCs w:val="20"/>
        </w:rPr>
        <w:t>cells</w:t>
      </w:r>
      <w:r w:rsidR="00725033" w:rsidRPr="0071546E">
        <w:rPr>
          <w:rFonts w:ascii="Arial" w:eastAsiaTheme="minorEastAsia" w:hAnsi="Arial" w:cs="Arial"/>
          <w:sz w:val="20"/>
          <w:szCs w:val="20"/>
        </w:rPr>
        <w:t xml:space="preserve"> (10</w:t>
      </w:r>
      <w:r w:rsidR="00725033" w:rsidRPr="0071546E">
        <w:rPr>
          <w:rFonts w:ascii="Arial" w:eastAsiaTheme="minorEastAsia" w:hAnsi="Arial" w:cs="Arial"/>
          <w:sz w:val="20"/>
          <w:szCs w:val="20"/>
          <w:vertAlign w:val="superscript"/>
        </w:rPr>
        <w:t>6</w:t>
      </w:r>
      <w:r w:rsidR="00725033" w:rsidRPr="0071546E">
        <w:rPr>
          <w:rFonts w:ascii="Arial" w:eastAsiaTheme="minorEastAsia" w:hAnsi="Arial" w:cs="Arial"/>
          <w:sz w:val="20"/>
          <w:szCs w:val="20"/>
        </w:rPr>
        <w:t xml:space="preserve"> cell /ml) after incubation at different times, with 50 μM </w:t>
      </w:r>
      <w:r w:rsidR="00325823" w:rsidRPr="0071546E">
        <w:rPr>
          <w:rFonts w:ascii="Arial" w:eastAsiaTheme="minorEastAsia" w:hAnsi="Arial" w:cs="Arial"/>
          <w:sz w:val="20"/>
          <w:szCs w:val="20"/>
        </w:rPr>
        <w:t xml:space="preserve">of </w:t>
      </w:r>
      <w:r w:rsidR="00127A94" w:rsidRPr="0071546E">
        <w:rPr>
          <w:rFonts w:ascii="Arial" w:eastAsiaTheme="minorEastAsia" w:hAnsi="Arial" w:cs="Arial"/>
          <w:sz w:val="20"/>
          <w:szCs w:val="20"/>
        </w:rPr>
        <w:t>various</w:t>
      </w:r>
      <w:r w:rsidR="00325823" w:rsidRPr="0071546E">
        <w:rPr>
          <w:rFonts w:ascii="Arial" w:eastAsiaTheme="minorEastAsia" w:hAnsi="Arial" w:cs="Arial"/>
          <w:sz w:val="20"/>
          <w:szCs w:val="20"/>
        </w:rPr>
        <w:t xml:space="preserve"> porphyrins</w:t>
      </w:r>
      <w:r w:rsidR="00127A94" w:rsidRPr="0071546E">
        <w:rPr>
          <w:rFonts w:ascii="Arial" w:eastAsiaTheme="minorEastAsia" w:hAnsi="Arial" w:cs="Arial"/>
          <w:sz w:val="20"/>
          <w:szCs w:val="20"/>
        </w:rPr>
        <w:t xml:space="preserve"> molecules</w:t>
      </w:r>
      <w:r w:rsidR="00325823" w:rsidRPr="0071546E">
        <w:rPr>
          <w:rFonts w:ascii="Arial" w:eastAsiaTheme="minorEastAsia" w:hAnsi="Arial" w:cs="Arial"/>
          <w:sz w:val="20"/>
          <w:szCs w:val="20"/>
        </w:rPr>
        <w:t>. TP1 and CP1 =</w:t>
      </w:r>
      <w:r w:rsidR="00725033" w:rsidRPr="0071546E">
        <w:rPr>
          <w:rFonts w:ascii="Arial" w:eastAsiaTheme="minorEastAsia" w:hAnsi="Arial" w:cs="Arial"/>
          <w:sz w:val="20"/>
          <w:szCs w:val="20"/>
        </w:rPr>
        <w:t xml:space="preserve"> 5, 10, 15, 20-tetrakis (1-methyl-4-pyridino) porphyrin tetra (P-t</w:t>
      </w:r>
      <w:r w:rsidR="002C2939" w:rsidRPr="0071546E">
        <w:rPr>
          <w:rFonts w:ascii="Arial" w:eastAsiaTheme="minorEastAsia" w:hAnsi="Arial" w:cs="Arial"/>
          <w:sz w:val="20"/>
          <w:szCs w:val="20"/>
        </w:rPr>
        <w:t>oluene sulfonate)</w:t>
      </w:r>
      <w:r w:rsidR="00325823" w:rsidRPr="0071546E">
        <w:rPr>
          <w:rFonts w:ascii="Arial" w:eastAsiaTheme="minorEastAsia" w:hAnsi="Arial" w:cs="Arial"/>
          <w:sz w:val="20"/>
          <w:szCs w:val="20"/>
        </w:rPr>
        <w:t xml:space="preserve"> troph</w:t>
      </w:r>
      <w:r w:rsidR="009F6F9E" w:rsidRPr="0071546E">
        <w:rPr>
          <w:rFonts w:ascii="Arial" w:eastAsiaTheme="minorEastAsia" w:hAnsi="Arial" w:cs="Arial"/>
          <w:sz w:val="20"/>
          <w:szCs w:val="20"/>
        </w:rPr>
        <w:t>ozoites</w:t>
      </w:r>
      <w:r w:rsidR="00325823" w:rsidRPr="0071546E">
        <w:rPr>
          <w:rFonts w:ascii="Arial" w:eastAsiaTheme="minorEastAsia" w:hAnsi="Arial" w:cs="Arial"/>
          <w:sz w:val="20"/>
          <w:szCs w:val="20"/>
        </w:rPr>
        <w:t xml:space="preserve"> and cysts, </w:t>
      </w:r>
      <w:r w:rsidR="00D5653B" w:rsidRPr="0071546E">
        <w:rPr>
          <w:rFonts w:ascii="Arial" w:eastAsiaTheme="minorEastAsia" w:hAnsi="Arial" w:cs="Arial"/>
          <w:sz w:val="20"/>
          <w:szCs w:val="20"/>
        </w:rPr>
        <w:t>“5</w:t>
      </w:r>
      <w:r w:rsidR="00725033" w:rsidRPr="0071546E">
        <w:rPr>
          <w:rFonts w:ascii="Arial" w:eastAsiaTheme="minorEastAsia" w:hAnsi="Arial" w:cs="Arial"/>
          <w:sz w:val="20"/>
          <w:szCs w:val="20"/>
        </w:rPr>
        <w:t>, 10, 15, 20- tetrakis (pentafluorophenyl)-21H, 23H-p</w:t>
      </w:r>
      <w:r w:rsidR="00325823" w:rsidRPr="0071546E">
        <w:rPr>
          <w:rFonts w:ascii="Arial" w:eastAsiaTheme="minorEastAsia" w:hAnsi="Arial" w:cs="Arial"/>
          <w:sz w:val="20"/>
          <w:szCs w:val="20"/>
        </w:rPr>
        <w:t>orphine Iron (III) chloride =TP</w:t>
      </w:r>
      <w:r w:rsidR="00D5653B" w:rsidRPr="0071546E">
        <w:rPr>
          <w:rFonts w:ascii="Arial" w:eastAsiaTheme="minorEastAsia" w:hAnsi="Arial" w:cs="Arial"/>
          <w:sz w:val="20"/>
          <w:szCs w:val="20"/>
        </w:rPr>
        <w:t>2 and</w:t>
      </w:r>
      <w:r w:rsidR="00325823" w:rsidRPr="0071546E">
        <w:rPr>
          <w:rFonts w:ascii="Arial" w:eastAsiaTheme="minorEastAsia" w:hAnsi="Arial" w:cs="Arial"/>
          <w:sz w:val="20"/>
          <w:szCs w:val="20"/>
        </w:rPr>
        <w:t xml:space="preserve"> CP2. </w:t>
      </w:r>
      <w:r w:rsidR="00725033" w:rsidRPr="0071546E">
        <w:rPr>
          <w:rFonts w:ascii="Arial" w:eastAsiaTheme="minorEastAsia" w:hAnsi="Arial" w:cs="Arial"/>
          <w:sz w:val="20"/>
          <w:szCs w:val="20"/>
        </w:rPr>
        <w:t>5, 10, 15, 20-Tetrakis (4-methyl</w:t>
      </w:r>
      <w:r w:rsidR="002C2939" w:rsidRPr="0071546E">
        <w:rPr>
          <w:rFonts w:ascii="Arial" w:eastAsiaTheme="minorEastAsia" w:hAnsi="Arial" w:cs="Arial"/>
          <w:sz w:val="20"/>
          <w:szCs w:val="20"/>
        </w:rPr>
        <w:t xml:space="preserve"> </w:t>
      </w:r>
      <w:r w:rsidR="00325823" w:rsidRPr="0071546E">
        <w:rPr>
          <w:rFonts w:ascii="Arial" w:eastAsiaTheme="minorEastAsia" w:hAnsi="Arial" w:cs="Arial"/>
          <w:sz w:val="20"/>
          <w:szCs w:val="20"/>
        </w:rPr>
        <w:t>phenyl)-21H23H porphine = TP3 and CP</w:t>
      </w:r>
      <w:r w:rsidR="00D5653B" w:rsidRPr="0071546E">
        <w:rPr>
          <w:rFonts w:ascii="Arial" w:eastAsiaTheme="minorEastAsia" w:hAnsi="Arial" w:cs="Arial"/>
          <w:sz w:val="20"/>
          <w:szCs w:val="20"/>
        </w:rPr>
        <w:t>3.</w:t>
      </w:r>
      <w:r w:rsidR="00725033" w:rsidRPr="0071546E">
        <w:rPr>
          <w:rFonts w:ascii="Arial" w:eastAsiaTheme="minorEastAsia" w:hAnsi="Arial" w:cs="Arial"/>
          <w:sz w:val="20"/>
          <w:szCs w:val="20"/>
        </w:rPr>
        <w:t xml:space="preserve"> 4,4′,4′′,4′′′-(porphine-5,10,15,20-tetryl) tetrakis (benzenesulfonic acid) tetrasodiu</w:t>
      </w:r>
      <w:r w:rsidR="00325823" w:rsidRPr="0071546E">
        <w:rPr>
          <w:rFonts w:ascii="Arial" w:eastAsiaTheme="minorEastAsia" w:hAnsi="Arial" w:cs="Arial"/>
          <w:sz w:val="20"/>
          <w:szCs w:val="20"/>
        </w:rPr>
        <w:t>m salt hydrate = TP4 and CP</w:t>
      </w:r>
      <w:r w:rsidR="00D5653B" w:rsidRPr="0071546E">
        <w:rPr>
          <w:rFonts w:ascii="Arial" w:eastAsiaTheme="minorEastAsia" w:hAnsi="Arial" w:cs="Arial"/>
          <w:sz w:val="20"/>
          <w:szCs w:val="20"/>
        </w:rPr>
        <w:t>4. After</w:t>
      </w:r>
      <w:r w:rsidRPr="0071546E">
        <w:rPr>
          <w:rFonts w:ascii="Arial" w:eastAsiaTheme="minorEastAsia" w:hAnsi="Arial" w:cs="Arial"/>
          <w:sz w:val="20"/>
          <w:szCs w:val="20"/>
        </w:rPr>
        <w:t xml:space="preserve"> incubation at different times,</w:t>
      </w:r>
      <w:r w:rsidR="00725033" w:rsidRPr="0071546E">
        <w:rPr>
          <w:rFonts w:ascii="Arial" w:eastAsiaTheme="minorEastAsia" w:hAnsi="Arial" w:cs="Arial"/>
          <w:sz w:val="20"/>
          <w:szCs w:val="20"/>
        </w:rPr>
        <w:t xml:space="preserve"> </w:t>
      </w:r>
      <w:r w:rsidRPr="0071546E">
        <w:rPr>
          <w:rFonts w:ascii="Arial" w:eastAsiaTheme="minorEastAsia" w:hAnsi="Arial" w:cs="Arial"/>
          <w:sz w:val="20"/>
          <w:szCs w:val="20"/>
        </w:rPr>
        <w:t>the trophozoite cells (A) was lysed with lysis buffer while the cysts cells were</w:t>
      </w:r>
      <w:r w:rsidR="00725033" w:rsidRPr="0071546E">
        <w:rPr>
          <w:rFonts w:ascii="Arial" w:eastAsiaTheme="minorEastAsia" w:hAnsi="Arial" w:cs="Arial"/>
          <w:sz w:val="20"/>
          <w:szCs w:val="20"/>
        </w:rPr>
        <w:t xml:space="preserve"> lysed with 10 mM HEWL and fluorescence evaluate at 400 ex</w:t>
      </w:r>
      <w:r w:rsidRPr="0071546E">
        <w:rPr>
          <w:rFonts w:ascii="Arial" w:eastAsiaTheme="minorEastAsia" w:hAnsi="Arial" w:cs="Arial"/>
          <w:sz w:val="20"/>
          <w:szCs w:val="20"/>
        </w:rPr>
        <w:t>citations</w:t>
      </w:r>
      <w:r w:rsidR="00325823" w:rsidRPr="0071546E">
        <w:rPr>
          <w:rFonts w:ascii="Arial" w:eastAsiaTheme="minorEastAsia" w:hAnsi="Arial" w:cs="Arial"/>
          <w:sz w:val="20"/>
          <w:szCs w:val="20"/>
        </w:rPr>
        <w:t xml:space="preserve"> and 730</w:t>
      </w:r>
      <w:r w:rsidR="00725033" w:rsidRPr="0071546E">
        <w:rPr>
          <w:rFonts w:ascii="Arial" w:eastAsiaTheme="minorEastAsia" w:hAnsi="Arial" w:cs="Arial"/>
          <w:sz w:val="20"/>
          <w:szCs w:val="20"/>
        </w:rPr>
        <w:t xml:space="preserve"> </w:t>
      </w:r>
      <w:r w:rsidRPr="0071546E">
        <w:rPr>
          <w:rFonts w:ascii="Arial" w:eastAsiaTheme="minorEastAsia" w:hAnsi="Arial" w:cs="Arial"/>
          <w:sz w:val="20"/>
          <w:szCs w:val="20"/>
        </w:rPr>
        <w:t>emission</w:t>
      </w:r>
      <w:r w:rsidR="00725033" w:rsidRPr="0071546E">
        <w:rPr>
          <w:rFonts w:ascii="Arial" w:eastAsiaTheme="minorEastAsia" w:hAnsi="Arial" w:cs="Arial"/>
          <w:sz w:val="20"/>
          <w:szCs w:val="20"/>
        </w:rPr>
        <w:t xml:space="preserve"> filters.</w:t>
      </w:r>
    </w:p>
    <w:p w:rsidR="00725033" w:rsidRPr="0071546E" w:rsidRDefault="00725033" w:rsidP="00CF13FE">
      <w:pPr>
        <w:pStyle w:val="Heading2"/>
        <w:ind w:left="1021" w:right="454"/>
        <w:rPr>
          <w:rFonts w:eastAsiaTheme="minorEastAsia"/>
        </w:rPr>
      </w:pPr>
      <w:bookmarkStart w:id="104" w:name="_Toc14711474"/>
      <w:r w:rsidRPr="0071546E">
        <w:rPr>
          <w:rFonts w:eastAsiaTheme="minorEastAsia"/>
        </w:rPr>
        <w:t>3</w:t>
      </w:r>
      <w:r w:rsidR="00325823" w:rsidRPr="0071546E">
        <w:rPr>
          <w:rFonts w:eastAsiaTheme="minorEastAsia"/>
        </w:rPr>
        <w:t>.6 Binding strength</w:t>
      </w:r>
      <w:r w:rsidRPr="0071546E">
        <w:rPr>
          <w:rFonts w:eastAsiaTheme="minorEastAsia"/>
        </w:rPr>
        <w:t xml:space="preserve"> of porphyrins for cysts and trophozoites</w:t>
      </w:r>
      <w:bookmarkEnd w:id="104"/>
      <w:r w:rsidR="00325823" w:rsidRPr="0071546E">
        <w:rPr>
          <w:rFonts w:eastAsiaTheme="minorEastAsia"/>
        </w:rPr>
        <w:t xml:space="preserve"> </w:t>
      </w:r>
    </w:p>
    <w:p w:rsidR="00725033" w:rsidRPr="0071546E" w:rsidRDefault="00725033" w:rsidP="00CF13FE">
      <w:pPr>
        <w:pStyle w:val="Heading2"/>
        <w:ind w:left="1021" w:right="454"/>
        <w:rPr>
          <w:rStyle w:val="Heading2Char"/>
          <w:rFonts w:eastAsiaTheme="minorEastAsia"/>
          <w:b/>
        </w:rPr>
      </w:pPr>
      <w:bookmarkStart w:id="105" w:name="_Toc14711475"/>
      <w:r w:rsidRPr="0071546E">
        <w:rPr>
          <w:rStyle w:val="Heading2Char"/>
          <w:rFonts w:eastAsiaTheme="minorEastAsia"/>
          <w:b/>
        </w:rPr>
        <w:t xml:space="preserve">3.6.1 </w:t>
      </w:r>
      <w:r w:rsidR="00325823" w:rsidRPr="0071546E">
        <w:rPr>
          <w:rStyle w:val="Heading2Char"/>
          <w:rFonts w:eastAsiaTheme="minorEastAsia"/>
          <w:b/>
        </w:rPr>
        <w:t>Binding strength</w:t>
      </w:r>
      <w:r w:rsidRPr="0071546E">
        <w:rPr>
          <w:rStyle w:val="Heading2Char"/>
          <w:rFonts w:eastAsiaTheme="minorEastAsia"/>
          <w:b/>
        </w:rPr>
        <w:t xml:space="preserve"> of 5, 10, 15, 20-tetrakis (1-methyl-4-pyridino) porphyrin tetra</w:t>
      </w:r>
      <w:r w:rsidRPr="0071546E">
        <w:rPr>
          <w:rFonts w:eastAsiaTheme="minorEastAsia"/>
        </w:rPr>
        <w:t xml:space="preserve"> </w:t>
      </w:r>
      <w:r w:rsidRPr="0071546E">
        <w:rPr>
          <w:rStyle w:val="Heading2Char"/>
          <w:rFonts w:eastAsiaTheme="minorEastAsia"/>
          <w:b/>
        </w:rPr>
        <w:t>(P-toluene sulfonate)</w:t>
      </w:r>
      <w:r w:rsidR="00325823" w:rsidRPr="0071546E">
        <w:rPr>
          <w:rStyle w:val="Heading2Char"/>
          <w:rFonts w:eastAsiaTheme="minorEastAsia"/>
          <w:b/>
        </w:rPr>
        <w:t xml:space="preserve">, </w:t>
      </w:r>
      <w:r w:rsidR="00325823" w:rsidRPr="0071546E">
        <w:rPr>
          <w:rStyle w:val="Heading2Char"/>
          <w:rFonts w:eastAsiaTheme="minorEastAsia"/>
          <w:b/>
          <w:i/>
        </w:rPr>
        <w:t>Acanthamoeba</w:t>
      </w:r>
      <w:r w:rsidR="00325823" w:rsidRPr="0071546E">
        <w:rPr>
          <w:rStyle w:val="Heading2Char"/>
          <w:rFonts w:eastAsiaTheme="minorEastAsia"/>
          <w:b/>
        </w:rPr>
        <w:t xml:space="preserve"> cells</w:t>
      </w:r>
      <w:bookmarkEnd w:id="105"/>
    </w:p>
    <w:p w:rsidR="00725033" w:rsidRPr="0071546E" w:rsidRDefault="00432D1D"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i/>
          <w:sz w:val="24"/>
          <w:szCs w:val="24"/>
        </w:rPr>
        <w:t>Acanthamoeba</w:t>
      </w:r>
      <w:r w:rsidR="00725033" w:rsidRPr="0071546E">
        <w:rPr>
          <w:rFonts w:ascii="Arial" w:eastAsiaTheme="minorEastAsia" w:hAnsi="Arial" w:cs="Arial"/>
          <w:sz w:val="24"/>
          <w:szCs w:val="24"/>
        </w:rPr>
        <w:t xml:space="preserve"> cysts and trophozoites w</w:t>
      </w:r>
      <w:r w:rsidR="002C2939" w:rsidRPr="0071546E">
        <w:rPr>
          <w:rFonts w:ascii="Arial" w:eastAsiaTheme="minorEastAsia" w:hAnsi="Arial" w:cs="Arial"/>
          <w:sz w:val="24"/>
          <w:szCs w:val="24"/>
        </w:rPr>
        <w:t>ere</w:t>
      </w:r>
      <w:r w:rsidR="00725033" w:rsidRPr="0071546E">
        <w:rPr>
          <w:rFonts w:ascii="Arial" w:eastAsiaTheme="minorEastAsia" w:hAnsi="Arial" w:cs="Arial"/>
          <w:sz w:val="24"/>
          <w:szCs w:val="24"/>
        </w:rPr>
        <w:t xml:space="preserve"> incubated with all four porphyr</w:t>
      </w:r>
      <w:r w:rsidR="00155F55" w:rsidRPr="0071546E">
        <w:rPr>
          <w:rFonts w:ascii="Arial" w:eastAsiaTheme="minorEastAsia" w:hAnsi="Arial" w:cs="Arial"/>
          <w:sz w:val="24"/>
          <w:szCs w:val="24"/>
        </w:rPr>
        <w:t>ins for 10 minutes, washed in PB</w:t>
      </w:r>
      <w:r w:rsidR="00725033" w:rsidRPr="0071546E">
        <w:rPr>
          <w:rFonts w:ascii="Arial" w:eastAsiaTheme="minorEastAsia" w:hAnsi="Arial" w:cs="Arial"/>
          <w:sz w:val="24"/>
          <w:szCs w:val="24"/>
        </w:rPr>
        <w:t>S five times at 10,000 g for 5 minutes. After 5 washes the cells were lysed and fluorescence evaluated at 400 ex and 730 em wavelengths. The idea was to monitor per</w:t>
      </w:r>
      <w:r w:rsidR="002C2939" w:rsidRPr="0071546E">
        <w:rPr>
          <w:rFonts w:ascii="Arial" w:eastAsiaTheme="minorEastAsia" w:hAnsi="Arial" w:cs="Arial"/>
          <w:sz w:val="24"/>
          <w:szCs w:val="24"/>
        </w:rPr>
        <w:t xml:space="preserve"> </w:t>
      </w:r>
      <w:r w:rsidR="00725033" w:rsidRPr="0071546E">
        <w:rPr>
          <w:rFonts w:ascii="Arial" w:eastAsiaTheme="minorEastAsia" w:hAnsi="Arial" w:cs="Arial"/>
          <w:sz w:val="24"/>
          <w:szCs w:val="24"/>
        </w:rPr>
        <w:t xml:space="preserve">cent permeability and loose binding in both cysts and trophozoites. The results showed </w:t>
      </w:r>
      <w:r w:rsidR="002C2939" w:rsidRPr="0071546E">
        <w:rPr>
          <w:rFonts w:ascii="Arial" w:eastAsiaTheme="minorEastAsia" w:hAnsi="Arial" w:cs="Arial"/>
          <w:sz w:val="24"/>
          <w:szCs w:val="24"/>
        </w:rPr>
        <w:t xml:space="preserve">the </w:t>
      </w:r>
      <w:r w:rsidR="00725033" w:rsidRPr="0071546E">
        <w:rPr>
          <w:rFonts w:ascii="Arial" w:eastAsiaTheme="minorEastAsia" w:hAnsi="Arial" w:cs="Arial"/>
          <w:sz w:val="24"/>
          <w:szCs w:val="24"/>
        </w:rPr>
        <w:t>permeability of all four porphyrins are different and also trophozoites uptake wa</w:t>
      </w:r>
      <w:r w:rsidR="00C227F9" w:rsidRPr="0071546E">
        <w:rPr>
          <w:rFonts w:ascii="Arial" w:eastAsiaTheme="minorEastAsia" w:hAnsi="Arial" w:cs="Arial"/>
          <w:sz w:val="24"/>
          <w:szCs w:val="24"/>
        </w:rPr>
        <w:t>s more than cyst uptake. However,</w:t>
      </w:r>
      <w:r w:rsidR="00725033" w:rsidRPr="0071546E">
        <w:rPr>
          <w:rFonts w:ascii="Arial" w:eastAsiaTheme="minorEastAsia" w:hAnsi="Arial" w:cs="Arial"/>
          <w:sz w:val="24"/>
          <w:szCs w:val="24"/>
        </w:rPr>
        <w:t xml:space="preserve"> only about 25</w:t>
      </w:r>
      <w:r w:rsidR="00234554" w:rsidRPr="0071546E">
        <w:rPr>
          <w:rFonts w:ascii="Arial" w:eastAsiaTheme="minorEastAsia" w:hAnsi="Arial" w:cs="Arial"/>
          <w:sz w:val="24"/>
          <w:szCs w:val="24"/>
        </w:rPr>
        <w:t xml:space="preserve"> </w:t>
      </w:r>
      <w:r w:rsidR="00725033" w:rsidRPr="0071546E">
        <w:rPr>
          <w:rFonts w:ascii="Arial" w:eastAsiaTheme="minorEastAsia" w:hAnsi="Arial" w:cs="Arial"/>
          <w:sz w:val="24"/>
          <w:szCs w:val="24"/>
        </w:rPr>
        <w:t>% of the porphyrin concentration used as the highest concentration permeated the cell.</w:t>
      </w:r>
    </w:p>
    <w:p w:rsidR="00325823" w:rsidRPr="0071546E" w:rsidRDefault="00725033" w:rsidP="00CF13FE">
      <w:pPr>
        <w:spacing w:before="100" w:after="200" w:line="240" w:lineRule="atLeast"/>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53B12DE8" wp14:editId="4F3B09A1">
            <wp:extent cx="4538345" cy="3024553"/>
            <wp:effectExtent l="0" t="0" r="0" b="44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725033" w:rsidRPr="0071546E" w:rsidRDefault="00A8770D" w:rsidP="00CF13F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Fig 3.2</w:t>
      </w:r>
      <w:r w:rsidR="009F6F9E" w:rsidRPr="0071546E">
        <w:rPr>
          <w:rFonts w:ascii="Arial" w:eastAsiaTheme="minorEastAsia" w:hAnsi="Arial" w:cs="Arial"/>
          <w:sz w:val="20"/>
          <w:szCs w:val="20"/>
        </w:rPr>
        <w:t>6</w:t>
      </w:r>
      <w:r w:rsidRPr="0071546E">
        <w:rPr>
          <w:rFonts w:ascii="Arial" w:eastAsiaTheme="minorEastAsia" w:hAnsi="Arial" w:cs="Arial"/>
          <w:sz w:val="20"/>
          <w:szCs w:val="20"/>
        </w:rPr>
        <w:t xml:space="preserve"> </w:t>
      </w:r>
      <w:r w:rsidR="00325823" w:rsidRPr="0071546E">
        <w:rPr>
          <w:rFonts w:ascii="Arial" w:eastAsiaTheme="minorEastAsia" w:hAnsi="Arial" w:cs="Arial"/>
          <w:sz w:val="20"/>
          <w:szCs w:val="20"/>
        </w:rPr>
        <w:t xml:space="preserve">Percentage amount of </w:t>
      </w:r>
      <w:r w:rsidR="00325823" w:rsidRPr="0071546E">
        <w:rPr>
          <w:rFonts w:ascii="Arial" w:hAnsi="Arial" w:cs="Arial"/>
          <w:sz w:val="20"/>
          <w:szCs w:val="20"/>
        </w:rPr>
        <w:t>5, 10, 15, 20-tetrakis (1-methyl-4-pyridino) porphyrin tetra (P-toluene sulfonate)</w:t>
      </w:r>
      <w:r w:rsidR="00127A94" w:rsidRPr="0071546E">
        <w:rPr>
          <w:rFonts w:ascii="Arial" w:hAnsi="Arial" w:cs="Arial"/>
          <w:sz w:val="20"/>
          <w:szCs w:val="20"/>
        </w:rPr>
        <w:t xml:space="preserve"> </w:t>
      </w:r>
      <w:r w:rsidR="009C494E" w:rsidRPr="0071546E">
        <w:rPr>
          <w:rFonts w:ascii="Arial" w:hAnsi="Arial" w:cs="Arial"/>
          <w:sz w:val="20"/>
          <w:szCs w:val="20"/>
        </w:rPr>
        <w:t xml:space="preserve">(50-µM), recovered after 10 minutes incubation with </w:t>
      </w:r>
      <w:r w:rsidR="009F6F9E" w:rsidRPr="0071546E">
        <w:rPr>
          <w:rFonts w:ascii="Arial" w:hAnsi="Arial" w:cs="Arial"/>
          <w:i/>
          <w:iCs/>
          <w:sz w:val="20"/>
          <w:szCs w:val="20"/>
        </w:rPr>
        <w:t>Acanthamoeba</w:t>
      </w:r>
      <w:r w:rsidR="009C494E" w:rsidRPr="0071546E">
        <w:rPr>
          <w:rFonts w:ascii="Arial" w:hAnsi="Arial" w:cs="Arial"/>
          <w:sz w:val="20"/>
          <w:szCs w:val="20"/>
        </w:rPr>
        <w:t xml:space="preserve"> cysts and trophozoites, after five washing steps</w:t>
      </w:r>
      <w:r w:rsidR="009C494E" w:rsidRPr="0071546E">
        <w:rPr>
          <w:rFonts w:ascii="Arial" w:eastAsiaTheme="minorEastAsia" w:hAnsi="Arial" w:cs="Arial"/>
          <w:sz w:val="20"/>
          <w:szCs w:val="20"/>
        </w:rPr>
        <w:t>. The grey and blue bars represent the percentage amount of porphyrin recovered from trophozoites and cysts respectively. Error bars = mean SD n =4 replicate readings.</w:t>
      </w:r>
    </w:p>
    <w:p w:rsidR="00725033" w:rsidRPr="0071546E" w:rsidRDefault="00A8770D"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Fig 3.2</w:t>
      </w:r>
      <w:r w:rsidR="009F6F9E" w:rsidRPr="0071546E">
        <w:rPr>
          <w:rFonts w:ascii="Arial" w:eastAsiaTheme="minorEastAsia" w:hAnsi="Arial" w:cs="Arial"/>
          <w:sz w:val="24"/>
          <w:szCs w:val="24"/>
        </w:rPr>
        <w:t>6</w:t>
      </w:r>
      <w:r w:rsidRPr="0071546E">
        <w:rPr>
          <w:rFonts w:ascii="Arial" w:eastAsiaTheme="minorEastAsia" w:hAnsi="Arial" w:cs="Arial"/>
          <w:sz w:val="24"/>
          <w:szCs w:val="24"/>
        </w:rPr>
        <w:t xml:space="preserve"> showed</w:t>
      </w:r>
      <w:r w:rsidR="00725033" w:rsidRPr="0071546E">
        <w:rPr>
          <w:rFonts w:ascii="Arial" w:eastAsiaTheme="minorEastAsia" w:hAnsi="Arial" w:cs="Arial"/>
          <w:sz w:val="24"/>
          <w:szCs w:val="24"/>
        </w:rPr>
        <w:t xml:space="preserve"> that only about 25</w:t>
      </w:r>
      <w:r w:rsidR="00234554" w:rsidRPr="0071546E">
        <w:rPr>
          <w:rFonts w:ascii="Arial" w:eastAsiaTheme="minorEastAsia" w:hAnsi="Arial" w:cs="Arial"/>
          <w:sz w:val="24"/>
          <w:szCs w:val="24"/>
        </w:rPr>
        <w:t xml:space="preserve"> </w:t>
      </w:r>
      <w:r w:rsidR="00725033" w:rsidRPr="0071546E">
        <w:rPr>
          <w:rFonts w:ascii="Arial" w:eastAsiaTheme="minorEastAsia" w:hAnsi="Arial" w:cs="Arial"/>
          <w:sz w:val="24"/>
          <w:szCs w:val="24"/>
        </w:rPr>
        <w:t>% of 5, 10, 15, 20-tetrakis (1-methyl-4-pyridino) porphyrin tetra (P-toluene sulfonate), permeated the trophozoites, and while about 20</w:t>
      </w:r>
      <w:r w:rsidR="00234554" w:rsidRPr="0071546E">
        <w:rPr>
          <w:rFonts w:ascii="Arial" w:eastAsiaTheme="minorEastAsia" w:hAnsi="Arial" w:cs="Arial"/>
          <w:sz w:val="24"/>
          <w:szCs w:val="24"/>
        </w:rPr>
        <w:t xml:space="preserve"> </w:t>
      </w:r>
      <w:r w:rsidR="00725033" w:rsidRPr="0071546E">
        <w:rPr>
          <w:rFonts w:ascii="Arial" w:eastAsiaTheme="minorEastAsia" w:hAnsi="Arial" w:cs="Arial"/>
          <w:sz w:val="24"/>
          <w:szCs w:val="24"/>
        </w:rPr>
        <w:t xml:space="preserve">% was retained by the cysts after the first wash. The amount of porphyrin retained continued to decrease in each wash, and after the x 5 wash, less than </w:t>
      </w:r>
      <w:r w:rsidR="00C227F9" w:rsidRPr="0071546E">
        <w:rPr>
          <w:rFonts w:ascii="Arial" w:eastAsiaTheme="minorEastAsia" w:hAnsi="Arial" w:cs="Arial"/>
          <w:sz w:val="24"/>
          <w:szCs w:val="24"/>
        </w:rPr>
        <w:t>2</w:t>
      </w:r>
      <w:r w:rsidR="00234554" w:rsidRPr="0071546E">
        <w:rPr>
          <w:rFonts w:ascii="Arial" w:eastAsiaTheme="minorEastAsia" w:hAnsi="Arial" w:cs="Arial"/>
          <w:sz w:val="24"/>
          <w:szCs w:val="24"/>
        </w:rPr>
        <w:t xml:space="preserve"> </w:t>
      </w:r>
      <w:r w:rsidR="00C227F9" w:rsidRPr="0071546E">
        <w:rPr>
          <w:rFonts w:ascii="Arial" w:eastAsiaTheme="minorEastAsia" w:hAnsi="Arial" w:cs="Arial"/>
          <w:sz w:val="24"/>
          <w:szCs w:val="24"/>
        </w:rPr>
        <w:t>%</w:t>
      </w:r>
      <w:r w:rsidR="00725033" w:rsidRPr="0071546E">
        <w:rPr>
          <w:rFonts w:ascii="Arial" w:eastAsiaTheme="minorEastAsia" w:hAnsi="Arial" w:cs="Arial"/>
          <w:sz w:val="24"/>
          <w:szCs w:val="24"/>
        </w:rPr>
        <w:t xml:space="preserve"> porphyrin was retained by </w:t>
      </w:r>
      <w:r w:rsidR="00C227F9" w:rsidRPr="0071546E">
        <w:rPr>
          <w:rFonts w:ascii="Arial" w:eastAsiaTheme="minorEastAsia" w:hAnsi="Arial" w:cs="Arial"/>
          <w:sz w:val="24"/>
          <w:szCs w:val="24"/>
        </w:rPr>
        <w:t xml:space="preserve">the </w:t>
      </w:r>
      <w:r w:rsidR="00725033" w:rsidRPr="0071546E">
        <w:rPr>
          <w:rFonts w:ascii="Arial" w:eastAsiaTheme="minorEastAsia" w:hAnsi="Arial" w:cs="Arial"/>
          <w:sz w:val="24"/>
          <w:szCs w:val="24"/>
        </w:rPr>
        <w:t>cell</w:t>
      </w:r>
    </w:p>
    <w:p w:rsidR="00725033" w:rsidRPr="0071546E" w:rsidRDefault="00725033" w:rsidP="00CF13FE">
      <w:pPr>
        <w:pStyle w:val="Heading2"/>
        <w:ind w:left="1021" w:right="454"/>
        <w:rPr>
          <w:rStyle w:val="Heading2Char"/>
          <w:rFonts w:eastAsiaTheme="minorEastAsia"/>
          <w:b/>
        </w:rPr>
      </w:pPr>
      <w:bookmarkStart w:id="106" w:name="_Toc14711476"/>
      <w:r w:rsidRPr="0071546E">
        <w:rPr>
          <w:rStyle w:val="Heading2Char"/>
          <w:rFonts w:eastAsiaTheme="minorEastAsia"/>
          <w:b/>
        </w:rPr>
        <w:t>3.6.2 Permeability of 5, 10, 15, 20- tetrakis (pentafluorophenyl)-21H, 23H-porphine Iron (III) chloride</w:t>
      </w:r>
      <w:r w:rsidR="00325823" w:rsidRPr="0071546E">
        <w:rPr>
          <w:rStyle w:val="Heading2Char"/>
          <w:rFonts w:eastAsiaTheme="minorEastAsia"/>
          <w:b/>
        </w:rPr>
        <w:t xml:space="preserve"> to </w:t>
      </w:r>
      <w:r w:rsidR="00325823" w:rsidRPr="0071546E">
        <w:rPr>
          <w:rStyle w:val="Heading2Char"/>
          <w:rFonts w:eastAsiaTheme="minorEastAsia"/>
          <w:b/>
          <w:i/>
        </w:rPr>
        <w:t>Acanthamoeba</w:t>
      </w:r>
      <w:r w:rsidR="00325823" w:rsidRPr="0071546E">
        <w:rPr>
          <w:rStyle w:val="Heading2Char"/>
          <w:rFonts w:eastAsiaTheme="minorEastAsia"/>
          <w:b/>
        </w:rPr>
        <w:t xml:space="preserve"> cells</w:t>
      </w:r>
      <w:bookmarkEnd w:id="106"/>
      <w:r w:rsidR="00325823" w:rsidRPr="0071546E">
        <w:rPr>
          <w:rStyle w:val="Heading2Char"/>
          <w:rFonts w:eastAsiaTheme="minorEastAsia"/>
          <w:b/>
        </w:rPr>
        <w:t xml:space="preserve"> </w:t>
      </w:r>
    </w:p>
    <w:p w:rsidR="00725033" w:rsidRPr="0071546E" w:rsidRDefault="00725033" w:rsidP="00CF13FE">
      <w:pPr>
        <w:spacing w:before="100" w:after="200" w:line="240" w:lineRule="atLeast"/>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26ED31FE" wp14:editId="74A3A234">
            <wp:extent cx="4593590" cy="3536414"/>
            <wp:effectExtent l="0" t="0" r="0" b="69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325823" w:rsidRPr="0071546E" w:rsidRDefault="00A8770D" w:rsidP="00127A94">
      <w:pPr>
        <w:spacing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Fig 3.2</w:t>
      </w:r>
      <w:r w:rsidR="009F6F9E" w:rsidRPr="0071546E">
        <w:rPr>
          <w:rFonts w:ascii="Arial" w:eastAsiaTheme="minorEastAsia" w:hAnsi="Arial" w:cs="Arial"/>
          <w:sz w:val="20"/>
          <w:szCs w:val="20"/>
        </w:rPr>
        <w:t>7</w:t>
      </w:r>
      <w:r w:rsidRPr="0071546E">
        <w:rPr>
          <w:rFonts w:ascii="Arial" w:eastAsiaTheme="minorEastAsia" w:hAnsi="Arial" w:cs="Arial"/>
          <w:sz w:val="20"/>
          <w:szCs w:val="20"/>
        </w:rPr>
        <w:t xml:space="preserve"> </w:t>
      </w:r>
      <w:r w:rsidR="00325823" w:rsidRPr="0071546E">
        <w:rPr>
          <w:rFonts w:ascii="Arial" w:eastAsiaTheme="minorEastAsia" w:hAnsi="Arial" w:cs="Arial"/>
          <w:sz w:val="20"/>
          <w:szCs w:val="20"/>
        </w:rPr>
        <w:t xml:space="preserve">Percentage amount of 5, 10, 15, 20- tetrakis (pentafluorophenyl)-21H, 23H-porphine Iron (III) chloride recovered </w:t>
      </w:r>
      <w:r w:rsidR="00127A94" w:rsidRPr="0071546E">
        <w:rPr>
          <w:rFonts w:ascii="Arial" w:hAnsi="Arial" w:cs="Arial"/>
          <w:sz w:val="20"/>
          <w:szCs w:val="20"/>
        </w:rPr>
        <w:t xml:space="preserve">(50-µM), recovered after 10 minutes incubation with </w:t>
      </w:r>
      <w:r w:rsidR="009F6F9E" w:rsidRPr="0071546E">
        <w:rPr>
          <w:rFonts w:ascii="Arial" w:hAnsi="Arial" w:cs="Arial"/>
          <w:i/>
          <w:iCs/>
          <w:sz w:val="20"/>
          <w:szCs w:val="20"/>
        </w:rPr>
        <w:t>Acanthamoeba</w:t>
      </w:r>
      <w:r w:rsidR="00127A94" w:rsidRPr="0071546E">
        <w:rPr>
          <w:rFonts w:ascii="Arial" w:hAnsi="Arial" w:cs="Arial"/>
          <w:sz w:val="20"/>
          <w:szCs w:val="20"/>
        </w:rPr>
        <w:t xml:space="preserve"> cysts and trophozoites, after five washing steps</w:t>
      </w:r>
      <w:r w:rsidR="00127A94" w:rsidRPr="0071546E">
        <w:rPr>
          <w:rFonts w:ascii="Arial" w:eastAsiaTheme="minorEastAsia" w:hAnsi="Arial" w:cs="Arial"/>
          <w:sz w:val="20"/>
          <w:szCs w:val="20"/>
        </w:rPr>
        <w:t xml:space="preserve">. The grey and blue bars represent the percentage amount of porphyrin recovered from trophozoites and cysts </w:t>
      </w:r>
      <w:r w:rsidR="009C494E" w:rsidRPr="0071546E">
        <w:rPr>
          <w:rFonts w:ascii="Arial" w:eastAsiaTheme="minorEastAsia" w:hAnsi="Arial" w:cs="Arial"/>
          <w:sz w:val="20"/>
          <w:szCs w:val="20"/>
        </w:rPr>
        <w:t>respectively. E</w:t>
      </w:r>
      <w:r w:rsidR="00127A94" w:rsidRPr="0071546E">
        <w:rPr>
          <w:rFonts w:ascii="Arial" w:eastAsiaTheme="minorEastAsia" w:hAnsi="Arial" w:cs="Arial"/>
          <w:sz w:val="20"/>
          <w:szCs w:val="20"/>
        </w:rPr>
        <w:t>rror bars = mean SD n =4 replicate readings.</w:t>
      </w:r>
    </w:p>
    <w:p w:rsidR="00325823" w:rsidRPr="0071546E" w:rsidRDefault="00B75BF4" w:rsidP="00CF13FE">
      <w:pPr>
        <w:spacing w:after="200" w:line="480" w:lineRule="auto"/>
        <w:ind w:left="1021" w:right="454"/>
        <w:jc w:val="both"/>
        <w:rPr>
          <w:rFonts w:ascii="Arial" w:eastAsiaTheme="minorEastAsia" w:hAnsi="Arial" w:cs="Arial"/>
          <w:sz w:val="24"/>
          <w:szCs w:val="20"/>
        </w:rPr>
      </w:pPr>
      <w:r w:rsidRPr="0071546E">
        <w:rPr>
          <w:rFonts w:ascii="Arial" w:eastAsiaTheme="minorEastAsia" w:hAnsi="Arial" w:cs="Arial"/>
          <w:sz w:val="24"/>
          <w:szCs w:val="20"/>
        </w:rPr>
        <w:t>Figure 3.2</w:t>
      </w:r>
      <w:r w:rsidR="009F6F9E" w:rsidRPr="0071546E">
        <w:rPr>
          <w:rFonts w:ascii="Arial" w:eastAsiaTheme="minorEastAsia" w:hAnsi="Arial" w:cs="Arial"/>
          <w:sz w:val="24"/>
          <w:szCs w:val="20"/>
        </w:rPr>
        <w:t>7</w:t>
      </w:r>
      <w:r w:rsidRPr="0071546E">
        <w:rPr>
          <w:rFonts w:ascii="Arial" w:eastAsiaTheme="minorEastAsia" w:hAnsi="Arial" w:cs="Arial"/>
          <w:sz w:val="24"/>
          <w:szCs w:val="20"/>
        </w:rPr>
        <w:t xml:space="preserve"> </w:t>
      </w:r>
      <w:r w:rsidR="00325823" w:rsidRPr="0071546E">
        <w:rPr>
          <w:rFonts w:ascii="Arial" w:eastAsiaTheme="minorEastAsia" w:hAnsi="Arial" w:cs="Arial"/>
          <w:sz w:val="24"/>
          <w:szCs w:val="20"/>
        </w:rPr>
        <w:t>showed about 18</w:t>
      </w:r>
      <w:r w:rsidR="00234554" w:rsidRPr="0071546E">
        <w:rPr>
          <w:rFonts w:ascii="Arial" w:eastAsiaTheme="minorEastAsia" w:hAnsi="Arial" w:cs="Arial"/>
          <w:sz w:val="24"/>
          <w:szCs w:val="20"/>
        </w:rPr>
        <w:t xml:space="preserve"> </w:t>
      </w:r>
      <w:r w:rsidR="00325823" w:rsidRPr="0071546E">
        <w:rPr>
          <w:rFonts w:ascii="Arial" w:eastAsiaTheme="minorEastAsia" w:hAnsi="Arial" w:cs="Arial"/>
          <w:sz w:val="24"/>
          <w:szCs w:val="20"/>
        </w:rPr>
        <w:t>% binding in trophozoites and 12</w:t>
      </w:r>
      <w:r w:rsidR="00234554" w:rsidRPr="0071546E">
        <w:rPr>
          <w:rFonts w:ascii="Arial" w:eastAsiaTheme="minorEastAsia" w:hAnsi="Arial" w:cs="Arial"/>
          <w:sz w:val="24"/>
          <w:szCs w:val="20"/>
        </w:rPr>
        <w:t xml:space="preserve"> </w:t>
      </w:r>
      <w:r w:rsidR="00325823" w:rsidRPr="0071546E">
        <w:rPr>
          <w:rFonts w:ascii="Arial" w:eastAsiaTheme="minorEastAsia" w:hAnsi="Arial" w:cs="Arial"/>
          <w:sz w:val="24"/>
          <w:szCs w:val="20"/>
        </w:rPr>
        <w:t xml:space="preserve">% in cysts binging continued to reduce after each wash after 5 washes there was less than 1 % </w:t>
      </w:r>
      <w:r w:rsidR="00325823" w:rsidRPr="0071546E">
        <w:rPr>
          <w:rFonts w:ascii="Arial" w:hAnsi="Arial" w:cs="Arial"/>
          <w:sz w:val="24"/>
          <w:szCs w:val="20"/>
        </w:rPr>
        <w:t>5, 10, 15, 20- tetrakis (pentafluorophenyl)-21H, 23H-porphine Iron (III) chloride</w:t>
      </w:r>
      <w:r w:rsidR="00325823" w:rsidRPr="0071546E">
        <w:rPr>
          <w:rFonts w:ascii="Arial" w:eastAsiaTheme="minorEastAsia" w:hAnsi="Arial" w:cs="Arial"/>
          <w:sz w:val="24"/>
          <w:szCs w:val="20"/>
        </w:rPr>
        <w:t xml:space="preserve"> in the cysts.</w:t>
      </w:r>
    </w:p>
    <w:p w:rsidR="00325823" w:rsidRPr="0071546E" w:rsidRDefault="00325823" w:rsidP="00CF13FE">
      <w:pPr>
        <w:spacing w:after="200" w:line="240" w:lineRule="auto"/>
        <w:ind w:left="1021" w:right="454"/>
        <w:rPr>
          <w:rFonts w:ascii="Arial" w:eastAsiaTheme="minorEastAsia" w:hAnsi="Arial" w:cs="Arial"/>
          <w:sz w:val="24"/>
          <w:szCs w:val="24"/>
        </w:rPr>
      </w:pPr>
    </w:p>
    <w:p w:rsidR="00725033" w:rsidRPr="0071546E" w:rsidRDefault="00325823" w:rsidP="00CF13FE">
      <w:pPr>
        <w:pStyle w:val="Heading2"/>
        <w:ind w:left="1021" w:right="454"/>
        <w:rPr>
          <w:rFonts w:eastAsiaTheme="minorEastAsia"/>
        </w:rPr>
      </w:pPr>
      <w:bookmarkStart w:id="107" w:name="_Toc14711477"/>
      <w:r w:rsidRPr="0071546E">
        <w:rPr>
          <w:rFonts w:eastAsiaTheme="minorEastAsia"/>
        </w:rPr>
        <w:t>3.6.3 Binding strength</w:t>
      </w:r>
      <w:r w:rsidR="00725033" w:rsidRPr="0071546E">
        <w:rPr>
          <w:rFonts w:eastAsiaTheme="minorEastAsia"/>
        </w:rPr>
        <w:t xml:space="preserve"> of 5, 10, 15, 20-Tetrakis (4-methyl</w:t>
      </w:r>
      <w:r w:rsidR="00C227F9" w:rsidRPr="0071546E">
        <w:rPr>
          <w:rFonts w:eastAsiaTheme="minorEastAsia"/>
        </w:rPr>
        <w:t xml:space="preserve"> </w:t>
      </w:r>
      <w:r w:rsidR="00725033" w:rsidRPr="0071546E">
        <w:rPr>
          <w:rFonts w:eastAsiaTheme="minorEastAsia"/>
        </w:rPr>
        <w:t>phenyl)-21H23H porphine</w:t>
      </w:r>
      <w:r w:rsidRPr="0071546E">
        <w:rPr>
          <w:rFonts w:eastAsiaTheme="minorEastAsia"/>
        </w:rPr>
        <w:t xml:space="preserve"> to </w:t>
      </w:r>
      <w:r w:rsidRPr="0071546E">
        <w:rPr>
          <w:rFonts w:eastAsiaTheme="minorEastAsia"/>
          <w:i/>
        </w:rPr>
        <w:t>Acanthamoeba cells</w:t>
      </w:r>
      <w:bookmarkEnd w:id="107"/>
    </w:p>
    <w:p w:rsidR="00725033" w:rsidRPr="0071546E" w:rsidRDefault="00725033" w:rsidP="00CF13FE">
      <w:pPr>
        <w:spacing w:before="100" w:after="200" w:line="480" w:lineRule="auto"/>
        <w:ind w:left="1021" w:right="454" w:firstLine="57"/>
        <w:contextualSpacing/>
        <w:jc w:val="both"/>
        <w:rPr>
          <w:rFonts w:ascii="Arial" w:eastAsiaTheme="minorEastAsia" w:hAnsi="Arial" w:cs="Arial"/>
          <w:sz w:val="24"/>
          <w:szCs w:val="24"/>
        </w:rPr>
      </w:pPr>
    </w:p>
    <w:p w:rsidR="00725033" w:rsidRPr="0071546E" w:rsidRDefault="00725033" w:rsidP="00CF13FE">
      <w:pPr>
        <w:spacing w:before="100" w:after="200" w:line="240" w:lineRule="atLeast"/>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4492A94A" wp14:editId="49755439">
            <wp:extent cx="4626610" cy="3745735"/>
            <wp:effectExtent l="0" t="0" r="2540" b="7620"/>
            <wp:docPr id="1185" name="Chart 1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725033" w:rsidRPr="0071546E" w:rsidRDefault="00B75BF4" w:rsidP="009C494E">
      <w:pPr>
        <w:spacing w:after="200" w:line="240" w:lineRule="auto"/>
        <w:ind w:left="1021" w:right="454"/>
        <w:jc w:val="both"/>
        <w:rPr>
          <w:rFonts w:ascii="Arial" w:eastAsiaTheme="minorEastAsia" w:hAnsi="Arial" w:cs="Arial"/>
          <w:sz w:val="24"/>
          <w:szCs w:val="24"/>
        </w:rPr>
      </w:pPr>
      <w:r w:rsidRPr="0071546E">
        <w:rPr>
          <w:rFonts w:ascii="Arial" w:eastAsiaTheme="minorEastAsia" w:hAnsi="Arial" w:cs="Arial"/>
          <w:sz w:val="20"/>
          <w:szCs w:val="20"/>
        </w:rPr>
        <w:t>Fig 3.2</w:t>
      </w:r>
      <w:r w:rsidR="009F6F9E" w:rsidRPr="0071546E">
        <w:rPr>
          <w:rFonts w:ascii="Arial" w:eastAsiaTheme="minorEastAsia" w:hAnsi="Arial" w:cs="Arial"/>
          <w:sz w:val="20"/>
          <w:szCs w:val="20"/>
        </w:rPr>
        <w:t>8</w:t>
      </w:r>
      <w:r w:rsidR="00325823" w:rsidRPr="0071546E">
        <w:rPr>
          <w:rFonts w:ascii="Arial" w:eastAsiaTheme="minorEastAsia" w:hAnsi="Arial" w:cs="Arial"/>
          <w:sz w:val="20"/>
          <w:szCs w:val="20"/>
        </w:rPr>
        <w:t xml:space="preserve"> The percentage amount of </w:t>
      </w:r>
      <w:r w:rsidR="00325823" w:rsidRPr="0071546E">
        <w:rPr>
          <w:rFonts w:ascii="Arial" w:hAnsi="Arial" w:cs="Arial"/>
          <w:b/>
          <w:sz w:val="20"/>
          <w:szCs w:val="20"/>
        </w:rPr>
        <w:t>5, 10, 15, 20-Tetrakis (4-methyl phenyl)-21H23H porphine</w:t>
      </w:r>
      <w:r w:rsidR="00325823" w:rsidRPr="0071546E">
        <w:rPr>
          <w:rFonts w:ascii="Arial" w:eastAsiaTheme="minorEastAsia" w:hAnsi="Arial" w:cs="Arial"/>
          <w:sz w:val="20"/>
          <w:szCs w:val="20"/>
        </w:rPr>
        <w:t xml:space="preserve"> </w:t>
      </w:r>
      <w:r w:rsidR="009C494E" w:rsidRPr="0071546E">
        <w:rPr>
          <w:rFonts w:ascii="Arial" w:hAnsi="Arial" w:cs="Arial"/>
          <w:sz w:val="20"/>
          <w:szCs w:val="20"/>
        </w:rPr>
        <w:t xml:space="preserve">(50-µM), recovered after 10 minutes incubation with </w:t>
      </w:r>
      <w:r w:rsidR="009F6F9E" w:rsidRPr="0071546E">
        <w:rPr>
          <w:rFonts w:ascii="Arial" w:hAnsi="Arial" w:cs="Arial"/>
          <w:i/>
          <w:iCs/>
          <w:sz w:val="20"/>
          <w:szCs w:val="20"/>
        </w:rPr>
        <w:t>Acanthamoeba</w:t>
      </w:r>
      <w:r w:rsidR="009C494E" w:rsidRPr="0071546E">
        <w:rPr>
          <w:rFonts w:ascii="Arial" w:hAnsi="Arial" w:cs="Arial"/>
          <w:sz w:val="20"/>
          <w:szCs w:val="20"/>
        </w:rPr>
        <w:t xml:space="preserve"> cysts and trophozoites, after five washing steps</w:t>
      </w:r>
      <w:r w:rsidR="009C494E" w:rsidRPr="0071546E">
        <w:rPr>
          <w:rFonts w:ascii="Arial" w:eastAsiaTheme="minorEastAsia" w:hAnsi="Arial" w:cs="Arial"/>
          <w:sz w:val="20"/>
          <w:szCs w:val="20"/>
        </w:rPr>
        <w:t>. The grey and blue bars represent the percentage amount of porphyrin recovered from trophozoites and cysts respectively. Error bars = mean SD n =4 replicate readings.</w:t>
      </w:r>
    </w:p>
    <w:p w:rsidR="00725033" w:rsidRPr="0071546E" w:rsidRDefault="00B75BF4"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As seen in figure 3.2</w:t>
      </w:r>
      <w:r w:rsidR="009F6F9E" w:rsidRPr="0071546E">
        <w:rPr>
          <w:rFonts w:ascii="Arial" w:eastAsiaTheme="minorEastAsia" w:hAnsi="Arial" w:cs="Arial"/>
          <w:sz w:val="24"/>
          <w:szCs w:val="24"/>
        </w:rPr>
        <w:t>8</w:t>
      </w:r>
      <w:r w:rsidR="00725033" w:rsidRPr="0071546E">
        <w:rPr>
          <w:rFonts w:ascii="Arial" w:eastAsiaTheme="minorEastAsia" w:hAnsi="Arial" w:cs="Arial"/>
          <w:sz w:val="24"/>
          <w:szCs w:val="24"/>
        </w:rPr>
        <w:t xml:space="preserve"> the percentage uptake of 5, 10, 15, 20-Tetrakis (4-methyl</w:t>
      </w:r>
      <w:r w:rsidR="00C227F9" w:rsidRPr="0071546E">
        <w:rPr>
          <w:rFonts w:ascii="Arial" w:eastAsiaTheme="minorEastAsia" w:hAnsi="Arial" w:cs="Arial"/>
          <w:sz w:val="24"/>
          <w:szCs w:val="24"/>
        </w:rPr>
        <w:t xml:space="preserve"> </w:t>
      </w:r>
      <w:r w:rsidR="00725033" w:rsidRPr="0071546E">
        <w:rPr>
          <w:rFonts w:ascii="Arial" w:eastAsiaTheme="minorEastAsia" w:hAnsi="Arial" w:cs="Arial"/>
          <w:sz w:val="24"/>
          <w:szCs w:val="24"/>
        </w:rPr>
        <w:t>phenyl)-21H23H porphine was significantly low at 6 and 5 % for trophozoites and cysts after 10 minutes incubation.</w:t>
      </w:r>
      <w:r w:rsidR="00325823" w:rsidRPr="0071546E">
        <w:rPr>
          <w:rFonts w:ascii="Arial" w:eastAsiaTheme="minorEastAsia" w:hAnsi="Arial" w:cs="Arial"/>
          <w:sz w:val="24"/>
          <w:szCs w:val="24"/>
        </w:rPr>
        <w:t xml:space="preserve">  Furthermore</w:t>
      </w:r>
      <w:r w:rsidR="0044702D" w:rsidRPr="0071546E">
        <w:rPr>
          <w:rFonts w:ascii="Arial" w:eastAsiaTheme="minorEastAsia" w:hAnsi="Arial" w:cs="Arial"/>
          <w:sz w:val="24"/>
          <w:szCs w:val="24"/>
        </w:rPr>
        <w:t>,</w:t>
      </w:r>
      <w:r w:rsidR="00325823" w:rsidRPr="0071546E">
        <w:rPr>
          <w:rFonts w:ascii="Arial" w:eastAsiaTheme="minorEastAsia" w:hAnsi="Arial" w:cs="Arial"/>
          <w:sz w:val="24"/>
          <w:szCs w:val="24"/>
        </w:rPr>
        <w:t xml:space="preserve"> there was less than 1</w:t>
      </w:r>
      <w:r w:rsidR="00234554" w:rsidRPr="0071546E">
        <w:rPr>
          <w:rFonts w:ascii="Arial" w:eastAsiaTheme="minorEastAsia" w:hAnsi="Arial" w:cs="Arial"/>
          <w:sz w:val="24"/>
          <w:szCs w:val="24"/>
        </w:rPr>
        <w:t xml:space="preserve"> </w:t>
      </w:r>
      <w:r w:rsidR="00325823" w:rsidRPr="0071546E">
        <w:rPr>
          <w:rFonts w:ascii="Arial" w:eastAsiaTheme="minorEastAsia" w:hAnsi="Arial" w:cs="Arial"/>
          <w:sz w:val="24"/>
          <w:szCs w:val="24"/>
        </w:rPr>
        <w:t>% porphyrin seen after three washing steps. After the fifth wash</w:t>
      </w:r>
      <w:r w:rsidR="0044702D" w:rsidRPr="0071546E">
        <w:rPr>
          <w:rFonts w:ascii="Arial" w:eastAsiaTheme="minorEastAsia" w:hAnsi="Arial" w:cs="Arial"/>
          <w:sz w:val="24"/>
          <w:szCs w:val="24"/>
        </w:rPr>
        <w:t>,</w:t>
      </w:r>
      <w:r w:rsidR="00325823" w:rsidRPr="0071546E">
        <w:rPr>
          <w:rFonts w:ascii="Arial" w:eastAsiaTheme="minorEastAsia" w:hAnsi="Arial" w:cs="Arial"/>
          <w:sz w:val="24"/>
          <w:szCs w:val="24"/>
        </w:rPr>
        <w:t xml:space="preserve"> the percentage of porphyrin left was effectively zero.</w:t>
      </w:r>
      <w:r w:rsidR="00725033" w:rsidRPr="0071546E">
        <w:rPr>
          <w:rFonts w:ascii="Arial" w:eastAsiaTheme="minorEastAsia" w:hAnsi="Arial" w:cs="Arial"/>
          <w:sz w:val="24"/>
          <w:szCs w:val="24"/>
        </w:rPr>
        <w:t xml:space="preserve"> </w:t>
      </w:r>
    </w:p>
    <w:p w:rsidR="00725033" w:rsidRPr="0071546E" w:rsidRDefault="00725033" w:rsidP="00CF13FE">
      <w:pPr>
        <w:pStyle w:val="Heading2"/>
        <w:ind w:left="1021" w:right="454"/>
        <w:rPr>
          <w:rStyle w:val="Heading2Char"/>
          <w:rFonts w:eastAsiaTheme="minorEastAsia"/>
          <w:b/>
        </w:rPr>
      </w:pPr>
      <w:bookmarkStart w:id="108" w:name="_Toc14711478"/>
      <w:r w:rsidRPr="0071546E">
        <w:rPr>
          <w:rStyle w:val="Heading2Char"/>
          <w:rFonts w:eastAsiaTheme="minorEastAsia"/>
          <w:b/>
        </w:rPr>
        <w:t xml:space="preserve">3.6.4 </w:t>
      </w:r>
      <w:r w:rsidR="000959EB" w:rsidRPr="0071546E">
        <w:rPr>
          <w:rStyle w:val="Heading2Char"/>
          <w:rFonts w:eastAsiaTheme="minorEastAsia"/>
          <w:b/>
        </w:rPr>
        <w:t>Binding of</w:t>
      </w:r>
      <w:r w:rsidRPr="0071546E">
        <w:rPr>
          <w:rStyle w:val="Heading2Char"/>
          <w:rFonts w:eastAsiaTheme="minorEastAsia"/>
          <w:b/>
        </w:rPr>
        <w:t xml:space="preserve"> 4, 4′, 4′′, 4′′′-(porphine-5, 10, 15, 20-tetrayl) tetrakis (benzene</w:t>
      </w:r>
      <w:r w:rsidRPr="0071546E">
        <w:rPr>
          <w:rFonts w:eastAsiaTheme="minorEastAsia"/>
        </w:rPr>
        <w:t xml:space="preserve"> </w:t>
      </w:r>
      <w:r w:rsidRPr="0071546E">
        <w:rPr>
          <w:rStyle w:val="Heading2Char"/>
          <w:rFonts w:eastAsiaTheme="minorEastAsia"/>
          <w:b/>
        </w:rPr>
        <w:t>sulfonic acid) tetrasodium salt hydrate [TPPS4]</w:t>
      </w:r>
      <w:r w:rsidR="00325823" w:rsidRPr="0071546E">
        <w:rPr>
          <w:rStyle w:val="Heading2Char"/>
          <w:rFonts w:eastAsiaTheme="minorEastAsia"/>
          <w:b/>
        </w:rPr>
        <w:t xml:space="preserve">, to </w:t>
      </w:r>
      <w:r w:rsidR="00325823" w:rsidRPr="0071546E">
        <w:rPr>
          <w:rStyle w:val="Heading2Char"/>
          <w:rFonts w:eastAsiaTheme="minorEastAsia"/>
          <w:b/>
          <w:i/>
        </w:rPr>
        <w:t>Acanthamoeba</w:t>
      </w:r>
      <w:r w:rsidR="00325823" w:rsidRPr="0071546E">
        <w:rPr>
          <w:rStyle w:val="Heading2Char"/>
          <w:rFonts w:eastAsiaTheme="minorEastAsia"/>
          <w:b/>
        </w:rPr>
        <w:t xml:space="preserve"> cells</w:t>
      </w:r>
      <w:bookmarkEnd w:id="108"/>
    </w:p>
    <w:p w:rsidR="00725033" w:rsidRPr="0071546E" w:rsidRDefault="00725033" w:rsidP="00CF13FE">
      <w:pPr>
        <w:spacing w:before="100" w:after="200" w:line="240" w:lineRule="atLeast"/>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352CEE77" wp14:editId="17C52A51">
            <wp:extent cx="4659630" cy="3448279"/>
            <wp:effectExtent l="0" t="0" r="7620" b="0"/>
            <wp:docPr id="1186" name="Chart 1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B75BF4" w:rsidRPr="0071546E" w:rsidRDefault="00B75BF4" w:rsidP="00CF13F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Fig 3.2</w:t>
      </w:r>
      <w:r w:rsidR="009F6F9E" w:rsidRPr="0071546E">
        <w:rPr>
          <w:rFonts w:ascii="Arial" w:eastAsiaTheme="minorEastAsia" w:hAnsi="Arial" w:cs="Arial"/>
          <w:sz w:val="20"/>
          <w:szCs w:val="20"/>
        </w:rPr>
        <w:t>9</w:t>
      </w:r>
      <w:r w:rsidRPr="0071546E">
        <w:rPr>
          <w:rFonts w:ascii="Arial" w:eastAsiaTheme="minorEastAsia" w:hAnsi="Arial" w:cs="Arial"/>
          <w:sz w:val="20"/>
          <w:szCs w:val="20"/>
        </w:rPr>
        <w:t xml:space="preserve"> </w:t>
      </w:r>
      <w:r w:rsidR="00325823" w:rsidRPr="0071546E">
        <w:rPr>
          <w:rFonts w:ascii="Arial" w:eastAsiaTheme="minorEastAsia" w:hAnsi="Arial" w:cs="Arial"/>
          <w:sz w:val="20"/>
          <w:szCs w:val="20"/>
        </w:rPr>
        <w:t xml:space="preserve">The percentage amount of 4, 4′, 4′′, 4′′′-(porphine-5, 10, 15, 20-tetrayl) tetrakis (benzene sulfonic acid) tetrasodium salt hydrate </w:t>
      </w:r>
      <w:r w:rsidR="009C494E" w:rsidRPr="0071546E">
        <w:rPr>
          <w:rFonts w:ascii="Arial" w:hAnsi="Arial" w:cs="Arial"/>
          <w:sz w:val="20"/>
          <w:szCs w:val="20"/>
        </w:rPr>
        <w:t xml:space="preserve">(50-µM), recovered after 10 minutes incubation with </w:t>
      </w:r>
      <w:r w:rsidR="009F6F9E" w:rsidRPr="0071546E">
        <w:rPr>
          <w:rFonts w:ascii="Arial" w:hAnsi="Arial" w:cs="Arial"/>
          <w:sz w:val="20"/>
          <w:szCs w:val="20"/>
        </w:rPr>
        <w:t>Acanthamoeba</w:t>
      </w:r>
      <w:r w:rsidR="009C494E" w:rsidRPr="0071546E">
        <w:rPr>
          <w:rFonts w:ascii="Arial" w:hAnsi="Arial" w:cs="Arial"/>
          <w:sz w:val="20"/>
          <w:szCs w:val="20"/>
        </w:rPr>
        <w:t xml:space="preserve"> cysts and trophozoites, after five washing steps</w:t>
      </w:r>
      <w:r w:rsidR="009C494E" w:rsidRPr="0071546E">
        <w:rPr>
          <w:rFonts w:ascii="Arial" w:eastAsiaTheme="minorEastAsia" w:hAnsi="Arial" w:cs="Arial"/>
          <w:sz w:val="20"/>
          <w:szCs w:val="20"/>
        </w:rPr>
        <w:t>. The grey and blue bars represent the percentage amount of porphyrin recovered from trophozoites and cysts respectively. Error bars = mean SD n =4 replicate readings.</w:t>
      </w:r>
    </w:p>
    <w:p w:rsidR="00B75BF4" w:rsidRPr="0071546E" w:rsidRDefault="00B75BF4" w:rsidP="00CF13FE">
      <w:pPr>
        <w:spacing w:before="100" w:after="200" w:line="480" w:lineRule="auto"/>
        <w:ind w:left="1021" w:right="454"/>
        <w:jc w:val="both"/>
        <w:rPr>
          <w:rFonts w:ascii="Arial" w:eastAsiaTheme="minorEastAsia" w:hAnsi="Arial" w:cs="Arial"/>
          <w:sz w:val="24"/>
          <w:szCs w:val="20"/>
        </w:rPr>
      </w:pPr>
      <w:r w:rsidRPr="0071546E">
        <w:rPr>
          <w:rFonts w:ascii="Arial" w:eastAsiaTheme="minorEastAsia" w:hAnsi="Arial" w:cs="Arial"/>
          <w:sz w:val="24"/>
          <w:szCs w:val="20"/>
        </w:rPr>
        <w:t>Figure 3.2</w:t>
      </w:r>
      <w:r w:rsidR="009F6F9E" w:rsidRPr="0071546E">
        <w:rPr>
          <w:rFonts w:ascii="Arial" w:eastAsiaTheme="minorEastAsia" w:hAnsi="Arial" w:cs="Arial"/>
          <w:sz w:val="24"/>
          <w:szCs w:val="20"/>
        </w:rPr>
        <w:t>9</w:t>
      </w:r>
      <w:r w:rsidR="00D5653B" w:rsidRPr="0071546E">
        <w:rPr>
          <w:rFonts w:ascii="Arial" w:eastAsiaTheme="minorEastAsia" w:hAnsi="Arial" w:cs="Arial"/>
          <w:sz w:val="24"/>
          <w:szCs w:val="20"/>
        </w:rPr>
        <w:t xml:space="preserve"> showed the least affinity to </w:t>
      </w:r>
      <w:r w:rsidR="00D5653B" w:rsidRPr="0071546E">
        <w:rPr>
          <w:rFonts w:ascii="Arial" w:eastAsiaTheme="minorEastAsia" w:hAnsi="Arial" w:cs="Arial"/>
          <w:i/>
          <w:sz w:val="24"/>
          <w:szCs w:val="20"/>
        </w:rPr>
        <w:t>A</w:t>
      </w:r>
      <w:r w:rsidRPr="0071546E">
        <w:rPr>
          <w:rFonts w:ascii="Arial" w:eastAsiaTheme="minorEastAsia" w:hAnsi="Arial" w:cs="Arial"/>
          <w:i/>
          <w:sz w:val="24"/>
          <w:szCs w:val="20"/>
        </w:rPr>
        <w:t>canthamoeba</w:t>
      </w:r>
      <w:r w:rsidRPr="0071546E">
        <w:rPr>
          <w:rFonts w:ascii="Arial" w:eastAsiaTheme="minorEastAsia" w:hAnsi="Arial" w:cs="Arial"/>
          <w:sz w:val="24"/>
          <w:szCs w:val="20"/>
        </w:rPr>
        <w:t xml:space="preserve"> cells with maximum binding at 3</w:t>
      </w:r>
      <w:r w:rsidR="00234554" w:rsidRPr="0071546E">
        <w:rPr>
          <w:rFonts w:ascii="Arial" w:eastAsiaTheme="minorEastAsia" w:hAnsi="Arial" w:cs="Arial"/>
          <w:sz w:val="24"/>
          <w:szCs w:val="20"/>
        </w:rPr>
        <w:t xml:space="preserve"> </w:t>
      </w:r>
      <w:r w:rsidRPr="0071546E">
        <w:rPr>
          <w:rFonts w:ascii="Arial" w:eastAsiaTheme="minorEastAsia" w:hAnsi="Arial" w:cs="Arial"/>
          <w:sz w:val="24"/>
          <w:szCs w:val="20"/>
        </w:rPr>
        <w:t>% after the first wash and less than 1 % after x 5 wash.</w:t>
      </w:r>
    </w:p>
    <w:p w:rsidR="00725033" w:rsidRPr="0071546E" w:rsidRDefault="00725033" w:rsidP="00CF13FE">
      <w:pPr>
        <w:spacing w:before="100" w:after="200" w:line="480" w:lineRule="auto"/>
        <w:ind w:left="1021" w:right="454"/>
        <w:jc w:val="both"/>
        <w:rPr>
          <w:rFonts w:ascii="Arial" w:eastAsiaTheme="minorEastAsia" w:hAnsi="Arial" w:cs="Arial"/>
          <w:b/>
          <w:sz w:val="24"/>
          <w:szCs w:val="24"/>
        </w:rPr>
      </w:pPr>
    </w:p>
    <w:p w:rsidR="009C494E" w:rsidRPr="0071546E" w:rsidRDefault="009C494E" w:rsidP="00CF13FE">
      <w:pPr>
        <w:spacing w:before="100" w:after="200" w:line="480" w:lineRule="auto"/>
        <w:ind w:left="1021" w:right="454"/>
        <w:jc w:val="both"/>
        <w:rPr>
          <w:rFonts w:ascii="Arial" w:eastAsiaTheme="minorEastAsia" w:hAnsi="Arial" w:cs="Arial"/>
          <w:b/>
          <w:sz w:val="24"/>
          <w:szCs w:val="24"/>
        </w:rPr>
      </w:pPr>
    </w:p>
    <w:p w:rsidR="009C494E" w:rsidRPr="0071546E" w:rsidRDefault="009C494E" w:rsidP="00CF13FE">
      <w:pPr>
        <w:spacing w:before="100" w:after="200" w:line="480" w:lineRule="auto"/>
        <w:ind w:left="1021" w:right="454"/>
        <w:jc w:val="both"/>
        <w:rPr>
          <w:rFonts w:ascii="Arial" w:eastAsiaTheme="minorEastAsia" w:hAnsi="Arial" w:cs="Arial"/>
          <w:b/>
          <w:sz w:val="24"/>
          <w:szCs w:val="24"/>
        </w:rPr>
      </w:pPr>
    </w:p>
    <w:p w:rsidR="001335B0" w:rsidRPr="0071546E" w:rsidRDefault="001335B0" w:rsidP="00CF13FE">
      <w:pPr>
        <w:spacing w:before="100" w:after="200" w:line="480" w:lineRule="auto"/>
        <w:ind w:left="1021" w:right="454"/>
        <w:jc w:val="both"/>
        <w:rPr>
          <w:rFonts w:ascii="Arial" w:eastAsiaTheme="minorEastAsia" w:hAnsi="Arial" w:cs="Arial"/>
          <w:b/>
          <w:sz w:val="24"/>
          <w:szCs w:val="24"/>
        </w:rPr>
      </w:pPr>
    </w:p>
    <w:p w:rsidR="00725033" w:rsidRPr="0071546E" w:rsidRDefault="00725033" w:rsidP="00CF13FE">
      <w:pPr>
        <w:ind w:left="1021" w:right="454"/>
        <w:rPr>
          <w:rFonts w:ascii="Arial" w:eastAsiaTheme="minorEastAsia" w:hAnsi="Arial" w:cs="Arial"/>
          <w:b/>
          <w:sz w:val="24"/>
        </w:rPr>
      </w:pPr>
      <w:r w:rsidRPr="0071546E">
        <w:rPr>
          <w:rFonts w:ascii="Arial" w:eastAsiaTheme="minorEastAsia" w:hAnsi="Arial" w:cs="Arial"/>
          <w:b/>
          <w:sz w:val="24"/>
        </w:rPr>
        <w:t>3.7 Porphyrin photodynamic therapy results.</w:t>
      </w:r>
    </w:p>
    <w:p w:rsidR="0044702D" w:rsidRPr="0071546E" w:rsidRDefault="0044702D" w:rsidP="00CF13FE">
      <w:pPr>
        <w:ind w:left="1021" w:right="454"/>
        <w:rPr>
          <w:rFonts w:ascii="Arial" w:eastAsiaTheme="minorEastAsia" w:hAnsi="Arial" w:cs="Arial"/>
          <w:b/>
          <w:sz w:val="28"/>
          <w:szCs w:val="24"/>
        </w:rPr>
      </w:pPr>
    </w:p>
    <w:p w:rsidR="00725033" w:rsidRPr="0071546E" w:rsidRDefault="00725033" w:rsidP="00CF13FE">
      <w:pPr>
        <w:spacing w:before="100" w:after="200" w:line="480" w:lineRule="auto"/>
        <w:ind w:left="1021" w:right="454"/>
        <w:jc w:val="both"/>
        <w:rPr>
          <w:rFonts w:ascii="Arial" w:eastAsiaTheme="minorEastAsia" w:hAnsi="Arial" w:cs="Arial"/>
          <w:b/>
          <w:sz w:val="24"/>
          <w:szCs w:val="24"/>
        </w:rPr>
      </w:pPr>
      <w:bookmarkStart w:id="109" w:name="_Toc14711479"/>
      <w:r w:rsidRPr="0071546E">
        <w:rPr>
          <w:rStyle w:val="Heading2Char"/>
          <w:rFonts w:eastAsiaTheme="minorEastAsia"/>
        </w:rPr>
        <w:t>3.7.1 PDT with 4</w:t>
      </w:r>
      <w:r w:rsidR="00670974" w:rsidRPr="0071546E">
        <w:rPr>
          <w:rStyle w:val="Heading2Char"/>
          <w:rFonts w:eastAsiaTheme="minorEastAsia"/>
        </w:rPr>
        <w:t>, 4</w:t>
      </w:r>
      <w:r w:rsidRPr="0071546E">
        <w:rPr>
          <w:rStyle w:val="Heading2Char"/>
          <w:rFonts w:eastAsiaTheme="minorEastAsia"/>
        </w:rPr>
        <w:t>′</w:t>
      </w:r>
      <w:r w:rsidR="00670974" w:rsidRPr="0071546E">
        <w:rPr>
          <w:rStyle w:val="Heading2Char"/>
          <w:rFonts w:eastAsiaTheme="minorEastAsia"/>
        </w:rPr>
        <w:t>, 4</w:t>
      </w:r>
      <w:r w:rsidRPr="0071546E">
        <w:rPr>
          <w:rStyle w:val="Heading2Char"/>
          <w:rFonts w:eastAsiaTheme="minorEastAsia"/>
        </w:rPr>
        <w:t>′′</w:t>
      </w:r>
      <w:r w:rsidR="00670974" w:rsidRPr="0071546E">
        <w:rPr>
          <w:rStyle w:val="Heading2Char"/>
          <w:rFonts w:eastAsiaTheme="minorEastAsia"/>
        </w:rPr>
        <w:t>, 4</w:t>
      </w:r>
      <w:r w:rsidRPr="0071546E">
        <w:rPr>
          <w:rStyle w:val="Heading2Char"/>
          <w:rFonts w:eastAsiaTheme="minorEastAsia"/>
        </w:rPr>
        <w:t>′′′-(porphine-5</w:t>
      </w:r>
      <w:r w:rsidR="00670974" w:rsidRPr="0071546E">
        <w:rPr>
          <w:rStyle w:val="Heading2Char"/>
          <w:rFonts w:eastAsiaTheme="minorEastAsia"/>
        </w:rPr>
        <w:t>, 10, 15, 20</w:t>
      </w:r>
      <w:r w:rsidRPr="0071546E">
        <w:rPr>
          <w:rStyle w:val="Heading2Char"/>
          <w:rFonts w:eastAsiaTheme="minorEastAsia"/>
        </w:rPr>
        <w:t>-tetrayl) tetrakis (benzene sulfonic</w:t>
      </w:r>
      <w:bookmarkEnd w:id="109"/>
      <w:r w:rsidRPr="0071546E">
        <w:rPr>
          <w:rFonts w:ascii="Arial" w:eastAsiaTheme="minorEastAsia" w:hAnsi="Arial" w:cs="Arial"/>
          <w:b/>
          <w:sz w:val="24"/>
          <w:szCs w:val="24"/>
        </w:rPr>
        <w:t xml:space="preserve"> acid) tetrasodium salt hydrate</w:t>
      </w:r>
    </w:p>
    <w:p w:rsidR="00725033" w:rsidRPr="0071546E" w:rsidRDefault="00725033" w:rsidP="00CF13FE">
      <w:pPr>
        <w:spacing w:before="100" w:after="200" w:line="240" w:lineRule="atLeast"/>
        <w:ind w:left="1021" w:right="454" w:firstLine="57"/>
        <w:jc w:val="both"/>
        <w:rPr>
          <w:rFonts w:ascii="Arial" w:eastAsiaTheme="minorEastAsia" w:hAnsi="Arial" w:cs="Arial"/>
          <w:b/>
          <w:sz w:val="24"/>
          <w:szCs w:val="24"/>
        </w:rPr>
      </w:pPr>
      <w:r w:rsidRPr="0071546E">
        <w:rPr>
          <w:rFonts w:ascii="Arial" w:eastAsiaTheme="minorEastAsia" w:hAnsi="Arial" w:cs="Arial"/>
          <w:noProof/>
          <w:sz w:val="24"/>
          <w:szCs w:val="24"/>
          <w:lang w:eastAsia="en-GB"/>
        </w:rPr>
        <w:drawing>
          <wp:inline distT="0" distB="0" distL="0" distR="0" wp14:anchorId="39BD426B" wp14:editId="2CA9CE40">
            <wp:extent cx="4337539" cy="3716020"/>
            <wp:effectExtent l="0" t="0" r="635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44702D" w:rsidRPr="0071546E" w:rsidRDefault="00B75BF4" w:rsidP="00CF13FE">
      <w:pPr>
        <w:spacing w:before="100" w:after="200" w:line="240" w:lineRule="atLeast"/>
        <w:ind w:left="1021" w:right="454"/>
        <w:jc w:val="both"/>
        <w:rPr>
          <w:rFonts w:ascii="Arial" w:eastAsiaTheme="minorEastAsia" w:hAnsi="Arial" w:cs="Arial"/>
          <w:sz w:val="20"/>
          <w:szCs w:val="24"/>
        </w:rPr>
      </w:pPr>
      <w:r w:rsidRPr="0071546E">
        <w:rPr>
          <w:rFonts w:ascii="Arial" w:eastAsiaTheme="minorEastAsia" w:hAnsi="Arial" w:cs="Arial"/>
          <w:sz w:val="20"/>
          <w:szCs w:val="24"/>
        </w:rPr>
        <w:t>Figure 3.</w:t>
      </w:r>
      <w:r w:rsidR="009F6F9E" w:rsidRPr="0071546E">
        <w:rPr>
          <w:rFonts w:ascii="Arial" w:eastAsiaTheme="minorEastAsia" w:hAnsi="Arial" w:cs="Arial"/>
          <w:sz w:val="20"/>
          <w:szCs w:val="24"/>
        </w:rPr>
        <w:t>30</w:t>
      </w:r>
      <w:r w:rsidR="0044702D" w:rsidRPr="0071546E">
        <w:rPr>
          <w:rFonts w:ascii="Arial" w:eastAsiaTheme="minorEastAsia" w:hAnsi="Arial" w:cs="Arial"/>
          <w:sz w:val="20"/>
          <w:szCs w:val="24"/>
        </w:rPr>
        <w:t xml:space="preserve"> Survival curves of </w:t>
      </w:r>
      <w:r w:rsidR="0044702D" w:rsidRPr="0071546E">
        <w:rPr>
          <w:rFonts w:ascii="Arial" w:eastAsiaTheme="minorEastAsia" w:hAnsi="Arial" w:cs="Arial"/>
          <w:i/>
          <w:sz w:val="20"/>
          <w:szCs w:val="24"/>
        </w:rPr>
        <w:t>Acanthamoeba</w:t>
      </w:r>
      <w:r w:rsidR="0044702D" w:rsidRPr="0071546E">
        <w:rPr>
          <w:rFonts w:ascii="Arial" w:eastAsiaTheme="minorEastAsia" w:hAnsi="Arial" w:cs="Arial"/>
          <w:sz w:val="20"/>
          <w:szCs w:val="24"/>
        </w:rPr>
        <w:t xml:space="preserve"> trophozoites (10</w:t>
      </w:r>
      <w:r w:rsidR="0044702D" w:rsidRPr="0071546E">
        <w:rPr>
          <w:rFonts w:ascii="Arial" w:eastAsiaTheme="minorEastAsia" w:hAnsi="Arial" w:cs="Arial"/>
          <w:sz w:val="20"/>
          <w:szCs w:val="24"/>
          <w:vertAlign w:val="superscript"/>
        </w:rPr>
        <w:t>6</w:t>
      </w:r>
      <w:r w:rsidR="0044702D" w:rsidRPr="0071546E">
        <w:rPr>
          <w:rFonts w:ascii="Arial" w:eastAsiaTheme="minorEastAsia" w:hAnsi="Arial" w:cs="Arial"/>
          <w:sz w:val="20"/>
          <w:szCs w:val="24"/>
        </w:rPr>
        <w:t xml:space="preserve">/ml) incubated with different concentrations of 4,4′,4′′,4′′′-(porphine-5,10,15,20-tetrayl) tetrakis (benzenesulfonic acid) tetrasodium salt hydrate for 10 minutes in the dark and irradiated with an LED light for 60 minutes </w:t>
      </w:r>
      <w:r w:rsidR="00D5653B" w:rsidRPr="0071546E">
        <w:rPr>
          <w:rFonts w:ascii="Arial" w:eastAsiaTheme="minorEastAsia" w:hAnsi="Arial" w:cs="Arial"/>
          <w:sz w:val="20"/>
          <w:szCs w:val="24"/>
        </w:rPr>
        <w:t>(Red</w:t>
      </w:r>
      <w:r w:rsidR="0044702D" w:rsidRPr="0071546E">
        <w:rPr>
          <w:rFonts w:ascii="Arial" w:eastAsiaTheme="minorEastAsia" w:hAnsi="Arial" w:cs="Arial"/>
          <w:sz w:val="20"/>
          <w:szCs w:val="24"/>
        </w:rPr>
        <w:t>line)</w:t>
      </w:r>
      <w:r w:rsidR="00BE11C1" w:rsidRPr="0071546E">
        <w:rPr>
          <w:rFonts w:ascii="Arial" w:eastAsiaTheme="minorEastAsia" w:hAnsi="Arial" w:cs="Arial"/>
          <w:sz w:val="20"/>
          <w:szCs w:val="24"/>
        </w:rPr>
        <w:t xml:space="preserve">. </w:t>
      </w:r>
      <w:r w:rsidR="00644DB9" w:rsidRPr="0071546E">
        <w:rPr>
          <w:rFonts w:ascii="Arial" w:eastAsiaTheme="minorEastAsia" w:hAnsi="Arial" w:cs="Arial"/>
          <w:sz w:val="20"/>
          <w:szCs w:val="24"/>
        </w:rPr>
        <w:t xml:space="preserve">Control cells incubated with porphyrin, </w:t>
      </w:r>
      <w:r w:rsidR="0044702D" w:rsidRPr="0071546E">
        <w:rPr>
          <w:rFonts w:ascii="Arial" w:eastAsiaTheme="minorEastAsia" w:hAnsi="Arial" w:cs="Arial"/>
          <w:sz w:val="20"/>
          <w:szCs w:val="24"/>
        </w:rPr>
        <w:t xml:space="preserve">but was protected from irradiation by covering with aluminium foil was set up (blue line). Cell viability was determined with the ATP assay and percentage viability was calculated from bioluminescence </w:t>
      </w:r>
      <w:r w:rsidR="00BE11C1" w:rsidRPr="0071546E">
        <w:rPr>
          <w:rFonts w:ascii="Arial" w:eastAsiaTheme="minorEastAsia" w:hAnsi="Arial" w:cs="Arial"/>
          <w:sz w:val="20"/>
          <w:szCs w:val="24"/>
        </w:rPr>
        <w:t xml:space="preserve">signals, </w:t>
      </w:r>
      <w:r w:rsidR="0044702D" w:rsidRPr="0071546E">
        <w:rPr>
          <w:rFonts w:ascii="Arial" w:eastAsiaTheme="minorEastAsia" w:hAnsi="Arial" w:cs="Arial"/>
          <w:sz w:val="20"/>
          <w:szCs w:val="24"/>
        </w:rPr>
        <w:t>measured at 600nm wavelength.</w:t>
      </w:r>
      <w:r w:rsidR="0044702D" w:rsidRPr="0071546E">
        <w:rPr>
          <w:rFonts w:ascii="Arial" w:eastAsiaTheme="minorEastAsia" w:hAnsi="Arial" w:cs="Arial"/>
          <w:sz w:val="20"/>
          <w:szCs w:val="20"/>
        </w:rPr>
        <w:t xml:space="preserve"> </w:t>
      </w:r>
      <w:r w:rsidR="0044702D" w:rsidRPr="0071546E">
        <w:rPr>
          <w:rFonts w:ascii="Arial" w:eastAsiaTheme="minorEastAsia" w:hAnsi="Arial" w:cs="Arial"/>
          <w:sz w:val="20"/>
          <w:szCs w:val="24"/>
        </w:rPr>
        <w:t>The error bars represent the standard deviation from 4 replicate reading taken from test wells.</w:t>
      </w:r>
    </w:p>
    <w:p w:rsidR="0044702D" w:rsidRPr="0071546E" w:rsidRDefault="0044702D" w:rsidP="00CF13FE">
      <w:pPr>
        <w:spacing w:before="100" w:after="200" w:line="240" w:lineRule="atLeast"/>
        <w:ind w:left="1021" w:right="454"/>
        <w:jc w:val="both"/>
        <w:rPr>
          <w:rFonts w:ascii="Arial" w:eastAsiaTheme="minorEastAsia" w:hAnsi="Arial" w:cs="Arial"/>
          <w:sz w:val="20"/>
          <w:szCs w:val="24"/>
        </w:rPr>
      </w:pPr>
    </w:p>
    <w:p w:rsidR="0044702D" w:rsidRPr="0071546E" w:rsidRDefault="0044702D" w:rsidP="00CF13FE">
      <w:pPr>
        <w:spacing w:before="100" w:after="200" w:line="240" w:lineRule="atLeast"/>
        <w:ind w:left="1021" w:right="454"/>
        <w:jc w:val="both"/>
        <w:rPr>
          <w:rFonts w:ascii="Arial" w:eastAsiaTheme="minorEastAsia" w:hAnsi="Arial" w:cs="Arial"/>
          <w:sz w:val="20"/>
          <w:szCs w:val="24"/>
        </w:rPr>
      </w:pPr>
    </w:p>
    <w:p w:rsidR="0044702D" w:rsidRPr="0071546E" w:rsidRDefault="0044702D" w:rsidP="00CF13FE">
      <w:pPr>
        <w:spacing w:before="100" w:after="200" w:line="240" w:lineRule="atLeast"/>
        <w:ind w:left="1021" w:right="454"/>
        <w:jc w:val="both"/>
        <w:rPr>
          <w:rFonts w:ascii="Arial" w:eastAsiaTheme="minorEastAsia" w:hAnsi="Arial" w:cs="Arial"/>
          <w:sz w:val="20"/>
          <w:szCs w:val="24"/>
        </w:rPr>
      </w:pPr>
    </w:p>
    <w:p w:rsidR="0044702D" w:rsidRPr="0071546E" w:rsidRDefault="0044702D" w:rsidP="00CF13FE">
      <w:pPr>
        <w:spacing w:before="100" w:after="200" w:line="480" w:lineRule="auto"/>
        <w:ind w:left="1021" w:right="454"/>
        <w:jc w:val="both"/>
        <w:rPr>
          <w:rFonts w:ascii="Arial" w:eastAsiaTheme="minorEastAsia" w:hAnsi="Arial" w:cs="Arial"/>
          <w:b/>
          <w:sz w:val="24"/>
          <w:szCs w:val="24"/>
        </w:rPr>
      </w:pPr>
    </w:p>
    <w:p w:rsidR="00725033" w:rsidRPr="0071546E" w:rsidRDefault="00725033" w:rsidP="00CF13FE">
      <w:pPr>
        <w:spacing w:before="100" w:after="200" w:line="240" w:lineRule="atLeast"/>
        <w:ind w:left="1021" w:right="454" w:firstLine="57"/>
        <w:jc w:val="both"/>
        <w:rPr>
          <w:rFonts w:ascii="Arial" w:eastAsiaTheme="minorEastAsia" w:hAnsi="Arial" w:cs="Arial"/>
          <w:b/>
          <w:sz w:val="24"/>
          <w:szCs w:val="24"/>
        </w:rPr>
      </w:pPr>
      <w:r w:rsidRPr="0071546E">
        <w:rPr>
          <w:rFonts w:ascii="Arial" w:eastAsiaTheme="minorEastAsia" w:hAnsi="Arial" w:cs="Arial"/>
          <w:noProof/>
          <w:sz w:val="24"/>
          <w:szCs w:val="24"/>
          <w:lang w:eastAsia="en-GB"/>
        </w:rPr>
        <w:drawing>
          <wp:inline distT="0" distB="0" distL="0" distR="0" wp14:anchorId="5F664405" wp14:editId="714C5B11">
            <wp:extent cx="4681855" cy="3855904"/>
            <wp:effectExtent l="0" t="0" r="4445"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575D30" w:rsidRPr="0071546E" w:rsidRDefault="00B75BF4" w:rsidP="00CF13F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Figure 3.3</w:t>
      </w:r>
      <w:r w:rsidR="009F6F9E" w:rsidRPr="0071546E">
        <w:rPr>
          <w:rFonts w:ascii="Arial" w:eastAsiaTheme="minorEastAsia" w:hAnsi="Arial" w:cs="Arial"/>
          <w:sz w:val="20"/>
          <w:szCs w:val="20"/>
        </w:rPr>
        <w:t>1</w:t>
      </w:r>
      <w:r w:rsidRPr="0071546E">
        <w:rPr>
          <w:rFonts w:ascii="Arial" w:eastAsiaTheme="minorEastAsia" w:hAnsi="Arial" w:cs="Arial"/>
          <w:sz w:val="20"/>
          <w:szCs w:val="20"/>
        </w:rPr>
        <w:t xml:space="preserve"> Survival</w:t>
      </w:r>
      <w:r w:rsidR="00575D30" w:rsidRPr="0071546E">
        <w:rPr>
          <w:rFonts w:ascii="Arial" w:eastAsiaTheme="minorEastAsia" w:hAnsi="Arial" w:cs="Arial"/>
          <w:sz w:val="20"/>
          <w:szCs w:val="20"/>
        </w:rPr>
        <w:t xml:space="preserve"> curves of </w:t>
      </w:r>
      <w:r w:rsidR="00575D30" w:rsidRPr="0071546E">
        <w:rPr>
          <w:rFonts w:ascii="Arial" w:eastAsiaTheme="minorEastAsia" w:hAnsi="Arial" w:cs="Arial"/>
          <w:i/>
          <w:sz w:val="20"/>
          <w:szCs w:val="20"/>
        </w:rPr>
        <w:t>Acanthamoeba</w:t>
      </w:r>
      <w:r w:rsidR="00575D30" w:rsidRPr="0071546E">
        <w:rPr>
          <w:rFonts w:ascii="Arial" w:eastAsiaTheme="minorEastAsia" w:hAnsi="Arial" w:cs="Arial"/>
          <w:sz w:val="20"/>
          <w:szCs w:val="20"/>
        </w:rPr>
        <w:t xml:space="preserve"> cysts (10</w:t>
      </w:r>
      <w:r w:rsidR="00575D30" w:rsidRPr="0071546E">
        <w:rPr>
          <w:rFonts w:ascii="Arial" w:eastAsiaTheme="minorEastAsia" w:hAnsi="Arial" w:cs="Arial"/>
          <w:sz w:val="20"/>
          <w:szCs w:val="20"/>
          <w:vertAlign w:val="superscript"/>
        </w:rPr>
        <w:t>6</w:t>
      </w:r>
      <w:r w:rsidR="00575D30" w:rsidRPr="0071546E">
        <w:rPr>
          <w:rFonts w:ascii="Arial" w:eastAsiaTheme="minorEastAsia" w:hAnsi="Arial" w:cs="Arial"/>
          <w:sz w:val="20"/>
          <w:szCs w:val="20"/>
        </w:rPr>
        <w:t xml:space="preserve">/ml) incubated with different concentrations of 4,4′,4′′,4′′′-(porphine-5,10,15,20-tetrayl) tetrakis (benzenesulfonic acid) tetrasodium salt hydrate for 10 minutes in the dark and irradiated with an LED light for 60 minutes </w:t>
      </w:r>
      <w:r w:rsidR="00D5653B" w:rsidRPr="0071546E">
        <w:rPr>
          <w:rFonts w:ascii="Arial" w:eastAsiaTheme="minorEastAsia" w:hAnsi="Arial" w:cs="Arial"/>
          <w:sz w:val="20"/>
          <w:szCs w:val="20"/>
        </w:rPr>
        <w:t>(Red</w:t>
      </w:r>
      <w:r w:rsidR="00575D30" w:rsidRPr="0071546E">
        <w:rPr>
          <w:rFonts w:ascii="Arial" w:eastAsiaTheme="minorEastAsia" w:hAnsi="Arial" w:cs="Arial"/>
          <w:sz w:val="20"/>
          <w:szCs w:val="20"/>
        </w:rPr>
        <w:t>line)</w:t>
      </w:r>
      <w:r w:rsidR="00644DB9" w:rsidRPr="0071546E">
        <w:rPr>
          <w:rFonts w:ascii="Arial" w:eastAsiaTheme="minorEastAsia" w:hAnsi="Arial" w:cs="Arial"/>
          <w:sz w:val="20"/>
          <w:szCs w:val="20"/>
        </w:rPr>
        <w:t>. Control cells</w:t>
      </w:r>
      <w:r w:rsidR="00575D30" w:rsidRPr="0071546E">
        <w:rPr>
          <w:rFonts w:ascii="Arial" w:eastAsiaTheme="minorEastAsia" w:hAnsi="Arial" w:cs="Arial"/>
          <w:sz w:val="20"/>
          <w:szCs w:val="20"/>
        </w:rPr>
        <w:t xml:space="preserve"> incubated with porphyrin but was protected from irradiation by covering with aluminium foil was set up (blue line). Cell viability was determined with the ATP assay and percentage viability was calculated from bioluminescence </w:t>
      </w:r>
      <w:r w:rsidR="00644DB9" w:rsidRPr="0071546E">
        <w:rPr>
          <w:rFonts w:ascii="Arial" w:eastAsiaTheme="minorEastAsia" w:hAnsi="Arial" w:cs="Arial"/>
          <w:sz w:val="20"/>
          <w:szCs w:val="20"/>
        </w:rPr>
        <w:t>signals,</w:t>
      </w:r>
      <w:r w:rsidR="00575D30" w:rsidRPr="0071546E">
        <w:rPr>
          <w:rFonts w:ascii="Arial" w:eastAsiaTheme="minorEastAsia" w:hAnsi="Arial" w:cs="Arial"/>
          <w:sz w:val="20"/>
          <w:szCs w:val="20"/>
        </w:rPr>
        <w:t xml:space="preserve"> measured at 600nm wavelength. The error bars represent the standard deviation from 4 replicate reading taken from test wells.</w:t>
      </w:r>
    </w:p>
    <w:p w:rsidR="0044702D" w:rsidRPr="0071546E" w:rsidRDefault="0044702D" w:rsidP="00CF13FE">
      <w:pPr>
        <w:spacing w:before="100" w:after="200" w:line="240" w:lineRule="auto"/>
        <w:ind w:left="1021" w:right="454"/>
        <w:jc w:val="both"/>
        <w:rPr>
          <w:rFonts w:ascii="Arial" w:eastAsiaTheme="minorEastAsia" w:hAnsi="Arial" w:cs="Arial"/>
          <w:sz w:val="24"/>
          <w:szCs w:val="24"/>
        </w:rPr>
      </w:pPr>
    </w:p>
    <w:p w:rsidR="0044702D" w:rsidRPr="0071546E" w:rsidRDefault="00575D30"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PDT with 4, 4′, 4′′, 4′′′-(porphine-5, 10, 15, 20-tetrayl) tetrakis (benzene sulfonic acid) tetrasodium </w:t>
      </w:r>
      <w:r w:rsidR="00A621FE" w:rsidRPr="0071546E">
        <w:rPr>
          <w:rFonts w:ascii="Arial" w:eastAsiaTheme="minorEastAsia" w:hAnsi="Arial" w:cs="Arial"/>
          <w:sz w:val="24"/>
          <w:szCs w:val="24"/>
        </w:rPr>
        <w:t>salt hydrate as seen in fig 3.</w:t>
      </w:r>
      <w:r w:rsidR="00812AD2" w:rsidRPr="0071546E">
        <w:rPr>
          <w:rFonts w:ascii="Arial" w:eastAsiaTheme="minorEastAsia" w:hAnsi="Arial" w:cs="Arial"/>
          <w:sz w:val="24"/>
          <w:szCs w:val="24"/>
        </w:rPr>
        <w:t>30</w:t>
      </w:r>
      <w:r w:rsidRPr="0071546E">
        <w:rPr>
          <w:rFonts w:ascii="Arial" w:eastAsiaTheme="minorEastAsia" w:hAnsi="Arial" w:cs="Arial"/>
          <w:sz w:val="24"/>
          <w:szCs w:val="24"/>
        </w:rPr>
        <w:t xml:space="preserve"> shows a 40</w:t>
      </w:r>
      <w:r w:rsidR="00234554" w:rsidRPr="0071546E">
        <w:rPr>
          <w:rFonts w:ascii="Arial" w:eastAsiaTheme="minorEastAsia" w:hAnsi="Arial" w:cs="Arial"/>
          <w:sz w:val="24"/>
          <w:szCs w:val="24"/>
        </w:rPr>
        <w:t xml:space="preserve"> </w:t>
      </w:r>
      <w:r w:rsidRPr="0071546E">
        <w:rPr>
          <w:rFonts w:ascii="Arial" w:eastAsiaTheme="minorEastAsia" w:hAnsi="Arial" w:cs="Arial"/>
          <w:sz w:val="24"/>
          <w:szCs w:val="24"/>
        </w:rPr>
        <w:t xml:space="preserve">% reduction of viability of the trophozoites in both control samples and irradiated samples. This data means there could have been dark toxicity caused by the concentration used. There was no significant loss of viability for both irradiated samples and control sample for the cysts </w:t>
      </w:r>
      <w:r w:rsidR="00A621FE" w:rsidRPr="0071546E">
        <w:rPr>
          <w:rFonts w:ascii="Arial" w:eastAsiaTheme="minorEastAsia" w:hAnsi="Arial" w:cs="Arial"/>
          <w:sz w:val="24"/>
          <w:szCs w:val="24"/>
        </w:rPr>
        <w:t>fig 3.3</w:t>
      </w:r>
      <w:r w:rsidR="00812AD2" w:rsidRPr="0071546E">
        <w:rPr>
          <w:rFonts w:ascii="Arial" w:eastAsiaTheme="minorEastAsia" w:hAnsi="Arial" w:cs="Arial"/>
          <w:sz w:val="24"/>
          <w:szCs w:val="24"/>
        </w:rPr>
        <w:t>1</w:t>
      </w:r>
      <w:r w:rsidR="00A621FE" w:rsidRPr="0071546E">
        <w:rPr>
          <w:rFonts w:ascii="Arial" w:eastAsiaTheme="minorEastAsia" w:hAnsi="Arial" w:cs="Arial"/>
          <w:sz w:val="24"/>
          <w:szCs w:val="24"/>
        </w:rPr>
        <w:t>.</w:t>
      </w:r>
    </w:p>
    <w:p w:rsidR="00644DB9" w:rsidRPr="0071546E" w:rsidRDefault="00644DB9" w:rsidP="00CF13FE">
      <w:pPr>
        <w:spacing w:before="100" w:after="200" w:line="480" w:lineRule="auto"/>
        <w:ind w:left="1021" w:right="454"/>
        <w:jc w:val="both"/>
        <w:rPr>
          <w:rFonts w:ascii="Arial" w:eastAsiaTheme="minorEastAsia" w:hAnsi="Arial" w:cs="Arial"/>
          <w:sz w:val="24"/>
          <w:szCs w:val="24"/>
        </w:rPr>
      </w:pPr>
    </w:p>
    <w:p w:rsidR="00725033" w:rsidRPr="0071546E" w:rsidRDefault="00725033" w:rsidP="00CF13FE">
      <w:pPr>
        <w:spacing w:before="100" w:after="200" w:line="480" w:lineRule="auto"/>
        <w:ind w:left="1021" w:right="454"/>
        <w:jc w:val="both"/>
        <w:rPr>
          <w:rStyle w:val="Heading2Char"/>
          <w:rFonts w:eastAsiaTheme="minorEastAsia"/>
        </w:rPr>
      </w:pPr>
      <w:bookmarkStart w:id="110" w:name="_Toc14711480"/>
      <w:r w:rsidRPr="0071546E">
        <w:rPr>
          <w:rStyle w:val="Heading2Char"/>
          <w:rFonts w:eastAsiaTheme="minorEastAsia"/>
        </w:rPr>
        <w:t>3.7.2 PDT with 5, 10, 15, 20-tetrakis (1-methyl-4-pyridino) porphyrin tetra (P-toluene sulfonate).</w:t>
      </w:r>
      <w:bookmarkEnd w:id="110"/>
    </w:p>
    <w:p w:rsidR="00725033" w:rsidRPr="0071546E" w:rsidRDefault="00725033" w:rsidP="00CF13FE">
      <w:pPr>
        <w:spacing w:before="100" w:after="200" w:line="240" w:lineRule="atLeast"/>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194E808E" wp14:editId="73A69848">
            <wp:extent cx="4525108" cy="3723640"/>
            <wp:effectExtent l="0" t="0" r="8890" b="0"/>
            <wp:docPr id="1190" name="Chart 1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575D30" w:rsidRPr="0071546E" w:rsidRDefault="00575D30" w:rsidP="00CF13F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Fig 3.</w:t>
      </w:r>
      <w:r w:rsidR="00A621FE" w:rsidRPr="0071546E">
        <w:rPr>
          <w:rFonts w:ascii="Arial" w:eastAsiaTheme="minorEastAsia" w:hAnsi="Arial" w:cs="Arial"/>
          <w:sz w:val="20"/>
          <w:szCs w:val="20"/>
        </w:rPr>
        <w:t>3</w:t>
      </w:r>
      <w:r w:rsidR="00812AD2" w:rsidRPr="0071546E">
        <w:rPr>
          <w:rFonts w:ascii="Arial" w:eastAsiaTheme="minorEastAsia" w:hAnsi="Arial" w:cs="Arial"/>
          <w:sz w:val="20"/>
          <w:szCs w:val="20"/>
        </w:rPr>
        <w:t>2</w:t>
      </w:r>
      <w:r w:rsidR="00A621FE" w:rsidRPr="0071546E">
        <w:rPr>
          <w:rFonts w:ascii="Arial" w:eastAsiaTheme="minorEastAsia" w:hAnsi="Arial" w:cs="Arial"/>
          <w:sz w:val="20"/>
          <w:szCs w:val="20"/>
        </w:rPr>
        <w:t xml:space="preserve"> </w:t>
      </w:r>
      <w:r w:rsidRPr="0071546E">
        <w:rPr>
          <w:rFonts w:ascii="Arial" w:eastAsiaTheme="minorEastAsia" w:hAnsi="Arial" w:cs="Arial"/>
          <w:sz w:val="20"/>
          <w:szCs w:val="20"/>
        </w:rPr>
        <w:t xml:space="preserve">Survival curves of </w:t>
      </w:r>
      <w:r w:rsidRPr="0071546E">
        <w:rPr>
          <w:rFonts w:ascii="Arial" w:eastAsiaTheme="minorEastAsia" w:hAnsi="Arial" w:cs="Arial"/>
          <w:i/>
          <w:sz w:val="20"/>
          <w:szCs w:val="20"/>
        </w:rPr>
        <w:t>Acanthamoeba</w:t>
      </w:r>
      <w:r w:rsidRPr="0071546E">
        <w:rPr>
          <w:rFonts w:ascii="Arial" w:eastAsiaTheme="minorEastAsia" w:hAnsi="Arial" w:cs="Arial"/>
          <w:sz w:val="20"/>
          <w:szCs w:val="20"/>
        </w:rPr>
        <w:t xml:space="preserve"> trophozoites (10</w:t>
      </w:r>
      <w:r w:rsidRPr="0071546E">
        <w:rPr>
          <w:rFonts w:ascii="Arial" w:eastAsiaTheme="minorEastAsia" w:hAnsi="Arial" w:cs="Arial"/>
          <w:sz w:val="20"/>
          <w:szCs w:val="20"/>
          <w:vertAlign w:val="superscript"/>
        </w:rPr>
        <w:t>6</w:t>
      </w:r>
      <w:r w:rsidRPr="0071546E">
        <w:rPr>
          <w:rFonts w:ascii="Arial" w:eastAsiaTheme="minorEastAsia" w:hAnsi="Arial" w:cs="Arial"/>
          <w:sz w:val="20"/>
          <w:szCs w:val="20"/>
        </w:rPr>
        <w:t>/ml) incubated with different concentrations of 5, 10, 15, 20-tetrakis (1-methyl-4-pyridino) porphyrin tetra (P-toluene sulfonate</w:t>
      </w:r>
      <w:r w:rsidR="00D5653B" w:rsidRPr="0071546E">
        <w:rPr>
          <w:rFonts w:ascii="Arial" w:eastAsiaTheme="minorEastAsia" w:hAnsi="Arial" w:cs="Arial"/>
          <w:sz w:val="20"/>
          <w:szCs w:val="20"/>
        </w:rPr>
        <w:t>), for</w:t>
      </w:r>
      <w:r w:rsidRPr="0071546E">
        <w:rPr>
          <w:rFonts w:ascii="Arial" w:eastAsiaTheme="minorEastAsia" w:hAnsi="Arial" w:cs="Arial"/>
          <w:sz w:val="20"/>
          <w:szCs w:val="20"/>
        </w:rPr>
        <w:t xml:space="preserve"> 10 minutes in the dark and irradiated with an LED light for 60 minutes </w:t>
      </w:r>
      <w:r w:rsidR="00644DB9" w:rsidRPr="0071546E">
        <w:rPr>
          <w:rFonts w:ascii="Arial" w:eastAsiaTheme="minorEastAsia" w:hAnsi="Arial" w:cs="Arial"/>
          <w:sz w:val="20"/>
          <w:szCs w:val="20"/>
        </w:rPr>
        <w:t>(Red</w:t>
      </w:r>
      <w:r w:rsidRPr="0071546E">
        <w:rPr>
          <w:rFonts w:ascii="Arial" w:eastAsiaTheme="minorEastAsia" w:hAnsi="Arial" w:cs="Arial"/>
          <w:sz w:val="20"/>
          <w:szCs w:val="20"/>
        </w:rPr>
        <w:t>line)</w:t>
      </w:r>
      <w:r w:rsidR="00644DB9" w:rsidRPr="0071546E">
        <w:rPr>
          <w:rFonts w:ascii="Arial" w:eastAsiaTheme="minorEastAsia" w:hAnsi="Arial" w:cs="Arial"/>
          <w:sz w:val="20"/>
          <w:szCs w:val="20"/>
        </w:rPr>
        <w:t>. C</w:t>
      </w:r>
      <w:r w:rsidRPr="0071546E">
        <w:rPr>
          <w:rFonts w:ascii="Arial" w:eastAsiaTheme="minorEastAsia" w:hAnsi="Arial" w:cs="Arial"/>
          <w:sz w:val="20"/>
          <w:szCs w:val="20"/>
        </w:rPr>
        <w:t>ontrol cells incubated with porphyrin but was protected from irradiation by covering with aluminium foil was set up (blue line). Cell viability was determined with the ATP assay and percentage viability was calculated from bioluminescence signals measured at 600nm wavelength. The error bars represent the standard deviation from 4 replicate reading taken from test wells.</w:t>
      </w:r>
    </w:p>
    <w:p w:rsidR="00575D30" w:rsidRPr="0071546E" w:rsidRDefault="00575D30" w:rsidP="00CF13FE">
      <w:pPr>
        <w:spacing w:before="100" w:after="200" w:line="240" w:lineRule="atLeast"/>
        <w:ind w:left="1021" w:right="454"/>
        <w:jc w:val="both"/>
        <w:rPr>
          <w:rFonts w:ascii="Arial" w:eastAsiaTheme="minorEastAsia" w:hAnsi="Arial" w:cs="Arial"/>
          <w:sz w:val="20"/>
          <w:szCs w:val="20"/>
        </w:rPr>
      </w:pPr>
    </w:p>
    <w:p w:rsidR="00575D30" w:rsidRPr="0071546E" w:rsidRDefault="00575D30" w:rsidP="00CF13FE">
      <w:pPr>
        <w:spacing w:before="100" w:after="200" w:line="480" w:lineRule="auto"/>
        <w:ind w:left="1021" w:right="454"/>
        <w:jc w:val="both"/>
        <w:rPr>
          <w:rFonts w:ascii="Arial" w:eastAsiaTheme="minorEastAsia" w:hAnsi="Arial" w:cs="Arial"/>
          <w:sz w:val="24"/>
          <w:szCs w:val="20"/>
        </w:rPr>
      </w:pPr>
      <w:r w:rsidRPr="0071546E">
        <w:rPr>
          <w:rFonts w:ascii="Arial" w:eastAsiaTheme="minorEastAsia" w:hAnsi="Arial" w:cs="Arial"/>
          <w:sz w:val="24"/>
          <w:szCs w:val="20"/>
        </w:rPr>
        <w:t xml:space="preserve">Photodynamic therapy with 5, 10, 15, 20-tetrakis (1-methyl-4-pyridino) porphyrin tetra (P-toluene sulfonate), as seen in </w:t>
      </w:r>
      <w:r w:rsidR="00A621FE" w:rsidRPr="0071546E">
        <w:rPr>
          <w:rFonts w:ascii="Arial" w:eastAsiaTheme="minorEastAsia" w:hAnsi="Arial" w:cs="Arial"/>
          <w:sz w:val="24"/>
          <w:szCs w:val="20"/>
        </w:rPr>
        <w:t>fig 3.3</w:t>
      </w:r>
      <w:r w:rsidR="00812AD2" w:rsidRPr="0071546E">
        <w:rPr>
          <w:rFonts w:ascii="Arial" w:eastAsiaTheme="minorEastAsia" w:hAnsi="Arial" w:cs="Arial"/>
          <w:sz w:val="24"/>
          <w:szCs w:val="20"/>
        </w:rPr>
        <w:t>2</w:t>
      </w:r>
      <w:r w:rsidR="00A621FE" w:rsidRPr="0071546E">
        <w:rPr>
          <w:rFonts w:ascii="Arial" w:eastAsiaTheme="minorEastAsia" w:hAnsi="Arial" w:cs="Arial"/>
          <w:sz w:val="24"/>
          <w:szCs w:val="20"/>
        </w:rPr>
        <w:t xml:space="preserve"> showed significant reduction of </w:t>
      </w:r>
      <w:r w:rsidRPr="0071546E">
        <w:rPr>
          <w:rFonts w:ascii="Arial" w:eastAsiaTheme="minorEastAsia" w:hAnsi="Arial" w:cs="Arial"/>
          <w:i/>
          <w:sz w:val="24"/>
          <w:szCs w:val="20"/>
        </w:rPr>
        <w:t>Acanthamoeba</w:t>
      </w:r>
      <w:r w:rsidRPr="0071546E">
        <w:rPr>
          <w:rFonts w:ascii="Arial" w:eastAsiaTheme="minorEastAsia" w:hAnsi="Arial" w:cs="Arial"/>
          <w:sz w:val="24"/>
          <w:szCs w:val="20"/>
        </w:rPr>
        <w:t xml:space="preserve"> trophozoites. There was a 90% reduction of viability and an IC</w:t>
      </w:r>
      <w:r w:rsidRPr="0071546E">
        <w:rPr>
          <w:rFonts w:ascii="Arial" w:eastAsiaTheme="minorEastAsia" w:hAnsi="Arial" w:cs="Arial"/>
          <w:sz w:val="24"/>
          <w:szCs w:val="20"/>
          <w:vertAlign w:val="subscript"/>
        </w:rPr>
        <w:t>50</w:t>
      </w:r>
      <w:r w:rsidRPr="0071546E">
        <w:rPr>
          <w:rFonts w:ascii="Arial" w:eastAsiaTheme="minorEastAsia" w:hAnsi="Arial" w:cs="Arial"/>
          <w:sz w:val="24"/>
          <w:szCs w:val="20"/>
        </w:rPr>
        <w:t xml:space="preserve"> of about </w:t>
      </w:r>
      <w:r w:rsidR="00644DB9" w:rsidRPr="0071546E">
        <w:rPr>
          <w:rFonts w:ascii="Arial" w:eastAsiaTheme="minorEastAsia" w:hAnsi="Arial" w:cs="Arial"/>
          <w:sz w:val="24"/>
          <w:szCs w:val="20"/>
        </w:rPr>
        <w:t>15-µM</w:t>
      </w:r>
      <w:r w:rsidRPr="0071546E">
        <w:rPr>
          <w:rFonts w:ascii="Arial" w:eastAsiaTheme="minorEastAsia" w:hAnsi="Arial" w:cs="Arial"/>
          <w:sz w:val="24"/>
          <w:szCs w:val="20"/>
        </w:rPr>
        <w:t xml:space="preserve"> concentration. However, results show that there was not 100% inhibition of trophozoites at the concentration of 5, 10, 15, 20-tetrakis (1-methyl-4-pyridino) porphyrin tetra (P-toluene sulfonate) used.</w:t>
      </w:r>
    </w:p>
    <w:p w:rsidR="00725033" w:rsidRPr="0071546E" w:rsidRDefault="00725033" w:rsidP="00CF13FE">
      <w:pPr>
        <w:spacing w:before="100" w:after="200" w:line="240" w:lineRule="auto"/>
        <w:ind w:left="1021" w:right="454"/>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5D0451FD" wp14:editId="09CA50AC">
            <wp:extent cx="4704080" cy="3767769"/>
            <wp:effectExtent l="0" t="0" r="1270" b="4445"/>
            <wp:docPr id="1191" name="Chart 1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575D30" w:rsidRPr="0071546E" w:rsidRDefault="00725033" w:rsidP="00CF13FE">
      <w:pPr>
        <w:spacing w:before="100" w:after="200" w:line="240" w:lineRule="auto"/>
        <w:ind w:left="1021" w:right="454"/>
        <w:jc w:val="both"/>
        <w:rPr>
          <w:rFonts w:ascii="Arial" w:eastAsiaTheme="minorEastAsia" w:hAnsi="Arial" w:cs="Arial"/>
          <w:sz w:val="20"/>
          <w:szCs w:val="20"/>
        </w:rPr>
      </w:pPr>
      <w:r w:rsidRPr="0071546E">
        <w:rPr>
          <w:rFonts w:ascii="Arial" w:eastAsiaTheme="minorEastAsia" w:hAnsi="Arial" w:cs="Arial"/>
          <w:sz w:val="20"/>
          <w:szCs w:val="20"/>
        </w:rPr>
        <w:t>Fig 3.</w:t>
      </w:r>
      <w:r w:rsidR="00575D30" w:rsidRPr="0071546E">
        <w:rPr>
          <w:rFonts w:ascii="Arial" w:eastAsiaTheme="minorEastAsia" w:hAnsi="Arial" w:cs="Arial"/>
          <w:sz w:val="20"/>
          <w:szCs w:val="20"/>
        </w:rPr>
        <w:t>3</w:t>
      </w:r>
      <w:r w:rsidR="00812AD2" w:rsidRPr="0071546E">
        <w:rPr>
          <w:rFonts w:ascii="Arial" w:eastAsiaTheme="minorEastAsia" w:hAnsi="Arial" w:cs="Arial"/>
          <w:sz w:val="20"/>
          <w:szCs w:val="20"/>
        </w:rPr>
        <w:t>3</w:t>
      </w:r>
      <w:r w:rsidR="00A621FE" w:rsidRPr="0071546E">
        <w:rPr>
          <w:rFonts w:ascii="Arial" w:eastAsiaTheme="minorEastAsia" w:hAnsi="Arial" w:cs="Arial"/>
          <w:sz w:val="20"/>
          <w:szCs w:val="20"/>
        </w:rPr>
        <w:t xml:space="preserve"> </w:t>
      </w:r>
      <w:r w:rsidR="00575D30" w:rsidRPr="0071546E">
        <w:rPr>
          <w:rFonts w:ascii="Arial" w:eastAsiaTheme="minorEastAsia" w:hAnsi="Arial" w:cs="Arial"/>
          <w:sz w:val="20"/>
          <w:szCs w:val="20"/>
        </w:rPr>
        <w:t xml:space="preserve">Survival curves of </w:t>
      </w:r>
      <w:r w:rsidR="00575D30" w:rsidRPr="0071546E">
        <w:rPr>
          <w:rFonts w:ascii="Arial" w:eastAsiaTheme="minorEastAsia" w:hAnsi="Arial" w:cs="Arial"/>
          <w:i/>
          <w:sz w:val="20"/>
          <w:szCs w:val="20"/>
        </w:rPr>
        <w:t>Acanthamoeba</w:t>
      </w:r>
      <w:r w:rsidR="00575D30" w:rsidRPr="0071546E">
        <w:rPr>
          <w:rFonts w:ascii="Arial" w:eastAsiaTheme="minorEastAsia" w:hAnsi="Arial" w:cs="Arial"/>
          <w:sz w:val="20"/>
          <w:szCs w:val="20"/>
        </w:rPr>
        <w:t xml:space="preserve"> cysts (10</w:t>
      </w:r>
      <w:r w:rsidR="00575D30" w:rsidRPr="0071546E">
        <w:rPr>
          <w:rFonts w:ascii="Arial" w:eastAsiaTheme="minorEastAsia" w:hAnsi="Arial" w:cs="Arial"/>
          <w:sz w:val="20"/>
          <w:szCs w:val="20"/>
          <w:vertAlign w:val="superscript"/>
        </w:rPr>
        <w:t>6</w:t>
      </w:r>
      <w:r w:rsidR="00575D30" w:rsidRPr="0071546E">
        <w:rPr>
          <w:rFonts w:ascii="Arial" w:eastAsiaTheme="minorEastAsia" w:hAnsi="Arial" w:cs="Arial"/>
          <w:sz w:val="20"/>
          <w:szCs w:val="20"/>
        </w:rPr>
        <w:t>/ml) incubated with different concentrations of 5, 10, 15, 20-tetrakis (1-methyl-4-pyridino) porphy</w:t>
      </w:r>
      <w:r w:rsidR="00644DB9" w:rsidRPr="0071546E">
        <w:rPr>
          <w:rFonts w:ascii="Arial" w:eastAsiaTheme="minorEastAsia" w:hAnsi="Arial" w:cs="Arial"/>
          <w:sz w:val="20"/>
          <w:szCs w:val="20"/>
        </w:rPr>
        <w:t xml:space="preserve">rin tetra (P-toluene sulfonate) </w:t>
      </w:r>
      <w:r w:rsidR="00575D30" w:rsidRPr="0071546E">
        <w:rPr>
          <w:rFonts w:ascii="Arial" w:eastAsiaTheme="minorEastAsia" w:hAnsi="Arial" w:cs="Arial"/>
          <w:sz w:val="20"/>
          <w:szCs w:val="20"/>
        </w:rPr>
        <w:t xml:space="preserve">for 10 minutes in the dark and irradiated with an LED light for 60 minutes </w:t>
      </w:r>
      <w:r w:rsidR="00644DB9" w:rsidRPr="0071546E">
        <w:rPr>
          <w:rFonts w:ascii="Arial" w:eastAsiaTheme="minorEastAsia" w:hAnsi="Arial" w:cs="Arial"/>
          <w:sz w:val="20"/>
          <w:szCs w:val="20"/>
        </w:rPr>
        <w:t>(Red</w:t>
      </w:r>
      <w:r w:rsidR="00575D30" w:rsidRPr="0071546E">
        <w:rPr>
          <w:rFonts w:ascii="Arial" w:eastAsiaTheme="minorEastAsia" w:hAnsi="Arial" w:cs="Arial"/>
          <w:sz w:val="20"/>
          <w:szCs w:val="20"/>
        </w:rPr>
        <w:t>line)</w:t>
      </w:r>
      <w:r w:rsidR="00644DB9" w:rsidRPr="0071546E">
        <w:rPr>
          <w:rFonts w:ascii="Arial" w:eastAsiaTheme="minorEastAsia" w:hAnsi="Arial" w:cs="Arial"/>
          <w:sz w:val="20"/>
          <w:szCs w:val="20"/>
        </w:rPr>
        <w:t>. C</w:t>
      </w:r>
      <w:r w:rsidR="00575D30" w:rsidRPr="0071546E">
        <w:rPr>
          <w:rFonts w:ascii="Arial" w:eastAsiaTheme="minorEastAsia" w:hAnsi="Arial" w:cs="Arial"/>
          <w:sz w:val="20"/>
          <w:szCs w:val="20"/>
        </w:rPr>
        <w:t>ontrol of cells incubated with but was protected from irradiation by covering with aluminium foil was set up (blue line). Cell viability was determined with the ATP assay and percentage viability was calculated from bioluminescence signals measured at 600nm wavelength. The error bars represent the standard deviation from 4 replicate reading taken from test wells.</w:t>
      </w:r>
    </w:p>
    <w:p w:rsidR="00725033" w:rsidRPr="0071546E" w:rsidRDefault="00725033" w:rsidP="00CF13FE">
      <w:pPr>
        <w:spacing w:before="100" w:after="200" w:line="240" w:lineRule="auto"/>
        <w:ind w:left="1021" w:right="454"/>
        <w:jc w:val="both"/>
        <w:rPr>
          <w:rFonts w:ascii="Arial" w:eastAsiaTheme="minorEastAsia" w:hAnsi="Arial" w:cs="Arial"/>
          <w:sz w:val="24"/>
          <w:szCs w:val="24"/>
        </w:rPr>
      </w:pPr>
    </w:p>
    <w:p w:rsidR="00575D30" w:rsidRPr="0071546E" w:rsidRDefault="00575D30"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The cysts, on the other hand</w:t>
      </w:r>
      <w:r w:rsidR="004904E2" w:rsidRPr="0071546E">
        <w:rPr>
          <w:rFonts w:ascii="Arial" w:eastAsiaTheme="minorEastAsia" w:hAnsi="Arial" w:cs="Arial"/>
          <w:sz w:val="24"/>
          <w:szCs w:val="24"/>
        </w:rPr>
        <w:t>,</w:t>
      </w:r>
      <w:r w:rsidRPr="0071546E">
        <w:rPr>
          <w:rFonts w:ascii="Arial" w:eastAsiaTheme="minorEastAsia" w:hAnsi="Arial" w:cs="Arial"/>
          <w:sz w:val="24"/>
          <w:szCs w:val="24"/>
        </w:rPr>
        <w:t xml:space="preserve"> as seen above </w:t>
      </w:r>
      <w:r w:rsidR="00A621FE" w:rsidRPr="0071546E">
        <w:rPr>
          <w:rFonts w:ascii="Arial" w:eastAsiaTheme="minorEastAsia" w:hAnsi="Arial" w:cs="Arial"/>
          <w:sz w:val="24"/>
          <w:szCs w:val="24"/>
        </w:rPr>
        <w:t>fig 3.3</w:t>
      </w:r>
      <w:r w:rsidR="00812AD2" w:rsidRPr="0071546E">
        <w:rPr>
          <w:rFonts w:ascii="Arial" w:eastAsiaTheme="minorEastAsia" w:hAnsi="Arial" w:cs="Arial"/>
          <w:sz w:val="24"/>
          <w:szCs w:val="24"/>
        </w:rPr>
        <w:t>3</w:t>
      </w:r>
      <w:r w:rsidR="00A621FE" w:rsidRPr="0071546E">
        <w:rPr>
          <w:rFonts w:ascii="Arial" w:eastAsiaTheme="minorEastAsia" w:hAnsi="Arial" w:cs="Arial"/>
          <w:sz w:val="24"/>
          <w:szCs w:val="24"/>
        </w:rPr>
        <w:t xml:space="preserve"> indicated</w:t>
      </w:r>
      <w:r w:rsidRPr="0071546E">
        <w:rPr>
          <w:rFonts w:ascii="Arial" w:eastAsiaTheme="minorEastAsia" w:hAnsi="Arial" w:cs="Arial"/>
          <w:sz w:val="24"/>
          <w:szCs w:val="24"/>
        </w:rPr>
        <w:t xml:space="preserve"> 80</w:t>
      </w:r>
      <w:r w:rsidR="00234554" w:rsidRPr="0071546E">
        <w:rPr>
          <w:rFonts w:ascii="Arial" w:eastAsiaTheme="minorEastAsia" w:hAnsi="Arial" w:cs="Arial"/>
          <w:sz w:val="24"/>
          <w:szCs w:val="24"/>
        </w:rPr>
        <w:t xml:space="preserve"> </w:t>
      </w:r>
      <w:r w:rsidRPr="0071546E">
        <w:rPr>
          <w:rFonts w:ascii="Arial" w:eastAsiaTheme="minorEastAsia" w:hAnsi="Arial" w:cs="Arial"/>
          <w:sz w:val="24"/>
          <w:szCs w:val="24"/>
        </w:rPr>
        <w:t>% reduction in viability with similar IC</w:t>
      </w:r>
      <w:r w:rsidRPr="0071546E">
        <w:rPr>
          <w:rFonts w:ascii="Arial" w:eastAsiaTheme="minorEastAsia" w:hAnsi="Arial" w:cs="Arial"/>
          <w:sz w:val="24"/>
          <w:szCs w:val="24"/>
          <w:vertAlign w:val="subscript"/>
        </w:rPr>
        <w:t>50</w:t>
      </w:r>
      <w:r w:rsidRPr="0071546E">
        <w:rPr>
          <w:rFonts w:ascii="Arial" w:eastAsiaTheme="minorEastAsia" w:hAnsi="Arial" w:cs="Arial"/>
          <w:sz w:val="24"/>
          <w:szCs w:val="24"/>
        </w:rPr>
        <w:t>. The concentration of the porphyrin</w:t>
      </w:r>
      <w:r w:rsidR="00644DB9" w:rsidRPr="0071546E">
        <w:rPr>
          <w:rFonts w:ascii="Arial" w:eastAsiaTheme="minorEastAsia" w:hAnsi="Arial" w:cs="Arial"/>
          <w:sz w:val="24"/>
          <w:szCs w:val="24"/>
        </w:rPr>
        <w:t xml:space="preserve"> used did not inactivate 100</w:t>
      </w:r>
      <w:r w:rsidR="00234554" w:rsidRPr="0071546E">
        <w:rPr>
          <w:rFonts w:ascii="Arial" w:eastAsiaTheme="minorEastAsia" w:hAnsi="Arial" w:cs="Arial"/>
          <w:sz w:val="24"/>
          <w:szCs w:val="24"/>
        </w:rPr>
        <w:t xml:space="preserve"> </w:t>
      </w:r>
      <w:r w:rsidR="00644DB9" w:rsidRPr="0071546E">
        <w:rPr>
          <w:rFonts w:ascii="Arial" w:eastAsiaTheme="minorEastAsia" w:hAnsi="Arial" w:cs="Arial"/>
          <w:sz w:val="24"/>
          <w:szCs w:val="24"/>
        </w:rPr>
        <w:t>% of</w:t>
      </w:r>
      <w:r w:rsidRPr="0071546E">
        <w:rPr>
          <w:rFonts w:ascii="Arial" w:eastAsiaTheme="minorEastAsia" w:hAnsi="Arial" w:cs="Arial"/>
          <w:sz w:val="24"/>
          <w:szCs w:val="24"/>
        </w:rPr>
        <w:t xml:space="preserve"> the cysts. </w:t>
      </w:r>
      <w:r w:rsidR="000959EB" w:rsidRPr="0071546E">
        <w:rPr>
          <w:rFonts w:ascii="Arial" w:eastAsiaTheme="minorEastAsia" w:hAnsi="Arial" w:cs="Arial"/>
          <w:sz w:val="24"/>
          <w:szCs w:val="24"/>
        </w:rPr>
        <w:t>Dark</w:t>
      </w:r>
      <w:r w:rsidRPr="0071546E">
        <w:rPr>
          <w:rFonts w:ascii="Arial" w:eastAsiaTheme="minorEastAsia" w:hAnsi="Arial" w:cs="Arial"/>
          <w:sz w:val="24"/>
          <w:szCs w:val="24"/>
        </w:rPr>
        <w:t xml:space="preserve"> toxicity for both the trophozoites and cysts was not significant.</w:t>
      </w:r>
    </w:p>
    <w:p w:rsidR="00575D30" w:rsidRPr="0071546E" w:rsidRDefault="00575D30" w:rsidP="00CF13FE">
      <w:pPr>
        <w:spacing w:before="100" w:after="200" w:line="480" w:lineRule="auto"/>
        <w:ind w:left="1021" w:right="454" w:firstLine="57"/>
        <w:jc w:val="both"/>
        <w:rPr>
          <w:rFonts w:ascii="Arial" w:eastAsiaTheme="minorEastAsia" w:hAnsi="Arial" w:cs="Arial"/>
          <w:sz w:val="24"/>
          <w:szCs w:val="24"/>
        </w:rPr>
      </w:pPr>
    </w:p>
    <w:p w:rsidR="00644DB9" w:rsidRPr="0071546E" w:rsidRDefault="00644DB9" w:rsidP="00CF13FE">
      <w:pPr>
        <w:spacing w:before="100" w:after="200" w:line="480" w:lineRule="auto"/>
        <w:ind w:left="1021" w:right="454"/>
        <w:jc w:val="both"/>
        <w:rPr>
          <w:rStyle w:val="Heading2Char"/>
          <w:rFonts w:eastAsiaTheme="minorEastAsia"/>
        </w:rPr>
      </w:pPr>
    </w:p>
    <w:p w:rsidR="00644DB9" w:rsidRPr="0071546E" w:rsidRDefault="00644DB9" w:rsidP="00CF13FE">
      <w:pPr>
        <w:spacing w:before="100" w:after="200" w:line="480" w:lineRule="auto"/>
        <w:ind w:left="1021" w:right="454"/>
        <w:jc w:val="both"/>
        <w:rPr>
          <w:rStyle w:val="Heading2Char"/>
          <w:rFonts w:eastAsiaTheme="minorEastAsia"/>
        </w:rPr>
      </w:pPr>
    </w:p>
    <w:p w:rsidR="00644DB9" w:rsidRPr="0071546E" w:rsidRDefault="00644DB9" w:rsidP="00CF13FE">
      <w:pPr>
        <w:spacing w:before="100" w:after="200" w:line="480" w:lineRule="auto"/>
        <w:ind w:left="1021" w:right="454"/>
        <w:jc w:val="both"/>
        <w:rPr>
          <w:rStyle w:val="Heading2Char"/>
          <w:rFonts w:eastAsiaTheme="minorEastAsia"/>
        </w:rPr>
      </w:pPr>
    </w:p>
    <w:p w:rsidR="00725033" w:rsidRPr="0071546E" w:rsidRDefault="00725033" w:rsidP="00CF13FE">
      <w:pPr>
        <w:spacing w:before="100" w:after="200" w:line="480" w:lineRule="auto"/>
        <w:ind w:left="1021" w:right="454"/>
        <w:jc w:val="both"/>
        <w:rPr>
          <w:rStyle w:val="Heading2Char"/>
          <w:rFonts w:eastAsiaTheme="minorEastAsia"/>
        </w:rPr>
      </w:pPr>
      <w:bookmarkStart w:id="111" w:name="_Toc14711481"/>
      <w:r w:rsidRPr="0071546E">
        <w:rPr>
          <w:rStyle w:val="Heading2Char"/>
          <w:rFonts w:eastAsiaTheme="minorEastAsia"/>
        </w:rPr>
        <w:t>3.7.3 PDT with 5, 10, 15, 20- tetrakis (pentafluorophenyl)-21H, 23H-porphine Iron</w:t>
      </w:r>
      <w:bookmarkEnd w:id="111"/>
      <w:r w:rsidRPr="0071546E">
        <w:rPr>
          <w:rFonts w:ascii="Arial" w:eastAsiaTheme="minorEastAsia" w:hAnsi="Arial" w:cs="Arial"/>
          <w:b/>
          <w:sz w:val="24"/>
          <w:szCs w:val="24"/>
        </w:rPr>
        <w:t xml:space="preserve"> </w:t>
      </w:r>
      <w:r w:rsidRPr="0071546E">
        <w:rPr>
          <w:rStyle w:val="Heading2Char"/>
          <w:rFonts w:eastAsiaTheme="minorEastAsia"/>
        </w:rPr>
        <w:t>(III) chloride.</w:t>
      </w:r>
    </w:p>
    <w:p w:rsidR="00725033" w:rsidRPr="0071546E" w:rsidRDefault="00725033" w:rsidP="00CF13FE">
      <w:pPr>
        <w:spacing w:before="100" w:after="200" w:line="240" w:lineRule="atLeast"/>
        <w:ind w:left="1021" w:right="454" w:firstLine="57"/>
        <w:jc w:val="both"/>
        <w:rPr>
          <w:rFonts w:ascii="Arial" w:eastAsiaTheme="minorEastAsia" w:hAnsi="Arial" w:cs="Arial"/>
          <w:b/>
          <w:sz w:val="24"/>
          <w:szCs w:val="24"/>
        </w:rPr>
      </w:pPr>
      <w:r w:rsidRPr="0071546E">
        <w:rPr>
          <w:rFonts w:ascii="Arial" w:eastAsiaTheme="minorEastAsia" w:hAnsi="Arial" w:cs="Arial"/>
          <w:noProof/>
          <w:sz w:val="24"/>
          <w:szCs w:val="24"/>
          <w:lang w:eastAsia="en-GB"/>
        </w:rPr>
        <w:drawing>
          <wp:inline distT="0" distB="0" distL="0" distR="0" wp14:anchorId="2873A5BB" wp14:editId="77A9BEC9">
            <wp:extent cx="4549966" cy="3832225"/>
            <wp:effectExtent l="0" t="0" r="3175" b="0"/>
            <wp:docPr id="1212" name="Chart 1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575D30" w:rsidRPr="0071546E" w:rsidRDefault="00A621FE" w:rsidP="00CF13FE">
      <w:pPr>
        <w:spacing w:before="100" w:after="200" w:line="240" w:lineRule="atLeast"/>
        <w:ind w:left="1021" w:right="454"/>
        <w:jc w:val="both"/>
        <w:rPr>
          <w:rFonts w:ascii="Arial" w:eastAsiaTheme="minorEastAsia" w:hAnsi="Arial" w:cs="Arial"/>
          <w:sz w:val="20"/>
          <w:szCs w:val="24"/>
        </w:rPr>
      </w:pPr>
      <w:r w:rsidRPr="0071546E">
        <w:rPr>
          <w:rFonts w:ascii="Arial" w:eastAsiaTheme="minorEastAsia" w:hAnsi="Arial" w:cs="Arial"/>
          <w:sz w:val="20"/>
          <w:szCs w:val="24"/>
        </w:rPr>
        <w:t>Fig 3.3</w:t>
      </w:r>
      <w:r w:rsidR="00812AD2" w:rsidRPr="0071546E">
        <w:rPr>
          <w:rFonts w:ascii="Arial" w:eastAsiaTheme="minorEastAsia" w:hAnsi="Arial" w:cs="Arial"/>
          <w:sz w:val="20"/>
          <w:szCs w:val="24"/>
        </w:rPr>
        <w:t>4</w:t>
      </w:r>
      <w:r w:rsidRPr="0071546E">
        <w:rPr>
          <w:rFonts w:ascii="Arial" w:eastAsiaTheme="minorEastAsia" w:hAnsi="Arial" w:cs="Arial"/>
          <w:sz w:val="20"/>
          <w:szCs w:val="24"/>
        </w:rPr>
        <w:t xml:space="preserve"> </w:t>
      </w:r>
      <w:r w:rsidR="00575D30" w:rsidRPr="0071546E">
        <w:rPr>
          <w:rFonts w:ascii="Arial" w:eastAsiaTheme="minorEastAsia" w:hAnsi="Arial" w:cs="Arial"/>
          <w:sz w:val="20"/>
          <w:szCs w:val="24"/>
        </w:rPr>
        <w:t xml:space="preserve">Survival curves of </w:t>
      </w:r>
      <w:r w:rsidR="00575D30" w:rsidRPr="0071546E">
        <w:rPr>
          <w:rFonts w:ascii="Arial" w:eastAsiaTheme="minorEastAsia" w:hAnsi="Arial" w:cs="Arial"/>
          <w:i/>
          <w:sz w:val="20"/>
          <w:szCs w:val="24"/>
        </w:rPr>
        <w:t>Acanthamoeba</w:t>
      </w:r>
      <w:r w:rsidR="00575D30" w:rsidRPr="0071546E">
        <w:rPr>
          <w:rFonts w:ascii="Arial" w:eastAsiaTheme="minorEastAsia" w:hAnsi="Arial" w:cs="Arial"/>
          <w:sz w:val="20"/>
          <w:szCs w:val="24"/>
        </w:rPr>
        <w:t xml:space="preserve"> trophozoites (10</w:t>
      </w:r>
      <w:r w:rsidR="00575D30" w:rsidRPr="0071546E">
        <w:rPr>
          <w:rFonts w:ascii="Arial" w:eastAsiaTheme="minorEastAsia" w:hAnsi="Arial" w:cs="Arial"/>
          <w:sz w:val="20"/>
          <w:szCs w:val="24"/>
          <w:vertAlign w:val="superscript"/>
        </w:rPr>
        <w:t>6</w:t>
      </w:r>
      <w:r w:rsidR="00575D30" w:rsidRPr="0071546E">
        <w:rPr>
          <w:rFonts w:ascii="Arial" w:eastAsiaTheme="minorEastAsia" w:hAnsi="Arial" w:cs="Arial"/>
          <w:sz w:val="20"/>
          <w:szCs w:val="24"/>
        </w:rPr>
        <w:t xml:space="preserve">/ml) incubated with different concentrations of </w:t>
      </w:r>
      <w:r w:rsidR="00B71A46" w:rsidRPr="0071546E">
        <w:rPr>
          <w:rFonts w:ascii="Arial" w:eastAsiaTheme="minorEastAsia" w:hAnsi="Arial" w:cs="Arial"/>
          <w:sz w:val="20"/>
          <w:szCs w:val="24"/>
        </w:rPr>
        <w:t xml:space="preserve">5,10,15,20-Tetrakis(pentafluorophenyl)-21H,23H-porphyrin iron(III) chloride </w:t>
      </w:r>
      <w:r w:rsidR="00575D30" w:rsidRPr="0071546E">
        <w:rPr>
          <w:rFonts w:ascii="Arial" w:eastAsiaTheme="minorEastAsia" w:hAnsi="Arial" w:cs="Arial"/>
          <w:sz w:val="20"/>
          <w:szCs w:val="24"/>
        </w:rPr>
        <w:t xml:space="preserve">for 10 minutes in the dark and irradiated with an LED light for 60 minutes </w:t>
      </w:r>
      <w:r w:rsidR="00D5653B" w:rsidRPr="0071546E">
        <w:rPr>
          <w:rFonts w:ascii="Arial" w:eastAsiaTheme="minorEastAsia" w:hAnsi="Arial" w:cs="Arial"/>
          <w:sz w:val="20"/>
          <w:szCs w:val="24"/>
        </w:rPr>
        <w:t>(Red</w:t>
      </w:r>
      <w:r w:rsidR="00575D30" w:rsidRPr="0071546E">
        <w:rPr>
          <w:rFonts w:ascii="Arial" w:eastAsiaTheme="minorEastAsia" w:hAnsi="Arial" w:cs="Arial"/>
          <w:sz w:val="20"/>
          <w:szCs w:val="24"/>
        </w:rPr>
        <w:t>line)</w:t>
      </w:r>
      <w:r w:rsidR="00CF6A3C" w:rsidRPr="0071546E">
        <w:rPr>
          <w:rFonts w:ascii="Arial" w:eastAsiaTheme="minorEastAsia" w:hAnsi="Arial" w:cs="Arial"/>
          <w:sz w:val="20"/>
          <w:szCs w:val="24"/>
        </w:rPr>
        <w:t>. Control cells</w:t>
      </w:r>
      <w:r w:rsidR="00575D30" w:rsidRPr="0071546E">
        <w:rPr>
          <w:rFonts w:ascii="Arial" w:eastAsiaTheme="minorEastAsia" w:hAnsi="Arial" w:cs="Arial"/>
          <w:sz w:val="20"/>
          <w:szCs w:val="24"/>
        </w:rPr>
        <w:t xml:space="preserve"> incubated with porphyrin but was protected from irradiation by covering with aluminium foil was set up (blue line). Cell viability was determined with the ATP assay and percentage viability was calculated from bioluminescence signals measured at 600</w:t>
      </w:r>
      <w:r w:rsidR="003A3CAF" w:rsidRPr="0071546E">
        <w:rPr>
          <w:rFonts w:ascii="Arial" w:eastAsiaTheme="minorEastAsia" w:hAnsi="Arial" w:cs="Arial"/>
          <w:sz w:val="20"/>
          <w:szCs w:val="24"/>
        </w:rPr>
        <w:t xml:space="preserve"> </w:t>
      </w:r>
      <w:r w:rsidR="00575D30" w:rsidRPr="0071546E">
        <w:rPr>
          <w:rFonts w:ascii="Arial" w:eastAsiaTheme="minorEastAsia" w:hAnsi="Arial" w:cs="Arial"/>
          <w:sz w:val="20"/>
          <w:szCs w:val="24"/>
        </w:rPr>
        <w:t>nm wavelength. The error bars represent the standard deviation from 4 replicate reading taken from test wells</w:t>
      </w:r>
    </w:p>
    <w:p w:rsidR="00575D30" w:rsidRPr="0071546E" w:rsidRDefault="00575D30" w:rsidP="00CF13FE">
      <w:pPr>
        <w:spacing w:before="100" w:after="200" w:line="240" w:lineRule="auto"/>
        <w:ind w:left="1021" w:right="454"/>
        <w:jc w:val="both"/>
        <w:rPr>
          <w:rFonts w:ascii="Arial" w:eastAsiaTheme="minorEastAsia" w:hAnsi="Arial" w:cs="Arial"/>
          <w:sz w:val="20"/>
          <w:szCs w:val="24"/>
        </w:rPr>
      </w:pPr>
    </w:p>
    <w:p w:rsidR="00575D30" w:rsidRPr="0071546E" w:rsidRDefault="00575D30"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As observed from </w:t>
      </w:r>
      <w:r w:rsidR="00A621FE" w:rsidRPr="0071546E">
        <w:rPr>
          <w:rFonts w:ascii="Arial" w:eastAsiaTheme="minorEastAsia" w:hAnsi="Arial" w:cs="Arial"/>
          <w:sz w:val="24"/>
          <w:szCs w:val="24"/>
        </w:rPr>
        <w:t>fig 3.3</w:t>
      </w:r>
      <w:r w:rsidR="00812AD2" w:rsidRPr="0071546E">
        <w:rPr>
          <w:rFonts w:ascii="Arial" w:eastAsiaTheme="minorEastAsia" w:hAnsi="Arial" w:cs="Arial"/>
          <w:sz w:val="24"/>
          <w:szCs w:val="24"/>
        </w:rPr>
        <w:t>4</w:t>
      </w:r>
      <w:r w:rsidR="00A621FE" w:rsidRPr="0071546E">
        <w:rPr>
          <w:rFonts w:ascii="Arial" w:eastAsiaTheme="minorEastAsia" w:hAnsi="Arial" w:cs="Arial"/>
          <w:sz w:val="24"/>
          <w:szCs w:val="24"/>
        </w:rPr>
        <w:t xml:space="preserve"> </w:t>
      </w:r>
      <w:r w:rsidRPr="0071546E">
        <w:rPr>
          <w:rFonts w:ascii="Arial" w:eastAsiaTheme="minorEastAsia" w:hAnsi="Arial" w:cs="Arial"/>
          <w:sz w:val="24"/>
          <w:szCs w:val="24"/>
        </w:rPr>
        <w:t>there was approximately 75</w:t>
      </w:r>
      <w:r w:rsidR="00234554" w:rsidRPr="0071546E">
        <w:rPr>
          <w:rFonts w:ascii="Arial" w:eastAsiaTheme="minorEastAsia" w:hAnsi="Arial" w:cs="Arial"/>
          <w:sz w:val="24"/>
          <w:szCs w:val="24"/>
        </w:rPr>
        <w:t xml:space="preserve"> </w:t>
      </w:r>
      <w:r w:rsidRPr="0071546E">
        <w:rPr>
          <w:rFonts w:ascii="Arial" w:eastAsiaTheme="minorEastAsia" w:hAnsi="Arial" w:cs="Arial"/>
          <w:sz w:val="24"/>
          <w:szCs w:val="24"/>
        </w:rPr>
        <w:t xml:space="preserve">% reduction of viability in </w:t>
      </w:r>
      <w:r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trophozoites treated with </w:t>
      </w:r>
      <w:r w:rsidR="00B71A46" w:rsidRPr="0071546E">
        <w:rPr>
          <w:rFonts w:ascii="Arial" w:eastAsiaTheme="minorEastAsia" w:hAnsi="Arial" w:cs="Arial"/>
          <w:sz w:val="24"/>
          <w:szCs w:val="24"/>
        </w:rPr>
        <w:t>5,10,15,20-Tetrakis(pentafluorophenyl)-21H,23H-porphyrin iron(III) chloride.</w:t>
      </w:r>
      <w:r w:rsidRPr="0071546E">
        <w:rPr>
          <w:rFonts w:ascii="Arial" w:eastAsiaTheme="minorEastAsia" w:hAnsi="Arial" w:cs="Arial"/>
          <w:sz w:val="24"/>
          <w:szCs w:val="24"/>
        </w:rPr>
        <w:t xml:space="preserve"> The observed IC</w:t>
      </w:r>
      <w:r w:rsidRPr="0071546E">
        <w:rPr>
          <w:rFonts w:ascii="Arial" w:eastAsiaTheme="minorEastAsia" w:hAnsi="Arial" w:cs="Arial"/>
          <w:sz w:val="24"/>
          <w:szCs w:val="24"/>
          <w:vertAlign w:val="subscript"/>
        </w:rPr>
        <w:t>50</w:t>
      </w:r>
      <w:r w:rsidRPr="0071546E">
        <w:rPr>
          <w:rFonts w:ascii="Arial" w:eastAsiaTheme="minorEastAsia" w:hAnsi="Arial" w:cs="Arial"/>
          <w:sz w:val="24"/>
          <w:szCs w:val="24"/>
        </w:rPr>
        <w:t xml:space="preserve"> was just below 10 µM. There was no significant dark toxicity observed in the non-irradiated controls.</w:t>
      </w:r>
    </w:p>
    <w:p w:rsidR="00575D30" w:rsidRPr="0071546E" w:rsidRDefault="00575D30" w:rsidP="00CF13FE">
      <w:pPr>
        <w:spacing w:before="100" w:after="200" w:line="480" w:lineRule="auto"/>
        <w:ind w:left="1021" w:right="454"/>
        <w:jc w:val="both"/>
        <w:rPr>
          <w:rFonts w:ascii="Arial" w:eastAsiaTheme="minorEastAsia" w:hAnsi="Arial" w:cs="Arial"/>
          <w:b/>
          <w:sz w:val="24"/>
          <w:szCs w:val="24"/>
        </w:rPr>
      </w:pPr>
    </w:p>
    <w:p w:rsidR="00725033" w:rsidRPr="0071546E" w:rsidRDefault="00725033" w:rsidP="00CF13FE">
      <w:pPr>
        <w:spacing w:before="100" w:after="200" w:line="240" w:lineRule="atLeast"/>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1B458E8C" wp14:editId="567A5591">
            <wp:extent cx="4803354" cy="3923665"/>
            <wp:effectExtent l="0" t="0" r="0" b="635"/>
            <wp:docPr id="1194" name="Chart 1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285126" w:rsidRPr="0071546E" w:rsidRDefault="00E06426" w:rsidP="00CF13FE">
      <w:pPr>
        <w:spacing w:before="100" w:after="200" w:line="240" w:lineRule="atLeast"/>
        <w:ind w:left="1021" w:right="454"/>
        <w:jc w:val="both"/>
        <w:rPr>
          <w:rFonts w:ascii="Arial" w:eastAsiaTheme="minorEastAsia" w:hAnsi="Arial" w:cs="Arial"/>
          <w:noProof/>
          <w:sz w:val="20"/>
          <w:szCs w:val="20"/>
          <w:lang w:eastAsia="en-GB"/>
        </w:rPr>
      </w:pPr>
      <w:r w:rsidRPr="0071546E">
        <w:rPr>
          <w:rFonts w:ascii="Arial" w:eastAsiaTheme="minorEastAsia" w:hAnsi="Arial" w:cs="Arial"/>
          <w:noProof/>
          <w:sz w:val="20"/>
          <w:szCs w:val="20"/>
          <w:lang w:eastAsia="en-GB"/>
        </w:rPr>
        <w:t>Fig 3.3</w:t>
      </w:r>
      <w:r w:rsidR="00812AD2" w:rsidRPr="0071546E">
        <w:rPr>
          <w:rFonts w:ascii="Arial" w:eastAsiaTheme="minorEastAsia" w:hAnsi="Arial" w:cs="Arial"/>
          <w:noProof/>
          <w:sz w:val="20"/>
          <w:szCs w:val="20"/>
          <w:lang w:eastAsia="en-GB"/>
        </w:rPr>
        <w:t>5</w:t>
      </w:r>
      <w:r w:rsidRPr="0071546E">
        <w:rPr>
          <w:rFonts w:ascii="Arial" w:eastAsiaTheme="minorEastAsia" w:hAnsi="Arial" w:cs="Arial"/>
          <w:noProof/>
          <w:sz w:val="20"/>
          <w:szCs w:val="20"/>
          <w:lang w:eastAsia="en-GB"/>
        </w:rPr>
        <w:t xml:space="preserve"> </w:t>
      </w:r>
      <w:r w:rsidR="00575D30" w:rsidRPr="0071546E">
        <w:rPr>
          <w:rFonts w:ascii="Arial" w:eastAsiaTheme="minorEastAsia" w:hAnsi="Arial" w:cs="Arial"/>
          <w:noProof/>
          <w:sz w:val="20"/>
          <w:szCs w:val="20"/>
          <w:lang w:eastAsia="en-GB"/>
        </w:rPr>
        <w:t xml:space="preserve">Survival curves of </w:t>
      </w:r>
      <w:r w:rsidR="00575D30" w:rsidRPr="0071546E">
        <w:rPr>
          <w:rFonts w:ascii="Arial" w:eastAsiaTheme="minorEastAsia" w:hAnsi="Arial" w:cs="Arial"/>
          <w:i/>
          <w:noProof/>
          <w:sz w:val="20"/>
          <w:szCs w:val="20"/>
          <w:lang w:eastAsia="en-GB"/>
        </w:rPr>
        <w:t>Acanthamoeba</w:t>
      </w:r>
      <w:r w:rsidR="00575D30" w:rsidRPr="0071546E">
        <w:rPr>
          <w:rFonts w:ascii="Arial" w:eastAsiaTheme="minorEastAsia" w:hAnsi="Arial" w:cs="Arial"/>
          <w:noProof/>
          <w:sz w:val="20"/>
          <w:szCs w:val="20"/>
          <w:lang w:eastAsia="en-GB"/>
        </w:rPr>
        <w:t xml:space="preserve"> cysts (10</w:t>
      </w:r>
      <w:r w:rsidR="00575D30" w:rsidRPr="0071546E">
        <w:rPr>
          <w:rFonts w:ascii="Arial" w:eastAsiaTheme="minorEastAsia" w:hAnsi="Arial" w:cs="Arial"/>
          <w:noProof/>
          <w:sz w:val="20"/>
          <w:szCs w:val="20"/>
          <w:vertAlign w:val="superscript"/>
          <w:lang w:eastAsia="en-GB"/>
        </w:rPr>
        <w:t>6</w:t>
      </w:r>
      <w:r w:rsidR="00575D30" w:rsidRPr="0071546E">
        <w:rPr>
          <w:rFonts w:ascii="Arial" w:eastAsiaTheme="minorEastAsia" w:hAnsi="Arial" w:cs="Arial"/>
          <w:noProof/>
          <w:sz w:val="20"/>
          <w:szCs w:val="20"/>
          <w:lang w:eastAsia="en-GB"/>
        </w:rPr>
        <w:t xml:space="preserve">/ml) incubated with different concentrations of </w:t>
      </w:r>
      <w:r w:rsidR="00B71A46" w:rsidRPr="0071546E">
        <w:rPr>
          <w:rFonts w:ascii="Arial" w:eastAsiaTheme="minorEastAsia" w:hAnsi="Arial" w:cs="Arial"/>
          <w:noProof/>
          <w:sz w:val="20"/>
          <w:szCs w:val="20"/>
          <w:lang w:eastAsia="en-GB"/>
        </w:rPr>
        <w:t>5,10,15,20-Tetrakis(pentafluorophenyl)-21H,23H-porphyrin iron(III) chloride</w:t>
      </w:r>
      <w:r w:rsidR="00575D30" w:rsidRPr="0071546E">
        <w:rPr>
          <w:rFonts w:ascii="Arial" w:eastAsiaTheme="minorEastAsia" w:hAnsi="Arial" w:cs="Arial"/>
          <w:noProof/>
          <w:sz w:val="20"/>
          <w:szCs w:val="20"/>
          <w:lang w:eastAsia="en-GB"/>
        </w:rPr>
        <w:t xml:space="preserve"> for 10 minutes in the dark and irradiated with an LED light for 60 minutes ( Redline)</w:t>
      </w:r>
      <w:r w:rsidR="00CF6A3C" w:rsidRPr="0071546E">
        <w:rPr>
          <w:rFonts w:ascii="Arial" w:eastAsiaTheme="minorEastAsia" w:hAnsi="Arial" w:cs="Arial"/>
          <w:noProof/>
          <w:sz w:val="20"/>
          <w:szCs w:val="20"/>
          <w:lang w:eastAsia="en-GB"/>
        </w:rPr>
        <w:t>. Control</w:t>
      </w:r>
      <w:r w:rsidR="00575D30" w:rsidRPr="0071546E">
        <w:rPr>
          <w:rFonts w:ascii="Arial" w:eastAsiaTheme="minorEastAsia" w:hAnsi="Arial" w:cs="Arial"/>
          <w:noProof/>
          <w:sz w:val="20"/>
          <w:szCs w:val="20"/>
          <w:lang w:eastAsia="en-GB"/>
        </w:rPr>
        <w:t xml:space="preserve"> cells incubated with porphyrin for but was protected from irradiation by covering with aluminium foil was set up (blue line). Cell viability was determined with the ATP assay and percentage viability was calculated from bioluminescence signals measured at 600</w:t>
      </w:r>
      <w:r w:rsidR="003A3CAF" w:rsidRPr="0071546E">
        <w:rPr>
          <w:rFonts w:ascii="Arial" w:eastAsiaTheme="minorEastAsia" w:hAnsi="Arial" w:cs="Arial"/>
          <w:noProof/>
          <w:sz w:val="20"/>
          <w:szCs w:val="20"/>
          <w:lang w:eastAsia="en-GB"/>
        </w:rPr>
        <w:t xml:space="preserve"> </w:t>
      </w:r>
      <w:r w:rsidR="00575D30" w:rsidRPr="0071546E">
        <w:rPr>
          <w:rFonts w:ascii="Arial" w:eastAsiaTheme="minorEastAsia" w:hAnsi="Arial" w:cs="Arial"/>
          <w:noProof/>
          <w:sz w:val="20"/>
          <w:szCs w:val="20"/>
          <w:lang w:eastAsia="en-GB"/>
        </w:rPr>
        <w:t>nm wavelength. The error bars represent the standard deviation from 4 replicate reading taken from test wells</w:t>
      </w:r>
    </w:p>
    <w:p w:rsidR="00285126" w:rsidRPr="0071546E" w:rsidRDefault="00285126" w:rsidP="00CF13FE">
      <w:pPr>
        <w:spacing w:before="100" w:after="200" w:line="240" w:lineRule="atLeast"/>
        <w:ind w:left="1021" w:right="454"/>
        <w:jc w:val="both"/>
        <w:rPr>
          <w:rFonts w:ascii="Arial" w:eastAsiaTheme="minorEastAsia" w:hAnsi="Arial" w:cs="Arial"/>
          <w:noProof/>
          <w:sz w:val="20"/>
          <w:szCs w:val="20"/>
          <w:lang w:eastAsia="en-GB"/>
        </w:rPr>
      </w:pPr>
    </w:p>
    <w:p w:rsidR="00575D30" w:rsidRPr="0071546E" w:rsidRDefault="00285126" w:rsidP="00CF13FE">
      <w:pPr>
        <w:spacing w:before="100" w:after="200" w:line="480" w:lineRule="auto"/>
        <w:ind w:left="1021" w:right="454"/>
        <w:jc w:val="both"/>
        <w:rPr>
          <w:rFonts w:ascii="Arial" w:eastAsiaTheme="minorEastAsia" w:hAnsi="Arial" w:cs="Arial"/>
          <w:noProof/>
          <w:sz w:val="24"/>
          <w:szCs w:val="20"/>
          <w:lang w:eastAsia="en-GB"/>
        </w:rPr>
      </w:pPr>
      <w:r w:rsidRPr="0071546E">
        <w:rPr>
          <w:rFonts w:ascii="Arial" w:eastAsiaTheme="minorEastAsia" w:hAnsi="Arial" w:cs="Arial"/>
          <w:noProof/>
          <w:sz w:val="24"/>
          <w:szCs w:val="20"/>
          <w:lang w:eastAsia="en-GB"/>
        </w:rPr>
        <w:t>Cyst viability was reduced to 25</w:t>
      </w:r>
      <w:r w:rsidR="00234554" w:rsidRPr="0071546E">
        <w:rPr>
          <w:rFonts w:ascii="Arial" w:eastAsiaTheme="minorEastAsia" w:hAnsi="Arial" w:cs="Arial"/>
          <w:noProof/>
          <w:sz w:val="24"/>
          <w:szCs w:val="20"/>
          <w:lang w:eastAsia="en-GB"/>
        </w:rPr>
        <w:t xml:space="preserve"> </w:t>
      </w:r>
      <w:r w:rsidRPr="0071546E">
        <w:rPr>
          <w:rFonts w:ascii="Arial" w:eastAsiaTheme="minorEastAsia" w:hAnsi="Arial" w:cs="Arial"/>
          <w:noProof/>
          <w:sz w:val="24"/>
          <w:szCs w:val="20"/>
          <w:lang w:eastAsia="en-GB"/>
        </w:rPr>
        <w:t xml:space="preserve">% </w:t>
      </w:r>
      <w:r w:rsidR="003A3CAF" w:rsidRPr="0071546E">
        <w:rPr>
          <w:rFonts w:ascii="Arial" w:eastAsiaTheme="minorEastAsia" w:hAnsi="Arial" w:cs="Arial"/>
          <w:noProof/>
          <w:sz w:val="24"/>
          <w:szCs w:val="20"/>
          <w:lang w:eastAsia="en-GB"/>
        </w:rPr>
        <w:t>after exposure to</w:t>
      </w:r>
      <w:r w:rsidR="00B71A46" w:rsidRPr="0071546E">
        <w:rPr>
          <w:rFonts w:ascii="Arial" w:eastAsiaTheme="minorEastAsia" w:hAnsi="Arial" w:cs="Arial"/>
          <w:noProof/>
          <w:sz w:val="24"/>
          <w:szCs w:val="20"/>
          <w:lang w:eastAsia="en-GB"/>
        </w:rPr>
        <w:t xml:space="preserve"> 5,10,15,20-Tetrakis(pentafluorophenyl)-21H,23H-porphyrin iron(III) chloride</w:t>
      </w:r>
      <w:r w:rsidR="004978B7" w:rsidRPr="0071546E">
        <w:rPr>
          <w:rFonts w:ascii="Arial" w:eastAsiaTheme="minorEastAsia" w:hAnsi="Arial" w:cs="Arial"/>
          <w:noProof/>
          <w:sz w:val="24"/>
          <w:szCs w:val="20"/>
          <w:lang w:eastAsia="en-GB"/>
        </w:rPr>
        <w:t xml:space="preserve"> </w:t>
      </w:r>
      <w:r w:rsidR="00E06426" w:rsidRPr="0071546E">
        <w:rPr>
          <w:rFonts w:ascii="Arial" w:eastAsiaTheme="minorEastAsia" w:hAnsi="Arial" w:cs="Arial"/>
          <w:noProof/>
          <w:sz w:val="24"/>
          <w:szCs w:val="20"/>
          <w:lang w:eastAsia="en-GB"/>
        </w:rPr>
        <w:t>fig 3.3</w:t>
      </w:r>
      <w:r w:rsidR="00812AD2" w:rsidRPr="0071546E">
        <w:rPr>
          <w:rFonts w:ascii="Arial" w:eastAsiaTheme="minorEastAsia" w:hAnsi="Arial" w:cs="Arial"/>
          <w:noProof/>
          <w:sz w:val="24"/>
          <w:szCs w:val="20"/>
          <w:lang w:eastAsia="en-GB"/>
        </w:rPr>
        <w:t>5</w:t>
      </w:r>
      <w:r w:rsidR="00E06426" w:rsidRPr="0071546E">
        <w:rPr>
          <w:rFonts w:ascii="Arial" w:eastAsiaTheme="minorEastAsia" w:hAnsi="Arial" w:cs="Arial"/>
          <w:noProof/>
          <w:sz w:val="24"/>
          <w:szCs w:val="20"/>
          <w:lang w:eastAsia="en-GB"/>
        </w:rPr>
        <w:t xml:space="preserve">. </w:t>
      </w:r>
      <w:r w:rsidR="003A3CAF" w:rsidRPr="0071546E">
        <w:rPr>
          <w:rFonts w:ascii="Arial" w:eastAsiaTheme="minorEastAsia" w:hAnsi="Arial" w:cs="Arial"/>
          <w:noProof/>
          <w:sz w:val="24"/>
          <w:szCs w:val="20"/>
          <w:lang w:eastAsia="en-GB"/>
        </w:rPr>
        <w:t>T</w:t>
      </w:r>
      <w:r w:rsidRPr="0071546E">
        <w:rPr>
          <w:rFonts w:ascii="Arial" w:eastAsiaTheme="minorEastAsia" w:hAnsi="Arial" w:cs="Arial"/>
          <w:noProof/>
          <w:sz w:val="24"/>
          <w:szCs w:val="20"/>
          <w:lang w:eastAsia="en-GB"/>
        </w:rPr>
        <w:t>he cysts were more resistant than the trophozoites as the IC</w:t>
      </w:r>
      <w:r w:rsidRPr="0071546E">
        <w:rPr>
          <w:rFonts w:ascii="Arial" w:eastAsiaTheme="minorEastAsia" w:hAnsi="Arial" w:cs="Arial"/>
          <w:noProof/>
          <w:sz w:val="24"/>
          <w:szCs w:val="20"/>
          <w:vertAlign w:val="subscript"/>
          <w:lang w:eastAsia="en-GB"/>
        </w:rPr>
        <w:t>50</w:t>
      </w:r>
      <w:r w:rsidRPr="0071546E">
        <w:rPr>
          <w:rFonts w:ascii="Arial" w:eastAsiaTheme="minorEastAsia" w:hAnsi="Arial" w:cs="Arial"/>
          <w:noProof/>
          <w:sz w:val="24"/>
          <w:szCs w:val="20"/>
          <w:lang w:eastAsia="en-GB"/>
        </w:rPr>
        <w:t xml:space="preserve"> for the cysts was higher at 25 µM. Reduction in </w:t>
      </w:r>
      <w:r w:rsidR="00EF5402" w:rsidRPr="0071546E">
        <w:rPr>
          <w:rFonts w:ascii="Arial" w:eastAsiaTheme="minorEastAsia" w:hAnsi="Arial" w:cs="Arial"/>
          <w:noProof/>
          <w:sz w:val="24"/>
          <w:szCs w:val="20"/>
          <w:lang w:eastAsia="en-GB"/>
        </w:rPr>
        <w:t xml:space="preserve">the </w:t>
      </w:r>
      <w:r w:rsidRPr="0071546E">
        <w:rPr>
          <w:rFonts w:ascii="Arial" w:eastAsiaTheme="minorEastAsia" w:hAnsi="Arial" w:cs="Arial"/>
          <w:noProof/>
          <w:sz w:val="24"/>
          <w:szCs w:val="20"/>
          <w:lang w:eastAsia="en-GB"/>
        </w:rPr>
        <w:t>viability of the dark controls was not significant</w:t>
      </w:r>
      <w:r w:rsidR="003A3CAF" w:rsidRPr="0071546E">
        <w:rPr>
          <w:rFonts w:ascii="Arial" w:eastAsiaTheme="minorEastAsia" w:hAnsi="Arial" w:cs="Arial"/>
          <w:noProof/>
          <w:sz w:val="24"/>
          <w:szCs w:val="20"/>
          <w:lang w:eastAsia="en-GB"/>
        </w:rPr>
        <w:t xml:space="preserve"> in both the cysts and the trophozoites.</w:t>
      </w:r>
    </w:p>
    <w:p w:rsidR="00575D30" w:rsidRPr="0071546E" w:rsidRDefault="00575D30" w:rsidP="00CF13FE">
      <w:pPr>
        <w:spacing w:before="100" w:after="200" w:line="480" w:lineRule="auto"/>
        <w:ind w:left="1021" w:right="454"/>
        <w:jc w:val="both"/>
        <w:rPr>
          <w:rFonts w:ascii="Arial" w:eastAsiaTheme="minorEastAsia" w:hAnsi="Arial" w:cs="Arial"/>
          <w:sz w:val="32"/>
          <w:szCs w:val="24"/>
        </w:rPr>
      </w:pPr>
    </w:p>
    <w:p w:rsidR="00575D30" w:rsidRPr="0071546E" w:rsidRDefault="00575D30" w:rsidP="00CF13FE">
      <w:pPr>
        <w:spacing w:before="100" w:after="200" w:line="480" w:lineRule="auto"/>
        <w:ind w:left="1021" w:right="454"/>
        <w:jc w:val="both"/>
        <w:rPr>
          <w:rFonts w:ascii="Arial" w:eastAsiaTheme="minorEastAsia" w:hAnsi="Arial" w:cs="Arial"/>
          <w:sz w:val="24"/>
          <w:szCs w:val="24"/>
        </w:rPr>
      </w:pPr>
    </w:p>
    <w:p w:rsidR="00CF6A3C" w:rsidRPr="0071546E" w:rsidRDefault="00CF6A3C" w:rsidP="00CF13FE">
      <w:pPr>
        <w:spacing w:before="100" w:after="200" w:line="480" w:lineRule="auto"/>
        <w:ind w:left="1021" w:right="454"/>
        <w:jc w:val="both"/>
        <w:rPr>
          <w:rFonts w:ascii="Arial" w:eastAsiaTheme="minorEastAsia" w:hAnsi="Arial" w:cs="Arial"/>
          <w:sz w:val="24"/>
          <w:szCs w:val="24"/>
        </w:rPr>
      </w:pPr>
    </w:p>
    <w:p w:rsidR="00725033" w:rsidRPr="0071546E" w:rsidRDefault="00725033" w:rsidP="00CF13FE">
      <w:pPr>
        <w:pStyle w:val="Heading2"/>
        <w:ind w:left="1021" w:right="454"/>
        <w:rPr>
          <w:rFonts w:eastAsiaTheme="minorEastAsia"/>
        </w:rPr>
      </w:pPr>
      <w:bookmarkStart w:id="112" w:name="_Toc14711482"/>
      <w:r w:rsidRPr="0071546E">
        <w:rPr>
          <w:rFonts w:eastAsiaTheme="minorEastAsia"/>
        </w:rPr>
        <w:t>3.7.4</w:t>
      </w:r>
      <w:r w:rsidRPr="0071546E">
        <w:rPr>
          <w:rFonts w:eastAsiaTheme="minorEastAsia"/>
        </w:rPr>
        <w:tab/>
        <w:t xml:space="preserve"> PDT with 5, 10, 15, 20-Tetrakis (4-methyl</w:t>
      </w:r>
      <w:r w:rsidR="00C227F9" w:rsidRPr="0071546E">
        <w:rPr>
          <w:rFonts w:eastAsiaTheme="minorEastAsia"/>
        </w:rPr>
        <w:t xml:space="preserve"> </w:t>
      </w:r>
      <w:r w:rsidRPr="0071546E">
        <w:rPr>
          <w:rFonts w:eastAsiaTheme="minorEastAsia"/>
        </w:rPr>
        <w:t>phenyl)-21H23H porphine</w:t>
      </w:r>
      <w:bookmarkEnd w:id="112"/>
    </w:p>
    <w:p w:rsidR="00725033" w:rsidRPr="0071546E" w:rsidRDefault="00725033" w:rsidP="00CF13FE">
      <w:pPr>
        <w:spacing w:before="100" w:after="200" w:line="240" w:lineRule="auto"/>
        <w:ind w:left="1021" w:right="454" w:firstLine="57"/>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2E318B2C" wp14:editId="3DB4D540">
            <wp:extent cx="4737253" cy="3888105"/>
            <wp:effectExtent l="0" t="0" r="6350" b="0"/>
            <wp:docPr id="1203" name="Chart 1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A3CAF" w:rsidRPr="0071546E" w:rsidRDefault="00E06426" w:rsidP="00CF13FE">
      <w:pPr>
        <w:spacing w:after="200" w:line="240" w:lineRule="auto"/>
        <w:ind w:left="1021" w:right="454"/>
        <w:jc w:val="both"/>
        <w:rPr>
          <w:rFonts w:ascii="Arial" w:eastAsiaTheme="minorEastAsia" w:hAnsi="Arial" w:cs="Arial"/>
          <w:sz w:val="20"/>
          <w:szCs w:val="20"/>
        </w:rPr>
      </w:pPr>
      <w:r w:rsidRPr="0071546E">
        <w:rPr>
          <w:rFonts w:ascii="Arial" w:eastAsiaTheme="minorEastAsia" w:hAnsi="Arial" w:cs="Arial"/>
          <w:sz w:val="20"/>
          <w:szCs w:val="20"/>
        </w:rPr>
        <w:t>Fig 3.3</w:t>
      </w:r>
      <w:r w:rsidR="00812AD2" w:rsidRPr="0071546E">
        <w:rPr>
          <w:rFonts w:ascii="Arial" w:eastAsiaTheme="minorEastAsia" w:hAnsi="Arial" w:cs="Arial"/>
          <w:sz w:val="20"/>
          <w:szCs w:val="20"/>
        </w:rPr>
        <w:t>6</w:t>
      </w:r>
      <w:r w:rsidRPr="0071546E">
        <w:rPr>
          <w:rFonts w:ascii="Arial" w:eastAsiaTheme="minorEastAsia" w:hAnsi="Arial" w:cs="Arial"/>
          <w:sz w:val="20"/>
          <w:szCs w:val="20"/>
        </w:rPr>
        <w:t xml:space="preserve"> </w:t>
      </w:r>
      <w:r w:rsidR="003A3CAF" w:rsidRPr="0071546E">
        <w:rPr>
          <w:rFonts w:ascii="Arial" w:eastAsiaTheme="minorEastAsia" w:hAnsi="Arial" w:cs="Arial"/>
          <w:sz w:val="20"/>
          <w:szCs w:val="20"/>
        </w:rPr>
        <w:t xml:space="preserve">Survival curves of </w:t>
      </w:r>
      <w:r w:rsidR="003A3CAF" w:rsidRPr="0071546E">
        <w:rPr>
          <w:rFonts w:ascii="Arial" w:eastAsiaTheme="minorEastAsia" w:hAnsi="Arial" w:cs="Arial"/>
          <w:i/>
          <w:sz w:val="20"/>
          <w:szCs w:val="20"/>
        </w:rPr>
        <w:t xml:space="preserve">Acanthamoeba </w:t>
      </w:r>
      <w:r w:rsidR="003A3CAF" w:rsidRPr="0071546E">
        <w:rPr>
          <w:rFonts w:ascii="Arial" w:eastAsiaTheme="minorEastAsia" w:hAnsi="Arial" w:cs="Arial"/>
          <w:sz w:val="20"/>
          <w:szCs w:val="20"/>
        </w:rPr>
        <w:t>trophozoites</w:t>
      </w:r>
      <w:r w:rsidR="00CC2EE9" w:rsidRPr="0071546E">
        <w:rPr>
          <w:rFonts w:ascii="Arial" w:eastAsiaTheme="minorEastAsia" w:hAnsi="Arial" w:cs="Arial"/>
          <w:sz w:val="20"/>
          <w:szCs w:val="20"/>
        </w:rPr>
        <w:t xml:space="preserve"> </w:t>
      </w:r>
      <w:r w:rsidR="003A3CAF" w:rsidRPr="0071546E">
        <w:rPr>
          <w:rFonts w:ascii="Arial" w:eastAsiaTheme="minorEastAsia" w:hAnsi="Arial" w:cs="Arial"/>
          <w:sz w:val="20"/>
          <w:szCs w:val="20"/>
        </w:rPr>
        <w:t>(10</w:t>
      </w:r>
      <w:r w:rsidR="003A3CAF" w:rsidRPr="0071546E">
        <w:rPr>
          <w:rFonts w:ascii="Arial" w:eastAsiaTheme="minorEastAsia" w:hAnsi="Arial" w:cs="Arial"/>
          <w:sz w:val="20"/>
          <w:szCs w:val="20"/>
          <w:vertAlign w:val="superscript"/>
        </w:rPr>
        <w:t>6</w:t>
      </w:r>
      <w:r w:rsidR="003A3CAF" w:rsidRPr="0071546E">
        <w:rPr>
          <w:rFonts w:ascii="Arial" w:eastAsiaTheme="minorEastAsia" w:hAnsi="Arial" w:cs="Arial"/>
          <w:sz w:val="20"/>
          <w:szCs w:val="20"/>
        </w:rPr>
        <w:t xml:space="preserve">/ml) incubated with different concentrations of </w:t>
      </w:r>
      <w:r w:rsidR="003A3CAF" w:rsidRPr="0071546E">
        <w:rPr>
          <w:rFonts w:ascii="Arial" w:hAnsi="Arial" w:cs="Arial"/>
          <w:sz w:val="20"/>
          <w:szCs w:val="20"/>
        </w:rPr>
        <w:t xml:space="preserve">5, 10, 15, 20-Tetrakis (4-methyl phenyl)-21H23H porphine, </w:t>
      </w:r>
      <w:r w:rsidR="003A3CAF" w:rsidRPr="0071546E">
        <w:rPr>
          <w:rFonts w:ascii="Arial" w:eastAsiaTheme="minorEastAsia" w:hAnsi="Arial" w:cs="Arial"/>
          <w:sz w:val="20"/>
          <w:szCs w:val="20"/>
        </w:rPr>
        <w:t xml:space="preserve">for 10 minutes in the dark and irradiated with an LED light for 60 minutes </w:t>
      </w:r>
      <w:r w:rsidR="00CC2EE9" w:rsidRPr="0071546E">
        <w:rPr>
          <w:rFonts w:ascii="Arial" w:eastAsiaTheme="minorEastAsia" w:hAnsi="Arial" w:cs="Arial"/>
          <w:sz w:val="20"/>
          <w:szCs w:val="20"/>
        </w:rPr>
        <w:t>(Red</w:t>
      </w:r>
      <w:r w:rsidR="003A3CAF" w:rsidRPr="0071546E">
        <w:rPr>
          <w:rFonts w:ascii="Arial" w:eastAsiaTheme="minorEastAsia" w:hAnsi="Arial" w:cs="Arial"/>
          <w:sz w:val="20"/>
          <w:szCs w:val="20"/>
        </w:rPr>
        <w:t>line)</w:t>
      </w:r>
      <w:r w:rsidR="00CC2EE9" w:rsidRPr="0071546E">
        <w:rPr>
          <w:rFonts w:ascii="Arial" w:eastAsiaTheme="minorEastAsia" w:hAnsi="Arial" w:cs="Arial"/>
          <w:sz w:val="20"/>
          <w:szCs w:val="20"/>
        </w:rPr>
        <w:t>. C</w:t>
      </w:r>
      <w:r w:rsidR="00FE492E" w:rsidRPr="0071546E">
        <w:rPr>
          <w:rFonts w:ascii="Arial" w:eastAsiaTheme="minorEastAsia" w:hAnsi="Arial" w:cs="Arial"/>
          <w:sz w:val="20"/>
          <w:szCs w:val="20"/>
        </w:rPr>
        <w:t>ontrol</w:t>
      </w:r>
      <w:r w:rsidR="003A3CAF" w:rsidRPr="0071546E">
        <w:rPr>
          <w:rFonts w:ascii="Arial" w:eastAsiaTheme="minorEastAsia" w:hAnsi="Arial" w:cs="Arial"/>
          <w:sz w:val="20"/>
          <w:szCs w:val="20"/>
        </w:rPr>
        <w:t xml:space="preserve"> cells incubated with porphyrin but was protected from irradiation by covering with aluminium foil was set up (blue line). Cell viability was determined with the ATP assay and percentage viability was calculated from bioluminescence signals measured at 600 nm wavelength. The error bars represent the standard deviation from 4 replicate reading taken from test wells</w:t>
      </w:r>
    </w:p>
    <w:p w:rsidR="003A3CAF" w:rsidRPr="0071546E" w:rsidRDefault="003A3CAF" w:rsidP="00CF13FE">
      <w:pPr>
        <w:spacing w:before="100" w:after="200" w:line="240" w:lineRule="auto"/>
        <w:ind w:left="1021" w:right="454"/>
        <w:jc w:val="both"/>
        <w:rPr>
          <w:rFonts w:ascii="Arial" w:eastAsiaTheme="minorEastAsia" w:hAnsi="Arial" w:cs="Arial"/>
          <w:noProof/>
          <w:sz w:val="20"/>
          <w:szCs w:val="20"/>
          <w:lang w:eastAsia="en-GB"/>
        </w:rPr>
      </w:pPr>
    </w:p>
    <w:p w:rsidR="003A3CAF" w:rsidRPr="0071546E" w:rsidRDefault="00E06426" w:rsidP="00CF13FE">
      <w:pPr>
        <w:spacing w:after="200" w:line="480" w:lineRule="auto"/>
        <w:ind w:left="1021" w:right="454"/>
        <w:jc w:val="both"/>
        <w:rPr>
          <w:rFonts w:ascii="Arial" w:eastAsiaTheme="minorEastAsia" w:hAnsi="Arial" w:cs="Arial"/>
          <w:noProof/>
          <w:sz w:val="24"/>
          <w:szCs w:val="24"/>
          <w:lang w:eastAsia="en-GB"/>
        </w:rPr>
      </w:pPr>
      <w:r w:rsidRPr="0071546E">
        <w:rPr>
          <w:rFonts w:ascii="Arial" w:eastAsiaTheme="minorEastAsia" w:hAnsi="Arial" w:cs="Arial"/>
          <w:noProof/>
          <w:sz w:val="24"/>
          <w:szCs w:val="24"/>
          <w:lang w:eastAsia="en-GB"/>
        </w:rPr>
        <w:t>As seen in fig 3.3</w:t>
      </w:r>
      <w:r w:rsidR="00812AD2" w:rsidRPr="0071546E">
        <w:rPr>
          <w:rFonts w:ascii="Arial" w:eastAsiaTheme="minorEastAsia" w:hAnsi="Arial" w:cs="Arial"/>
          <w:noProof/>
          <w:sz w:val="24"/>
          <w:szCs w:val="24"/>
          <w:lang w:eastAsia="en-GB"/>
        </w:rPr>
        <w:t>6</w:t>
      </w:r>
      <w:r w:rsidRPr="0071546E">
        <w:rPr>
          <w:rFonts w:ascii="Arial" w:eastAsiaTheme="minorEastAsia" w:hAnsi="Arial" w:cs="Arial"/>
          <w:noProof/>
          <w:sz w:val="24"/>
          <w:szCs w:val="24"/>
          <w:lang w:eastAsia="en-GB"/>
        </w:rPr>
        <w:t xml:space="preserve"> </w:t>
      </w:r>
      <w:r w:rsidR="003A3CAF" w:rsidRPr="0071546E">
        <w:rPr>
          <w:rFonts w:ascii="Arial" w:eastAsiaTheme="minorEastAsia" w:hAnsi="Arial" w:cs="Arial"/>
          <w:noProof/>
          <w:sz w:val="24"/>
          <w:szCs w:val="24"/>
          <w:lang w:eastAsia="en-GB"/>
        </w:rPr>
        <w:t>after 60 minutes irradiation, there was about 30</w:t>
      </w:r>
      <w:r w:rsidR="00234554" w:rsidRPr="0071546E">
        <w:rPr>
          <w:rFonts w:ascii="Arial" w:eastAsiaTheme="minorEastAsia" w:hAnsi="Arial" w:cs="Arial"/>
          <w:noProof/>
          <w:sz w:val="24"/>
          <w:szCs w:val="24"/>
          <w:lang w:eastAsia="en-GB"/>
        </w:rPr>
        <w:t xml:space="preserve"> </w:t>
      </w:r>
      <w:r w:rsidR="003A3CAF" w:rsidRPr="0071546E">
        <w:rPr>
          <w:rFonts w:ascii="Arial" w:eastAsiaTheme="minorEastAsia" w:hAnsi="Arial" w:cs="Arial"/>
          <w:noProof/>
          <w:sz w:val="24"/>
          <w:szCs w:val="24"/>
          <w:lang w:eastAsia="en-GB"/>
        </w:rPr>
        <w:t xml:space="preserve">% reduction of </w:t>
      </w:r>
      <w:r w:rsidR="003A3CAF" w:rsidRPr="0071546E">
        <w:rPr>
          <w:rFonts w:ascii="Arial" w:eastAsiaTheme="minorEastAsia" w:hAnsi="Arial" w:cs="Arial"/>
          <w:i/>
          <w:noProof/>
          <w:sz w:val="24"/>
          <w:szCs w:val="24"/>
          <w:lang w:eastAsia="en-GB"/>
        </w:rPr>
        <w:t>Acanthamoeba</w:t>
      </w:r>
      <w:r w:rsidR="003A3CAF" w:rsidRPr="0071546E">
        <w:rPr>
          <w:rFonts w:ascii="Arial" w:eastAsiaTheme="minorEastAsia" w:hAnsi="Arial" w:cs="Arial"/>
          <w:noProof/>
          <w:sz w:val="24"/>
          <w:szCs w:val="24"/>
          <w:lang w:eastAsia="en-GB"/>
        </w:rPr>
        <w:t xml:space="preserve"> trophozoites by </w:t>
      </w:r>
      <w:r w:rsidR="003A3CAF" w:rsidRPr="0071546E">
        <w:rPr>
          <w:rFonts w:ascii="Arial" w:hAnsi="Arial" w:cs="Arial"/>
          <w:noProof/>
          <w:sz w:val="24"/>
          <w:szCs w:val="24"/>
        </w:rPr>
        <w:t xml:space="preserve">5, 10, 15, 20-Tetrakis (4-methyl phenyl)-21H23H porphine. No dark toxicity was </w:t>
      </w:r>
      <w:r w:rsidR="00234554" w:rsidRPr="0071546E">
        <w:rPr>
          <w:rFonts w:ascii="Arial" w:hAnsi="Arial" w:cs="Arial"/>
          <w:noProof/>
          <w:sz w:val="24"/>
          <w:szCs w:val="24"/>
        </w:rPr>
        <w:t>noticed with the control sample.</w:t>
      </w:r>
    </w:p>
    <w:p w:rsidR="003A3CAF" w:rsidRPr="0071546E" w:rsidRDefault="003A3CAF" w:rsidP="00CF13FE">
      <w:pPr>
        <w:spacing w:before="100" w:after="200" w:line="480" w:lineRule="auto"/>
        <w:ind w:left="1021" w:right="454"/>
        <w:jc w:val="both"/>
        <w:rPr>
          <w:rFonts w:ascii="Arial" w:eastAsiaTheme="minorEastAsia" w:hAnsi="Arial" w:cs="Arial"/>
          <w:noProof/>
          <w:sz w:val="24"/>
          <w:szCs w:val="24"/>
          <w:lang w:eastAsia="en-GB"/>
        </w:rPr>
      </w:pPr>
    </w:p>
    <w:p w:rsidR="003A3CAF" w:rsidRPr="0071546E" w:rsidRDefault="003A3CAF" w:rsidP="00CF13FE">
      <w:pPr>
        <w:spacing w:before="100" w:after="200" w:line="240" w:lineRule="auto"/>
        <w:ind w:left="1021" w:right="454"/>
        <w:jc w:val="both"/>
        <w:rPr>
          <w:rFonts w:ascii="Arial" w:eastAsiaTheme="minorEastAsia" w:hAnsi="Arial" w:cs="Arial"/>
          <w:noProof/>
          <w:sz w:val="20"/>
          <w:szCs w:val="20"/>
          <w:lang w:eastAsia="en-GB"/>
        </w:rPr>
      </w:pPr>
    </w:p>
    <w:p w:rsidR="003A3CAF" w:rsidRPr="0071546E" w:rsidRDefault="003A3CAF" w:rsidP="00CF13FE">
      <w:pPr>
        <w:spacing w:before="100" w:after="200" w:line="240" w:lineRule="auto"/>
        <w:ind w:left="1021" w:right="454"/>
        <w:jc w:val="both"/>
        <w:rPr>
          <w:rFonts w:ascii="Arial" w:eastAsiaTheme="minorEastAsia" w:hAnsi="Arial" w:cs="Arial"/>
          <w:noProof/>
          <w:sz w:val="20"/>
          <w:szCs w:val="20"/>
          <w:lang w:eastAsia="en-GB"/>
        </w:rPr>
      </w:pPr>
    </w:p>
    <w:p w:rsidR="003A3CAF" w:rsidRPr="0071546E" w:rsidRDefault="003A3CAF" w:rsidP="00CF13FE">
      <w:pPr>
        <w:spacing w:before="100" w:after="200" w:line="240" w:lineRule="auto"/>
        <w:ind w:left="1021" w:right="454"/>
        <w:jc w:val="both"/>
        <w:rPr>
          <w:rFonts w:ascii="Arial" w:eastAsiaTheme="minorEastAsia" w:hAnsi="Arial" w:cs="Arial"/>
          <w:noProof/>
          <w:sz w:val="20"/>
          <w:szCs w:val="20"/>
          <w:lang w:eastAsia="en-GB"/>
        </w:rPr>
      </w:pPr>
    </w:p>
    <w:p w:rsidR="00725033" w:rsidRPr="0071546E" w:rsidRDefault="00725033" w:rsidP="00CF13FE">
      <w:pPr>
        <w:spacing w:before="100" w:after="200" w:line="240" w:lineRule="atLeast"/>
        <w:ind w:left="1021" w:right="454"/>
        <w:jc w:val="both"/>
        <w:rPr>
          <w:rFonts w:ascii="Arial" w:eastAsiaTheme="minorEastAsia" w:hAnsi="Arial" w:cs="Arial"/>
          <w:sz w:val="24"/>
          <w:szCs w:val="24"/>
        </w:rPr>
      </w:pPr>
      <w:r w:rsidRPr="0071546E">
        <w:rPr>
          <w:rFonts w:ascii="Arial" w:eastAsiaTheme="minorEastAsia" w:hAnsi="Arial" w:cs="Arial"/>
          <w:noProof/>
          <w:sz w:val="24"/>
          <w:szCs w:val="24"/>
          <w:lang w:eastAsia="en-GB"/>
        </w:rPr>
        <w:drawing>
          <wp:inline distT="0" distB="0" distL="0" distR="0" wp14:anchorId="5D65CFEA" wp14:editId="25E631C8">
            <wp:extent cx="4737253" cy="3996055"/>
            <wp:effectExtent l="0" t="0" r="6350" b="4445"/>
            <wp:docPr id="1200" name="Chart 1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3A3CAF" w:rsidRPr="0071546E" w:rsidRDefault="003A3CAF" w:rsidP="00CF13FE">
      <w:pPr>
        <w:spacing w:before="100" w:after="200" w:line="240" w:lineRule="atLeast"/>
        <w:ind w:left="1021" w:right="454"/>
        <w:jc w:val="both"/>
        <w:rPr>
          <w:rFonts w:ascii="Arial" w:eastAsiaTheme="minorEastAsia" w:hAnsi="Arial" w:cs="Arial"/>
          <w:sz w:val="20"/>
          <w:szCs w:val="20"/>
        </w:rPr>
      </w:pPr>
      <w:r w:rsidRPr="0071546E">
        <w:rPr>
          <w:rFonts w:ascii="Arial" w:eastAsiaTheme="minorEastAsia" w:hAnsi="Arial" w:cs="Arial"/>
          <w:sz w:val="20"/>
          <w:szCs w:val="20"/>
        </w:rPr>
        <w:t>Fig 3.3</w:t>
      </w:r>
      <w:r w:rsidR="00812AD2" w:rsidRPr="0071546E">
        <w:rPr>
          <w:rFonts w:ascii="Arial" w:eastAsiaTheme="minorEastAsia" w:hAnsi="Arial" w:cs="Arial"/>
          <w:sz w:val="20"/>
          <w:szCs w:val="20"/>
        </w:rPr>
        <w:t>7</w:t>
      </w:r>
      <w:r w:rsidR="00E06426" w:rsidRPr="0071546E">
        <w:rPr>
          <w:rFonts w:ascii="Arial" w:eastAsiaTheme="minorEastAsia" w:hAnsi="Arial" w:cs="Arial"/>
          <w:sz w:val="20"/>
          <w:szCs w:val="20"/>
        </w:rPr>
        <w:t xml:space="preserve"> </w:t>
      </w:r>
      <w:r w:rsidRPr="0071546E">
        <w:rPr>
          <w:rFonts w:ascii="Arial" w:eastAsiaTheme="minorEastAsia" w:hAnsi="Arial" w:cs="Arial"/>
          <w:sz w:val="20"/>
          <w:szCs w:val="20"/>
        </w:rPr>
        <w:t xml:space="preserve">Survival curves of </w:t>
      </w:r>
      <w:r w:rsidRPr="0071546E">
        <w:rPr>
          <w:rFonts w:ascii="Arial" w:eastAsiaTheme="minorEastAsia" w:hAnsi="Arial" w:cs="Arial"/>
          <w:i/>
          <w:sz w:val="20"/>
          <w:szCs w:val="20"/>
        </w:rPr>
        <w:t xml:space="preserve">Acanthamoeba </w:t>
      </w:r>
      <w:r w:rsidRPr="0071546E">
        <w:rPr>
          <w:rFonts w:ascii="Arial" w:eastAsiaTheme="minorEastAsia" w:hAnsi="Arial" w:cs="Arial"/>
          <w:sz w:val="20"/>
          <w:szCs w:val="20"/>
        </w:rPr>
        <w:t>cysts (10</w:t>
      </w:r>
      <w:r w:rsidRPr="0071546E">
        <w:rPr>
          <w:rFonts w:ascii="Arial" w:eastAsiaTheme="minorEastAsia" w:hAnsi="Arial" w:cs="Arial"/>
          <w:sz w:val="20"/>
          <w:szCs w:val="20"/>
          <w:vertAlign w:val="superscript"/>
        </w:rPr>
        <w:t>6</w:t>
      </w:r>
      <w:r w:rsidRPr="0071546E">
        <w:rPr>
          <w:rFonts w:ascii="Arial" w:eastAsiaTheme="minorEastAsia" w:hAnsi="Arial" w:cs="Arial"/>
          <w:sz w:val="20"/>
          <w:szCs w:val="20"/>
        </w:rPr>
        <w:t xml:space="preserve">/ml) incubated with different concentrations of 5, 10, 15, 20-Tetrakis (4-methyl phenyl)-21H23H porphine, for 10 minutes in the dark and irradiated with an LED light for 60 minutes </w:t>
      </w:r>
      <w:r w:rsidR="00FE492E" w:rsidRPr="0071546E">
        <w:rPr>
          <w:rFonts w:ascii="Arial" w:eastAsiaTheme="minorEastAsia" w:hAnsi="Arial" w:cs="Arial"/>
          <w:sz w:val="20"/>
          <w:szCs w:val="20"/>
        </w:rPr>
        <w:t>(Red</w:t>
      </w:r>
      <w:r w:rsidRPr="0071546E">
        <w:rPr>
          <w:rFonts w:ascii="Arial" w:eastAsiaTheme="minorEastAsia" w:hAnsi="Arial" w:cs="Arial"/>
          <w:sz w:val="20"/>
          <w:szCs w:val="20"/>
        </w:rPr>
        <w:t>line)</w:t>
      </w:r>
      <w:r w:rsidR="00FE492E" w:rsidRPr="0071546E">
        <w:rPr>
          <w:rFonts w:ascii="Arial" w:eastAsiaTheme="minorEastAsia" w:hAnsi="Arial" w:cs="Arial"/>
          <w:sz w:val="20"/>
          <w:szCs w:val="20"/>
        </w:rPr>
        <w:t xml:space="preserve">. </w:t>
      </w:r>
      <w:r w:rsidR="00510540" w:rsidRPr="0071546E">
        <w:rPr>
          <w:rFonts w:ascii="Arial" w:eastAsiaTheme="minorEastAsia" w:hAnsi="Arial" w:cs="Arial"/>
          <w:sz w:val="20"/>
          <w:szCs w:val="20"/>
        </w:rPr>
        <w:t>Control cells</w:t>
      </w:r>
      <w:r w:rsidRPr="0071546E">
        <w:rPr>
          <w:rFonts w:ascii="Arial" w:eastAsiaTheme="minorEastAsia" w:hAnsi="Arial" w:cs="Arial"/>
          <w:sz w:val="20"/>
          <w:szCs w:val="20"/>
        </w:rPr>
        <w:t xml:space="preserve"> incubated with porphyrin but was protected from irradiation by covering with aluminium foil was set up (blue line). Cell viability was determined with the ATP assay and percentage viability was calculated from bioluminescence signals measured at 600 nm wavelength. The error bars represent the standard deviation from 4 replicate reading taken from test wells</w:t>
      </w:r>
    </w:p>
    <w:p w:rsidR="003A3CAF" w:rsidRPr="0071546E" w:rsidRDefault="003A3CAF" w:rsidP="00CF13FE">
      <w:pPr>
        <w:spacing w:before="100" w:after="200" w:line="480" w:lineRule="auto"/>
        <w:ind w:left="1021" w:right="454"/>
        <w:jc w:val="both"/>
        <w:rPr>
          <w:rFonts w:ascii="Arial" w:eastAsiaTheme="minorEastAsia" w:hAnsi="Arial" w:cs="Arial"/>
          <w:sz w:val="24"/>
          <w:szCs w:val="24"/>
        </w:rPr>
      </w:pPr>
    </w:p>
    <w:p w:rsidR="00F446C5" w:rsidRPr="0071546E" w:rsidRDefault="00234554"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As shown in </w:t>
      </w:r>
      <w:r w:rsidR="00725033" w:rsidRPr="0071546E">
        <w:rPr>
          <w:rFonts w:ascii="Arial" w:eastAsiaTheme="minorEastAsia" w:hAnsi="Arial" w:cs="Arial"/>
          <w:sz w:val="24"/>
          <w:szCs w:val="24"/>
        </w:rPr>
        <w:t>F</w:t>
      </w:r>
      <w:r w:rsidR="006E7815" w:rsidRPr="0071546E">
        <w:rPr>
          <w:rFonts w:ascii="Arial" w:eastAsiaTheme="minorEastAsia" w:hAnsi="Arial" w:cs="Arial"/>
          <w:sz w:val="24"/>
          <w:szCs w:val="24"/>
        </w:rPr>
        <w:t>ig 3.3</w:t>
      </w:r>
      <w:r w:rsidR="00812AD2" w:rsidRPr="0071546E">
        <w:rPr>
          <w:rFonts w:ascii="Arial" w:eastAsiaTheme="minorEastAsia" w:hAnsi="Arial" w:cs="Arial"/>
          <w:sz w:val="24"/>
          <w:szCs w:val="24"/>
        </w:rPr>
        <w:t>7</w:t>
      </w:r>
      <w:r w:rsidR="00725033" w:rsidRPr="0071546E">
        <w:rPr>
          <w:rFonts w:ascii="Arial" w:eastAsiaTheme="minorEastAsia" w:hAnsi="Arial" w:cs="Arial"/>
          <w:sz w:val="24"/>
          <w:szCs w:val="24"/>
        </w:rPr>
        <w:t xml:space="preserve"> </w:t>
      </w:r>
      <w:r w:rsidR="003A3CAF" w:rsidRPr="0071546E">
        <w:rPr>
          <w:rFonts w:ascii="Arial" w:eastAsiaTheme="minorEastAsia" w:hAnsi="Arial" w:cs="Arial"/>
          <w:sz w:val="24"/>
          <w:szCs w:val="24"/>
        </w:rPr>
        <w:t>There was no reduction in viability of both irradiated and non-irradiated cysts s</w:t>
      </w:r>
      <w:r w:rsidR="00510540" w:rsidRPr="0071546E">
        <w:rPr>
          <w:rFonts w:ascii="Arial" w:eastAsiaTheme="minorEastAsia" w:hAnsi="Arial" w:cs="Arial"/>
          <w:sz w:val="24"/>
          <w:szCs w:val="24"/>
        </w:rPr>
        <w:t>ample. NO dark toxicity was</w:t>
      </w:r>
      <w:r w:rsidR="003A3CAF" w:rsidRPr="0071546E">
        <w:rPr>
          <w:rFonts w:ascii="Arial" w:eastAsiaTheme="minorEastAsia" w:hAnsi="Arial" w:cs="Arial"/>
          <w:sz w:val="24"/>
          <w:szCs w:val="24"/>
        </w:rPr>
        <w:t xml:space="preserve"> seen as all ce</w:t>
      </w:r>
      <w:r w:rsidR="00EF5402" w:rsidRPr="0071546E">
        <w:rPr>
          <w:rFonts w:ascii="Arial" w:eastAsiaTheme="minorEastAsia" w:hAnsi="Arial" w:cs="Arial"/>
          <w:sz w:val="24"/>
          <w:szCs w:val="24"/>
        </w:rPr>
        <w:t>l</w:t>
      </w:r>
      <w:r w:rsidR="003A3CAF" w:rsidRPr="0071546E">
        <w:rPr>
          <w:rFonts w:ascii="Arial" w:eastAsiaTheme="minorEastAsia" w:hAnsi="Arial" w:cs="Arial"/>
          <w:sz w:val="24"/>
          <w:szCs w:val="24"/>
        </w:rPr>
        <w:t>l samples were</w:t>
      </w:r>
      <w:r w:rsidRPr="0071546E">
        <w:rPr>
          <w:rFonts w:ascii="Arial" w:eastAsiaTheme="minorEastAsia" w:hAnsi="Arial" w:cs="Arial"/>
          <w:sz w:val="24"/>
          <w:szCs w:val="24"/>
        </w:rPr>
        <w:t xml:space="preserve"> on </w:t>
      </w:r>
      <w:r w:rsidR="003A3CAF" w:rsidRPr="0071546E">
        <w:rPr>
          <w:rFonts w:ascii="Arial" w:eastAsiaTheme="minorEastAsia" w:hAnsi="Arial" w:cs="Arial"/>
          <w:sz w:val="24"/>
          <w:szCs w:val="24"/>
        </w:rPr>
        <w:t>average 100</w:t>
      </w:r>
      <w:r w:rsidRPr="0071546E">
        <w:rPr>
          <w:rFonts w:ascii="Arial" w:eastAsiaTheme="minorEastAsia" w:hAnsi="Arial" w:cs="Arial"/>
          <w:sz w:val="24"/>
          <w:szCs w:val="24"/>
        </w:rPr>
        <w:t xml:space="preserve"> </w:t>
      </w:r>
      <w:r w:rsidR="003A3CAF" w:rsidRPr="0071546E">
        <w:rPr>
          <w:rFonts w:ascii="Arial" w:eastAsiaTheme="minorEastAsia" w:hAnsi="Arial" w:cs="Arial"/>
          <w:sz w:val="24"/>
          <w:szCs w:val="24"/>
        </w:rPr>
        <w:t>% viable.</w:t>
      </w:r>
    </w:p>
    <w:p w:rsidR="003A3CAF" w:rsidRPr="0071546E" w:rsidRDefault="003A3CAF" w:rsidP="00CF13FE">
      <w:pPr>
        <w:spacing w:before="100" w:after="200" w:line="480" w:lineRule="auto"/>
        <w:ind w:left="1021" w:right="454"/>
        <w:jc w:val="both"/>
        <w:rPr>
          <w:rFonts w:ascii="Arial" w:eastAsiaTheme="minorEastAsia" w:hAnsi="Arial" w:cs="Arial"/>
          <w:sz w:val="24"/>
          <w:szCs w:val="24"/>
        </w:rPr>
      </w:pPr>
    </w:p>
    <w:p w:rsidR="003A3CAF" w:rsidRPr="0071546E" w:rsidRDefault="003A3CAF" w:rsidP="00CF13FE">
      <w:pPr>
        <w:spacing w:before="100" w:after="200" w:line="480" w:lineRule="auto"/>
        <w:ind w:left="1021" w:right="454"/>
        <w:jc w:val="both"/>
        <w:rPr>
          <w:rFonts w:ascii="Arial" w:eastAsiaTheme="minorEastAsia" w:hAnsi="Arial" w:cs="Arial"/>
          <w:sz w:val="24"/>
          <w:szCs w:val="24"/>
        </w:rPr>
      </w:pPr>
    </w:p>
    <w:p w:rsidR="003A3CAF" w:rsidRPr="0071546E" w:rsidRDefault="003A3CAF" w:rsidP="00CF13FE">
      <w:pPr>
        <w:spacing w:before="100" w:after="200" w:line="480" w:lineRule="auto"/>
        <w:ind w:left="1021" w:right="454"/>
        <w:jc w:val="both"/>
        <w:rPr>
          <w:rFonts w:ascii="Arial" w:eastAsiaTheme="minorEastAsia" w:hAnsi="Arial" w:cs="Arial"/>
          <w:sz w:val="24"/>
          <w:szCs w:val="24"/>
        </w:rPr>
      </w:pPr>
    </w:p>
    <w:p w:rsidR="00F446C5" w:rsidRPr="0071546E" w:rsidRDefault="00D17291"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noProof/>
          <w:sz w:val="24"/>
          <w:szCs w:val="24"/>
          <w:lang w:eastAsia="en-GB"/>
        </w:rPr>
        <mc:AlternateContent>
          <mc:Choice Requires="wps">
            <w:drawing>
              <wp:anchor distT="0" distB="0" distL="114300" distR="114300" simplePos="0" relativeHeight="251761664" behindDoc="0" locked="0" layoutInCell="1" allowOverlap="1">
                <wp:simplePos x="0" y="0"/>
                <wp:positionH relativeFrom="margin">
                  <wp:posOffset>10274</wp:posOffset>
                </wp:positionH>
                <wp:positionV relativeFrom="paragraph">
                  <wp:posOffset>0</wp:posOffset>
                </wp:positionV>
                <wp:extent cx="4736387" cy="1253447"/>
                <wp:effectExtent l="0" t="0" r="0" b="4445"/>
                <wp:wrapNone/>
                <wp:docPr id="1209" name="Text Box 1209"/>
                <wp:cNvGraphicFramePr/>
                <a:graphic xmlns:a="http://schemas.openxmlformats.org/drawingml/2006/main">
                  <a:graphicData uri="http://schemas.microsoft.com/office/word/2010/wordprocessingShape">
                    <wps:wsp>
                      <wps:cNvSpPr txBox="1"/>
                      <wps:spPr>
                        <a:xfrm>
                          <a:off x="0" y="0"/>
                          <a:ext cx="4736387" cy="1253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7A14" w:rsidRPr="00D17291" w:rsidRDefault="00A87A14" w:rsidP="009B7013">
                            <w:pPr>
                              <w:spacing w:line="276" w:lineRule="auto"/>
                              <w:rPr>
                                <w:rFonts w:ascii="Arial" w:hAnsi="Arial" w:cs="Arial"/>
                                <w:b/>
                                <w:sz w:val="56"/>
                                <w:szCs w:val="56"/>
                              </w:rPr>
                            </w:pPr>
                            <w:r w:rsidRPr="00D17291">
                              <w:rPr>
                                <w:rFonts w:ascii="Arial" w:hAnsi="Arial" w:cs="Arial"/>
                                <w:b/>
                                <w:sz w:val="56"/>
                                <w:szCs w:val="56"/>
                              </w:rPr>
                              <w:t>CHAPTER FOUR</w:t>
                            </w:r>
                          </w:p>
                          <w:p w:rsidR="00A87A14" w:rsidRPr="00D17291" w:rsidRDefault="00A87A14" w:rsidP="009B7013">
                            <w:pPr>
                              <w:spacing w:line="276" w:lineRule="auto"/>
                              <w:rPr>
                                <w:rFonts w:ascii="Arial" w:hAnsi="Arial" w:cs="Arial"/>
                                <w:sz w:val="48"/>
                                <w:szCs w:val="48"/>
                              </w:rPr>
                            </w:pPr>
                            <w:r w:rsidRPr="00D17291">
                              <w:rPr>
                                <w:rFonts w:ascii="Arial" w:hAnsi="Arial" w:cs="Arial"/>
                                <w:sz w:val="48"/>
                                <w:szCs w:val="48"/>
                              </w:rPr>
                              <w:t>DISCUSION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09" o:spid="_x0000_s1058" type="#_x0000_t202" style="position:absolute;left:0;text-align:left;margin-left:.8pt;margin-top:0;width:372.95pt;height:98.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" filled="f" stroked="f" strokeweight=".5pt">
                <v:textbox>
                  <w:txbxContent>
                    <w:p w:rsidR="00A87A14" w:rsidRPr="00D17291" w:rsidRDefault="00A87A14" w:rsidP="009B7013">
                      <w:pPr>
                        <w:spacing w:line="276" w:lineRule="auto"/>
                        <w:rPr>
                          <w:rFonts w:ascii="Arial" w:hAnsi="Arial" w:cs="Arial"/>
                          <w:b/>
                          <w:sz w:val="56"/>
                          <w:szCs w:val="56"/>
                        </w:rPr>
                      </w:pPr>
                      <w:r w:rsidRPr="00D17291">
                        <w:rPr>
                          <w:rFonts w:ascii="Arial" w:hAnsi="Arial" w:cs="Arial"/>
                          <w:b/>
                          <w:sz w:val="56"/>
                          <w:szCs w:val="56"/>
                        </w:rPr>
                        <w:t>CHAPTER FOUR</w:t>
                      </w:r>
                    </w:p>
                    <w:p w:rsidR="00A87A14" w:rsidRPr="00D17291" w:rsidRDefault="00A87A14" w:rsidP="009B7013">
                      <w:pPr>
                        <w:spacing w:line="276" w:lineRule="auto"/>
                        <w:rPr>
                          <w:rFonts w:ascii="Arial" w:hAnsi="Arial" w:cs="Arial"/>
                          <w:sz w:val="48"/>
                          <w:szCs w:val="48"/>
                        </w:rPr>
                      </w:pPr>
                      <w:r w:rsidRPr="00D17291">
                        <w:rPr>
                          <w:rFonts w:ascii="Arial" w:hAnsi="Arial" w:cs="Arial"/>
                          <w:sz w:val="48"/>
                          <w:szCs w:val="48"/>
                        </w:rPr>
                        <w:t>DISCUSION</w:t>
                      </w:r>
                    </w:p>
                  </w:txbxContent>
                </v:textbox>
                <w10:wrap anchorx="margin"/>
              </v:shape>
            </w:pict>
          </mc:Fallback>
        </mc:AlternateContent>
      </w:r>
      <w:r w:rsidRPr="0071546E">
        <w:rPr>
          <w:rFonts w:ascii="Arial" w:eastAsiaTheme="minorEastAsia" w:hAnsi="Arial" w:cs="Arial"/>
          <w:noProof/>
          <w:sz w:val="24"/>
          <w:szCs w:val="24"/>
          <w:lang w:eastAsia="en-GB"/>
        </w:rPr>
        <mc:AlternateContent>
          <mc:Choice Requires="wps">
            <w:drawing>
              <wp:anchor distT="0" distB="0" distL="114300" distR="114300" simplePos="0" relativeHeight="251760640" behindDoc="0" locked="0" layoutInCell="1" allowOverlap="1" wp14:anchorId="21C49E01" wp14:editId="0EEE5F76">
                <wp:simplePos x="0" y="0"/>
                <wp:positionH relativeFrom="page">
                  <wp:align>left</wp:align>
                </wp:positionH>
                <wp:positionV relativeFrom="paragraph">
                  <wp:posOffset>-914400</wp:posOffset>
                </wp:positionV>
                <wp:extent cx="7597422" cy="11875911"/>
                <wp:effectExtent l="0" t="0" r="22860" b="11430"/>
                <wp:wrapNone/>
                <wp:docPr id="1197" name="Rectangle 1197"/>
                <wp:cNvGraphicFramePr/>
                <a:graphic xmlns:a="http://schemas.openxmlformats.org/drawingml/2006/main">
                  <a:graphicData uri="http://schemas.microsoft.com/office/word/2010/wordprocessingShape">
                    <wps:wsp>
                      <wps:cNvSpPr/>
                      <wps:spPr>
                        <a:xfrm>
                          <a:off x="0" y="0"/>
                          <a:ext cx="7597422" cy="11875911"/>
                        </a:xfrm>
                        <a:prstGeom prst="rect">
                          <a:avLst/>
                        </a:prstGeom>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C2E0AC" id="Rectangle 1197" o:spid="_x0000_s1026" style="position:absolute;margin-left:0;margin-top:-1in;width:598.2pt;height:935.1pt;z-index:25176064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" filled="f" strokecolor="#a5a5a5 [3206]" strokeweight=".5pt">
                <w10:wrap anchorx="page"/>
              </v:rect>
            </w:pict>
          </mc:Fallback>
        </mc:AlternateContent>
      </w:r>
    </w:p>
    <w:p w:rsidR="00F446C5" w:rsidRPr="0071546E" w:rsidRDefault="00F446C5" w:rsidP="00CF13FE">
      <w:pPr>
        <w:spacing w:before="100" w:after="200" w:line="480" w:lineRule="auto"/>
        <w:ind w:left="1021" w:right="454"/>
        <w:jc w:val="both"/>
        <w:rPr>
          <w:rFonts w:ascii="Arial" w:eastAsiaTheme="minorEastAsia" w:hAnsi="Arial" w:cs="Arial"/>
          <w:sz w:val="24"/>
          <w:szCs w:val="24"/>
        </w:rPr>
      </w:pPr>
    </w:p>
    <w:p w:rsidR="00F446C5" w:rsidRPr="0071546E" w:rsidRDefault="00F446C5" w:rsidP="00CF13FE">
      <w:pPr>
        <w:spacing w:before="100" w:after="200" w:line="480" w:lineRule="auto"/>
        <w:ind w:left="1021" w:right="454"/>
        <w:jc w:val="both"/>
        <w:rPr>
          <w:rFonts w:ascii="Arial" w:eastAsiaTheme="minorEastAsia" w:hAnsi="Arial" w:cs="Arial"/>
          <w:sz w:val="24"/>
          <w:szCs w:val="24"/>
        </w:rPr>
      </w:pPr>
    </w:p>
    <w:p w:rsidR="00F446C5" w:rsidRPr="0071546E" w:rsidRDefault="00F446C5" w:rsidP="00CF13FE">
      <w:pPr>
        <w:spacing w:before="100" w:after="200" w:line="480" w:lineRule="auto"/>
        <w:ind w:left="1021" w:right="454"/>
        <w:jc w:val="both"/>
        <w:rPr>
          <w:rFonts w:ascii="Arial" w:eastAsiaTheme="minorEastAsia" w:hAnsi="Arial" w:cs="Arial"/>
          <w:sz w:val="24"/>
          <w:szCs w:val="24"/>
        </w:rPr>
      </w:pPr>
    </w:p>
    <w:p w:rsidR="00F446C5" w:rsidRPr="0071546E" w:rsidRDefault="00F446C5" w:rsidP="00CF13FE">
      <w:pPr>
        <w:spacing w:before="100" w:after="200" w:line="480" w:lineRule="auto"/>
        <w:ind w:left="1021" w:right="454"/>
        <w:jc w:val="both"/>
        <w:rPr>
          <w:rFonts w:ascii="Arial" w:eastAsiaTheme="minorEastAsia" w:hAnsi="Arial" w:cs="Arial"/>
          <w:sz w:val="24"/>
          <w:szCs w:val="24"/>
        </w:rPr>
      </w:pPr>
    </w:p>
    <w:p w:rsidR="00F446C5" w:rsidRPr="0071546E" w:rsidRDefault="00F446C5" w:rsidP="00CF13FE">
      <w:pPr>
        <w:spacing w:before="100" w:after="200" w:line="480" w:lineRule="auto"/>
        <w:ind w:left="1021" w:right="454"/>
        <w:jc w:val="both"/>
        <w:rPr>
          <w:rFonts w:ascii="Arial" w:eastAsiaTheme="minorEastAsia" w:hAnsi="Arial" w:cs="Arial"/>
          <w:sz w:val="24"/>
          <w:szCs w:val="24"/>
        </w:rPr>
      </w:pPr>
    </w:p>
    <w:p w:rsidR="00F446C5" w:rsidRPr="0071546E" w:rsidRDefault="00F446C5" w:rsidP="00CF13FE">
      <w:pPr>
        <w:spacing w:before="100" w:after="200" w:line="480" w:lineRule="auto"/>
        <w:ind w:left="1021" w:right="454"/>
        <w:jc w:val="both"/>
        <w:rPr>
          <w:rFonts w:ascii="Arial" w:eastAsiaTheme="minorEastAsia" w:hAnsi="Arial" w:cs="Arial"/>
          <w:sz w:val="24"/>
          <w:szCs w:val="24"/>
        </w:rPr>
      </w:pPr>
    </w:p>
    <w:p w:rsidR="00F446C5" w:rsidRPr="0071546E" w:rsidRDefault="00F446C5" w:rsidP="00CF13FE">
      <w:pPr>
        <w:spacing w:before="100" w:after="200" w:line="480" w:lineRule="auto"/>
        <w:ind w:left="1021" w:right="454"/>
        <w:jc w:val="both"/>
        <w:rPr>
          <w:rFonts w:ascii="Arial" w:eastAsiaTheme="minorEastAsia" w:hAnsi="Arial" w:cs="Arial"/>
          <w:sz w:val="24"/>
          <w:szCs w:val="24"/>
        </w:rPr>
      </w:pPr>
    </w:p>
    <w:p w:rsidR="00F446C5" w:rsidRPr="0071546E" w:rsidRDefault="00F446C5" w:rsidP="00CF13FE">
      <w:pPr>
        <w:spacing w:before="100" w:after="200" w:line="480" w:lineRule="auto"/>
        <w:ind w:left="1021" w:right="454"/>
        <w:jc w:val="both"/>
        <w:rPr>
          <w:rFonts w:ascii="Arial" w:eastAsiaTheme="minorEastAsia" w:hAnsi="Arial" w:cs="Arial"/>
          <w:sz w:val="24"/>
          <w:szCs w:val="24"/>
        </w:rPr>
      </w:pPr>
    </w:p>
    <w:p w:rsidR="00F446C5" w:rsidRPr="0071546E" w:rsidRDefault="00F446C5" w:rsidP="00CF13FE">
      <w:pPr>
        <w:spacing w:before="100" w:after="200" w:line="480" w:lineRule="auto"/>
        <w:ind w:left="1021" w:right="454"/>
        <w:jc w:val="both"/>
        <w:rPr>
          <w:rFonts w:ascii="Arial" w:eastAsiaTheme="minorEastAsia" w:hAnsi="Arial" w:cs="Arial"/>
          <w:sz w:val="24"/>
          <w:szCs w:val="24"/>
        </w:rPr>
      </w:pPr>
    </w:p>
    <w:p w:rsidR="00F446C5" w:rsidRPr="0071546E" w:rsidRDefault="00F446C5" w:rsidP="00CF13FE">
      <w:pPr>
        <w:spacing w:before="100" w:after="200" w:line="480" w:lineRule="auto"/>
        <w:ind w:left="1021" w:right="454"/>
        <w:jc w:val="both"/>
        <w:rPr>
          <w:rFonts w:ascii="Arial" w:eastAsiaTheme="minorEastAsia" w:hAnsi="Arial" w:cs="Arial"/>
          <w:sz w:val="24"/>
          <w:szCs w:val="24"/>
        </w:rPr>
      </w:pPr>
    </w:p>
    <w:p w:rsidR="00F446C5" w:rsidRPr="0071546E" w:rsidRDefault="00F446C5" w:rsidP="00CF13FE">
      <w:pPr>
        <w:spacing w:before="100" w:after="200" w:line="480" w:lineRule="auto"/>
        <w:ind w:left="1021" w:right="454"/>
        <w:jc w:val="both"/>
        <w:rPr>
          <w:rFonts w:ascii="Arial" w:eastAsiaTheme="minorEastAsia" w:hAnsi="Arial" w:cs="Arial"/>
          <w:sz w:val="24"/>
          <w:szCs w:val="24"/>
        </w:rPr>
      </w:pPr>
    </w:p>
    <w:p w:rsidR="00F446C5" w:rsidRPr="0071546E" w:rsidRDefault="00F446C5" w:rsidP="00CF13FE">
      <w:pPr>
        <w:spacing w:before="100" w:after="200" w:line="480" w:lineRule="auto"/>
        <w:ind w:left="1021" w:right="454"/>
        <w:jc w:val="both"/>
        <w:rPr>
          <w:rFonts w:ascii="Arial" w:eastAsiaTheme="minorEastAsia" w:hAnsi="Arial" w:cs="Arial"/>
          <w:sz w:val="24"/>
          <w:szCs w:val="24"/>
        </w:rPr>
      </w:pPr>
    </w:p>
    <w:p w:rsidR="00F446C5" w:rsidRPr="0071546E" w:rsidRDefault="00F446C5" w:rsidP="00CF13FE">
      <w:pPr>
        <w:spacing w:before="100" w:after="200" w:line="480" w:lineRule="auto"/>
        <w:ind w:left="1021" w:right="454"/>
        <w:jc w:val="both"/>
        <w:rPr>
          <w:rFonts w:ascii="Arial" w:eastAsiaTheme="minorEastAsia" w:hAnsi="Arial" w:cs="Arial"/>
          <w:sz w:val="24"/>
          <w:szCs w:val="24"/>
        </w:rPr>
      </w:pPr>
    </w:p>
    <w:p w:rsidR="00D17291" w:rsidRPr="0071546E" w:rsidRDefault="00D17291" w:rsidP="00CF13FE">
      <w:pPr>
        <w:spacing w:before="100" w:after="200" w:line="480" w:lineRule="auto"/>
        <w:ind w:left="1021" w:right="454"/>
        <w:jc w:val="both"/>
        <w:rPr>
          <w:rFonts w:ascii="Arial" w:eastAsiaTheme="minorEastAsia" w:hAnsi="Arial" w:cs="Arial"/>
          <w:sz w:val="24"/>
          <w:szCs w:val="24"/>
        </w:rPr>
      </w:pPr>
    </w:p>
    <w:p w:rsidR="00D17291" w:rsidRPr="0071546E" w:rsidRDefault="00D17291" w:rsidP="00CF13FE">
      <w:pPr>
        <w:spacing w:before="100" w:after="200" w:line="480" w:lineRule="auto"/>
        <w:ind w:left="1021" w:right="454"/>
        <w:jc w:val="both"/>
        <w:rPr>
          <w:rFonts w:ascii="Arial" w:eastAsiaTheme="minorEastAsia" w:hAnsi="Arial" w:cs="Arial"/>
          <w:sz w:val="24"/>
          <w:szCs w:val="24"/>
        </w:rPr>
      </w:pPr>
    </w:p>
    <w:p w:rsidR="00D17291" w:rsidRPr="0071546E" w:rsidRDefault="00D17291" w:rsidP="00CF13FE">
      <w:pPr>
        <w:spacing w:before="100" w:after="200" w:line="480" w:lineRule="auto"/>
        <w:ind w:left="1021" w:right="454"/>
        <w:jc w:val="both"/>
        <w:rPr>
          <w:rFonts w:ascii="Arial" w:eastAsiaTheme="minorEastAsia" w:hAnsi="Arial" w:cs="Arial"/>
          <w:sz w:val="24"/>
          <w:szCs w:val="24"/>
        </w:rPr>
      </w:pPr>
    </w:p>
    <w:p w:rsidR="00D17291" w:rsidRPr="0071546E" w:rsidRDefault="00D17291" w:rsidP="00CF13FE">
      <w:pPr>
        <w:spacing w:before="100" w:after="200" w:line="480" w:lineRule="auto"/>
        <w:ind w:left="1021" w:right="454"/>
        <w:jc w:val="both"/>
        <w:rPr>
          <w:rFonts w:ascii="Arial" w:eastAsiaTheme="minorEastAsia" w:hAnsi="Arial" w:cs="Arial"/>
          <w:sz w:val="24"/>
          <w:szCs w:val="24"/>
        </w:rPr>
      </w:pPr>
    </w:p>
    <w:p w:rsidR="00F446C5" w:rsidRPr="0071546E" w:rsidRDefault="00F446C5" w:rsidP="00CF13FE">
      <w:pPr>
        <w:spacing w:before="100" w:after="200" w:line="480" w:lineRule="auto"/>
        <w:ind w:left="1021" w:right="454"/>
        <w:jc w:val="both"/>
        <w:rPr>
          <w:rFonts w:ascii="Arial" w:eastAsiaTheme="minorEastAsia" w:hAnsi="Arial" w:cs="Arial"/>
          <w:sz w:val="24"/>
          <w:szCs w:val="24"/>
        </w:rPr>
      </w:pPr>
    </w:p>
    <w:p w:rsidR="00EB2AAD" w:rsidRPr="0071546E" w:rsidRDefault="00F446C5" w:rsidP="00CF13FE">
      <w:pPr>
        <w:pStyle w:val="Heading1"/>
        <w:ind w:left="1021" w:right="454"/>
        <w:rPr>
          <w:rFonts w:eastAsiaTheme="minorEastAsia"/>
        </w:rPr>
      </w:pPr>
      <w:bookmarkStart w:id="113" w:name="_Toc14711483"/>
      <w:r w:rsidRPr="0071546E">
        <w:rPr>
          <w:rFonts w:eastAsiaTheme="minorEastAsia"/>
        </w:rPr>
        <w:t>4</w:t>
      </w:r>
      <w:r w:rsidR="00EB2AAD" w:rsidRPr="0071546E">
        <w:rPr>
          <w:rFonts w:eastAsiaTheme="minorEastAsia"/>
        </w:rPr>
        <w:t xml:space="preserve">.0   </w:t>
      </w:r>
      <w:r w:rsidR="00291AF1" w:rsidRPr="0071546E">
        <w:rPr>
          <w:rFonts w:eastAsiaTheme="minorEastAsia"/>
        </w:rPr>
        <w:t>DISCUSSION</w:t>
      </w:r>
      <w:bookmarkEnd w:id="113"/>
    </w:p>
    <w:p w:rsidR="00291AF1" w:rsidRPr="0071546E" w:rsidRDefault="002561B2" w:rsidP="00CF13FE">
      <w:pPr>
        <w:spacing w:line="480" w:lineRule="auto"/>
        <w:ind w:left="1021" w:right="454"/>
        <w:jc w:val="both"/>
        <w:rPr>
          <w:rFonts w:ascii="Arial" w:eastAsia="Calibri" w:hAnsi="Arial" w:cs="Arial"/>
          <w:sz w:val="24"/>
          <w:szCs w:val="28"/>
        </w:rPr>
      </w:pPr>
      <w:r w:rsidRPr="0071546E">
        <w:rPr>
          <w:rFonts w:ascii="Arial" w:eastAsia="Calibri" w:hAnsi="Arial" w:cs="Arial"/>
          <w:sz w:val="24"/>
          <w:szCs w:val="28"/>
        </w:rPr>
        <w:t xml:space="preserve">Change in morphology in adverse environments </w:t>
      </w:r>
      <w:r w:rsidR="00291AF1" w:rsidRPr="0071546E">
        <w:rPr>
          <w:rFonts w:ascii="Arial" w:eastAsia="Calibri" w:hAnsi="Arial" w:cs="Arial"/>
          <w:sz w:val="24"/>
          <w:szCs w:val="28"/>
        </w:rPr>
        <w:t xml:space="preserve">and lack of suitable viability assay methods have slowed the development of drugs against </w:t>
      </w:r>
      <w:r w:rsidR="00291AF1" w:rsidRPr="0071546E">
        <w:rPr>
          <w:rFonts w:ascii="Arial" w:eastAsia="Calibri" w:hAnsi="Arial" w:cs="Arial"/>
          <w:i/>
          <w:sz w:val="24"/>
          <w:szCs w:val="28"/>
        </w:rPr>
        <w:t>Acanthamoeba</w:t>
      </w:r>
      <w:r w:rsidR="00291AF1" w:rsidRPr="0071546E">
        <w:rPr>
          <w:rFonts w:ascii="Arial" w:eastAsia="Calibri" w:hAnsi="Arial" w:cs="Arial"/>
          <w:sz w:val="24"/>
          <w:szCs w:val="28"/>
        </w:rPr>
        <w:t xml:space="preserve">. This inherent ability of </w:t>
      </w:r>
      <w:r w:rsidR="00291AF1" w:rsidRPr="0071546E">
        <w:rPr>
          <w:rFonts w:ascii="Arial" w:eastAsia="Calibri" w:hAnsi="Arial" w:cs="Arial"/>
          <w:i/>
          <w:sz w:val="24"/>
          <w:szCs w:val="28"/>
        </w:rPr>
        <w:t>Acanthamoeba spp</w:t>
      </w:r>
      <w:r w:rsidR="00291AF1" w:rsidRPr="0071546E">
        <w:rPr>
          <w:rFonts w:ascii="Arial" w:eastAsia="Calibri" w:hAnsi="Arial" w:cs="Arial"/>
          <w:sz w:val="24"/>
          <w:szCs w:val="28"/>
        </w:rPr>
        <w:t xml:space="preserve"> to</w:t>
      </w:r>
      <w:r w:rsidRPr="0071546E">
        <w:rPr>
          <w:rFonts w:ascii="Arial" w:eastAsia="Calibri" w:hAnsi="Arial" w:cs="Arial"/>
          <w:sz w:val="24"/>
          <w:szCs w:val="28"/>
        </w:rPr>
        <w:t xml:space="preserve"> transform into a more robust</w:t>
      </w:r>
      <w:r w:rsidR="00291AF1" w:rsidRPr="0071546E">
        <w:rPr>
          <w:rFonts w:ascii="Arial" w:eastAsia="Calibri" w:hAnsi="Arial" w:cs="Arial"/>
          <w:sz w:val="24"/>
          <w:szCs w:val="28"/>
        </w:rPr>
        <w:t xml:space="preserve"> and tightly protected cell </w:t>
      </w:r>
      <w:r w:rsidRPr="0071546E">
        <w:rPr>
          <w:rFonts w:ascii="Arial" w:eastAsia="Calibri" w:hAnsi="Arial" w:cs="Arial"/>
          <w:sz w:val="24"/>
          <w:szCs w:val="28"/>
        </w:rPr>
        <w:t>wall makes the cysts resistant most antimicrobial compounds and is the main reason for reinfection after treatment</w:t>
      </w:r>
      <w:r w:rsidR="00291AF1" w:rsidRPr="0071546E">
        <w:rPr>
          <w:rFonts w:ascii="Arial" w:eastAsia="Calibri" w:hAnsi="Arial" w:cs="Arial"/>
          <w:sz w:val="24"/>
          <w:szCs w:val="28"/>
        </w:rPr>
        <w:t xml:space="preserve">. There are no drugs licenced in the United Kingdom for the treatment of </w:t>
      </w:r>
      <w:r w:rsidR="00291AF1" w:rsidRPr="0071546E">
        <w:rPr>
          <w:rFonts w:ascii="Arial" w:eastAsia="Calibri" w:hAnsi="Arial" w:cs="Arial"/>
          <w:i/>
          <w:sz w:val="24"/>
          <w:szCs w:val="28"/>
        </w:rPr>
        <w:t xml:space="preserve">Acanthamoeba </w:t>
      </w:r>
      <w:r w:rsidR="00291AF1" w:rsidRPr="0071546E">
        <w:rPr>
          <w:rFonts w:ascii="Arial" w:eastAsia="Calibri" w:hAnsi="Arial" w:cs="Arial"/>
          <w:sz w:val="24"/>
          <w:szCs w:val="28"/>
        </w:rPr>
        <w:t xml:space="preserve">infections. In 2018 orphan drug status was given for miltefosine for treatment of </w:t>
      </w:r>
      <w:r w:rsidR="00291AF1" w:rsidRPr="0071546E">
        <w:rPr>
          <w:rFonts w:ascii="Arial" w:eastAsia="Calibri" w:hAnsi="Arial" w:cs="Arial"/>
          <w:i/>
          <w:sz w:val="24"/>
          <w:szCs w:val="28"/>
        </w:rPr>
        <w:t xml:space="preserve">Acanthamoeba </w:t>
      </w:r>
      <w:r w:rsidR="00291AF1" w:rsidRPr="0071546E">
        <w:rPr>
          <w:rFonts w:ascii="Arial" w:eastAsia="Calibri" w:hAnsi="Arial" w:cs="Arial"/>
          <w:sz w:val="24"/>
          <w:szCs w:val="28"/>
        </w:rPr>
        <w:t xml:space="preserve">infection I the United States of America. This drug is not yet available in all European country including the United Kingdom and Is not advisable for use by women of childbearing age as it is intragenic. The primary objective of the present study was to evaluate the use of photodynamic therapy to inactivate </w:t>
      </w:r>
      <w:r w:rsidR="00291AF1" w:rsidRPr="0071546E">
        <w:rPr>
          <w:rFonts w:ascii="Arial" w:eastAsia="Calibri" w:hAnsi="Arial" w:cs="Arial"/>
          <w:i/>
          <w:sz w:val="24"/>
          <w:szCs w:val="28"/>
        </w:rPr>
        <w:t>Acanthamoeba</w:t>
      </w:r>
      <w:r w:rsidR="00291AF1" w:rsidRPr="0071546E">
        <w:rPr>
          <w:rFonts w:ascii="Arial" w:eastAsia="Calibri" w:hAnsi="Arial" w:cs="Arial"/>
          <w:sz w:val="24"/>
          <w:szCs w:val="28"/>
        </w:rPr>
        <w:t xml:space="preserve"> trophozoites and cysts using selected photosensitizers. This requires the use of viability assay methods that will be compatible with the trophozoites and the cysts. However, because there are no standard viability assay methods for </w:t>
      </w:r>
      <w:r w:rsidR="00291AF1" w:rsidRPr="0071546E">
        <w:rPr>
          <w:rFonts w:ascii="Arial" w:eastAsia="Calibri" w:hAnsi="Arial" w:cs="Arial"/>
          <w:i/>
          <w:sz w:val="24"/>
          <w:szCs w:val="28"/>
        </w:rPr>
        <w:t>Acanthamoeba</w:t>
      </w:r>
      <w:r w:rsidR="00291AF1" w:rsidRPr="0071546E">
        <w:rPr>
          <w:rFonts w:ascii="Arial" w:eastAsia="Calibri" w:hAnsi="Arial" w:cs="Arial"/>
          <w:sz w:val="24"/>
          <w:szCs w:val="28"/>
        </w:rPr>
        <w:t xml:space="preserve"> we had to develop or rather optimised the adenosine triphosphate assay ATP for this purpose. The ATP assay was selected based on its applicability with both morphological forms of </w:t>
      </w:r>
      <w:r w:rsidR="00291AF1" w:rsidRPr="0071546E">
        <w:rPr>
          <w:rFonts w:ascii="Arial" w:eastAsia="Calibri" w:hAnsi="Arial" w:cs="Arial"/>
          <w:i/>
          <w:sz w:val="24"/>
          <w:szCs w:val="28"/>
        </w:rPr>
        <w:t>Acanthamoeba</w:t>
      </w:r>
      <w:r w:rsidR="00291AF1" w:rsidRPr="0071546E">
        <w:rPr>
          <w:rFonts w:ascii="Arial" w:eastAsia="Calibri" w:hAnsi="Arial" w:cs="Arial"/>
          <w:sz w:val="24"/>
          <w:szCs w:val="28"/>
        </w:rPr>
        <w:t xml:space="preserve">. Different other viability assay methods showed limited used, especially for estimating the viability of </w:t>
      </w:r>
      <w:r w:rsidR="00291AF1" w:rsidRPr="0071546E">
        <w:rPr>
          <w:rFonts w:ascii="Arial" w:eastAsia="Calibri" w:hAnsi="Arial" w:cs="Arial"/>
          <w:i/>
          <w:sz w:val="24"/>
          <w:szCs w:val="28"/>
        </w:rPr>
        <w:t>Acanthamoeba</w:t>
      </w:r>
      <w:r w:rsidR="00291AF1" w:rsidRPr="0071546E">
        <w:rPr>
          <w:rFonts w:ascii="Arial" w:eastAsia="Calibri" w:hAnsi="Arial" w:cs="Arial"/>
          <w:sz w:val="24"/>
          <w:szCs w:val="28"/>
        </w:rPr>
        <w:t xml:space="preserve"> cysts. These viability assay which is mostly dependent on permeability showed limited used for cyst viability as it was difficult for these compound to penetrate the cyst cell wall. We were able to develop a new optimised ATP assay based on controlled lysis of </w:t>
      </w:r>
      <w:r w:rsidR="00291AF1" w:rsidRPr="0071546E">
        <w:rPr>
          <w:rFonts w:ascii="Arial" w:eastAsia="Calibri" w:hAnsi="Arial" w:cs="Arial"/>
          <w:i/>
          <w:sz w:val="24"/>
          <w:szCs w:val="28"/>
        </w:rPr>
        <w:t>Acanthamoeba</w:t>
      </w:r>
      <w:r w:rsidR="00291AF1" w:rsidRPr="0071546E">
        <w:rPr>
          <w:rFonts w:ascii="Arial" w:eastAsia="Calibri" w:hAnsi="Arial" w:cs="Arial"/>
          <w:sz w:val="24"/>
          <w:szCs w:val="28"/>
        </w:rPr>
        <w:t xml:space="preserve"> cyst cell wall with hen’s egg</w:t>
      </w:r>
      <w:r w:rsidR="00563D9A" w:rsidRPr="0071546E">
        <w:rPr>
          <w:rFonts w:ascii="Arial" w:eastAsia="Calibri" w:hAnsi="Arial" w:cs="Arial"/>
          <w:sz w:val="24"/>
          <w:szCs w:val="28"/>
        </w:rPr>
        <w:t>-</w:t>
      </w:r>
      <w:r w:rsidR="00291AF1" w:rsidRPr="0071546E">
        <w:rPr>
          <w:rFonts w:ascii="Arial" w:eastAsia="Calibri" w:hAnsi="Arial" w:cs="Arial"/>
          <w:sz w:val="24"/>
          <w:szCs w:val="28"/>
        </w:rPr>
        <w:t xml:space="preserve">white lysozyme. This novel development has not been previously reported or published as at the time of this report. We were also able to calculate and compare the levels of ATP in both morphological. This achievement has not been reported nor published previously. </w:t>
      </w:r>
    </w:p>
    <w:p w:rsidR="00EB2AAD" w:rsidRPr="0071546E" w:rsidRDefault="00EB2AAD" w:rsidP="00CF13FE">
      <w:pPr>
        <w:pStyle w:val="Heading2"/>
        <w:ind w:left="1021" w:right="454"/>
        <w:rPr>
          <w:rFonts w:eastAsiaTheme="minorEastAsia"/>
        </w:rPr>
      </w:pPr>
      <w:bookmarkStart w:id="114" w:name="_Toc14711484"/>
      <w:r w:rsidRPr="0071546E">
        <w:rPr>
          <w:rFonts w:eastAsiaTheme="minorEastAsia"/>
        </w:rPr>
        <w:t>4.1 Viability assays</w:t>
      </w:r>
      <w:bookmarkEnd w:id="114"/>
    </w:p>
    <w:p w:rsidR="00EB2AAD" w:rsidRPr="0071546E" w:rsidRDefault="00EB2AAD"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The ability to plan, generate and run specific, sensitive and reproducible viability assay</w:t>
      </w:r>
      <w:r w:rsidR="00AA7ACE" w:rsidRPr="0071546E">
        <w:rPr>
          <w:rFonts w:ascii="Arial" w:eastAsiaTheme="minorEastAsia" w:hAnsi="Arial" w:cs="Arial"/>
          <w:sz w:val="24"/>
          <w:szCs w:val="24"/>
        </w:rPr>
        <w:t>s during susceptibility testing</w:t>
      </w:r>
      <w:r w:rsidRPr="0071546E">
        <w:rPr>
          <w:rFonts w:ascii="Arial" w:eastAsiaTheme="minorEastAsia" w:hAnsi="Arial" w:cs="Arial"/>
          <w:sz w:val="24"/>
          <w:szCs w:val="24"/>
        </w:rPr>
        <w:t xml:space="preserve"> is critical in all areas of drug development and repurposing. For example, while repurposing drugs and developing new active pharmaceutical compounds, selecting a suitable susceptibility assay is critical and involves many considerations. Typically, to a</w:t>
      </w:r>
      <w:r w:rsidR="00AA7ACE" w:rsidRPr="0071546E">
        <w:rPr>
          <w:rFonts w:ascii="Arial" w:eastAsiaTheme="minorEastAsia" w:hAnsi="Arial" w:cs="Arial"/>
          <w:sz w:val="24"/>
          <w:szCs w:val="24"/>
        </w:rPr>
        <w:t>dopt a high throughput assay</w:t>
      </w:r>
      <w:r w:rsidRPr="0071546E">
        <w:rPr>
          <w:rFonts w:ascii="Arial" w:eastAsiaTheme="minorEastAsia" w:hAnsi="Arial" w:cs="Arial"/>
          <w:sz w:val="24"/>
          <w:szCs w:val="24"/>
        </w:rPr>
        <w:t xml:space="preserve"> involves a good understanding of the metabolic or enzymatic reaction used as a reporter of viability. Furthermore, regardless of the specific application or estimati</w:t>
      </w:r>
      <w:r w:rsidR="00AA7ACE" w:rsidRPr="0071546E">
        <w:rPr>
          <w:rFonts w:ascii="Arial" w:eastAsiaTheme="minorEastAsia" w:hAnsi="Arial" w:cs="Arial"/>
          <w:sz w:val="24"/>
          <w:szCs w:val="24"/>
        </w:rPr>
        <w:t>on of enzymatic reactions, that</w:t>
      </w:r>
      <w:r w:rsidRPr="0071546E">
        <w:rPr>
          <w:rFonts w:ascii="Arial" w:eastAsiaTheme="minorEastAsia" w:hAnsi="Arial" w:cs="Arial"/>
          <w:sz w:val="24"/>
          <w:szCs w:val="24"/>
        </w:rPr>
        <w:t xml:space="preserve"> report cell death, other factor</w:t>
      </w:r>
      <w:r w:rsidR="00A0583B" w:rsidRPr="0071546E">
        <w:rPr>
          <w:rFonts w:ascii="Arial" w:eastAsiaTheme="minorEastAsia" w:hAnsi="Arial" w:cs="Arial"/>
          <w:sz w:val="24"/>
          <w:szCs w:val="24"/>
        </w:rPr>
        <w:t>s</w:t>
      </w:r>
      <w:r w:rsidRPr="0071546E">
        <w:rPr>
          <w:rFonts w:ascii="Arial" w:eastAsiaTheme="minorEastAsia" w:hAnsi="Arial" w:cs="Arial"/>
          <w:sz w:val="24"/>
          <w:szCs w:val="24"/>
        </w:rPr>
        <w:t xml:space="preserve"> must be considered. It is very important that emphasis is not limited to the assay mechanism alone, but to the morphology and behaviour of the pathogen and the entire workflow, which needs to be developed from sample preparation protocols to the analysis of data delivered by the assay. To this effect, the assay conditions and the morphology of the pathogen assayed are two important factors that will determine assay selection criteria (Fitzgibbons et al., 2014). As a requirement for a drug or product to be marketed as a disinfectant or antimicrobial compound, it should comply with international standard ISO 14729, w</w:t>
      </w:r>
      <w:r w:rsidR="00C227F9" w:rsidRPr="0071546E">
        <w:rPr>
          <w:rFonts w:ascii="Arial" w:eastAsiaTheme="minorEastAsia" w:hAnsi="Arial" w:cs="Arial"/>
          <w:sz w:val="24"/>
          <w:szCs w:val="24"/>
        </w:rPr>
        <w:t>h</w:t>
      </w:r>
      <w:r w:rsidRPr="0071546E">
        <w:rPr>
          <w:rFonts w:ascii="Arial" w:eastAsiaTheme="minorEastAsia" w:hAnsi="Arial" w:cs="Arial"/>
          <w:sz w:val="24"/>
          <w:szCs w:val="24"/>
        </w:rPr>
        <w:t xml:space="preserve">ere there must be a demonstration of its antimicrobial activity against target bacteria, fungi or yeast (Miller, 2000). This standard as at the time of writing this report does not exist for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(Kilvington, 2001). Regardless, many studies have adopted several viability assays often based on terminal subculture </w:t>
      </w:r>
      <w:r w:rsidR="00AA7ACE" w:rsidRPr="0071546E">
        <w:rPr>
          <w:rFonts w:ascii="Arial" w:eastAsiaTheme="minorEastAsia" w:hAnsi="Arial" w:cs="Arial"/>
          <w:sz w:val="24"/>
          <w:szCs w:val="24"/>
        </w:rPr>
        <w:t>(</w:t>
      </w:r>
      <w:r w:rsidRPr="0071546E">
        <w:rPr>
          <w:rFonts w:ascii="Arial" w:eastAsiaTheme="minorEastAsia" w:hAnsi="Arial" w:cs="Arial"/>
          <w:sz w:val="24"/>
          <w:szCs w:val="24"/>
        </w:rPr>
        <w:t>otherwise called re-growth assays</w:t>
      </w:r>
      <w:r w:rsidR="00AA7ACE" w:rsidRPr="0071546E">
        <w:rPr>
          <w:rFonts w:ascii="Arial" w:eastAsiaTheme="minorEastAsia" w:hAnsi="Arial" w:cs="Arial"/>
          <w:sz w:val="24"/>
          <w:szCs w:val="24"/>
        </w:rPr>
        <w:t>)</w:t>
      </w:r>
      <w:r w:rsidRPr="0071546E">
        <w:rPr>
          <w:rFonts w:ascii="Arial" w:eastAsiaTheme="minorEastAsia" w:hAnsi="Arial" w:cs="Arial"/>
          <w:sz w:val="24"/>
          <w:szCs w:val="24"/>
        </w:rPr>
        <w:t xml:space="preserve"> as </w:t>
      </w:r>
      <w:r w:rsidR="00AA7ACE" w:rsidRPr="0071546E">
        <w:rPr>
          <w:rFonts w:ascii="Arial" w:eastAsiaTheme="minorEastAsia" w:hAnsi="Arial" w:cs="Arial"/>
          <w:sz w:val="24"/>
          <w:szCs w:val="24"/>
        </w:rPr>
        <w:t>(</w:t>
      </w:r>
      <w:r w:rsidRPr="0071546E">
        <w:rPr>
          <w:rFonts w:ascii="Arial" w:eastAsiaTheme="minorEastAsia" w:hAnsi="Arial" w:cs="Arial"/>
          <w:sz w:val="24"/>
          <w:szCs w:val="24"/>
        </w:rPr>
        <w:t>viability</w:t>
      </w:r>
      <w:r w:rsidR="00AA7ACE" w:rsidRPr="0071546E">
        <w:rPr>
          <w:rFonts w:ascii="Arial" w:eastAsiaTheme="minorEastAsia" w:hAnsi="Arial" w:cs="Arial"/>
          <w:sz w:val="24"/>
          <w:szCs w:val="24"/>
        </w:rPr>
        <w:t>)</w:t>
      </w:r>
      <w:r w:rsidRPr="0071546E">
        <w:rPr>
          <w:rFonts w:ascii="Arial" w:eastAsiaTheme="minorEastAsia" w:hAnsi="Arial" w:cs="Arial"/>
          <w:sz w:val="24"/>
          <w:szCs w:val="24"/>
        </w:rPr>
        <w:t xml:space="preserve"> testing method. These methods ha</w:t>
      </w:r>
      <w:r w:rsidR="00C227F9" w:rsidRPr="0071546E">
        <w:rPr>
          <w:rFonts w:ascii="Arial" w:eastAsiaTheme="minorEastAsia" w:hAnsi="Arial" w:cs="Arial"/>
          <w:sz w:val="24"/>
          <w:szCs w:val="24"/>
        </w:rPr>
        <w:t>ve</w:t>
      </w:r>
      <w:r w:rsidRPr="0071546E">
        <w:rPr>
          <w:rFonts w:ascii="Arial" w:eastAsiaTheme="minorEastAsia" w:hAnsi="Arial" w:cs="Arial"/>
          <w:sz w:val="24"/>
          <w:szCs w:val="24"/>
        </w:rPr>
        <w:t xml:space="preserve"> not particularly presented quantitative data that gives more insight to susceptibility kinetics of </w:t>
      </w:r>
      <w:r w:rsidR="00432D1D" w:rsidRPr="0071546E">
        <w:rPr>
          <w:rFonts w:ascii="Arial" w:eastAsiaTheme="minorEastAsia" w:hAnsi="Arial" w:cs="Arial"/>
          <w:i/>
          <w:sz w:val="24"/>
          <w:szCs w:val="24"/>
        </w:rPr>
        <w:t>Acanthamoeba</w:t>
      </w:r>
      <w:r w:rsidRPr="0071546E">
        <w:rPr>
          <w:rFonts w:ascii="Arial" w:eastAsiaTheme="minorEastAsia" w:hAnsi="Arial" w:cs="Arial"/>
          <w:i/>
          <w:sz w:val="24"/>
          <w:szCs w:val="24"/>
        </w:rPr>
        <w:t xml:space="preserve"> </w:t>
      </w:r>
      <w:r w:rsidRPr="0071546E">
        <w:rPr>
          <w:rFonts w:ascii="Arial" w:eastAsiaTheme="minorEastAsia" w:hAnsi="Arial" w:cs="Arial"/>
          <w:sz w:val="24"/>
          <w:szCs w:val="24"/>
        </w:rPr>
        <w:t>to these compounds hence this has resulted in inco</w:t>
      </w:r>
      <w:r w:rsidR="00A0583B" w:rsidRPr="0071546E">
        <w:rPr>
          <w:rFonts w:ascii="Arial" w:eastAsiaTheme="minorEastAsia" w:hAnsi="Arial" w:cs="Arial"/>
          <w:sz w:val="24"/>
          <w:szCs w:val="24"/>
        </w:rPr>
        <w:t>nsistent and contradictory data</w:t>
      </w:r>
      <w:r w:rsidRPr="0071546E">
        <w:rPr>
          <w:rFonts w:ascii="Arial" w:eastAsiaTheme="minorEastAsia" w:hAnsi="Arial" w:cs="Arial"/>
          <w:sz w:val="24"/>
          <w:szCs w:val="24"/>
        </w:rPr>
        <w:t xml:space="preserve">. Considering the morphology of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cells, the key aspect of method development emphasised in this research are the general applicability for all morphological forms and adaptability to high-throughput systems. </w:t>
      </w:r>
    </w:p>
    <w:p w:rsidR="00EB2AAD" w:rsidRPr="0071546E" w:rsidRDefault="00EB2AAD" w:rsidP="00CF13FE">
      <w:pPr>
        <w:pStyle w:val="Heading2"/>
        <w:ind w:left="1021" w:right="454"/>
        <w:rPr>
          <w:rFonts w:eastAsiaTheme="minorEastAsia"/>
        </w:rPr>
      </w:pPr>
      <w:bookmarkStart w:id="115" w:name="_Toc14711485"/>
      <w:r w:rsidRPr="0071546E">
        <w:rPr>
          <w:rFonts w:eastAsiaTheme="minorEastAsia"/>
        </w:rPr>
        <w:t>4.1.1 MTT based viability assay</w:t>
      </w:r>
      <w:bookmarkEnd w:id="115"/>
    </w:p>
    <w:p w:rsidR="00EB2AAD" w:rsidRPr="0071546E" w:rsidRDefault="00EB2AAD"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The adaptability of the MTT based viability assay was first evaluated on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trophozoites and cysts (Results not included). MTT based viability assays as stated earlier are based on the ability of the mitochondrial dehydrogenase enzymes present in viable cells, to hydrolyse MTT to purple </w:t>
      </w:r>
      <w:r w:rsidR="002D1CCC" w:rsidRPr="0071546E">
        <w:rPr>
          <w:rFonts w:ascii="Arial" w:eastAsiaTheme="minorEastAsia" w:hAnsi="Arial" w:cs="Arial"/>
          <w:sz w:val="24"/>
          <w:szCs w:val="24"/>
        </w:rPr>
        <w:t>formazan</w:t>
      </w:r>
      <w:r w:rsidRPr="0071546E">
        <w:rPr>
          <w:rFonts w:ascii="Arial" w:eastAsiaTheme="minorEastAsia" w:hAnsi="Arial" w:cs="Arial"/>
          <w:sz w:val="24"/>
          <w:szCs w:val="24"/>
        </w:rPr>
        <w:t>. The amount of the formazan product of this hydrolysis is measured spectrophotometrically. It is generally believed that this conversion only occur</w:t>
      </w:r>
      <w:r w:rsidR="00C227F9" w:rsidRPr="0071546E">
        <w:rPr>
          <w:rFonts w:ascii="Arial" w:eastAsiaTheme="minorEastAsia" w:hAnsi="Arial" w:cs="Arial"/>
          <w:sz w:val="24"/>
          <w:szCs w:val="24"/>
        </w:rPr>
        <w:t>s</w:t>
      </w:r>
      <w:r w:rsidRPr="0071546E">
        <w:rPr>
          <w:rFonts w:ascii="Arial" w:eastAsiaTheme="minorEastAsia" w:hAnsi="Arial" w:cs="Arial"/>
          <w:sz w:val="24"/>
          <w:szCs w:val="24"/>
        </w:rPr>
        <w:t xml:space="preserve"> in viable cells. The result from MTT assay carried out in this study was not consistent for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trophozoites and was not adaptable to cyst viability test. Studies have shown that the MTT assay can be affected by various factors. Studies showed that MTT assay could be influenced by pH (Johnno, Takahashi and Kitamura, 2010). Johnno et al</w:t>
      </w:r>
      <w:r w:rsidR="00AA7ACE" w:rsidRPr="0071546E">
        <w:rPr>
          <w:rFonts w:ascii="Arial" w:eastAsiaTheme="minorEastAsia" w:hAnsi="Arial" w:cs="Arial"/>
          <w:sz w:val="24"/>
          <w:szCs w:val="24"/>
        </w:rPr>
        <w:t>.</w:t>
      </w:r>
      <w:r w:rsidRPr="0071546E">
        <w:rPr>
          <w:rFonts w:ascii="Arial" w:eastAsiaTheme="minorEastAsia" w:hAnsi="Arial" w:cs="Arial"/>
          <w:sz w:val="24"/>
          <w:szCs w:val="24"/>
        </w:rPr>
        <w:t xml:space="preserve"> discovered that the acidity of culture conditions significantly affected assay outcomes. In this study, Johnno and co-workers observed that the absorbance of tetrazolium-formazan reduced in a pH-dependent manner without affecting cell viability. The nonspecific effect they believed was because of acidic pH on the production of formazan. Furthermore, it has be</w:t>
      </w:r>
      <w:r w:rsidR="00C227F9" w:rsidRPr="0071546E">
        <w:rPr>
          <w:rFonts w:ascii="Arial" w:eastAsiaTheme="minorEastAsia" w:hAnsi="Arial" w:cs="Arial"/>
          <w:sz w:val="24"/>
          <w:szCs w:val="24"/>
        </w:rPr>
        <w:t>en</w:t>
      </w:r>
      <w:r w:rsidRPr="0071546E">
        <w:rPr>
          <w:rFonts w:ascii="Arial" w:eastAsiaTheme="minorEastAsia" w:hAnsi="Arial" w:cs="Arial"/>
          <w:sz w:val="24"/>
          <w:szCs w:val="24"/>
        </w:rPr>
        <w:t xml:space="preserve"> reported that superoxide activates reduction of MTT to formazan (Wang, Yu and Wickliffe, 2011). This report was further confirmed by the use of MTT assay to quantify superoxide (Madesh and Balasubramanian, 1998; Du et al., 2006; Rai et al., 2018). With the knowledge that the type 1 reactions of photodynamic therapy produce superoxide</w:t>
      </w:r>
      <w:r w:rsidR="00CA543B" w:rsidRPr="0071546E">
        <w:rPr>
          <w:rFonts w:ascii="Arial" w:eastAsiaTheme="minorEastAsia" w:hAnsi="Arial" w:cs="Arial"/>
          <w:sz w:val="24"/>
          <w:szCs w:val="24"/>
        </w:rPr>
        <w:t>,</w:t>
      </w:r>
      <w:r w:rsidR="00AA7ACE" w:rsidRPr="0071546E">
        <w:rPr>
          <w:rFonts w:ascii="Arial" w:eastAsiaTheme="minorEastAsia" w:hAnsi="Arial" w:cs="Arial"/>
          <w:sz w:val="24"/>
          <w:szCs w:val="24"/>
        </w:rPr>
        <w:t xml:space="preserve"> we</w:t>
      </w:r>
      <w:r w:rsidRPr="0071546E">
        <w:rPr>
          <w:rFonts w:ascii="Arial" w:eastAsiaTheme="minorEastAsia" w:hAnsi="Arial" w:cs="Arial"/>
          <w:sz w:val="24"/>
          <w:szCs w:val="24"/>
        </w:rPr>
        <w:t xml:space="preserve"> stopped further optimisation of the MTT based assay.</w:t>
      </w:r>
    </w:p>
    <w:p w:rsidR="00EB2AAD" w:rsidRPr="0071546E" w:rsidRDefault="00EB2AAD" w:rsidP="00CF13FE">
      <w:pPr>
        <w:pStyle w:val="Heading2"/>
        <w:ind w:left="1021" w:right="454"/>
        <w:rPr>
          <w:rFonts w:eastAsiaTheme="minorEastAsia"/>
        </w:rPr>
      </w:pPr>
      <w:bookmarkStart w:id="116" w:name="_Toc14711486"/>
      <w:r w:rsidRPr="0071546E">
        <w:rPr>
          <w:rFonts w:eastAsiaTheme="minorEastAsia"/>
        </w:rPr>
        <w:t>4.1.2 Alamar blue (resazurin) viability assay.</w:t>
      </w:r>
      <w:bookmarkEnd w:id="116"/>
    </w:p>
    <w:p w:rsidR="00EB2AAD" w:rsidRPr="0071546E" w:rsidRDefault="00EB2AAD"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The reduction of resazurin to resorufin by mitochondria esterases ha</w:t>
      </w:r>
      <w:r w:rsidR="00493A2D" w:rsidRPr="0071546E">
        <w:rPr>
          <w:rFonts w:ascii="Arial" w:eastAsiaTheme="minorEastAsia" w:hAnsi="Arial" w:cs="Arial"/>
          <w:sz w:val="24"/>
          <w:szCs w:val="24"/>
        </w:rPr>
        <w:t>ve</w:t>
      </w:r>
      <w:r w:rsidRPr="0071546E">
        <w:rPr>
          <w:rFonts w:ascii="Arial" w:eastAsiaTheme="minorEastAsia" w:hAnsi="Arial" w:cs="Arial"/>
          <w:sz w:val="24"/>
          <w:szCs w:val="24"/>
        </w:rPr>
        <w:t xml:space="preserve"> been used as a colo</w:t>
      </w:r>
      <w:r w:rsidR="00C227F9" w:rsidRPr="0071546E">
        <w:rPr>
          <w:rFonts w:ascii="Arial" w:eastAsiaTheme="minorEastAsia" w:hAnsi="Arial" w:cs="Arial"/>
          <w:sz w:val="24"/>
          <w:szCs w:val="24"/>
        </w:rPr>
        <w:t>u</w:t>
      </w:r>
      <w:r w:rsidRPr="0071546E">
        <w:rPr>
          <w:rFonts w:ascii="Arial" w:eastAsiaTheme="minorEastAsia" w:hAnsi="Arial" w:cs="Arial"/>
          <w:sz w:val="24"/>
          <w:szCs w:val="24"/>
        </w:rPr>
        <w:t xml:space="preserve">rimetric viability assay for susceptibility testing of </w:t>
      </w:r>
      <w:r w:rsidR="00C227F9" w:rsidRPr="0071546E">
        <w:rPr>
          <w:rFonts w:ascii="Arial" w:eastAsiaTheme="minorEastAsia" w:hAnsi="Arial" w:cs="Arial"/>
          <w:sz w:val="24"/>
          <w:szCs w:val="24"/>
        </w:rPr>
        <w:t xml:space="preserve">the </w:t>
      </w:r>
      <w:r w:rsidRPr="0071546E">
        <w:rPr>
          <w:rFonts w:ascii="Arial" w:eastAsiaTheme="minorEastAsia" w:hAnsi="Arial" w:cs="Arial"/>
          <w:sz w:val="24"/>
          <w:szCs w:val="24"/>
        </w:rPr>
        <w:t>different mammalian cell</w:t>
      </w:r>
      <w:r w:rsidR="00A357B2" w:rsidRPr="0071546E">
        <w:rPr>
          <w:rFonts w:ascii="Arial" w:eastAsiaTheme="minorEastAsia" w:hAnsi="Arial" w:cs="Arial"/>
          <w:sz w:val="24"/>
          <w:szCs w:val="24"/>
        </w:rPr>
        <w:t>s</w:t>
      </w:r>
      <w:r w:rsidRPr="0071546E">
        <w:rPr>
          <w:rFonts w:ascii="Arial" w:eastAsiaTheme="minorEastAsia" w:hAnsi="Arial" w:cs="Arial"/>
          <w:sz w:val="24"/>
          <w:szCs w:val="24"/>
        </w:rPr>
        <w:t xml:space="preserve"> (Yu et al., 2003)</w:t>
      </w:r>
      <w:r w:rsidR="00C227F9" w:rsidRPr="0071546E">
        <w:rPr>
          <w:rFonts w:ascii="Arial" w:eastAsiaTheme="minorEastAsia" w:hAnsi="Arial" w:cs="Arial"/>
          <w:sz w:val="24"/>
          <w:szCs w:val="24"/>
        </w:rPr>
        <w:t>,</w:t>
      </w:r>
      <w:r w:rsidRPr="0071546E">
        <w:rPr>
          <w:rFonts w:ascii="Arial" w:eastAsiaTheme="minorEastAsia" w:hAnsi="Arial" w:cs="Arial"/>
          <w:sz w:val="24"/>
          <w:szCs w:val="24"/>
        </w:rPr>
        <w:t xml:space="preserve"> fungi (Yamaguchi et al., 2002) and bacteria (Bonnier et al., 2</w:t>
      </w:r>
      <w:r w:rsidR="00510540" w:rsidRPr="0071546E">
        <w:rPr>
          <w:rFonts w:ascii="Arial" w:eastAsiaTheme="minorEastAsia" w:hAnsi="Arial" w:cs="Arial"/>
          <w:sz w:val="24"/>
          <w:szCs w:val="24"/>
        </w:rPr>
        <w:t>015). Alamar blue assay has been</w:t>
      </w:r>
      <w:r w:rsidRPr="0071546E">
        <w:rPr>
          <w:rFonts w:ascii="Arial" w:eastAsiaTheme="minorEastAsia" w:hAnsi="Arial" w:cs="Arial"/>
          <w:sz w:val="24"/>
          <w:szCs w:val="24"/>
        </w:rPr>
        <w:t xml:space="preserve"> used for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trophozoite susceptibility tests (Mcbride et al., 2005). To evaluate its application for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susceptibility testing, we generated a cell concentration curve to monitor the relationship between cell number and fluore</w:t>
      </w:r>
      <w:r w:rsidR="00A357B2" w:rsidRPr="0071546E">
        <w:rPr>
          <w:rFonts w:ascii="Arial" w:eastAsiaTheme="minorEastAsia" w:hAnsi="Arial" w:cs="Arial"/>
          <w:sz w:val="24"/>
          <w:szCs w:val="24"/>
        </w:rPr>
        <w:t>scence output. The results fig 3.5</w:t>
      </w:r>
      <w:r w:rsidRPr="0071546E">
        <w:rPr>
          <w:rFonts w:ascii="Arial" w:eastAsiaTheme="minorEastAsia" w:hAnsi="Arial" w:cs="Arial"/>
          <w:sz w:val="24"/>
          <w:szCs w:val="24"/>
        </w:rPr>
        <w:t xml:space="preserve"> did not </w:t>
      </w:r>
      <w:r w:rsidR="00A357B2" w:rsidRPr="0071546E">
        <w:rPr>
          <w:rFonts w:ascii="Arial" w:eastAsiaTheme="minorEastAsia" w:hAnsi="Arial" w:cs="Arial"/>
          <w:sz w:val="24"/>
          <w:szCs w:val="24"/>
        </w:rPr>
        <w:t>indicate</w:t>
      </w:r>
      <w:r w:rsidRPr="0071546E">
        <w:rPr>
          <w:rFonts w:ascii="Arial" w:eastAsiaTheme="minorEastAsia" w:hAnsi="Arial" w:cs="Arial"/>
          <w:sz w:val="24"/>
          <w:szCs w:val="24"/>
        </w:rPr>
        <w:t xml:space="preserve"> a linear correlation with the trophozoites. Further literature search suggested that </w:t>
      </w:r>
      <w:r w:rsidR="00C227F9" w:rsidRPr="0071546E">
        <w:rPr>
          <w:rFonts w:ascii="Arial" w:eastAsiaTheme="minorEastAsia" w:hAnsi="Arial" w:cs="Arial"/>
          <w:sz w:val="24"/>
          <w:szCs w:val="24"/>
        </w:rPr>
        <w:t>A</w:t>
      </w:r>
      <w:r w:rsidRPr="0071546E">
        <w:rPr>
          <w:rFonts w:ascii="Arial" w:eastAsiaTheme="minorEastAsia" w:hAnsi="Arial" w:cs="Arial"/>
          <w:sz w:val="24"/>
          <w:szCs w:val="24"/>
        </w:rPr>
        <w:t xml:space="preserve">lamar blue is not a suitable assay for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cyst viability (Mcbride et al., 2005). In this report</w:t>
      </w:r>
      <w:r w:rsidR="00493A2D" w:rsidRPr="0071546E">
        <w:rPr>
          <w:rFonts w:ascii="Arial" w:eastAsiaTheme="minorEastAsia" w:hAnsi="Arial" w:cs="Arial"/>
          <w:sz w:val="24"/>
          <w:szCs w:val="24"/>
        </w:rPr>
        <w:t>,</w:t>
      </w:r>
      <w:r w:rsidRPr="0071546E">
        <w:rPr>
          <w:rFonts w:ascii="Arial" w:eastAsiaTheme="minorEastAsia" w:hAnsi="Arial" w:cs="Arial"/>
          <w:sz w:val="24"/>
          <w:szCs w:val="24"/>
        </w:rPr>
        <w:t xml:space="preserve"> they suggested that their results (unpublished) showed </w:t>
      </w:r>
      <w:r w:rsidR="00C227F9" w:rsidRPr="0071546E">
        <w:rPr>
          <w:rFonts w:ascii="Arial" w:eastAsiaTheme="minorEastAsia" w:hAnsi="Arial" w:cs="Arial"/>
          <w:sz w:val="24"/>
          <w:szCs w:val="24"/>
        </w:rPr>
        <w:t xml:space="preserve">the </w:t>
      </w:r>
      <w:r w:rsidRPr="0071546E">
        <w:rPr>
          <w:rFonts w:ascii="Arial" w:eastAsiaTheme="minorEastAsia" w:hAnsi="Arial" w:cs="Arial"/>
          <w:sz w:val="24"/>
          <w:szCs w:val="24"/>
        </w:rPr>
        <w:t>limited ability of viable cysts to reduce resazurin to resorufin. This they attributed to variation in the metabolic rate of the cysts. Further experiment</w:t>
      </w:r>
      <w:r w:rsidR="00A357B2" w:rsidRPr="0071546E">
        <w:rPr>
          <w:rFonts w:ascii="Arial" w:eastAsiaTheme="minorEastAsia" w:hAnsi="Arial" w:cs="Arial"/>
          <w:sz w:val="24"/>
          <w:szCs w:val="24"/>
        </w:rPr>
        <w:t>s</w:t>
      </w:r>
      <w:r w:rsidRPr="0071546E">
        <w:rPr>
          <w:rFonts w:ascii="Arial" w:eastAsiaTheme="minorEastAsia" w:hAnsi="Arial" w:cs="Arial"/>
          <w:sz w:val="24"/>
          <w:szCs w:val="24"/>
        </w:rPr>
        <w:t xml:space="preserve"> with </w:t>
      </w:r>
      <w:r w:rsidR="00C227F9" w:rsidRPr="0071546E">
        <w:rPr>
          <w:rFonts w:ascii="Arial" w:eastAsiaTheme="minorEastAsia" w:hAnsi="Arial" w:cs="Arial"/>
          <w:sz w:val="24"/>
          <w:szCs w:val="24"/>
        </w:rPr>
        <w:t>A</w:t>
      </w:r>
      <w:r w:rsidR="00A357B2" w:rsidRPr="0071546E">
        <w:rPr>
          <w:rFonts w:ascii="Arial" w:eastAsiaTheme="minorEastAsia" w:hAnsi="Arial" w:cs="Arial"/>
          <w:sz w:val="24"/>
          <w:szCs w:val="24"/>
        </w:rPr>
        <w:t>lamar blue were</w:t>
      </w:r>
      <w:r w:rsidRPr="0071546E">
        <w:rPr>
          <w:rFonts w:ascii="Arial" w:eastAsiaTheme="minorEastAsia" w:hAnsi="Arial" w:cs="Arial"/>
          <w:sz w:val="24"/>
          <w:szCs w:val="24"/>
        </w:rPr>
        <w:t xml:space="preserve"> suspended.</w:t>
      </w:r>
    </w:p>
    <w:p w:rsidR="00EB2AAD" w:rsidRPr="0071546E" w:rsidRDefault="00EB2AAD" w:rsidP="00CF13FE">
      <w:pPr>
        <w:pStyle w:val="Heading2"/>
        <w:ind w:left="1021" w:right="454"/>
        <w:rPr>
          <w:rFonts w:eastAsiaTheme="minorEastAsia"/>
        </w:rPr>
      </w:pPr>
      <w:bookmarkStart w:id="117" w:name="_Toc14711487"/>
      <w:r w:rsidRPr="0071546E">
        <w:rPr>
          <w:rFonts w:eastAsiaTheme="minorEastAsia"/>
        </w:rPr>
        <w:t>4.1.3 Fluorescein diacetate (FDA) assay.</w:t>
      </w:r>
      <w:bookmarkEnd w:id="117"/>
    </w:p>
    <w:p w:rsidR="00EB2AAD" w:rsidRPr="0071546E" w:rsidRDefault="00EB2AAD" w:rsidP="00F44FF6">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Similar to the Alamar blue</w:t>
      </w:r>
      <w:r w:rsidR="00A357B2" w:rsidRPr="0071546E">
        <w:rPr>
          <w:rFonts w:ascii="Arial" w:eastAsiaTheme="minorEastAsia" w:hAnsi="Arial" w:cs="Arial"/>
          <w:sz w:val="24"/>
          <w:szCs w:val="24"/>
        </w:rPr>
        <w:t xml:space="preserve"> assay</w:t>
      </w:r>
      <w:r w:rsidRPr="0071546E">
        <w:rPr>
          <w:rFonts w:ascii="Arial" w:eastAsiaTheme="minorEastAsia" w:hAnsi="Arial" w:cs="Arial"/>
          <w:sz w:val="24"/>
          <w:szCs w:val="24"/>
        </w:rPr>
        <w:t>, the FDA</w:t>
      </w:r>
      <w:r w:rsidR="00A357B2" w:rsidRPr="0071546E">
        <w:rPr>
          <w:rFonts w:ascii="Arial" w:eastAsiaTheme="minorEastAsia" w:hAnsi="Arial" w:cs="Arial"/>
          <w:sz w:val="24"/>
          <w:szCs w:val="24"/>
        </w:rPr>
        <w:t xml:space="preserve"> susceptibility test</w:t>
      </w:r>
      <w:r w:rsidRPr="0071546E">
        <w:rPr>
          <w:rFonts w:ascii="Arial" w:eastAsiaTheme="minorEastAsia" w:hAnsi="Arial" w:cs="Arial"/>
          <w:sz w:val="24"/>
          <w:szCs w:val="24"/>
        </w:rPr>
        <w:t xml:space="preserve"> is a permeability dependent viability assay typically used as a probe for both enzymatic activit</w:t>
      </w:r>
      <w:r w:rsidR="00C227F9" w:rsidRPr="0071546E">
        <w:rPr>
          <w:rFonts w:ascii="Arial" w:eastAsiaTheme="minorEastAsia" w:hAnsi="Arial" w:cs="Arial"/>
          <w:sz w:val="24"/>
          <w:szCs w:val="24"/>
        </w:rPr>
        <w:t>ies</w:t>
      </w:r>
      <w:r w:rsidRPr="0071546E">
        <w:rPr>
          <w:rFonts w:ascii="Arial" w:eastAsiaTheme="minorEastAsia" w:hAnsi="Arial" w:cs="Arial"/>
          <w:sz w:val="24"/>
          <w:szCs w:val="24"/>
        </w:rPr>
        <w:t xml:space="preserve"> required to trigger its fluorescence and cell-membrane integrity required for intracellular preservation of their fluorescent product. Upon hydrolysis by mitochondria</w:t>
      </w:r>
      <w:r w:rsidR="00A357B2" w:rsidRPr="0071546E">
        <w:rPr>
          <w:rFonts w:ascii="Arial" w:eastAsiaTheme="minorEastAsia" w:hAnsi="Arial" w:cs="Arial"/>
          <w:sz w:val="24"/>
          <w:szCs w:val="24"/>
        </w:rPr>
        <w:t>l</w:t>
      </w:r>
      <w:r w:rsidRPr="0071546E">
        <w:rPr>
          <w:rFonts w:ascii="Arial" w:eastAsiaTheme="minorEastAsia" w:hAnsi="Arial" w:cs="Arial"/>
          <w:sz w:val="24"/>
          <w:szCs w:val="24"/>
        </w:rPr>
        <w:t xml:space="preserve"> enzymes, non-fluorescent FDA yi</w:t>
      </w:r>
      <w:r w:rsidR="00E21DDC" w:rsidRPr="0071546E">
        <w:rPr>
          <w:rFonts w:ascii="Arial" w:eastAsiaTheme="minorEastAsia" w:hAnsi="Arial" w:cs="Arial"/>
          <w:sz w:val="24"/>
          <w:szCs w:val="24"/>
        </w:rPr>
        <w:t>elds fluorescent fluorescein</w:t>
      </w:r>
      <w:r w:rsidRPr="0071546E">
        <w:rPr>
          <w:rFonts w:ascii="Arial" w:eastAsiaTheme="minorEastAsia" w:hAnsi="Arial" w:cs="Arial"/>
          <w:sz w:val="24"/>
          <w:szCs w:val="24"/>
        </w:rPr>
        <w:t xml:space="preserve">. </w:t>
      </w:r>
      <w:r w:rsidR="00A357B2" w:rsidRPr="0071546E">
        <w:rPr>
          <w:rFonts w:ascii="Arial" w:eastAsiaTheme="minorEastAsia" w:hAnsi="Arial" w:cs="Arial"/>
          <w:sz w:val="24"/>
          <w:szCs w:val="24"/>
        </w:rPr>
        <w:t xml:space="preserve"> The FDA assay has found a</w:t>
      </w:r>
      <w:r w:rsidRPr="0071546E">
        <w:rPr>
          <w:rFonts w:ascii="Arial" w:eastAsiaTheme="minorEastAsia" w:hAnsi="Arial" w:cs="Arial"/>
          <w:sz w:val="24"/>
          <w:szCs w:val="24"/>
        </w:rPr>
        <w:t xml:space="preserve"> use for the quantification of viable bacteria cells (Du et al., 2006). In the present research, although the FDA assay showed significant applicability to </w:t>
      </w:r>
      <w:r w:rsidR="00C227F9" w:rsidRPr="0071546E">
        <w:rPr>
          <w:rFonts w:ascii="Arial" w:eastAsiaTheme="minorEastAsia" w:hAnsi="Arial" w:cs="Arial"/>
          <w:sz w:val="24"/>
          <w:szCs w:val="24"/>
        </w:rPr>
        <w:t xml:space="preserve">the </w:t>
      </w:r>
      <w:r w:rsidRPr="0071546E">
        <w:rPr>
          <w:rFonts w:ascii="Arial" w:eastAsiaTheme="minorEastAsia" w:hAnsi="Arial" w:cs="Arial"/>
          <w:sz w:val="24"/>
          <w:szCs w:val="24"/>
        </w:rPr>
        <w:t xml:space="preserve">viability of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trophozoites fig 3.6 (b) and 3.7, FDA assay was not adopted for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viability because of its lack of applicability for cyst viability assay. Results from the cell concentration assay fig 3.6 (b) showed a non-linear response for the cyst cell concentration curve fig 3.6 (B). This result </w:t>
      </w:r>
      <w:r w:rsidR="00CC5ACB" w:rsidRPr="0071546E">
        <w:rPr>
          <w:rFonts w:ascii="Arial" w:eastAsiaTheme="minorEastAsia" w:hAnsi="Arial" w:cs="Arial"/>
          <w:sz w:val="24"/>
          <w:szCs w:val="24"/>
        </w:rPr>
        <w:t>was consistent</w:t>
      </w:r>
      <w:r w:rsidRPr="0071546E">
        <w:rPr>
          <w:rFonts w:ascii="Arial" w:eastAsiaTheme="minorEastAsia" w:hAnsi="Arial" w:cs="Arial"/>
          <w:sz w:val="24"/>
          <w:szCs w:val="24"/>
        </w:rPr>
        <w:t xml:space="preserve"> with </w:t>
      </w:r>
      <w:r w:rsidR="00C227F9" w:rsidRPr="0071546E">
        <w:rPr>
          <w:rFonts w:ascii="Arial" w:eastAsiaTheme="minorEastAsia" w:hAnsi="Arial" w:cs="Arial"/>
          <w:sz w:val="24"/>
          <w:szCs w:val="24"/>
        </w:rPr>
        <w:t xml:space="preserve">an </w:t>
      </w:r>
      <w:r w:rsidRPr="0071546E">
        <w:rPr>
          <w:rFonts w:ascii="Arial" w:eastAsiaTheme="minorEastAsia" w:hAnsi="Arial" w:cs="Arial"/>
          <w:sz w:val="24"/>
          <w:szCs w:val="24"/>
        </w:rPr>
        <w:t>earlier report by (</w:t>
      </w:r>
      <w:r w:rsidR="00CC5ACB" w:rsidRPr="0071546E">
        <w:rPr>
          <w:rFonts w:ascii="Arial" w:eastAsiaTheme="minorEastAsia" w:hAnsi="Arial" w:cs="Arial"/>
          <w:sz w:val="24"/>
          <w:szCs w:val="24"/>
        </w:rPr>
        <w:t>Khunkitti et</w:t>
      </w:r>
      <w:r w:rsidRPr="0071546E">
        <w:rPr>
          <w:rFonts w:ascii="Arial" w:eastAsiaTheme="minorEastAsia" w:hAnsi="Arial" w:cs="Arial"/>
          <w:sz w:val="24"/>
          <w:szCs w:val="24"/>
        </w:rPr>
        <w:t xml:space="preserve"> </w:t>
      </w:r>
      <w:r w:rsidR="00CC5ACB" w:rsidRPr="0071546E">
        <w:rPr>
          <w:rFonts w:ascii="Arial" w:eastAsiaTheme="minorEastAsia" w:hAnsi="Arial" w:cs="Arial"/>
          <w:sz w:val="24"/>
          <w:szCs w:val="24"/>
        </w:rPr>
        <w:t>al.</w:t>
      </w:r>
      <w:r w:rsidRPr="0071546E">
        <w:rPr>
          <w:rFonts w:ascii="Arial" w:eastAsiaTheme="minorEastAsia" w:hAnsi="Arial" w:cs="Arial"/>
          <w:sz w:val="24"/>
          <w:szCs w:val="24"/>
        </w:rPr>
        <w:t xml:space="preserve">, 1997). </w:t>
      </w:r>
      <w:r w:rsidR="00CC5ACB" w:rsidRPr="0071546E">
        <w:rPr>
          <w:rFonts w:ascii="Arial" w:eastAsiaTheme="minorEastAsia" w:hAnsi="Arial" w:cs="Arial"/>
          <w:sz w:val="24"/>
          <w:szCs w:val="24"/>
        </w:rPr>
        <w:t>Khunkitti et al studied the leth</w:t>
      </w:r>
      <w:r w:rsidRPr="0071546E">
        <w:rPr>
          <w:rFonts w:ascii="Arial" w:eastAsiaTheme="minorEastAsia" w:hAnsi="Arial" w:cs="Arial"/>
          <w:sz w:val="24"/>
          <w:szCs w:val="24"/>
        </w:rPr>
        <w:t xml:space="preserve">al effects of </w:t>
      </w:r>
      <w:r w:rsidR="00CC5ACB" w:rsidRPr="0071546E">
        <w:rPr>
          <w:rFonts w:ascii="Arial" w:eastAsiaTheme="minorEastAsia" w:hAnsi="Arial" w:cs="Arial"/>
          <w:sz w:val="24"/>
          <w:szCs w:val="24"/>
        </w:rPr>
        <w:t>different</w:t>
      </w:r>
      <w:r w:rsidRPr="0071546E">
        <w:rPr>
          <w:rFonts w:ascii="Arial" w:eastAsiaTheme="minorEastAsia" w:hAnsi="Arial" w:cs="Arial"/>
          <w:sz w:val="24"/>
          <w:szCs w:val="24"/>
        </w:rPr>
        <w:t xml:space="preserve"> biocides on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cysts and trophozoites with flow cytometry, using propid</w:t>
      </w:r>
      <w:r w:rsidR="00C227F9" w:rsidRPr="0071546E">
        <w:rPr>
          <w:rFonts w:ascii="Arial" w:eastAsiaTheme="minorEastAsia" w:hAnsi="Arial" w:cs="Arial"/>
          <w:sz w:val="24"/>
          <w:szCs w:val="24"/>
        </w:rPr>
        <w:t>iu</w:t>
      </w:r>
      <w:r w:rsidRPr="0071546E">
        <w:rPr>
          <w:rFonts w:ascii="Arial" w:eastAsiaTheme="minorEastAsia" w:hAnsi="Arial" w:cs="Arial"/>
          <w:sz w:val="24"/>
          <w:szCs w:val="24"/>
        </w:rPr>
        <w:t xml:space="preserve">m iodide </w:t>
      </w:r>
      <w:r w:rsidR="00CC5ACB" w:rsidRPr="0071546E">
        <w:rPr>
          <w:rFonts w:ascii="Arial" w:eastAsiaTheme="minorEastAsia" w:hAnsi="Arial" w:cs="Arial"/>
          <w:sz w:val="24"/>
          <w:szCs w:val="24"/>
        </w:rPr>
        <w:t>and FDA</w:t>
      </w:r>
      <w:r w:rsidRPr="0071546E">
        <w:rPr>
          <w:rFonts w:ascii="Arial" w:eastAsiaTheme="minorEastAsia" w:hAnsi="Arial" w:cs="Arial"/>
          <w:sz w:val="24"/>
          <w:szCs w:val="24"/>
        </w:rPr>
        <w:t xml:space="preserve"> dye. Their results w</w:t>
      </w:r>
      <w:r w:rsidR="00C227F9" w:rsidRPr="0071546E">
        <w:rPr>
          <w:rFonts w:ascii="Arial" w:eastAsiaTheme="minorEastAsia" w:hAnsi="Arial" w:cs="Arial"/>
          <w:sz w:val="24"/>
          <w:szCs w:val="24"/>
        </w:rPr>
        <w:t>ere</w:t>
      </w:r>
      <w:r w:rsidRPr="0071546E">
        <w:rPr>
          <w:rFonts w:ascii="Arial" w:eastAsiaTheme="minorEastAsia" w:hAnsi="Arial" w:cs="Arial"/>
          <w:sz w:val="24"/>
          <w:szCs w:val="24"/>
        </w:rPr>
        <w:t xml:space="preserve"> contradictory as 33% of </w:t>
      </w:r>
      <w:r w:rsidR="00CC5ACB" w:rsidRPr="0071546E">
        <w:rPr>
          <w:rFonts w:ascii="Arial" w:eastAsiaTheme="minorEastAsia" w:hAnsi="Arial" w:cs="Arial"/>
          <w:sz w:val="24"/>
          <w:szCs w:val="24"/>
        </w:rPr>
        <w:t>untreated</w:t>
      </w:r>
      <w:r w:rsidRPr="0071546E">
        <w:rPr>
          <w:rFonts w:ascii="Arial" w:eastAsiaTheme="minorEastAsia" w:hAnsi="Arial" w:cs="Arial"/>
          <w:sz w:val="24"/>
          <w:szCs w:val="24"/>
        </w:rPr>
        <w:t xml:space="preserve"> cysts counted using the haemocytometer were able to hydrolyse FDA while less than 10% were stained by propid</w:t>
      </w:r>
      <w:r w:rsidR="00C227F9" w:rsidRPr="0071546E">
        <w:rPr>
          <w:rFonts w:ascii="Arial" w:eastAsiaTheme="minorEastAsia" w:hAnsi="Arial" w:cs="Arial"/>
          <w:sz w:val="24"/>
          <w:szCs w:val="24"/>
        </w:rPr>
        <w:t>iu</w:t>
      </w:r>
      <w:r w:rsidRPr="0071546E">
        <w:rPr>
          <w:rFonts w:ascii="Arial" w:eastAsiaTheme="minorEastAsia" w:hAnsi="Arial" w:cs="Arial"/>
          <w:sz w:val="24"/>
          <w:szCs w:val="24"/>
        </w:rPr>
        <w:t xml:space="preserve">m </w:t>
      </w:r>
      <w:r w:rsidR="00CC5ACB" w:rsidRPr="0071546E">
        <w:rPr>
          <w:rFonts w:ascii="Arial" w:eastAsiaTheme="minorEastAsia" w:hAnsi="Arial" w:cs="Arial"/>
          <w:sz w:val="24"/>
          <w:szCs w:val="24"/>
        </w:rPr>
        <w:t>iodide</w:t>
      </w:r>
      <w:r w:rsidRPr="0071546E">
        <w:rPr>
          <w:rFonts w:ascii="Arial" w:eastAsiaTheme="minorEastAsia" w:hAnsi="Arial" w:cs="Arial"/>
          <w:sz w:val="24"/>
          <w:szCs w:val="24"/>
        </w:rPr>
        <w:t xml:space="preserve">. They attributed this to low metabolic rate and less </w:t>
      </w:r>
      <w:r w:rsidR="00CC5ACB" w:rsidRPr="0071546E">
        <w:rPr>
          <w:rFonts w:ascii="Arial" w:eastAsiaTheme="minorEastAsia" w:hAnsi="Arial" w:cs="Arial"/>
          <w:sz w:val="24"/>
          <w:szCs w:val="24"/>
        </w:rPr>
        <w:t>permeability</w:t>
      </w:r>
      <w:r w:rsidRPr="0071546E">
        <w:rPr>
          <w:rFonts w:ascii="Arial" w:eastAsiaTheme="minorEastAsia" w:hAnsi="Arial" w:cs="Arial"/>
          <w:sz w:val="24"/>
          <w:szCs w:val="24"/>
        </w:rPr>
        <w:t xml:space="preserve"> of these dye</w:t>
      </w:r>
      <w:r w:rsidR="00A9583A" w:rsidRPr="0071546E">
        <w:rPr>
          <w:rFonts w:ascii="Arial" w:eastAsiaTheme="minorEastAsia" w:hAnsi="Arial" w:cs="Arial"/>
          <w:sz w:val="24"/>
          <w:szCs w:val="24"/>
        </w:rPr>
        <w:t>s through the double cyst</w:t>
      </w:r>
      <w:r w:rsidRPr="0071546E">
        <w:rPr>
          <w:rFonts w:ascii="Arial" w:eastAsiaTheme="minorEastAsia" w:hAnsi="Arial" w:cs="Arial"/>
          <w:sz w:val="24"/>
          <w:szCs w:val="24"/>
        </w:rPr>
        <w:t xml:space="preserve"> cell wall. Metabolic activity and permeability dependent viability assays have not shown </w:t>
      </w:r>
      <w:r w:rsidR="00CC5ACB" w:rsidRPr="0071546E">
        <w:rPr>
          <w:rFonts w:ascii="Arial" w:eastAsiaTheme="minorEastAsia" w:hAnsi="Arial" w:cs="Arial"/>
          <w:sz w:val="24"/>
          <w:szCs w:val="24"/>
        </w:rPr>
        <w:t>significant adaptability</w:t>
      </w:r>
      <w:r w:rsidRPr="0071546E">
        <w:rPr>
          <w:rFonts w:ascii="Arial" w:eastAsiaTheme="minorEastAsia" w:hAnsi="Arial" w:cs="Arial"/>
          <w:sz w:val="24"/>
          <w:szCs w:val="24"/>
        </w:rPr>
        <w:t xml:space="preserve"> to cyst viability assay hence their further use in this research was stopped.</w:t>
      </w:r>
    </w:p>
    <w:p w:rsidR="00EB2AAD" w:rsidRPr="0071546E" w:rsidRDefault="00EB2AAD" w:rsidP="00CF13FE">
      <w:pPr>
        <w:pStyle w:val="Heading2"/>
        <w:ind w:left="1021" w:right="454"/>
        <w:rPr>
          <w:rFonts w:eastAsiaTheme="minorEastAsia"/>
        </w:rPr>
      </w:pPr>
      <w:bookmarkStart w:id="118" w:name="_Toc14711488"/>
      <w:r w:rsidRPr="0071546E">
        <w:rPr>
          <w:rFonts w:eastAsiaTheme="minorEastAsia"/>
        </w:rPr>
        <w:t>4.1.4 The Adenosine triphosphate assay.</w:t>
      </w:r>
      <w:bookmarkEnd w:id="118"/>
    </w:p>
    <w:p w:rsidR="00DB4FF2" w:rsidRPr="0071546E" w:rsidRDefault="00EB2AAD"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The ATP assay is a slightly different viability assay based on a specific reaction of </w:t>
      </w:r>
      <w:r w:rsidR="00CC5ACB" w:rsidRPr="0071546E">
        <w:rPr>
          <w:rFonts w:ascii="Arial" w:eastAsiaTheme="minorEastAsia" w:hAnsi="Arial" w:cs="Arial"/>
          <w:sz w:val="24"/>
          <w:szCs w:val="24"/>
        </w:rPr>
        <w:t>intracellular</w:t>
      </w:r>
      <w:r w:rsidRPr="0071546E">
        <w:rPr>
          <w:rFonts w:ascii="Arial" w:eastAsiaTheme="minorEastAsia" w:hAnsi="Arial" w:cs="Arial"/>
          <w:sz w:val="24"/>
          <w:szCs w:val="24"/>
        </w:rPr>
        <w:t xml:space="preserve"> ATP with firefly luciferase enzyme to produce bioluminescence. There </w:t>
      </w:r>
      <w:r w:rsidR="00C227F9" w:rsidRPr="0071546E">
        <w:rPr>
          <w:rFonts w:ascii="Arial" w:eastAsiaTheme="minorEastAsia" w:hAnsi="Arial" w:cs="Arial"/>
          <w:sz w:val="24"/>
          <w:szCs w:val="24"/>
        </w:rPr>
        <w:t>is</w:t>
      </w:r>
      <w:r w:rsidRPr="0071546E">
        <w:rPr>
          <w:rFonts w:ascii="Arial" w:eastAsiaTheme="minorEastAsia" w:hAnsi="Arial" w:cs="Arial"/>
          <w:sz w:val="24"/>
          <w:szCs w:val="24"/>
        </w:rPr>
        <w:t xml:space="preserve"> no published work for its use to quantify </w:t>
      </w:r>
      <w:r w:rsidR="00C227F9" w:rsidRPr="0071546E">
        <w:rPr>
          <w:rFonts w:ascii="Arial" w:eastAsiaTheme="minorEastAsia" w:hAnsi="Arial" w:cs="Arial"/>
          <w:sz w:val="24"/>
          <w:szCs w:val="24"/>
        </w:rPr>
        <w:t xml:space="preserve">the </w:t>
      </w:r>
      <w:r w:rsidRPr="0071546E">
        <w:rPr>
          <w:rFonts w:ascii="Arial" w:eastAsiaTheme="minorEastAsia" w:hAnsi="Arial" w:cs="Arial"/>
          <w:sz w:val="24"/>
          <w:szCs w:val="24"/>
        </w:rPr>
        <w:t xml:space="preserve">viability of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The only study on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ATP viability evaluation was a study by Dr Reanne Hughes and Dr S. Kilvington (Hughes and Kilvington, 2005</w:t>
      </w:r>
      <w:r w:rsidR="00CC5ACB" w:rsidRPr="0071546E">
        <w:rPr>
          <w:rFonts w:ascii="Arial" w:eastAsiaTheme="minorEastAsia" w:hAnsi="Arial" w:cs="Arial"/>
          <w:sz w:val="24"/>
          <w:szCs w:val="24"/>
        </w:rPr>
        <w:t>).</w:t>
      </w:r>
      <w:r w:rsidRPr="0071546E">
        <w:rPr>
          <w:rFonts w:ascii="Arial" w:eastAsiaTheme="minorEastAsia" w:hAnsi="Arial" w:cs="Arial"/>
          <w:sz w:val="24"/>
          <w:szCs w:val="24"/>
        </w:rPr>
        <w:t xml:space="preserve">  </w:t>
      </w:r>
      <w:r w:rsidR="00A9583A" w:rsidRPr="0071546E">
        <w:rPr>
          <w:rFonts w:ascii="Arial" w:eastAsiaTheme="minorEastAsia" w:hAnsi="Arial" w:cs="Arial"/>
          <w:sz w:val="24"/>
          <w:szCs w:val="24"/>
        </w:rPr>
        <w:t>They</w:t>
      </w:r>
      <w:r w:rsidR="00CC5ACB" w:rsidRPr="0071546E">
        <w:rPr>
          <w:rFonts w:ascii="Arial" w:eastAsiaTheme="minorEastAsia" w:hAnsi="Arial" w:cs="Arial"/>
          <w:sz w:val="24"/>
          <w:szCs w:val="24"/>
        </w:rPr>
        <w:t xml:space="preserve"> studied</w:t>
      </w:r>
      <w:r w:rsidRPr="0071546E">
        <w:rPr>
          <w:rFonts w:ascii="Arial" w:eastAsiaTheme="minorEastAsia" w:hAnsi="Arial" w:cs="Arial"/>
          <w:sz w:val="24"/>
          <w:szCs w:val="24"/>
        </w:rPr>
        <w:t xml:space="preserve"> the efficacy of novel disinfectants and therapeutic agents on </w:t>
      </w:r>
      <w:r w:rsidR="00432D1D" w:rsidRPr="0071546E">
        <w:rPr>
          <w:rFonts w:ascii="Arial" w:eastAsiaTheme="minorEastAsia" w:hAnsi="Arial" w:cs="Arial"/>
          <w:i/>
          <w:sz w:val="24"/>
          <w:szCs w:val="24"/>
        </w:rPr>
        <w:t>Acanthamoeba</w:t>
      </w:r>
      <w:r w:rsidRPr="0071546E">
        <w:rPr>
          <w:rFonts w:ascii="Arial" w:eastAsiaTheme="minorEastAsia" w:hAnsi="Arial" w:cs="Arial"/>
          <w:i/>
          <w:sz w:val="24"/>
          <w:szCs w:val="24"/>
        </w:rPr>
        <w:t>.</w:t>
      </w:r>
      <w:r w:rsidRPr="0071546E">
        <w:rPr>
          <w:rFonts w:ascii="Arial" w:eastAsiaTheme="minorEastAsia" w:hAnsi="Arial" w:cs="Arial"/>
          <w:sz w:val="24"/>
          <w:szCs w:val="24"/>
        </w:rPr>
        <w:t xml:space="preserve"> After comparing </w:t>
      </w:r>
      <w:r w:rsidR="00CC5ACB" w:rsidRPr="0071546E">
        <w:rPr>
          <w:rFonts w:ascii="Arial" w:eastAsiaTheme="minorEastAsia" w:hAnsi="Arial" w:cs="Arial"/>
          <w:sz w:val="24"/>
          <w:szCs w:val="24"/>
        </w:rPr>
        <w:t>several</w:t>
      </w:r>
      <w:r w:rsidRPr="0071546E">
        <w:rPr>
          <w:rFonts w:ascii="Arial" w:eastAsiaTheme="minorEastAsia" w:hAnsi="Arial" w:cs="Arial"/>
          <w:sz w:val="24"/>
          <w:szCs w:val="24"/>
        </w:rPr>
        <w:t xml:space="preserve"> viability </w:t>
      </w:r>
      <w:r w:rsidR="00CC5ACB" w:rsidRPr="0071546E">
        <w:rPr>
          <w:rFonts w:ascii="Arial" w:eastAsiaTheme="minorEastAsia" w:hAnsi="Arial" w:cs="Arial"/>
          <w:sz w:val="24"/>
          <w:szCs w:val="24"/>
        </w:rPr>
        <w:t xml:space="preserve">assays </w:t>
      </w:r>
      <w:r w:rsidR="00A9583A" w:rsidRPr="0071546E">
        <w:rPr>
          <w:rFonts w:ascii="Arial" w:eastAsiaTheme="minorEastAsia" w:hAnsi="Arial" w:cs="Arial"/>
          <w:sz w:val="24"/>
          <w:szCs w:val="24"/>
        </w:rPr>
        <w:t>they</w:t>
      </w:r>
      <w:r w:rsidRPr="0071546E">
        <w:rPr>
          <w:rFonts w:ascii="Arial" w:eastAsiaTheme="minorEastAsia" w:hAnsi="Arial" w:cs="Arial"/>
          <w:sz w:val="24"/>
          <w:szCs w:val="24"/>
        </w:rPr>
        <w:t xml:space="preserve"> reported that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cysts were very resistant to detergent cell lysis and as </w:t>
      </w:r>
      <w:r w:rsidR="00CC5ACB" w:rsidRPr="0071546E">
        <w:rPr>
          <w:rFonts w:ascii="Arial" w:eastAsiaTheme="minorEastAsia" w:hAnsi="Arial" w:cs="Arial"/>
          <w:sz w:val="24"/>
          <w:szCs w:val="24"/>
        </w:rPr>
        <w:t>such,</w:t>
      </w:r>
      <w:r w:rsidRPr="0071546E">
        <w:rPr>
          <w:rFonts w:ascii="Arial" w:eastAsiaTheme="minorEastAsia" w:hAnsi="Arial" w:cs="Arial"/>
          <w:sz w:val="24"/>
          <w:szCs w:val="24"/>
        </w:rPr>
        <w:t xml:space="preserve"> the amount of ATP contained in them </w:t>
      </w:r>
      <w:r w:rsidR="00510540" w:rsidRPr="0071546E">
        <w:rPr>
          <w:rFonts w:ascii="Arial" w:eastAsiaTheme="minorEastAsia" w:hAnsi="Arial" w:cs="Arial"/>
          <w:sz w:val="24"/>
          <w:szCs w:val="24"/>
        </w:rPr>
        <w:t>could not</w:t>
      </w:r>
      <w:r w:rsidRPr="0071546E">
        <w:rPr>
          <w:rFonts w:ascii="Arial" w:eastAsiaTheme="minorEastAsia" w:hAnsi="Arial" w:cs="Arial"/>
          <w:sz w:val="24"/>
          <w:szCs w:val="24"/>
        </w:rPr>
        <w:t xml:space="preserve"> be effectively quantified. </w:t>
      </w:r>
      <w:r w:rsidR="00493A2D" w:rsidRPr="0071546E">
        <w:rPr>
          <w:rFonts w:ascii="Arial" w:eastAsiaTheme="minorEastAsia" w:hAnsi="Arial" w:cs="Arial"/>
          <w:sz w:val="24"/>
          <w:szCs w:val="24"/>
        </w:rPr>
        <w:t xml:space="preserve">Tv </w:t>
      </w:r>
      <w:r w:rsidR="00A9583A" w:rsidRPr="0071546E">
        <w:rPr>
          <w:rFonts w:ascii="Arial" w:eastAsiaTheme="minorEastAsia" w:hAnsi="Arial" w:cs="Arial"/>
          <w:sz w:val="24"/>
          <w:szCs w:val="24"/>
        </w:rPr>
        <w:t xml:space="preserve">hey </w:t>
      </w:r>
      <w:r w:rsidRPr="0071546E">
        <w:rPr>
          <w:rFonts w:ascii="Arial" w:eastAsiaTheme="minorEastAsia" w:hAnsi="Arial" w:cs="Arial"/>
          <w:sz w:val="24"/>
          <w:szCs w:val="24"/>
        </w:rPr>
        <w:t xml:space="preserve">suggested that the ATP assay could be a useful viability assay if a robust and controlled lysis </w:t>
      </w:r>
      <w:r w:rsidR="00CC5ACB" w:rsidRPr="0071546E">
        <w:rPr>
          <w:rFonts w:ascii="Arial" w:eastAsiaTheme="minorEastAsia" w:hAnsi="Arial" w:cs="Arial"/>
          <w:sz w:val="24"/>
          <w:szCs w:val="24"/>
        </w:rPr>
        <w:t>approach</w:t>
      </w:r>
      <w:r w:rsidRPr="0071546E">
        <w:rPr>
          <w:rFonts w:ascii="Arial" w:eastAsiaTheme="minorEastAsia" w:hAnsi="Arial" w:cs="Arial"/>
          <w:sz w:val="24"/>
          <w:szCs w:val="24"/>
        </w:rPr>
        <w:t xml:space="preserve"> </w:t>
      </w:r>
      <w:r w:rsidR="00CC5ACB" w:rsidRPr="0071546E">
        <w:rPr>
          <w:rFonts w:ascii="Arial" w:eastAsiaTheme="minorEastAsia" w:hAnsi="Arial" w:cs="Arial"/>
          <w:sz w:val="24"/>
          <w:szCs w:val="24"/>
        </w:rPr>
        <w:t>can be optimised</w:t>
      </w:r>
      <w:r w:rsidRPr="0071546E">
        <w:rPr>
          <w:rFonts w:ascii="Arial" w:eastAsiaTheme="minorEastAsia" w:hAnsi="Arial" w:cs="Arial"/>
          <w:sz w:val="24"/>
          <w:szCs w:val="24"/>
        </w:rPr>
        <w:t xml:space="preserve"> for cyst lysis. The poor permeability of luciferas</w:t>
      </w:r>
      <w:r w:rsidR="00A9583A" w:rsidRPr="0071546E">
        <w:rPr>
          <w:rFonts w:ascii="Arial" w:eastAsiaTheme="minorEastAsia" w:hAnsi="Arial" w:cs="Arial"/>
          <w:sz w:val="24"/>
          <w:szCs w:val="24"/>
        </w:rPr>
        <w:t>e enzyme through microbial cell envelope</w:t>
      </w:r>
      <w:r w:rsidRPr="0071546E">
        <w:rPr>
          <w:rFonts w:ascii="Arial" w:eastAsiaTheme="minorEastAsia" w:hAnsi="Arial" w:cs="Arial"/>
          <w:sz w:val="24"/>
          <w:szCs w:val="24"/>
        </w:rPr>
        <w:t xml:space="preserve"> means that cells must be lysed </w:t>
      </w:r>
      <w:r w:rsidR="00C227F9" w:rsidRPr="0071546E">
        <w:rPr>
          <w:rFonts w:ascii="Arial" w:eastAsiaTheme="minorEastAsia" w:hAnsi="Arial" w:cs="Arial"/>
          <w:sz w:val="24"/>
          <w:szCs w:val="24"/>
        </w:rPr>
        <w:t>for ATP luciferase reaction to occur</w:t>
      </w:r>
      <w:r w:rsidR="00A9583A" w:rsidRPr="0071546E">
        <w:rPr>
          <w:rFonts w:ascii="Arial" w:eastAsiaTheme="minorEastAsia" w:hAnsi="Arial" w:cs="Arial"/>
          <w:sz w:val="24"/>
          <w:szCs w:val="24"/>
        </w:rPr>
        <w:t xml:space="preserve"> and to obtain</w:t>
      </w:r>
      <w:r w:rsidRPr="0071546E">
        <w:rPr>
          <w:rFonts w:ascii="Arial" w:eastAsiaTheme="minorEastAsia" w:hAnsi="Arial" w:cs="Arial"/>
          <w:sz w:val="24"/>
          <w:szCs w:val="24"/>
        </w:rPr>
        <w:t xml:space="preserve"> </w:t>
      </w:r>
      <w:r w:rsidR="00C227F9" w:rsidRPr="0071546E">
        <w:rPr>
          <w:rFonts w:ascii="Arial" w:eastAsiaTheme="minorEastAsia" w:hAnsi="Arial" w:cs="Arial"/>
          <w:sz w:val="24"/>
          <w:szCs w:val="24"/>
        </w:rPr>
        <w:t xml:space="preserve">a </w:t>
      </w:r>
      <w:r w:rsidRPr="0071546E">
        <w:rPr>
          <w:rFonts w:ascii="Arial" w:eastAsiaTheme="minorEastAsia" w:hAnsi="Arial" w:cs="Arial"/>
          <w:sz w:val="24"/>
          <w:szCs w:val="24"/>
        </w:rPr>
        <w:t>robust</w:t>
      </w:r>
      <w:r w:rsidR="00C227F9" w:rsidRPr="0071546E">
        <w:rPr>
          <w:rFonts w:ascii="Arial" w:eastAsiaTheme="minorEastAsia" w:hAnsi="Arial" w:cs="Arial"/>
          <w:sz w:val="24"/>
          <w:szCs w:val="24"/>
        </w:rPr>
        <w:t>,</w:t>
      </w:r>
      <w:r w:rsidRPr="0071546E">
        <w:rPr>
          <w:rFonts w:ascii="Arial" w:eastAsiaTheme="minorEastAsia" w:hAnsi="Arial" w:cs="Arial"/>
          <w:sz w:val="24"/>
          <w:szCs w:val="24"/>
        </w:rPr>
        <w:t xml:space="preserve"> data lysis must be </w:t>
      </w:r>
      <w:r w:rsidR="00CC5ACB" w:rsidRPr="0071546E">
        <w:rPr>
          <w:rFonts w:ascii="Arial" w:eastAsiaTheme="minorEastAsia" w:hAnsi="Arial" w:cs="Arial"/>
          <w:sz w:val="24"/>
          <w:szCs w:val="24"/>
        </w:rPr>
        <w:t>performed</w:t>
      </w:r>
      <w:r w:rsidRPr="0071546E">
        <w:rPr>
          <w:rFonts w:ascii="Arial" w:eastAsiaTheme="minorEastAsia" w:hAnsi="Arial" w:cs="Arial"/>
          <w:sz w:val="24"/>
          <w:szCs w:val="24"/>
        </w:rPr>
        <w:t xml:space="preserve"> in a controlled manner.</w:t>
      </w:r>
    </w:p>
    <w:p w:rsidR="00F44FF6" w:rsidRPr="0071546E" w:rsidRDefault="00F44FF6" w:rsidP="00CF13FE">
      <w:pPr>
        <w:pStyle w:val="Heading2"/>
        <w:ind w:left="1021" w:right="454"/>
        <w:rPr>
          <w:rFonts w:eastAsiaTheme="minorEastAsia"/>
        </w:rPr>
      </w:pPr>
    </w:p>
    <w:p w:rsidR="002D1CCC" w:rsidRPr="0071546E" w:rsidRDefault="002D1CCC" w:rsidP="002D1CCC">
      <w:pPr>
        <w:rPr>
          <w:lang w:eastAsia="en-GB"/>
        </w:rPr>
      </w:pPr>
    </w:p>
    <w:p w:rsidR="00DB4FF2" w:rsidRPr="0071546E" w:rsidRDefault="00DB4FF2" w:rsidP="00CF13FE">
      <w:pPr>
        <w:pStyle w:val="Heading2"/>
        <w:ind w:left="1021" w:right="454"/>
        <w:rPr>
          <w:rFonts w:eastAsiaTheme="minorEastAsia"/>
        </w:rPr>
      </w:pPr>
      <w:bookmarkStart w:id="119" w:name="_Toc14711489"/>
      <w:r w:rsidRPr="0071546E">
        <w:rPr>
          <w:rFonts w:eastAsiaTheme="minorEastAsia"/>
        </w:rPr>
        <w:t>4.2 Extraction of microbial intracellular proteins</w:t>
      </w:r>
      <w:bookmarkEnd w:id="119"/>
      <w:r w:rsidRPr="0071546E">
        <w:rPr>
          <w:rFonts w:eastAsiaTheme="minorEastAsia"/>
        </w:rPr>
        <w:t xml:space="preserve"> </w:t>
      </w:r>
    </w:p>
    <w:p w:rsidR="00112BA3" w:rsidRPr="0071546E" w:rsidRDefault="00DB4FF2"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Microbial intracellular metabolites are usually encapsulated by the cell membrane or cell wall. Therefore, to identify and quantify these metabolites, they must be extracted from within the cells. Extraction </w:t>
      </w:r>
      <w:r w:rsidR="00472B77" w:rsidRPr="0071546E">
        <w:rPr>
          <w:rFonts w:ascii="Arial" w:eastAsiaTheme="minorEastAsia" w:hAnsi="Arial" w:cs="Arial"/>
          <w:sz w:val="24"/>
          <w:szCs w:val="24"/>
        </w:rPr>
        <w:t>is usually carried out</w:t>
      </w:r>
      <w:r w:rsidRPr="0071546E">
        <w:rPr>
          <w:rFonts w:ascii="Arial" w:eastAsiaTheme="minorEastAsia" w:hAnsi="Arial" w:cs="Arial"/>
          <w:sz w:val="24"/>
          <w:szCs w:val="24"/>
        </w:rPr>
        <w:t xml:space="preserve"> by different </w:t>
      </w:r>
      <w:r w:rsidR="00472B77" w:rsidRPr="0071546E">
        <w:rPr>
          <w:rFonts w:ascii="Arial" w:eastAsiaTheme="minorEastAsia" w:hAnsi="Arial" w:cs="Arial"/>
          <w:sz w:val="24"/>
          <w:szCs w:val="24"/>
        </w:rPr>
        <w:t xml:space="preserve">methods; solvents sonication and enzyme. A model for extracting intracellular </w:t>
      </w:r>
      <w:r w:rsidR="00112BA3" w:rsidRPr="0071546E">
        <w:rPr>
          <w:rFonts w:ascii="Arial" w:eastAsiaTheme="minorEastAsia" w:hAnsi="Arial" w:cs="Arial"/>
          <w:sz w:val="24"/>
          <w:szCs w:val="24"/>
        </w:rPr>
        <w:t>metabolites</w:t>
      </w:r>
      <w:r w:rsidR="00472B77" w:rsidRPr="0071546E">
        <w:rPr>
          <w:rFonts w:ascii="Arial" w:eastAsiaTheme="minorEastAsia" w:hAnsi="Arial" w:cs="Arial"/>
          <w:sz w:val="24"/>
          <w:szCs w:val="24"/>
        </w:rPr>
        <w:t xml:space="preserve"> should be reproducible and able to release intracellular metabolites while preventing biochemical degradation (Canelas et al., 2009). The performance of a method of extracti</w:t>
      </w:r>
      <w:r w:rsidR="00C227F9" w:rsidRPr="0071546E">
        <w:rPr>
          <w:rFonts w:ascii="Arial" w:eastAsiaTheme="minorEastAsia" w:hAnsi="Arial" w:cs="Arial"/>
          <w:sz w:val="24"/>
          <w:szCs w:val="24"/>
        </w:rPr>
        <w:t xml:space="preserve">on can be estimated by applying a </w:t>
      </w:r>
      <w:r w:rsidR="00472B77" w:rsidRPr="0071546E">
        <w:rPr>
          <w:rFonts w:ascii="Arial" w:eastAsiaTheme="minorEastAsia" w:hAnsi="Arial" w:cs="Arial"/>
          <w:sz w:val="24"/>
          <w:szCs w:val="24"/>
        </w:rPr>
        <w:t>different extraction method to the same sample</w:t>
      </w:r>
      <w:r w:rsidR="00112BA3" w:rsidRPr="0071546E">
        <w:rPr>
          <w:rFonts w:ascii="Arial" w:eastAsiaTheme="minorEastAsia" w:hAnsi="Arial" w:cs="Arial"/>
          <w:sz w:val="24"/>
          <w:szCs w:val="24"/>
        </w:rPr>
        <w:t xml:space="preserve"> and comparing the activity of </w:t>
      </w:r>
      <w:r w:rsidR="00C227F9" w:rsidRPr="0071546E">
        <w:rPr>
          <w:rFonts w:ascii="Arial" w:eastAsiaTheme="minorEastAsia" w:hAnsi="Arial" w:cs="Arial"/>
          <w:sz w:val="24"/>
          <w:szCs w:val="24"/>
        </w:rPr>
        <w:t xml:space="preserve">the </w:t>
      </w:r>
      <w:r w:rsidR="00112BA3" w:rsidRPr="0071546E">
        <w:rPr>
          <w:rFonts w:ascii="Arial" w:eastAsiaTheme="minorEastAsia" w:hAnsi="Arial" w:cs="Arial"/>
          <w:sz w:val="24"/>
          <w:szCs w:val="24"/>
        </w:rPr>
        <w:t xml:space="preserve">extracted sample. </w:t>
      </w:r>
      <w:r w:rsidR="00EB2AAD" w:rsidRPr="0071546E">
        <w:rPr>
          <w:rFonts w:ascii="Arial" w:eastAsiaTheme="minorEastAsia" w:hAnsi="Arial" w:cs="Arial"/>
          <w:sz w:val="24"/>
          <w:szCs w:val="24"/>
        </w:rPr>
        <w:t>The application of ATP assay for viability testing in bacterial cells has driven the development of different methods for the rapid extraction of ATP from bacteria</w:t>
      </w:r>
      <w:r w:rsidR="00563D9A" w:rsidRPr="0071546E">
        <w:rPr>
          <w:rFonts w:ascii="Arial" w:eastAsiaTheme="minorEastAsia" w:hAnsi="Arial" w:cs="Arial"/>
          <w:sz w:val="24"/>
          <w:szCs w:val="24"/>
        </w:rPr>
        <w:t>l</w:t>
      </w:r>
      <w:r w:rsidR="00EB2AAD" w:rsidRPr="0071546E">
        <w:rPr>
          <w:rFonts w:ascii="Arial" w:eastAsiaTheme="minorEastAsia" w:hAnsi="Arial" w:cs="Arial"/>
          <w:sz w:val="24"/>
          <w:szCs w:val="24"/>
        </w:rPr>
        <w:t xml:space="preserve"> cells. Among the methods reviewed from </w:t>
      </w:r>
      <w:r w:rsidR="00CC5ACB" w:rsidRPr="0071546E">
        <w:rPr>
          <w:rFonts w:ascii="Arial" w:eastAsiaTheme="minorEastAsia" w:hAnsi="Arial" w:cs="Arial"/>
          <w:sz w:val="24"/>
          <w:szCs w:val="24"/>
        </w:rPr>
        <w:t>literature,</w:t>
      </w:r>
      <w:r w:rsidR="00EB2AAD" w:rsidRPr="0071546E">
        <w:rPr>
          <w:rFonts w:ascii="Arial" w:eastAsiaTheme="minorEastAsia" w:hAnsi="Arial" w:cs="Arial"/>
          <w:sz w:val="24"/>
          <w:szCs w:val="24"/>
        </w:rPr>
        <w:t xml:space="preserve"> sources are by boiling, use of butanol, chloroform and formic acid. However, </w:t>
      </w:r>
      <w:r w:rsidR="00CC5ACB" w:rsidRPr="0071546E">
        <w:rPr>
          <w:rFonts w:ascii="Arial" w:eastAsiaTheme="minorEastAsia" w:hAnsi="Arial" w:cs="Arial"/>
          <w:sz w:val="24"/>
          <w:szCs w:val="24"/>
        </w:rPr>
        <w:t>none of</w:t>
      </w:r>
      <w:r w:rsidR="00EB2AAD" w:rsidRPr="0071546E">
        <w:rPr>
          <w:rFonts w:ascii="Arial" w:eastAsiaTheme="minorEastAsia" w:hAnsi="Arial" w:cs="Arial"/>
          <w:sz w:val="24"/>
          <w:szCs w:val="24"/>
        </w:rPr>
        <w:t xml:space="preserve"> these methods </w:t>
      </w:r>
      <w:r w:rsidR="00CC5ACB" w:rsidRPr="0071546E">
        <w:rPr>
          <w:rFonts w:ascii="Arial" w:eastAsiaTheme="minorEastAsia" w:hAnsi="Arial" w:cs="Arial"/>
          <w:sz w:val="24"/>
          <w:szCs w:val="24"/>
        </w:rPr>
        <w:t>is</w:t>
      </w:r>
      <w:r w:rsidR="00EB2AAD" w:rsidRPr="0071546E">
        <w:rPr>
          <w:rFonts w:ascii="Arial" w:eastAsiaTheme="minorEastAsia" w:hAnsi="Arial" w:cs="Arial"/>
          <w:sz w:val="24"/>
          <w:szCs w:val="24"/>
        </w:rPr>
        <w:t xml:space="preserve"> accepted as a standard method for ATP extraction, partly because of the insufficient description of their performance. By using these methods, extraction of ATP has been studied in plants </w:t>
      </w:r>
      <w:r w:rsidR="00ED3F23" w:rsidRPr="0071546E">
        <w:rPr>
          <w:rFonts w:ascii="Arial" w:eastAsiaTheme="minorEastAsia" w:hAnsi="Arial" w:cs="Arial"/>
          <w:sz w:val="24"/>
          <w:szCs w:val="24"/>
        </w:rPr>
        <w:t>(Soccio et al., 2013),</w:t>
      </w:r>
      <w:r w:rsidR="00EB2AAD" w:rsidRPr="0071546E">
        <w:rPr>
          <w:rFonts w:ascii="Arial" w:eastAsiaTheme="minorEastAsia" w:hAnsi="Arial" w:cs="Arial"/>
          <w:sz w:val="24"/>
          <w:szCs w:val="24"/>
        </w:rPr>
        <w:t xml:space="preserve"> blood </w:t>
      </w:r>
      <w:r w:rsidR="00C50EB3" w:rsidRPr="0071546E">
        <w:rPr>
          <w:rFonts w:ascii="Arial" w:eastAsiaTheme="minorEastAsia" w:hAnsi="Arial" w:cs="Arial"/>
          <w:sz w:val="24"/>
          <w:szCs w:val="24"/>
        </w:rPr>
        <w:t xml:space="preserve">(Chida et al., </w:t>
      </w:r>
      <w:r w:rsidRPr="0071546E">
        <w:rPr>
          <w:rFonts w:ascii="Arial" w:eastAsiaTheme="minorEastAsia" w:hAnsi="Arial" w:cs="Arial"/>
          <w:sz w:val="24"/>
          <w:szCs w:val="24"/>
        </w:rPr>
        <w:t>2012</w:t>
      </w:r>
      <w:r w:rsidRPr="0071546E">
        <w:rPr>
          <w:color w:val="000000"/>
        </w:rPr>
        <w:t>;</w:t>
      </w:r>
      <w:r w:rsidR="00ED3F23" w:rsidRPr="0071546E">
        <w:rPr>
          <w:color w:val="000000"/>
        </w:rPr>
        <w:t xml:space="preserve"> </w:t>
      </w:r>
      <w:r w:rsidR="00ED3F23" w:rsidRPr="0071546E">
        <w:rPr>
          <w:rFonts w:ascii="Arial" w:eastAsiaTheme="minorEastAsia" w:hAnsi="Arial" w:cs="Arial"/>
          <w:sz w:val="24"/>
          <w:szCs w:val="24"/>
        </w:rPr>
        <w:t>Chida and Kido, 2013</w:t>
      </w:r>
      <w:r w:rsidR="00C50EB3" w:rsidRPr="0071546E">
        <w:rPr>
          <w:rFonts w:ascii="Arial" w:eastAsiaTheme="minorEastAsia" w:hAnsi="Arial" w:cs="Arial"/>
          <w:sz w:val="24"/>
          <w:szCs w:val="24"/>
        </w:rPr>
        <w:t>)</w:t>
      </w:r>
      <w:r w:rsidR="00EB2AAD" w:rsidRPr="0071546E">
        <w:rPr>
          <w:rFonts w:ascii="Arial" w:eastAsiaTheme="minorEastAsia" w:hAnsi="Arial" w:cs="Arial"/>
          <w:sz w:val="24"/>
          <w:szCs w:val="24"/>
        </w:rPr>
        <w:t xml:space="preserve">, mycobacteria and </w:t>
      </w:r>
      <w:r w:rsidR="00EB2AAD" w:rsidRPr="0071546E">
        <w:rPr>
          <w:rFonts w:ascii="Arial" w:eastAsiaTheme="minorEastAsia" w:hAnsi="Arial" w:cs="Arial"/>
          <w:i/>
          <w:sz w:val="24"/>
          <w:szCs w:val="24"/>
        </w:rPr>
        <w:t>Escherichia coli</w:t>
      </w:r>
      <w:r w:rsidR="00EB2AAD" w:rsidRPr="0071546E">
        <w:rPr>
          <w:rFonts w:ascii="Arial" w:eastAsiaTheme="minorEastAsia" w:hAnsi="Arial" w:cs="Arial"/>
          <w:sz w:val="24"/>
          <w:szCs w:val="24"/>
        </w:rPr>
        <w:t xml:space="preserve"> (3). No studies ha</w:t>
      </w:r>
      <w:r w:rsidR="00C227F9" w:rsidRPr="0071546E">
        <w:rPr>
          <w:rFonts w:ascii="Arial" w:eastAsiaTheme="minorEastAsia" w:hAnsi="Arial" w:cs="Arial"/>
          <w:sz w:val="24"/>
          <w:szCs w:val="24"/>
        </w:rPr>
        <w:t>ve</w:t>
      </w:r>
      <w:r w:rsidR="00EB2AAD" w:rsidRPr="0071546E">
        <w:rPr>
          <w:rFonts w:ascii="Arial" w:eastAsiaTheme="minorEastAsia" w:hAnsi="Arial" w:cs="Arial"/>
          <w:sz w:val="24"/>
          <w:szCs w:val="24"/>
        </w:rPr>
        <w:t xml:space="preserve"> evaluated or compared levels of ATP produced from </w:t>
      </w:r>
      <w:r w:rsidR="00432D1D" w:rsidRPr="0071546E">
        <w:rPr>
          <w:rFonts w:ascii="Arial" w:eastAsiaTheme="minorEastAsia" w:hAnsi="Arial" w:cs="Arial"/>
          <w:i/>
          <w:sz w:val="24"/>
          <w:szCs w:val="24"/>
        </w:rPr>
        <w:t>Acanthamoeba</w:t>
      </w:r>
      <w:r w:rsidR="00EB2AAD" w:rsidRPr="0071546E">
        <w:rPr>
          <w:rFonts w:ascii="Arial" w:eastAsiaTheme="minorEastAsia" w:hAnsi="Arial" w:cs="Arial"/>
          <w:sz w:val="24"/>
          <w:szCs w:val="24"/>
        </w:rPr>
        <w:t xml:space="preserve"> cells using any lysis </w:t>
      </w:r>
      <w:r w:rsidR="00CC5ACB" w:rsidRPr="0071546E">
        <w:rPr>
          <w:rFonts w:ascii="Arial" w:eastAsiaTheme="minorEastAsia" w:hAnsi="Arial" w:cs="Arial"/>
          <w:sz w:val="24"/>
          <w:szCs w:val="24"/>
        </w:rPr>
        <w:t xml:space="preserve">method. </w:t>
      </w:r>
      <w:r w:rsidR="00432D1D" w:rsidRPr="0071546E">
        <w:rPr>
          <w:rFonts w:ascii="Arial" w:eastAsiaTheme="minorEastAsia" w:hAnsi="Arial" w:cs="Arial"/>
          <w:i/>
          <w:sz w:val="24"/>
          <w:szCs w:val="24"/>
        </w:rPr>
        <w:t>Acanthamoeba</w:t>
      </w:r>
      <w:r w:rsidR="00EB2AAD" w:rsidRPr="0071546E">
        <w:rPr>
          <w:rFonts w:ascii="Arial" w:eastAsiaTheme="minorEastAsia" w:hAnsi="Arial" w:cs="Arial"/>
          <w:sz w:val="24"/>
          <w:szCs w:val="24"/>
        </w:rPr>
        <w:t xml:space="preserve"> trophozoites are </w:t>
      </w:r>
      <w:r w:rsidR="00CC5ACB" w:rsidRPr="0071546E">
        <w:rPr>
          <w:rFonts w:ascii="Arial" w:eastAsiaTheme="minorEastAsia" w:hAnsi="Arial" w:cs="Arial"/>
          <w:sz w:val="24"/>
          <w:szCs w:val="24"/>
        </w:rPr>
        <w:t>susceptible</w:t>
      </w:r>
      <w:r w:rsidR="00EB2AAD" w:rsidRPr="0071546E">
        <w:rPr>
          <w:rFonts w:ascii="Arial" w:eastAsiaTheme="minorEastAsia" w:hAnsi="Arial" w:cs="Arial"/>
          <w:sz w:val="24"/>
          <w:szCs w:val="24"/>
        </w:rPr>
        <w:t xml:space="preserve"> to conventional lysis buffers containing   (150 mM NaCl 1.0% </w:t>
      </w:r>
      <w:hyperlink r:id="rId126" w:tooltip="Triton X-100" w:history="1">
        <w:r w:rsidR="00EB2AAD" w:rsidRPr="0071546E">
          <w:rPr>
            <w:rStyle w:val="Hyperlink"/>
            <w:rFonts w:ascii="Arial" w:eastAsiaTheme="minorEastAsia" w:hAnsi="Arial" w:cs="Arial"/>
            <w:color w:val="000000" w:themeColor="text1"/>
            <w:sz w:val="24"/>
            <w:szCs w:val="24"/>
            <w:u w:val="none"/>
          </w:rPr>
          <w:t>Triton X-100</w:t>
        </w:r>
      </w:hyperlink>
      <w:r w:rsidR="00EB2AAD" w:rsidRPr="0071546E">
        <w:rPr>
          <w:rFonts w:ascii="Arial" w:eastAsiaTheme="minorEastAsia" w:hAnsi="Arial" w:cs="Arial"/>
          <w:sz w:val="24"/>
          <w:szCs w:val="24"/>
        </w:rPr>
        <w:t xml:space="preserve">  50 mM Tris-Cl </w:t>
      </w:r>
      <w:r w:rsidR="00CC5ACB" w:rsidRPr="0071546E">
        <w:rPr>
          <w:rFonts w:ascii="Arial" w:eastAsiaTheme="minorEastAsia" w:hAnsi="Arial" w:cs="Arial"/>
          <w:sz w:val="24"/>
          <w:szCs w:val="24"/>
        </w:rPr>
        <w:t>pH 7</w:t>
      </w:r>
      <w:r w:rsidR="00EB2AAD" w:rsidRPr="0071546E">
        <w:rPr>
          <w:rFonts w:ascii="Arial" w:eastAsiaTheme="minorEastAsia" w:hAnsi="Arial" w:cs="Arial"/>
          <w:sz w:val="24"/>
          <w:szCs w:val="24"/>
        </w:rPr>
        <w:t xml:space="preserve">). </w:t>
      </w:r>
      <w:r w:rsidR="00CC5ACB" w:rsidRPr="0071546E">
        <w:rPr>
          <w:rFonts w:ascii="Arial" w:eastAsiaTheme="minorEastAsia" w:hAnsi="Arial" w:cs="Arial"/>
          <w:sz w:val="24"/>
          <w:szCs w:val="24"/>
        </w:rPr>
        <w:t>However,</w:t>
      </w:r>
      <w:r w:rsidR="00EB2AAD" w:rsidRPr="0071546E">
        <w:rPr>
          <w:rFonts w:ascii="Arial" w:eastAsiaTheme="minorEastAsia" w:hAnsi="Arial" w:cs="Arial"/>
          <w:sz w:val="24"/>
          <w:szCs w:val="24"/>
        </w:rPr>
        <w:t xml:space="preserve"> the cysts are very robust and resistant to these </w:t>
      </w:r>
      <w:r w:rsidR="00CC5ACB" w:rsidRPr="0071546E">
        <w:rPr>
          <w:rFonts w:ascii="Arial" w:eastAsiaTheme="minorEastAsia" w:hAnsi="Arial" w:cs="Arial"/>
          <w:sz w:val="24"/>
          <w:szCs w:val="24"/>
        </w:rPr>
        <w:t xml:space="preserve">buffers. </w:t>
      </w:r>
      <w:r w:rsidR="00EB2AAD" w:rsidRPr="0071546E">
        <w:rPr>
          <w:rFonts w:ascii="Arial" w:eastAsiaTheme="minorEastAsia" w:hAnsi="Arial" w:cs="Arial"/>
          <w:sz w:val="24"/>
          <w:szCs w:val="24"/>
        </w:rPr>
        <w:t xml:space="preserve">It is fair to think that using stronger buffers will likely denature released </w:t>
      </w:r>
      <w:r w:rsidR="00CC5ACB" w:rsidRPr="0071546E">
        <w:rPr>
          <w:rFonts w:ascii="Arial" w:eastAsiaTheme="minorEastAsia" w:hAnsi="Arial" w:cs="Arial"/>
          <w:sz w:val="24"/>
          <w:szCs w:val="24"/>
        </w:rPr>
        <w:t>intracellular</w:t>
      </w:r>
      <w:r w:rsidR="00EB2AAD" w:rsidRPr="0071546E">
        <w:rPr>
          <w:rFonts w:ascii="Arial" w:eastAsiaTheme="minorEastAsia" w:hAnsi="Arial" w:cs="Arial"/>
          <w:sz w:val="24"/>
          <w:szCs w:val="24"/>
        </w:rPr>
        <w:t xml:space="preserve"> ATP hence reducing its activity, but this is only a hypothesis. </w:t>
      </w:r>
      <w:r w:rsidR="00A9583A" w:rsidRPr="0071546E">
        <w:rPr>
          <w:rFonts w:ascii="Arial" w:eastAsiaTheme="minorEastAsia" w:hAnsi="Arial" w:cs="Arial"/>
          <w:sz w:val="24"/>
          <w:szCs w:val="24"/>
        </w:rPr>
        <w:t>We assessed several lysis</w:t>
      </w:r>
      <w:r w:rsidR="00EB2AAD" w:rsidRPr="0071546E">
        <w:rPr>
          <w:rFonts w:ascii="Arial" w:eastAsiaTheme="minorEastAsia" w:hAnsi="Arial" w:cs="Arial"/>
          <w:sz w:val="24"/>
          <w:szCs w:val="24"/>
        </w:rPr>
        <w:t xml:space="preserve"> </w:t>
      </w:r>
      <w:r w:rsidR="00CC5ACB" w:rsidRPr="0071546E">
        <w:rPr>
          <w:rFonts w:ascii="Arial" w:eastAsiaTheme="minorEastAsia" w:hAnsi="Arial" w:cs="Arial"/>
          <w:sz w:val="24"/>
          <w:szCs w:val="24"/>
        </w:rPr>
        <w:t>options</w:t>
      </w:r>
      <w:r w:rsidR="00A9583A" w:rsidRPr="0071546E">
        <w:rPr>
          <w:rFonts w:ascii="Arial" w:eastAsiaTheme="minorEastAsia" w:hAnsi="Arial" w:cs="Arial"/>
          <w:sz w:val="24"/>
          <w:szCs w:val="24"/>
        </w:rPr>
        <w:t>:</w:t>
      </w:r>
      <w:r w:rsidR="00EB2AAD" w:rsidRPr="0071546E">
        <w:rPr>
          <w:rFonts w:ascii="Arial" w:eastAsiaTheme="minorEastAsia" w:hAnsi="Arial" w:cs="Arial"/>
          <w:sz w:val="24"/>
          <w:szCs w:val="24"/>
        </w:rPr>
        <w:t xml:space="preserve"> sonication and used </w:t>
      </w:r>
      <w:r w:rsidR="00CC5ACB" w:rsidRPr="0071546E">
        <w:rPr>
          <w:rFonts w:ascii="Arial" w:eastAsiaTheme="minorEastAsia" w:hAnsi="Arial" w:cs="Arial"/>
          <w:sz w:val="24"/>
          <w:szCs w:val="24"/>
        </w:rPr>
        <w:t>detergent</w:t>
      </w:r>
      <w:r w:rsidR="00EB2AAD" w:rsidRPr="0071546E">
        <w:rPr>
          <w:rFonts w:ascii="Arial" w:eastAsiaTheme="minorEastAsia" w:hAnsi="Arial" w:cs="Arial"/>
          <w:sz w:val="24"/>
          <w:szCs w:val="24"/>
        </w:rPr>
        <w:t xml:space="preserve"> buffers and enzymatic </w:t>
      </w:r>
      <w:r w:rsidR="00CC5ACB" w:rsidRPr="0071546E">
        <w:rPr>
          <w:rFonts w:ascii="Arial" w:eastAsiaTheme="minorEastAsia" w:hAnsi="Arial" w:cs="Arial"/>
          <w:sz w:val="24"/>
          <w:szCs w:val="24"/>
        </w:rPr>
        <w:t xml:space="preserve">degradation. </w:t>
      </w:r>
    </w:p>
    <w:p w:rsidR="00EB2AAD" w:rsidRPr="0071546E" w:rsidRDefault="00CC5ACB" w:rsidP="00CF13FE">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No studies have compared </w:t>
      </w:r>
      <w:r w:rsidR="00C227F9" w:rsidRPr="0071546E">
        <w:rPr>
          <w:rFonts w:ascii="Arial" w:eastAsiaTheme="minorEastAsia" w:hAnsi="Arial" w:cs="Arial"/>
          <w:sz w:val="24"/>
          <w:szCs w:val="24"/>
        </w:rPr>
        <w:t xml:space="preserve">the </w:t>
      </w:r>
      <w:r w:rsidRPr="0071546E">
        <w:rPr>
          <w:rFonts w:ascii="Arial" w:eastAsiaTheme="minorEastAsia" w:hAnsi="Arial" w:cs="Arial"/>
          <w:sz w:val="24"/>
          <w:szCs w:val="24"/>
        </w:rPr>
        <w:t xml:space="preserve">use of these three methods for extracting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ATP.</w:t>
      </w:r>
      <w:r w:rsidR="00EB2AAD" w:rsidRPr="0071546E">
        <w:rPr>
          <w:rFonts w:ascii="Arial" w:eastAsiaTheme="minorEastAsia" w:hAnsi="Arial" w:cs="Arial"/>
          <w:sz w:val="24"/>
          <w:szCs w:val="24"/>
        </w:rPr>
        <w:t xml:space="preserve"> A report by (Anwar, Khan and Siddiqui, 2018) has suggested the enzymatic degradation of cyst </w:t>
      </w:r>
      <w:r w:rsidRPr="0071546E">
        <w:rPr>
          <w:rFonts w:ascii="Arial" w:eastAsiaTheme="minorEastAsia" w:hAnsi="Arial" w:cs="Arial"/>
          <w:sz w:val="24"/>
          <w:szCs w:val="24"/>
        </w:rPr>
        <w:t>cell wall</w:t>
      </w:r>
      <w:r w:rsidR="00EB2AAD" w:rsidRPr="0071546E">
        <w:rPr>
          <w:rFonts w:ascii="Arial" w:eastAsiaTheme="minorEastAsia" w:hAnsi="Arial" w:cs="Arial"/>
          <w:sz w:val="24"/>
          <w:szCs w:val="24"/>
        </w:rPr>
        <w:t xml:space="preserve"> using </w:t>
      </w:r>
      <w:r w:rsidRPr="0071546E">
        <w:rPr>
          <w:rFonts w:ascii="Arial" w:eastAsiaTheme="minorEastAsia" w:hAnsi="Arial" w:cs="Arial"/>
          <w:sz w:val="24"/>
          <w:szCs w:val="24"/>
        </w:rPr>
        <w:t xml:space="preserve">cellulases. </w:t>
      </w:r>
      <w:r w:rsidR="00EB2AAD" w:rsidRPr="0071546E">
        <w:rPr>
          <w:rFonts w:ascii="Arial" w:eastAsiaTheme="minorEastAsia" w:hAnsi="Arial" w:cs="Arial"/>
          <w:sz w:val="24"/>
          <w:szCs w:val="24"/>
        </w:rPr>
        <w:t xml:space="preserve">This suggestion was based on </w:t>
      </w:r>
      <w:r w:rsidR="00C227F9" w:rsidRPr="0071546E">
        <w:rPr>
          <w:rFonts w:ascii="Arial" w:eastAsiaTheme="minorEastAsia" w:hAnsi="Arial" w:cs="Arial"/>
          <w:sz w:val="24"/>
          <w:szCs w:val="24"/>
        </w:rPr>
        <w:t xml:space="preserve">an </w:t>
      </w:r>
      <w:r w:rsidRPr="0071546E">
        <w:rPr>
          <w:rFonts w:ascii="Arial" w:eastAsiaTheme="minorEastAsia" w:hAnsi="Arial" w:cs="Arial"/>
          <w:sz w:val="24"/>
          <w:szCs w:val="24"/>
        </w:rPr>
        <w:t>earlier</w:t>
      </w:r>
      <w:r w:rsidR="00EB2AAD" w:rsidRPr="0071546E">
        <w:rPr>
          <w:rFonts w:ascii="Arial" w:eastAsiaTheme="minorEastAsia" w:hAnsi="Arial" w:cs="Arial"/>
          <w:sz w:val="24"/>
          <w:szCs w:val="24"/>
        </w:rPr>
        <w:t xml:space="preserve"> study on the carbohydrate composition of the endocyst and </w:t>
      </w:r>
      <w:r w:rsidRPr="0071546E">
        <w:rPr>
          <w:rFonts w:ascii="Arial" w:eastAsiaTheme="minorEastAsia" w:hAnsi="Arial" w:cs="Arial"/>
          <w:sz w:val="24"/>
          <w:szCs w:val="24"/>
        </w:rPr>
        <w:t>ectocyst, which</w:t>
      </w:r>
      <w:r w:rsidR="00EB2AAD" w:rsidRPr="0071546E">
        <w:rPr>
          <w:rFonts w:ascii="Arial" w:eastAsiaTheme="minorEastAsia" w:hAnsi="Arial" w:cs="Arial"/>
          <w:sz w:val="24"/>
          <w:szCs w:val="24"/>
        </w:rPr>
        <w:t xml:space="preserve"> was reported to contain mostly </w:t>
      </w:r>
      <w:r w:rsidRPr="0071546E">
        <w:rPr>
          <w:rFonts w:ascii="Arial" w:eastAsiaTheme="minorEastAsia" w:hAnsi="Arial" w:cs="Arial"/>
          <w:sz w:val="24"/>
          <w:szCs w:val="24"/>
        </w:rPr>
        <w:t>polysaccharides</w:t>
      </w:r>
      <w:r w:rsidR="00EB2AAD" w:rsidRPr="0071546E">
        <w:rPr>
          <w:rFonts w:ascii="Arial" w:eastAsiaTheme="minorEastAsia" w:hAnsi="Arial" w:cs="Arial"/>
          <w:sz w:val="24"/>
          <w:szCs w:val="24"/>
        </w:rPr>
        <w:t xml:space="preserve"> including cellulose (Neff and Neff </w:t>
      </w:r>
      <w:r w:rsidRPr="0071546E">
        <w:rPr>
          <w:rFonts w:ascii="Arial" w:eastAsiaTheme="minorEastAsia" w:hAnsi="Arial" w:cs="Arial"/>
          <w:sz w:val="24"/>
          <w:szCs w:val="24"/>
        </w:rPr>
        <w:t>1969;</w:t>
      </w:r>
      <w:r w:rsidR="00EB2AAD" w:rsidRPr="0071546E">
        <w:rPr>
          <w:rFonts w:ascii="Arial" w:eastAsiaTheme="minorEastAsia" w:hAnsi="Arial" w:cs="Arial"/>
          <w:sz w:val="24"/>
          <w:szCs w:val="24"/>
        </w:rPr>
        <w:t xml:space="preserve"> Murti, 1973; Garajová et al., 2019).  With these reports in mind </w:t>
      </w:r>
      <w:r w:rsidRPr="0071546E">
        <w:rPr>
          <w:rFonts w:ascii="Arial" w:eastAsiaTheme="minorEastAsia" w:hAnsi="Arial" w:cs="Arial"/>
          <w:sz w:val="24"/>
          <w:szCs w:val="24"/>
        </w:rPr>
        <w:t>and</w:t>
      </w:r>
      <w:r w:rsidR="00EB2AAD" w:rsidRPr="0071546E">
        <w:rPr>
          <w:rFonts w:ascii="Arial" w:eastAsiaTheme="minorEastAsia" w:hAnsi="Arial" w:cs="Arial"/>
          <w:sz w:val="24"/>
          <w:szCs w:val="24"/>
        </w:rPr>
        <w:t xml:space="preserve"> based on </w:t>
      </w:r>
      <w:r w:rsidR="00A9583A" w:rsidRPr="0071546E">
        <w:rPr>
          <w:rFonts w:ascii="Arial" w:eastAsiaTheme="minorEastAsia" w:hAnsi="Arial" w:cs="Arial"/>
          <w:sz w:val="24"/>
          <w:szCs w:val="24"/>
        </w:rPr>
        <w:t>which enzymes we have in stock,</w:t>
      </w:r>
      <w:r w:rsidR="00EB2AAD" w:rsidRPr="0071546E">
        <w:rPr>
          <w:rFonts w:ascii="Arial" w:eastAsiaTheme="minorEastAsia" w:hAnsi="Arial" w:cs="Arial"/>
          <w:sz w:val="24"/>
          <w:szCs w:val="24"/>
        </w:rPr>
        <w:t xml:space="preserve"> we were able to lyse </w:t>
      </w:r>
      <w:r w:rsidR="00432D1D" w:rsidRPr="0071546E">
        <w:rPr>
          <w:rFonts w:ascii="Arial" w:eastAsiaTheme="minorEastAsia" w:hAnsi="Arial" w:cs="Arial"/>
          <w:i/>
          <w:sz w:val="24"/>
          <w:szCs w:val="24"/>
        </w:rPr>
        <w:t>Acanthamoeba</w:t>
      </w:r>
      <w:r w:rsidR="00EB2AAD" w:rsidRPr="0071546E">
        <w:rPr>
          <w:rFonts w:ascii="Arial" w:eastAsiaTheme="minorEastAsia" w:hAnsi="Arial" w:cs="Arial"/>
          <w:sz w:val="24"/>
          <w:szCs w:val="24"/>
        </w:rPr>
        <w:t xml:space="preserve"> cysts using lysozyme from </w:t>
      </w:r>
      <w:r w:rsidRPr="0071546E">
        <w:rPr>
          <w:rFonts w:ascii="Arial" w:eastAsiaTheme="minorEastAsia" w:hAnsi="Arial" w:cs="Arial"/>
          <w:sz w:val="24"/>
          <w:szCs w:val="24"/>
        </w:rPr>
        <w:t>hen’s</w:t>
      </w:r>
      <w:r w:rsidR="00EB2AAD" w:rsidRPr="0071546E">
        <w:rPr>
          <w:rFonts w:ascii="Arial" w:eastAsiaTheme="minorEastAsia" w:hAnsi="Arial" w:cs="Arial"/>
          <w:sz w:val="24"/>
          <w:szCs w:val="24"/>
        </w:rPr>
        <w:t xml:space="preserve"> egg white</w:t>
      </w:r>
      <w:r w:rsidR="00A9583A" w:rsidRPr="0071546E">
        <w:rPr>
          <w:rFonts w:ascii="Arial" w:eastAsiaTheme="minorEastAsia" w:hAnsi="Arial" w:cs="Arial"/>
          <w:sz w:val="24"/>
          <w:szCs w:val="24"/>
        </w:rPr>
        <w:t>.</w:t>
      </w:r>
      <w:r w:rsidR="00EB2AAD" w:rsidRPr="0071546E">
        <w:rPr>
          <w:rFonts w:ascii="Arial" w:eastAsiaTheme="minorEastAsia" w:hAnsi="Arial" w:cs="Arial"/>
          <w:sz w:val="24"/>
          <w:szCs w:val="24"/>
        </w:rPr>
        <w:t xml:space="preserve"> </w:t>
      </w:r>
    </w:p>
    <w:p w:rsidR="00F446C5" w:rsidRPr="0071546E" w:rsidRDefault="00DB4FF2" w:rsidP="00CF13FE">
      <w:pPr>
        <w:pStyle w:val="Heading2"/>
        <w:ind w:left="1021" w:right="454"/>
        <w:rPr>
          <w:rFonts w:eastAsiaTheme="minorEastAsia"/>
        </w:rPr>
      </w:pPr>
      <w:bookmarkStart w:id="120" w:name="_Toc14711490"/>
      <w:r w:rsidRPr="0071546E">
        <w:rPr>
          <w:rFonts w:eastAsiaTheme="minorEastAsia"/>
        </w:rPr>
        <w:t>4.2.1</w:t>
      </w:r>
      <w:r w:rsidR="00F446C5" w:rsidRPr="0071546E">
        <w:t xml:space="preserve"> </w:t>
      </w:r>
      <w:r w:rsidR="00F446C5" w:rsidRPr="0071546E">
        <w:rPr>
          <w:rFonts w:eastAsiaTheme="minorEastAsia"/>
        </w:rPr>
        <w:t xml:space="preserve">Lysozyme specificity to </w:t>
      </w:r>
      <w:r w:rsidR="00432D1D" w:rsidRPr="0071546E">
        <w:rPr>
          <w:rFonts w:eastAsiaTheme="minorEastAsia"/>
          <w:i/>
        </w:rPr>
        <w:t>Acanthamoeba</w:t>
      </w:r>
      <w:r w:rsidR="00F446C5" w:rsidRPr="0071546E">
        <w:rPr>
          <w:rFonts w:eastAsiaTheme="minorEastAsia"/>
        </w:rPr>
        <w:t xml:space="preserve"> cyst cell wall</w:t>
      </w:r>
      <w:bookmarkEnd w:id="120"/>
    </w:p>
    <w:p w:rsidR="00F446C5" w:rsidRPr="0071546E" w:rsidRDefault="00F446C5" w:rsidP="00F44FF6">
      <w:pPr>
        <w:spacing w:before="100" w:after="200" w:line="480" w:lineRule="auto"/>
        <w:ind w:left="1021" w:right="454"/>
        <w:jc w:val="both"/>
        <w:rPr>
          <w:rFonts w:ascii="Arial" w:eastAsiaTheme="minorEastAsia" w:hAnsi="Arial" w:cs="Arial"/>
          <w:sz w:val="24"/>
          <w:szCs w:val="24"/>
        </w:rPr>
      </w:pPr>
      <w:r w:rsidRPr="0071546E">
        <w:rPr>
          <w:rFonts w:ascii="Arial" w:eastAsiaTheme="minorEastAsia" w:hAnsi="Arial" w:cs="Arial"/>
          <w:sz w:val="24"/>
          <w:szCs w:val="24"/>
        </w:rPr>
        <w:t xml:space="preserve">The cyst cell wall of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offers the required robustness that causes resistance and subsequent reinfection after treatment with chemotherapeutic agents and disinfectants. It is startling how the cysts of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are able to remain intact after treatment with SDS plus boiling, EDTA and the use of s</w:t>
      </w:r>
      <w:r w:rsidR="00EC4916" w:rsidRPr="0071546E">
        <w:rPr>
          <w:rFonts w:ascii="Arial" w:eastAsiaTheme="minorEastAsia" w:hAnsi="Arial" w:cs="Arial"/>
          <w:sz w:val="24"/>
          <w:szCs w:val="24"/>
        </w:rPr>
        <w:t>everal hydrolytic enzymes like p</w:t>
      </w:r>
      <w:r w:rsidR="00234554" w:rsidRPr="0071546E">
        <w:rPr>
          <w:rFonts w:ascii="Arial" w:eastAsiaTheme="minorEastAsia" w:hAnsi="Arial" w:cs="Arial"/>
          <w:sz w:val="24"/>
          <w:szCs w:val="24"/>
        </w:rPr>
        <w:t xml:space="preserve">apain, </w:t>
      </w:r>
      <w:r w:rsidRPr="0071546E">
        <w:rPr>
          <w:rFonts w:ascii="Arial" w:eastAsiaTheme="minorEastAsia" w:hAnsi="Arial" w:cs="Arial"/>
          <w:sz w:val="24"/>
          <w:szCs w:val="24"/>
        </w:rPr>
        <w:t xml:space="preserve">DNase, RNase, aminoglycosides, proteinase K </w:t>
      </w:r>
      <w:r w:rsidR="00982816" w:rsidRPr="0071546E">
        <w:rPr>
          <w:rFonts w:ascii="Arial" w:eastAsiaTheme="minorEastAsia" w:hAnsi="Arial" w:cs="Arial"/>
          <w:sz w:val="24"/>
          <w:szCs w:val="24"/>
        </w:rPr>
        <w:t>(Goldschmidt et al., 2007</w:t>
      </w:r>
      <w:r w:rsidR="001B32DA" w:rsidRPr="0071546E">
        <w:rPr>
          <w:rFonts w:ascii="Arial" w:eastAsiaTheme="minorEastAsia" w:hAnsi="Arial" w:cs="Arial"/>
          <w:sz w:val="24"/>
          <w:szCs w:val="24"/>
        </w:rPr>
        <w:t>; Dudley et al., 2007</w:t>
      </w:r>
      <w:r w:rsidR="00982816" w:rsidRPr="0071546E">
        <w:rPr>
          <w:rFonts w:ascii="Arial" w:eastAsiaTheme="minorEastAsia" w:hAnsi="Arial" w:cs="Arial"/>
          <w:sz w:val="24"/>
          <w:szCs w:val="24"/>
        </w:rPr>
        <w:t>)</w:t>
      </w:r>
      <w:r w:rsidRPr="0071546E">
        <w:rPr>
          <w:rFonts w:ascii="Arial" w:eastAsiaTheme="minorEastAsia" w:hAnsi="Arial" w:cs="Arial"/>
          <w:sz w:val="24"/>
          <w:szCs w:val="24"/>
        </w:rPr>
        <w:t xml:space="preserve">. The robust nature of the cyst cell wall suggests that they are partly made up of carbohydrates.  This assumption was confirmed by a study on the carbohydrate analysis of the cyst cell wall of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using GC/MS analytical </w:t>
      </w:r>
      <w:r w:rsidR="00476D08" w:rsidRPr="0071546E">
        <w:rPr>
          <w:rFonts w:ascii="Arial" w:eastAsiaTheme="minorEastAsia" w:hAnsi="Arial" w:cs="Arial"/>
          <w:sz w:val="24"/>
          <w:szCs w:val="24"/>
        </w:rPr>
        <w:t>method</w:t>
      </w:r>
      <w:r w:rsidR="00476D08" w:rsidRPr="0071546E">
        <w:t xml:space="preserve"> </w:t>
      </w:r>
      <w:r w:rsidR="00476D08" w:rsidRPr="0071546E">
        <w:rPr>
          <w:rFonts w:ascii="Arial" w:eastAsiaTheme="minorEastAsia" w:hAnsi="Arial" w:cs="Arial"/>
          <w:sz w:val="24"/>
          <w:szCs w:val="24"/>
        </w:rPr>
        <w:t>(</w:t>
      </w:r>
      <w:r w:rsidR="00EC4916" w:rsidRPr="0071546E">
        <w:rPr>
          <w:rFonts w:ascii="Arial" w:eastAsiaTheme="minorEastAsia" w:hAnsi="Arial" w:cs="Arial"/>
          <w:sz w:val="24"/>
          <w:szCs w:val="24"/>
        </w:rPr>
        <w:t>Dudley et al</w:t>
      </w:r>
      <w:r w:rsidRPr="0071546E">
        <w:rPr>
          <w:rFonts w:ascii="Arial" w:eastAsiaTheme="minorEastAsia" w:hAnsi="Arial" w:cs="Arial"/>
          <w:sz w:val="24"/>
          <w:szCs w:val="24"/>
        </w:rPr>
        <w:t>.</w:t>
      </w:r>
      <w:r w:rsidR="00EC4916" w:rsidRPr="0071546E">
        <w:rPr>
          <w:rFonts w:ascii="Arial" w:eastAsiaTheme="minorEastAsia" w:hAnsi="Arial" w:cs="Arial"/>
          <w:sz w:val="24"/>
          <w:szCs w:val="24"/>
        </w:rPr>
        <w:t>, 2007).</w:t>
      </w:r>
      <w:r w:rsidRPr="0071546E">
        <w:rPr>
          <w:rFonts w:ascii="Arial" w:eastAsiaTheme="minorEastAsia" w:hAnsi="Arial" w:cs="Arial"/>
          <w:sz w:val="24"/>
          <w:szCs w:val="24"/>
        </w:rPr>
        <w:t xml:space="preserve"> In their study, linkage analysis showed the presence of 4-linked gl</w:t>
      </w:r>
      <w:r w:rsidR="00563D9A" w:rsidRPr="0071546E">
        <w:rPr>
          <w:rFonts w:ascii="Arial" w:eastAsiaTheme="minorEastAsia" w:hAnsi="Arial" w:cs="Arial"/>
          <w:sz w:val="24"/>
          <w:szCs w:val="24"/>
        </w:rPr>
        <w:t>u</w:t>
      </w:r>
      <w:r w:rsidRPr="0071546E">
        <w:rPr>
          <w:rFonts w:ascii="Arial" w:eastAsiaTheme="minorEastAsia" w:hAnsi="Arial" w:cs="Arial"/>
          <w:sz w:val="24"/>
          <w:szCs w:val="24"/>
        </w:rPr>
        <w:t xml:space="preserve">copyranose (22.2%) which suggests </w:t>
      </w:r>
      <w:r w:rsidR="00C227F9" w:rsidRPr="0071546E">
        <w:rPr>
          <w:rFonts w:ascii="Arial" w:eastAsiaTheme="minorEastAsia" w:hAnsi="Arial" w:cs="Arial"/>
          <w:sz w:val="24"/>
          <w:szCs w:val="24"/>
        </w:rPr>
        <w:t xml:space="preserve">the </w:t>
      </w:r>
      <w:r w:rsidRPr="0071546E">
        <w:rPr>
          <w:rFonts w:ascii="Arial" w:eastAsiaTheme="minorEastAsia" w:hAnsi="Arial" w:cs="Arial"/>
          <w:sz w:val="24"/>
          <w:szCs w:val="24"/>
        </w:rPr>
        <w:t xml:space="preserve">presence of cellulose. This result is consistent with earlier findings by (Murti, 1973; Tomlinson and Jones, 1962. The presence of carbohydrate moieties unique to the cyst cell wall to </w:t>
      </w:r>
      <w:r w:rsidR="00432D1D" w:rsidRPr="0071546E">
        <w:rPr>
          <w:rFonts w:ascii="Arial" w:eastAsiaTheme="minorEastAsia" w:hAnsi="Arial" w:cs="Arial"/>
          <w:i/>
          <w:sz w:val="24"/>
          <w:szCs w:val="24"/>
        </w:rPr>
        <w:t>Acanthamoeba</w:t>
      </w:r>
      <w:r w:rsidRPr="0071546E">
        <w:rPr>
          <w:rFonts w:ascii="Arial" w:eastAsiaTheme="minorEastAsia" w:hAnsi="Arial" w:cs="Arial"/>
          <w:i/>
          <w:sz w:val="24"/>
          <w:szCs w:val="24"/>
        </w:rPr>
        <w:t xml:space="preserve"> </w:t>
      </w:r>
      <w:r w:rsidRPr="0071546E">
        <w:rPr>
          <w:rFonts w:ascii="Arial" w:eastAsiaTheme="minorEastAsia" w:hAnsi="Arial" w:cs="Arial"/>
          <w:sz w:val="24"/>
          <w:szCs w:val="24"/>
        </w:rPr>
        <w:t xml:space="preserve">presents a potential target for hydrolytic enzymes (Dudley </w:t>
      </w:r>
      <w:r w:rsidRPr="0071546E">
        <w:rPr>
          <w:rFonts w:ascii="Arial" w:eastAsiaTheme="minorEastAsia" w:hAnsi="Arial" w:cs="Arial"/>
          <w:i/>
          <w:sz w:val="24"/>
          <w:szCs w:val="24"/>
        </w:rPr>
        <w:t>et al</w:t>
      </w:r>
      <w:r w:rsidRPr="0071546E">
        <w:rPr>
          <w:rFonts w:ascii="Arial" w:eastAsiaTheme="minorEastAsia" w:hAnsi="Arial" w:cs="Arial"/>
          <w:sz w:val="24"/>
          <w:szCs w:val="24"/>
        </w:rPr>
        <w:t xml:space="preserve">., 2007, 2009). Lysozymes exhibit hydrolytic activity to specifically cleave the β-1, 4-glycosidic bonds between the </w:t>
      </w:r>
      <w:r w:rsidRPr="0071546E">
        <w:rPr>
          <w:rFonts w:ascii="Arial" w:eastAsiaTheme="minorEastAsia" w:hAnsi="Arial" w:cs="Arial"/>
          <w:i/>
          <w:iCs/>
          <w:sz w:val="24"/>
          <w:szCs w:val="24"/>
        </w:rPr>
        <w:t>N</w:t>
      </w:r>
      <w:r w:rsidRPr="0071546E">
        <w:rPr>
          <w:rFonts w:ascii="Arial" w:eastAsiaTheme="minorEastAsia" w:hAnsi="Arial" w:cs="Arial"/>
          <w:sz w:val="24"/>
          <w:szCs w:val="24"/>
        </w:rPr>
        <w:t xml:space="preserve">-acetyl glucosamine and </w:t>
      </w:r>
      <w:r w:rsidRPr="0071546E">
        <w:rPr>
          <w:rFonts w:ascii="Arial" w:eastAsiaTheme="minorEastAsia" w:hAnsi="Arial" w:cs="Arial"/>
          <w:i/>
          <w:iCs/>
          <w:sz w:val="24"/>
          <w:szCs w:val="24"/>
        </w:rPr>
        <w:t>N</w:t>
      </w:r>
      <w:r w:rsidRPr="0071546E">
        <w:rPr>
          <w:rFonts w:ascii="Arial" w:eastAsiaTheme="minorEastAsia" w:hAnsi="Arial" w:cs="Arial"/>
          <w:sz w:val="24"/>
          <w:szCs w:val="24"/>
        </w:rPr>
        <w:t>-acetylmuramic acid of peptidoglycan</w:t>
      </w:r>
      <w:r w:rsidR="001B32DA" w:rsidRPr="0071546E">
        <w:rPr>
          <w:color w:val="000000"/>
        </w:rPr>
        <w:t xml:space="preserve"> </w:t>
      </w:r>
      <w:r w:rsidR="001B32DA" w:rsidRPr="0071546E">
        <w:rPr>
          <w:rFonts w:ascii="Arial" w:eastAsiaTheme="minorEastAsia" w:hAnsi="Arial" w:cs="Arial"/>
          <w:sz w:val="24"/>
          <w:szCs w:val="24"/>
        </w:rPr>
        <w:t>(Callewaert and Michiels, 2010)</w:t>
      </w:r>
      <w:r w:rsidRPr="0071546E">
        <w:rPr>
          <w:rFonts w:ascii="Arial" w:eastAsiaTheme="minorEastAsia" w:hAnsi="Arial" w:cs="Arial"/>
          <w:sz w:val="24"/>
          <w:szCs w:val="24"/>
        </w:rPr>
        <w:t>. Peptidoglycan is a vital and unique cross-linked bacterial cell wall heteropolymer that provides structural strength and protects the osmotically sensitive protoplast (Alcorlo et al., 2017). Thus, the disruption of the peptidoglycan mesh-like structure present in the cyst cell walls has fatal consequences for bacteria and results in cell lysis</w:t>
      </w:r>
      <w:r w:rsidR="00CF6232" w:rsidRPr="0071546E">
        <w:rPr>
          <w:color w:val="000000"/>
        </w:rPr>
        <w:t xml:space="preserve"> </w:t>
      </w:r>
      <w:r w:rsidR="00CF6232" w:rsidRPr="0071546E">
        <w:rPr>
          <w:rFonts w:ascii="Arial" w:eastAsiaTheme="minorEastAsia" w:hAnsi="Arial" w:cs="Arial"/>
          <w:sz w:val="24"/>
          <w:szCs w:val="24"/>
        </w:rPr>
        <w:t>(Lakhundi, Siddiqui and Khan, 2015)</w:t>
      </w:r>
      <w:r w:rsidRPr="0071546E">
        <w:rPr>
          <w:rFonts w:ascii="Arial" w:eastAsiaTheme="minorEastAsia" w:hAnsi="Arial" w:cs="Arial"/>
          <w:sz w:val="24"/>
          <w:szCs w:val="24"/>
        </w:rPr>
        <w:t xml:space="preserve">. In addition to hydrolytic muramidase activity, most lysozymes also possess chitinase activity, probably as a result of the similarity between peptidoglycan (heteropolymer of β-1,4 linked </w:t>
      </w:r>
      <w:r w:rsidRPr="0071546E">
        <w:rPr>
          <w:rFonts w:ascii="Arial" w:eastAsiaTheme="minorEastAsia" w:hAnsi="Arial" w:cs="Arial"/>
          <w:i/>
          <w:iCs/>
          <w:sz w:val="24"/>
          <w:szCs w:val="24"/>
        </w:rPr>
        <w:t>N</w:t>
      </w:r>
      <w:r w:rsidRPr="0071546E">
        <w:rPr>
          <w:rFonts w:ascii="Arial" w:eastAsiaTheme="minorEastAsia" w:hAnsi="Arial" w:cs="Arial"/>
          <w:sz w:val="24"/>
          <w:szCs w:val="24"/>
        </w:rPr>
        <w:t xml:space="preserve">-acetylmuramic acid and </w:t>
      </w:r>
      <w:r w:rsidRPr="0071546E">
        <w:rPr>
          <w:rFonts w:ascii="Arial" w:eastAsiaTheme="minorEastAsia" w:hAnsi="Arial" w:cs="Arial"/>
          <w:i/>
          <w:iCs/>
          <w:sz w:val="24"/>
          <w:szCs w:val="24"/>
        </w:rPr>
        <w:t>N</w:t>
      </w:r>
      <w:r w:rsidRPr="0071546E">
        <w:rPr>
          <w:rFonts w:ascii="Arial" w:eastAsiaTheme="minorEastAsia" w:hAnsi="Arial" w:cs="Arial"/>
          <w:sz w:val="24"/>
          <w:szCs w:val="24"/>
        </w:rPr>
        <w:t xml:space="preserve">-acetylglucosamine) and chitin (homopolymer of β-1,4 linked </w:t>
      </w:r>
      <w:r w:rsidRPr="0071546E">
        <w:rPr>
          <w:rFonts w:ascii="Arial" w:eastAsiaTheme="minorEastAsia" w:hAnsi="Arial" w:cs="Arial"/>
          <w:i/>
          <w:iCs/>
          <w:sz w:val="24"/>
          <w:szCs w:val="24"/>
        </w:rPr>
        <w:t>N</w:t>
      </w:r>
      <w:r w:rsidR="00F44FF6" w:rsidRPr="0071546E">
        <w:rPr>
          <w:rFonts w:ascii="Arial" w:eastAsiaTheme="minorEastAsia" w:hAnsi="Arial" w:cs="Arial"/>
          <w:sz w:val="24"/>
          <w:szCs w:val="24"/>
        </w:rPr>
        <w:t>-acetylglucosamine)</w:t>
      </w:r>
      <w:r w:rsidR="00CF6232" w:rsidRPr="0071546E">
        <w:rPr>
          <w:color w:val="000000"/>
        </w:rPr>
        <w:t xml:space="preserve"> </w:t>
      </w:r>
      <w:r w:rsidR="00CF6232" w:rsidRPr="0071546E">
        <w:rPr>
          <w:rFonts w:ascii="Arial" w:eastAsiaTheme="minorEastAsia" w:hAnsi="Arial" w:cs="Arial"/>
          <w:sz w:val="24"/>
          <w:szCs w:val="24"/>
        </w:rPr>
        <w:t>(Wohlkönig et al., 2010)</w:t>
      </w:r>
      <w:r w:rsidR="00F44FF6" w:rsidRPr="0071546E">
        <w:rPr>
          <w:rFonts w:ascii="Arial" w:eastAsiaTheme="minorEastAsia" w:hAnsi="Arial" w:cs="Arial"/>
          <w:sz w:val="24"/>
          <w:szCs w:val="24"/>
        </w:rPr>
        <w:t xml:space="preserve">. </w:t>
      </w:r>
      <w:r w:rsidRPr="0071546E">
        <w:rPr>
          <w:rFonts w:ascii="Arial" w:eastAsiaTheme="minorEastAsia" w:hAnsi="Arial" w:cs="Arial"/>
          <w:sz w:val="24"/>
          <w:szCs w:val="24"/>
        </w:rPr>
        <w:t>Among the I-type lysozymes, some have chitinase activity, whereas others were shown to be incapable of hydrolysing chitin. The molecular basis for this difference is unknown. Furthermore, lysozymes also exhibit isopeptidase activity (Josková et al., 2009; Bathige et al., 2013). The difference in optimum pH for lysozyme and isopeptidase activity may indicate that these activities are carried out by independent active sites within the molecu</w:t>
      </w:r>
      <w:r w:rsidR="00C227F9" w:rsidRPr="0071546E">
        <w:rPr>
          <w:rFonts w:ascii="Arial" w:eastAsiaTheme="minorEastAsia" w:hAnsi="Arial" w:cs="Arial"/>
          <w:sz w:val="24"/>
          <w:szCs w:val="24"/>
        </w:rPr>
        <w:t xml:space="preserve">le. There is </w:t>
      </w:r>
      <w:r w:rsidR="00486E52" w:rsidRPr="0071546E">
        <w:rPr>
          <w:rFonts w:ascii="Arial" w:eastAsiaTheme="minorEastAsia" w:hAnsi="Arial" w:cs="Arial"/>
          <w:sz w:val="24"/>
          <w:szCs w:val="24"/>
        </w:rPr>
        <w:t>a</w:t>
      </w:r>
      <w:r w:rsidR="00C227F9" w:rsidRPr="0071546E">
        <w:rPr>
          <w:rFonts w:ascii="Arial" w:eastAsiaTheme="minorEastAsia" w:hAnsi="Arial" w:cs="Arial"/>
          <w:sz w:val="24"/>
          <w:szCs w:val="24"/>
        </w:rPr>
        <w:t xml:space="preserve"> general belief</w:t>
      </w:r>
      <w:r w:rsidRPr="0071546E">
        <w:rPr>
          <w:rFonts w:ascii="Arial" w:eastAsiaTheme="minorEastAsia" w:hAnsi="Arial" w:cs="Arial"/>
          <w:sz w:val="24"/>
          <w:szCs w:val="24"/>
        </w:rPr>
        <w:t xml:space="preserve"> that lysozyme, can only bind </w:t>
      </w:r>
      <w:r w:rsidRPr="0071546E">
        <w:rPr>
          <w:rFonts w:ascii="Arial" w:eastAsiaTheme="minorEastAsia" w:hAnsi="Arial" w:cs="Arial"/>
          <w:i/>
          <w:sz w:val="24"/>
          <w:szCs w:val="24"/>
        </w:rPr>
        <w:t>NAG</w:t>
      </w:r>
      <w:r w:rsidRPr="0071546E">
        <w:rPr>
          <w:rFonts w:ascii="Arial" w:eastAsiaTheme="minorEastAsia" w:hAnsi="Arial" w:cs="Arial"/>
          <w:sz w:val="24"/>
          <w:szCs w:val="24"/>
        </w:rPr>
        <w:t xml:space="preserve"> or </w:t>
      </w:r>
      <w:r w:rsidRPr="0071546E">
        <w:rPr>
          <w:rFonts w:ascii="Arial" w:eastAsiaTheme="minorEastAsia" w:hAnsi="Arial" w:cs="Arial"/>
          <w:i/>
          <w:sz w:val="24"/>
          <w:szCs w:val="24"/>
        </w:rPr>
        <w:t>NAM,</w:t>
      </w:r>
      <w:r w:rsidRPr="0071546E">
        <w:rPr>
          <w:rFonts w:ascii="Arial" w:eastAsiaTheme="minorEastAsia" w:hAnsi="Arial" w:cs="Arial"/>
          <w:sz w:val="24"/>
          <w:szCs w:val="24"/>
        </w:rPr>
        <w:t xml:space="preserve"> and </w:t>
      </w:r>
      <w:r w:rsidR="00B71E1D" w:rsidRPr="0071546E">
        <w:rPr>
          <w:rFonts w:ascii="Arial" w:eastAsiaTheme="minorEastAsia" w:hAnsi="Arial" w:cs="Arial"/>
          <w:sz w:val="24"/>
          <w:szCs w:val="24"/>
        </w:rPr>
        <w:t xml:space="preserve">the </w:t>
      </w:r>
      <w:r w:rsidRPr="0071546E">
        <w:rPr>
          <w:rFonts w:ascii="Arial" w:eastAsiaTheme="minorEastAsia" w:hAnsi="Arial" w:cs="Arial"/>
          <w:sz w:val="24"/>
          <w:szCs w:val="24"/>
        </w:rPr>
        <w:t>reason being the specificity of the active site. However,</w:t>
      </w:r>
      <w:r w:rsidR="00CA543B" w:rsidRPr="0071546E">
        <w:rPr>
          <w:rFonts w:ascii="Arial" w:eastAsiaTheme="minorEastAsia" w:hAnsi="Arial" w:cs="Arial"/>
          <w:sz w:val="24"/>
          <w:szCs w:val="24"/>
        </w:rPr>
        <w:t xml:space="preserve"> </w:t>
      </w:r>
      <w:r w:rsidR="00EC4916" w:rsidRPr="0071546E">
        <w:rPr>
          <w:rFonts w:ascii="Arial" w:eastAsiaTheme="minorEastAsia" w:hAnsi="Arial" w:cs="Arial"/>
          <w:sz w:val="24"/>
          <w:szCs w:val="24"/>
        </w:rPr>
        <w:t>several reports ha</w:t>
      </w:r>
      <w:r w:rsidR="00CA543B" w:rsidRPr="0071546E">
        <w:rPr>
          <w:rFonts w:ascii="Arial" w:eastAsiaTheme="minorEastAsia" w:hAnsi="Arial" w:cs="Arial"/>
          <w:sz w:val="24"/>
          <w:szCs w:val="24"/>
        </w:rPr>
        <w:t>ve</w:t>
      </w:r>
      <w:r w:rsidR="00EC4916" w:rsidRPr="0071546E">
        <w:rPr>
          <w:rFonts w:ascii="Arial" w:eastAsiaTheme="minorEastAsia" w:hAnsi="Arial" w:cs="Arial"/>
          <w:sz w:val="24"/>
          <w:szCs w:val="24"/>
        </w:rPr>
        <w:t xml:space="preserve"> shown</w:t>
      </w:r>
      <w:r w:rsidRPr="0071546E">
        <w:rPr>
          <w:rFonts w:ascii="Arial" w:eastAsiaTheme="minorEastAsia" w:hAnsi="Arial" w:cs="Arial"/>
          <w:sz w:val="24"/>
          <w:szCs w:val="24"/>
        </w:rPr>
        <w:t xml:space="preserve"> lysozyme specifici</w:t>
      </w:r>
      <w:r w:rsidR="00EC4916" w:rsidRPr="0071546E">
        <w:rPr>
          <w:rFonts w:ascii="Arial" w:eastAsiaTheme="minorEastAsia" w:hAnsi="Arial" w:cs="Arial"/>
          <w:sz w:val="24"/>
          <w:szCs w:val="24"/>
        </w:rPr>
        <w:t xml:space="preserve">ty to glucose-glucose linkages (Zehavi et al., 1968; </w:t>
      </w:r>
      <w:r w:rsidRPr="0071546E">
        <w:rPr>
          <w:rFonts w:ascii="Arial" w:eastAsiaTheme="minorEastAsia" w:hAnsi="Arial" w:cs="Arial"/>
          <w:sz w:val="24"/>
          <w:szCs w:val="24"/>
        </w:rPr>
        <w:t xml:space="preserve">Alcorlo et al., 2017). Such linkages as seen in covalently liked glucose molecules found in cellulose suggest that the belief that lysozyme is only specific to </w:t>
      </w:r>
      <w:r w:rsidRPr="0071546E">
        <w:rPr>
          <w:rFonts w:ascii="Arial" w:eastAsiaTheme="minorEastAsia" w:hAnsi="Arial" w:cs="Arial"/>
          <w:i/>
          <w:sz w:val="24"/>
          <w:szCs w:val="24"/>
        </w:rPr>
        <w:t>NAG</w:t>
      </w:r>
      <w:r w:rsidRPr="0071546E">
        <w:rPr>
          <w:rFonts w:ascii="Arial" w:eastAsiaTheme="minorEastAsia" w:hAnsi="Arial" w:cs="Arial"/>
          <w:sz w:val="24"/>
          <w:szCs w:val="24"/>
        </w:rPr>
        <w:t xml:space="preserve"> and </w:t>
      </w:r>
      <w:r w:rsidRPr="0071546E">
        <w:rPr>
          <w:rFonts w:ascii="Arial" w:eastAsiaTheme="minorEastAsia" w:hAnsi="Arial" w:cs="Arial"/>
          <w:i/>
          <w:sz w:val="24"/>
          <w:szCs w:val="24"/>
        </w:rPr>
        <w:t>NAM</w:t>
      </w:r>
      <w:r w:rsidRPr="0071546E">
        <w:rPr>
          <w:rFonts w:ascii="Arial" w:eastAsiaTheme="minorEastAsia" w:hAnsi="Arial" w:cs="Arial"/>
          <w:sz w:val="24"/>
          <w:szCs w:val="24"/>
        </w:rPr>
        <w:t xml:space="preserve"> is arguable and misleading. Linkage analysis determined that </w:t>
      </w:r>
      <w:r w:rsidR="00432D1D" w:rsidRPr="0071546E">
        <w:rPr>
          <w:rFonts w:ascii="Arial" w:eastAsiaTheme="minorEastAsia" w:hAnsi="Arial" w:cs="Arial"/>
          <w:i/>
          <w:sz w:val="24"/>
          <w:szCs w:val="24"/>
        </w:rPr>
        <w:t>Acanthamoeba</w:t>
      </w:r>
      <w:r w:rsidRPr="0071546E">
        <w:rPr>
          <w:rFonts w:ascii="Arial" w:eastAsiaTheme="minorEastAsia" w:hAnsi="Arial" w:cs="Arial"/>
          <w:i/>
          <w:sz w:val="24"/>
          <w:szCs w:val="24"/>
        </w:rPr>
        <w:t xml:space="preserve"> </w:t>
      </w:r>
      <w:r w:rsidRPr="0071546E">
        <w:rPr>
          <w:rFonts w:ascii="Arial" w:eastAsiaTheme="minorEastAsia" w:hAnsi="Arial" w:cs="Arial"/>
          <w:sz w:val="24"/>
          <w:szCs w:val="24"/>
        </w:rPr>
        <w:t xml:space="preserve">cyst cell walls are composed of variously linked sugar residues, including 1, 4- linked glucose which is indicative of cellulose (Dudley, Jarroll and Khan, 2009). As suggested by Zehavi and co-workers, the active site of lysozyme can accommodate six sugars, and depending on the position occupied by glucose, the free energy of binding differs. </w:t>
      </w:r>
      <w:r w:rsidR="00EC4916" w:rsidRPr="0071546E">
        <w:rPr>
          <w:rFonts w:ascii="Arial" w:eastAsiaTheme="minorEastAsia" w:hAnsi="Arial" w:cs="Arial"/>
          <w:sz w:val="24"/>
          <w:szCs w:val="24"/>
        </w:rPr>
        <w:t>They</w:t>
      </w:r>
      <w:r w:rsidR="00CA543B" w:rsidRPr="0071546E">
        <w:rPr>
          <w:rFonts w:ascii="Arial" w:eastAsiaTheme="minorEastAsia" w:hAnsi="Arial" w:cs="Arial"/>
          <w:sz w:val="24"/>
          <w:szCs w:val="24"/>
        </w:rPr>
        <w:t>,</w:t>
      </w:r>
      <w:r w:rsidR="00EC4916" w:rsidRPr="0071546E">
        <w:rPr>
          <w:rFonts w:ascii="Arial" w:eastAsiaTheme="minorEastAsia" w:hAnsi="Arial" w:cs="Arial"/>
          <w:sz w:val="24"/>
          <w:szCs w:val="24"/>
        </w:rPr>
        <w:t xml:space="preserve"> </w:t>
      </w:r>
      <w:r w:rsidRPr="0071546E">
        <w:rPr>
          <w:rFonts w:ascii="Arial" w:eastAsiaTheme="minorEastAsia" w:hAnsi="Arial" w:cs="Arial"/>
          <w:sz w:val="24"/>
          <w:szCs w:val="24"/>
        </w:rPr>
        <w:t>however</w:t>
      </w:r>
      <w:r w:rsidR="00B71E1D" w:rsidRPr="0071546E">
        <w:rPr>
          <w:rFonts w:ascii="Arial" w:eastAsiaTheme="minorEastAsia" w:hAnsi="Arial" w:cs="Arial"/>
          <w:sz w:val="24"/>
          <w:szCs w:val="24"/>
        </w:rPr>
        <w:t>,</w:t>
      </w:r>
      <w:r w:rsidRPr="0071546E">
        <w:rPr>
          <w:rFonts w:ascii="Arial" w:eastAsiaTheme="minorEastAsia" w:hAnsi="Arial" w:cs="Arial"/>
          <w:sz w:val="24"/>
          <w:szCs w:val="24"/>
        </w:rPr>
        <w:t xml:space="preserve"> claimed that the rate of hydrolysis of glucose bond by lysozyme is 50 times slower than </w:t>
      </w:r>
      <w:r w:rsidRPr="0071546E">
        <w:rPr>
          <w:rFonts w:ascii="Arial" w:eastAsiaTheme="minorEastAsia" w:hAnsi="Arial" w:cs="Arial"/>
          <w:i/>
          <w:sz w:val="24"/>
          <w:szCs w:val="24"/>
        </w:rPr>
        <w:t>NAG</w:t>
      </w:r>
      <w:r w:rsidRPr="0071546E">
        <w:rPr>
          <w:rFonts w:ascii="Arial" w:eastAsiaTheme="minorEastAsia" w:hAnsi="Arial" w:cs="Arial"/>
          <w:sz w:val="24"/>
          <w:szCs w:val="24"/>
        </w:rPr>
        <w:t>-</w:t>
      </w:r>
      <w:r w:rsidRPr="0071546E">
        <w:rPr>
          <w:rFonts w:ascii="Arial" w:eastAsiaTheme="minorEastAsia" w:hAnsi="Arial" w:cs="Arial"/>
          <w:i/>
          <w:sz w:val="24"/>
          <w:szCs w:val="24"/>
        </w:rPr>
        <w:t>NAM</w:t>
      </w:r>
      <w:r w:rsidRPr="0071546E">
        <w:rPr>
          <w:rFonts w:ascii="Arial" w:eastAsiaTheme="minorEastAsia" w:hAnsi="Arial" w:cs="Arial"/>
          <w:sz w:val="24"/>
          <w:szCs w:val="24"/>
        </w:rPr>
        <w:t xml:space="preserve"> linkages</w:t>
      </w:r>
      <w:r w:rsidR="00EC4916" w:rsidRPr="0071546E">
        <w:rPr>
          <w:rFonts w:ascii="Arial" w:eastAsiaTheme="minorEastAsia" w:hAnsi="Arial" w:cs="Arial"/>
          <w:sz w:val="24"/>
          <w:szCs w:val="24"/>
        </w:rPr>
        <w:t xml:space="preserve"> (Zehavi et al., 1968)</w:t>
      </w:r>
      <w:r w:rsidRPr="0071546E">
        <w:rPr>
          <w:rFonts w:ascii="Arial" w:eastAsiaTheme="minorEastAsia" w:hAnsi="Arial" w:cs="Arial"/>
          <w:sz w:val="24"/>
          <w:szCs w:val="24"/>
        </w:rPr>
        <w:t xml:space="preserve">. </w:t>
      </w:r>
      <w:r w:rsidR="00B71E1D" w:rsidRPr="0071546E">
        <w:rPr>
          <w:rFonts w:ascii="Arial" w:eastAsiaTheme="minorEastAsia" w:hAnsi="Arial" w:cs="Arial"/>
          <w:sz w:val="24"/>
          <w:szCs w:val="24"/>
        </w:rPr>
        <w:t xml:space="preserve">A </w:t>
      </w:r>
      <w:r w:rsidR="00EC4916" w:rsidRPr="0071546E">
        <w:rPr>
          <w:rFonts w:ascii="Arial" w:eastAsiaTheme="minorEastAsia" w:hAnsi="Arial" w:cs="Arial"/>
          <w:sz w:val="24"/>
          <w:szCs w:val="24"/>
        </w:rPr>
        <w:t>p</w:t>
      </w:r>
      <w:r w:rsidRPr="0071546E">
        <w:rPr>
          <w:rFonts w:ascii="Arial" w:eastAsiaTheme="minorEastAsia" w:hAnsi="Arial" w:cs="Arial"/>
          <w:sz w:val="24"/>
          <w:szCs w:val="24"/>
        </w:rPr>
        <w:t>reliminary experiment designed to evaluate the specificity</w:t>
      </w:r>
      <w:r w:rsidR="00EC4916" w:rsidRPr="0071546E">
        <w:rPr>
          <w:rFonts w:ascii="Arial" w:eastAsiaTheme="minorEastAsia" w:hAnsi="Arial" w:cs="Arial"/>
          <w:sz w:val="24"/>
          <w:szCs w:val="24"/>
        </w:rPr>
        <w:t xml:space="preserve"> of</w:t>
      </w:r>
      <w:r w:rsidRPr="0071546E">
        <w:rPr>
          <w:rFonts w:ascii="Arial" w:eastAsiaTheme="minorEastAsia" w:hAnsi="Arial" w:cs="Arial"/>
          <w:sz w:val="24"/>
          <w:szCs w:val="24"/>
        </w:rPr>
        <w:t xml:space="preserve"> lysozyme to </w:t>
      </w:r>
      <w:r w:rsidR="00432D1D" w:rsidRPr="0071546E">
        <w:rPr>
          <w:rFonts w:ascii="Arial" w:eastAsiaTheme="minorEastAsia" w:hAnsi="Arial" w:cs="Arial"/>
          <w:i/>
          <w:sz w:val="24"/>
          <w:szCs w:val="24"/>
        </w:rPr>
        <w:t>Acanthamoeba</w:t>
      </w:r>
      <w:r w:rsidRPr="0071546E">
        <w:rPr>
          <w:rFonts w:ascii="Arial" w:eastAsiaTheme="minorEastAsia" w:hAnsi="Arial" w:cs="Arial"/>
          <w:sz w:val="24"/>
          <w:szCs w:val="24"/>
        </w:rPr>
        <w:t xml:space="preserve"> cyst was based on microscopical analysis of cyst cell wall after incubating cys</w:t>
      </w:r>
      <w:r w:rsidR="00EC4916" w:rsidRPr="0071546E">
        <w:rPr>
          <w:rFonts w:ascii="Arial" w:eastAsiaTheme="minorEastAsia" w:hAnsi="Arial" w:cs="Arial"/>
          <w:sz w:val="24"/>
          <w:szCs w:val="24"/>
        </w:rPr>
        <w:t>t cells with 10 mM HEWL fig (3.14</w:t>
      </w:r>
      <w:r w:rsidRPr="0071546E">
        <w:rPr>
          <w:rFonts w:ascii="Arial" w:eastAsiaTheme="minorEastAsia" w:hAnsi="Arial" w:cs="Arial"/>
          <w:sz w:val="24"/>
          <w:szCs w:val="24"/>
        </w:rPr>
        <w:t>).</w:t>
      </w:r>
      <w:r w:rsidR="00BF0D11" w:rsidRPr="0071546E">
        <w:rPr>
          <w:rFonts w:ascii="Arial" w:eastAsiaTheme="minorEastAsia" w:hAnsi="Arial" w:cs="Arial"/>
          <w:sz w:val="24"/>
          <w:szCs w:val="24"/>
        </w:rPr>
        <w:t xml:space="preserve"> </w:t>
      </w:r>
      <w:r w:rsidRPr="0071546E">
        <w:rPr>
          <w:rFonts w:ascii="Arial" w:eastAsiaTheme="minorEastAsia" w:hAnsi="Arial" w:cs="Arial"/>
          <w:sz w:val="24"/>
          <w:szCs w:val="24"/>
        </w:rPr>
        <w:t xml:space="preserve">Results from this study showed complete lysis of </w:t>
      </w:r>
      <w:r w:rsidR="00B71E1D" w:rsidRPr="0071546E">
        <w:rPr>
          <w:rFonts w:ascii="Arial" w:eastAsiaTheme="minorEastAsia" w:hAnsi="Arial" w:cs="Arial"/>
          <w:sz w:val="24"/>
          <w:szCs w:val="24"/>
        </w:rPr>
        <w:t xml:space="preserve">the </w:t>
      </w:r>
      <w:r w:rsidRPr="0071546E">
        <w:rPr>
          <w:rFonts w:ascii="Arial" w:eastAsiaTheme="minorEastAsia" w:hAnsi="Arial" w:cs="Arial"/>
          <w:sz w:val="24"/>
          <w:szCs w:val="24"/>
        </w:rPr>
        <w:t>cyst cell wall at 35-40 minutes after incubation at room temperature. Further investigation using T.E.M analysis showed complete lysis of cyst cell wall after incubation with 10 mM lysozyme from hen’s egg white</w:t>
      </w:r>
    </w:p>
    <w:p w:rsidR="00F44FF6" w:rsidRPr="0071546E" w:rsidRDefault="00F44FF6" w:rsidP="00F44FF6">
      <w:pPr>
        <w:spacing w:before="100" w:after="200" w:line="480" w:lineRule="auto"/>
        <w:ind w:left="1021" w:right="454"/>
        <w:jc w:val="both"/>
        <w:rPr>
          <w:rFonts w:ascii="Arial" w:eastAsiaTheme="minorEastAsia" w:hAnsi="Arial" w:cs="Arial"/>
          <w:sz w:val="24"/>
          <w:szCs w:val="24"/>
        </w:rPr>
      </w:pPr>
    </w:p>
    <w:p w:rsidR="00F44FF6" w:rsidRPr="0071546E" w:rsidRDefault="00F44FF6" w:rsidP="007E5D69">
      <w:pPr>
        <w:spacing w:before="100" w:after="200" w:line="480" w:lineRule="auto"/>
        <w:ind w:right="454"/>
        <w:jc w:val="both"/>
        <w:rPr>
          <w:rFonts w:ascii="Arial" w:eastAsiaTheme="minorEastAsia" w:hAnsi="Arial" w:cs="Arial"/>
          <w:sz w:val="24"/>
          <w:szCs w:val="24"/>
        </w:rPr>
      </w:pPr>
    </w:p>
    <w:p w:rsidR="00F44FF6" w:rsidRPr="0071546E" w:rsidRDefault="00F44FF6" w:rsidP="00F44FF6">
      <w:pPr>
        <w:spacing w:before="100" w:after="200" w:line="480" w:lineRule="auto"/>
        <w:ind w:left="1021" w:right="454"/>
        <w:jc w:val="both"/>
        <w:rPr>
          <w:rFonts w:ascii="Arial" w:eastAsiaTheme="minorEastAsia" w:hAnsi="Arial" w:cs="Arial"/>
          <w:sz w:val="24"/>
          <w:szCs w:val="24"/>
        </w:rPr>
      </w:pPr>
    </w:p>
    <w:tbl>
      <w:tblPr>
        <w:tblStyle w:val="ListTable6Colorful2"/>
        <w:tblW w:w="7441" w:type="dxa"/>
        <w:tblInd w:w="993" w:type="dxa"/>
        <w:tblLayout w:type="fixed"/>
        <w:tblLook w:val="04A0" w:firstRow="1" w:lastRow="0" w:firstColumn="1" w:lastColumn="0" w:noHBand="0" w:noVBand="1"/>
      </w:tblPr>
      <w:tblGrid>
        <w:gridCol w:w="7441"/>
      </w:tblGrid>
      <w:tr w:rsidR="00F446C5" w:rsidRPr="0071546E" w:rsidTr="001335B0">
        <w:trPr>
          <w:cnfStyle w:val="100000000000" w:firstRow="1" w:lastRow="0" w:firstColumn="0" w:lastColumn="0" w:oddVBand="0" w:evenVBand="0" w:oddHBand="0" w:evenHBand="0" w:firstRowFirstColumn="0" w:firstRowLastColumn="0" w:lastRowFirstColumn="0" w:lastRowLastColumn="0"/>
          <w:trHeight w:val="5744"/>
        </w:trPr>
        <w:tc>
          <w:tcPr>
            <w:cnfStyle w:val="001000000000" w:firstRow="0" w:lastRow="0" w:firstColumn="1" w:lastColumn="0" w:oddVBand="0" w:evenVBand="0" w:oddHBand="0" w:evenHBand="0" w:firstRowFirstColumn="0" w:firstRowLastColumn="0" w:lastRowFirstColumn="0" w:lastRowLastColumn="0"/>
            <w:tcW w:w="7441" w:type="dxa"/>
          </w:tcPr>
          <w:p w:rsidR="00F446C5" w:rsidRPr="0071546E" w:rsidRDefault="00F446C5" w:rsidP="001335B0">
            <w:pPr>
              <w:spacing w:after="200" w:line="480" w:lineRule="auto"/>
              <w:ind w:right="454"/>
              <w:jc w:val="both"/>
              <w:rPr>
                <w:rFonts w:ascii="Arial" w:hAnsi="Arial" w:cs="Arial"/>
                <w:b w:val="0"/>
                <w:color w:val="auto"/>
                <w:sz w:val="24"/>
                <w:szCs w:val="24"/>
              </w:rPr>
            </w:pPr>
            <w:r w:rsidRPr="0071546E">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742A17C9" wp14:editId="0DDF6313">
                      <wp:simplePos x="0" y="0"/>
                      <wp:positionH relativeFrom="column">
                        <wp:posOffset>1633970</wp:posOffset>
                      </wp:positionH>
                      <wp:positionV relativeFrom="paragraph">
                        <wp:posOffset>1107524</wp:posOffset>
                      </wp:positionV>
                      <wp:extent cx="900333" cy="872197"/>
                      <wp:effectExtent l="19050" t="19050" r="14605" b="23495"/>
                      <wp:wrapNone/>
                      <wp:docPr id="1207" name="Rectangle 1207"/>
                      <wp:cNvGraphicFramePr/>
                      <a:graphic xmlns:a="http://schemas.openxmlformats.org/drawingml/2006/main">
                        <a:graphicData uri="http://schemas.microsoft.com/office/word/2010/wordprocessingShape">
                          <wps:wsp>
                            <wps:cNvSpPr/>
                            <wps:spPr>
                              <a:xfrm>
                                <a:off x="0" y="0"/>
                                <a:ext cx="900333" cy="872197"/>
                              </a:xfrm>
                              <a:prstGeom prst="rect">
                                <a:avLst/>
                              </a:prstGeom>
                              <a:noFill/>
                              <a:ln w="38100">
                                <a:solidFill>
                                  <a:srgbClr val="C00000"/>
                                </a:solidFill>
                                <a:prstDash val="dash"/>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2AFC2C" id="Rectangle 1207" o:spid="_x0000_s1026" style="position:absolute;margin-left:128.65pt;margin-top:87.2pt;width:70.9pt;height:68.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" filled="f" strokecolor="#c00000" strokeweight="3pt">
                      <v:stroke dashstyle="dash"/>
                    </v:rect>
                  </w:pict>
                </mc:Fallback>
              </mc:AlternateContent>
            </w:r>
            <w:r w:rsidR="001335B0" w:rsidRPr="0071546E">
              <w:rPr>
                <w:rFonts w:ascii="Arial" w:eastAsiaTheme="minorHAnsi" w:hAnsi="Arial" w:cs="Arial"/>
                <w:b w:val="0"/>
                <w:bCs w:val="0"/>
                <w:color w:val="auto"/>
                <w:sz w:val="24"/>
                <w:szCs w:val="24"/>
              </w:rPr>
              <w:object w:dxaOrig="5606" w:dyaOrig="2559">
                <v:shape id="_x0000_i1043" type="#_x0000_t75" style="width:5in;height:270pt" o:ole="">
                  <v:imagedata r:id="rId127" o:title=""/>
                </v:shape>
                <o:OLEObject Type="Embed" ProgID="ChemDraw.Document.6.0" ShapeID="_x0000_i1043" DrawAspect="Content" ObjectID="_1649004630" r:id="rId128"/>
              </w:object>
            </w:r>
          </w:p>
        </w:tc>
      </w:tr>
      <w:tr w:rsidR="00F446C5" w:rsidRPr="0071546E" w:rsidTr="001335B0">
        <w:trPr>
          <w:cnfStyle w:val="000000100000" w:firstRow="0" w:lastRow="0" w:firstColumn="0" w:lastColumn="0" w:oddVBand="0" w:evenVBand="0" w:oddHBand="1"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7441" w:type="dxa"/>
          </w:tcPr>
          <w:p w:rsidR="00F446C5" w:rsidRPr="0071546E" w:rsidRDefault="001335B0" w:rsidP="001335B0">
            <w:pPr>
              <w:spacing w:after="200" w:line="480" w:lineRule="auto"/>
              <w:ind w:right="454"/>
              <w:jc w:val="both"/>
              <w:rPr>
                <w:rFonts w:ascii="Arial" w:hAnsi="Arial" w:cs="Arial"/>
                <w:b w:val="0"/>
                <w:color w:val="auto"/>
                <w:sz w:val="24"/>
                <w:szCs w:val="24"/>
              </w:rPr>
            </w:pPr>
            <w:r w:rsidRPr="0071546E">
              <w:rPr>
                <w:rFonts w:ascii="Arial" w:hAnsi="Arial" w:cs="Arial"/>
                <w:b w:val="0"/>
                <w:color w:val="auto"/>
                <w:sz w:val="24"/>
                <w:szCs w:val="24"/>
              </w:rPr>
              <w:t xml:space="preserve">    </w:t>
            </w:r>
            <w:r w:rsidR="00F446C5" w:rsidRPr="0071546E">
              <w:rPr>
                <w:rFonts w:ascii="Arial" w:hAnsi="Arial" w:cs="Arial"/>
                <w:b w:val="0"/>
                <w:color w:val="auto"/>
                <w:sz w:val="24"/>
                <w:szCs w:val="24"/>
              </w:rPr>
              <w:t xml:space="preserve">Chitin a long-chain polymer of </w:t>
            </w:r>
            <w:r w:rsidR="00F446C5" w:rsidRPr="0071546E">
              <w:rPr>
                <w:rFonts w:ascii="Arial" w:hAnsi="Arial" w:cs="Arial"/>
                <w:b w:val="0"/>
                <w:i/>
                <w:color w:val="auto"/>
                <w:sz w:val="24"/>
                <w:szCs w:val="24"/>
              </w:rPr>
              <w:t>N-</w:t>
            </w:r>
            <w:r w:rsidR="00510540" w:rsidRPr="0071546E">
              <w:rPr>
                <w:rFonts w:ascii="Arial" w:hAnsi="Arial" w:cs="Arial"/>
                <w:b w:val="0"/>
                <w:i/>
                <w:color w:val="auto"/>
                <w:sz w:val="24"/>
                <w:szCs w:val="24"/>
              </w:rPr>
              <w:t>acetyl glucosamine</w:t>
            </w:r>
          </w:p>
        </w:tc>
      </w:tr>
    </w:tbl>
    <w:p w:rsidR="00F446C5" w:rsidRPr="0071546E" w:rsidRDefault="00EC4916" w:rsidP="00CF13FE">
      <w:pPr>
        <w:spacing w:before="100" w:after="200" w:line="240" w:lineRule="auto"/>
        <w:ind w:left="1021" w:right="454"/>
        <w:jc w:val="both"/>
        <w:rPr>
          <w:rFonts w:ascii="Arial" w:eastAsiaTheme="minorEastAsia" w:hAnsi="Arial" w:cs="Arial"/>
          <w:sz w:val="20"/>
          <w:szCs w:val="24"/>
        </w:rPr>
      </w:pPr>
      <w:r w:rsidRPr="0071546E">
        <w:rPr>
          <w:rFonts w:ascii="Arial" w:eastAsiaTheme="minorEastAsia" w:hAnsi="Arial" w:cs="Arial"/>
          <w:sz w:val="20"/>
          <w:szCs w:val="24"/>
        </w:rPr>
        <w:t>Fig 4.0</w:t>
      </w:r>
      <w:r w:rsidR="00F446C5" w:rsidRPr="0071546E">
        <w:rPr>
          <w:rFonts w:ascii="Arial" w:eastAsiaTheme="minorEastAsia" w:hAnsi="Arial" w:cs="Arial"/>
          <w:sz w:val="20"/>
          <w:szCs w:val="24"/>
        </w:rPr>
        <w:t xml:space="preserve">. Chitin is a derivative of glucose and linked by β- (1-4) glycosidic bonds. Chitin and cellulose are confirmed components of </w:t>
      </w:r>
      <w:r w:rsidR="00432D1D" w:rsidRPr="0071546E">
        <w:rPr>
          <w:rFonts w:ascii="Arial" w:eastAsiaTheme="minorEastAsia" w:hAnsi="Arial" w:cs="Arial"/>
          <w:i/>
          <w:sz w:val="20"/>
          <w:szCs w:val="24"/>
        </w:rPr>
        <w:t>Acanthamoeba</w:t>
      </w:r>
      <w:r w:rsidR="00F446C5" w:rsidRPr="0071546E">
        <w:rPr>
          <w:rFonts w:ascii="Arial" w:eastAsiaTheme="minorEastAsia" w:hAnsi="Arial" w:cs="Arial"/>
          <w:sz w:val="20"/>
          <w:szCs w:val="24"/>
        </w:rPr>
        <w:t xml:space="preserve"> cell walls (Fouque et al., 2012)</w:t>
      </w:r>
    </w:p>
    <w:p w:rsidR="001335B0" w:rsidRPr="0071546E" w:rsidRDefault="001335B0" w:rsidP="00CF13FE">
      <w:pPr>
        <w:spacing w:before="100" w:after="200" w:line="240" w:lineRule="auto"/>
        <w:ind w:left="1021" w:right="454"/>
        <w:jc w:val="both"/>
        <w:rPr>
          <w:rFonts w:ascii="Arial" w:eastAsiaTheme="minorEastAsia" w:hAnsi="Arial" w:cs="Arial"/>
          <w:sz w:val="20"/>
          <w:szCs w:val="24"/>
        </w:rPr>
      </w:pPr>
    </w:p>
    <w:p w:rsidR="001335B0" w:rsidRPr="0071546E" w:rsidRDefault="001335B0" w:rsidP="00CF13FE">
      <w:pPr>
        <w:spacing w:before="100" w:after="200" w:line="240" w:lineRule="auto"/>
        <w:ind w:left="1021" w:right="454"/>
        <w:jc w:val="both"/>
        <w:rPr>
          <w:rFonts w:ascii="Arial" w:eastAsiaTheme="minorEastAsia" w:hAnsi="Arial" w:cs="Arial"/>
          <w:sz w:val="20"/>
          <w:szCs w:val="24"/>
        </w:rPr>
      </w:pPr>
    </w:p>
    <w:p w:rsidR="001335B0" w:rsidRPr="0071546E" w:rsidRDefault="001335B0" w:rsidP="00CF13FE">
      <w:pPr>
        <w:spacing w:before="100" w:after="200" w:line="240" w:lineRule="auto"/>
        <w:ind w:left="1021" w:right="454"/>
        <w:jc w:val="both"/>
        <w:rPr>
          <w:rFonts w:ascii="Arial" w:eastAsiaTheme="minorEastAsia" w:hAnsi="Arial" w:cs="Arial"/>
          <w:sz w:val="20"/>
          <w:szCs w:val="24"/>
        </w:rPr>
      </w:pPr>
    </w:p>
    <w:p w:rsidR="001335B0" w:rsidRPr="0071546E" w:rsidRDefault="001335B0" w:rsidP="00CF13FE">
      <w:pPr>
        <w:spacing w:before="100" w:after="200" w:line="240" w:lineRule="auto"/>
        <w:ind w:left="1021" w:right="454"/>
        <w:jc w:val="both"/>
        <w:rPr>
          <w:rFonts w:ascii="Arial" w:eastAsiaTheme="minorEastAsia" w:hAnsi="Arial" w:cs="Arial"/>
          <w:sz w:val="20"/>
          <w:szCs w:val="24"/>
        </w:rPr>
      </w:pPr>
    </w:p>
    <w:p w:rsidR="001335B0" w:rsidRPr="0071546E" w:rsidRDefault="001335B0" w:rsidP="00CF13FE">
      <w:pPr>
        <w:spacing w:before="100" w:after="200" w:line="240" w:lineRule="auto"/>
        <w:ind w:left="1021" w:right="454"/>
        <w:jc w:val="both"/>
        <w:rPr>
          <w:rFonts w:ascii="Arial" w:eastAsiaTheme="minorEastAsia" w:hAnsi="Arial" w:cs="Arial"/>
          <w:sz w:val="20"/>
          <w:szCs w:val="24"/>
        </w:rPr>
      </w:pPr>
    </w:p>
    <w:p w:rsidR="00E73281" w:rsidRPr="0071546E" w:rsidRDefault="00E73281" w:rsidP="00CF13FE">
      <w:pPr>
        <w:spacing w:before="100" w:after="200" w:line="240" w:lineRule="auto"/>
        <w:ind w:left="1021" w:right="454"/>
        <w:jc w:val="both"/>
        <w:rPr>
          <w:rFonts w:ascii="Arial" w:eastAsiaTheme="minorEastAsia" w:hAnsi="Arial" w:cs="Arial"/>
          <w:sz w:val="20"/>
          <w:szCs w:val="24"/>
        </w:rPr>
      </w:pPr>
    </w:p>
    <w:tbl>
      <w:tblPr>
        <w:tblStyle w:val="ListTable6Colorful2"/>
        <w:tblW w:w="0" w:type="auto"/>
        <w:tblInd w:w="993" w:type="dxa"/>
        <w:tblLayout w:type="fixed"/>
        <w:tblLook w:val="04A0" w:firstRow="1" w:lastRow="0" w:firstColumn="1" w:lastColumn="0" w:noHBand="0" w:noVBand="1"/>
      </w:tblPr>
      <w:tblGrid>
        <w:gridCol w:w="7654"/>
      </w:tblGrid>
      <w:tr w:rsidR="00F446C5" w:rsidRPr="0071546E" w:rsidTr="00133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4" w:type="dxa"/>
          </w:tcPr>
          <w:p w:rsidR="00F446C5" w:rsidRPr="0071546E" w:rsidRDefault="001335B0" w:rsidP="001335B0">
            <w:pPr>
              <w:spacing w:after="200" w:line="480" w:lineRule="auto"/>
              <w:ind w:right="454"/>
              <w:jc w:val="both"/>
              <w:rPr>
                <w:rFonts w:ascii="Arial" w:hAnsi="Arial" w:cs="Arial"/>
                <w:b w:val="0"/>
                <w:color w:val="auto"/>
                <w:sz w:val="24"/>
                <w:szCs w:val="24"/>
              </w:rPr>
            </w:pPr>
            <w:r w:rsidRPr="0071546E">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14:anchorId="4DE8767D" wp14:editId="6A168827">
                      <wp:simplePos x="0" y="0"/>
                      <wp:positionH relativeFrom="column">
                        <wp:posOffset>2638976</wp:posOffset>
                      </wp:positionH>
                      <wp:positionV relativeFrom="paragraph">
                        <wp:posOffset>676696</wp:posOffset>
                      </wp:positionV>
                      <wp:extent cx="534572" cy="804231"/>
                      <wp:effectExtent l="19050" t="19050" r="18415" b="15240"/>
                      <wp:wrapNone/>
                      <wp:docPr id="86" name="Rectangle 86"/>
                      <wp:cNvGraphicFramePr/>
                      <a:graphic xmlns:a="http://schemas.openxmlformats.org/drawingml/2006/main">
                        <a:graphicData uri="http://schemas.microsoft.com/office/word/2010/wordprocessingShape">
                          <wps:wsp>
                            <wps:cNvSpPr/>
                            <wps:spPr>
                              <a:xfrm>
                                <a:off x="0" y="0"/>
                                <a:ext cx="534572" cy="804231"/>
                              </a:xfrm>
                              <a:prstGeom prst="rect">
                                <a:avLst/>
                              </a:prstGeom>
                              <a:noFill/>
                              <a:ln w="38100">
                                <a:solidFill>
                                  <a:srgbClr val="C00000"/>
                                </a:solidFill>
                                <a:prstDash val="dash"/>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4BA750" id="Rectangle 86" o:spid="_x0000_s1026" style="position:absolute;margin-left:207.8pt;margin-top:53.3pt;width:42.1pt;height:63.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" filled="f" strokecolor="#c00000" strokeweight="3pt">
                      <v:stroke dashstyle="dash"/>
                    </v:rect>
                  </w:pict>
                </mc:Fallback>
              </mc:AlternateContent>
            </w:r>
            <w:r w:rsidRPr="0071546E">
              <w:rPr>
                <w:rFonts w:ascii="Arial" w:eastAsiaTheme="minorHAnsi" w:hAnsi="Arial" w:cs="Arial"/>
                <w:b w:val="0"/>
                <w:bCs w:val="0"/>
                <w:color w:val="auto"/>
                <w:sz w:val="24"/>
                <w:szCs w:val="24"/>
              </w:rPr>
              <w:object w:dxaOrig="11021" w:dyaOrig="3264">
                <v:shape id="_x0000_i1044" type="#_x0000_t75" style="width:381pt;height:213pt" o:ole="">
                  <v:imagedata r:id="rId129" o:title=""/>
                </v:shape>
                <o:OLEObject Type="Embed" ProgID="ChemDraw.Document.6.0" ShapeID="_x0000_i1044" DrawAspect="Content" ObjectID="_1649004631" r:id="rId130"/>
              </w:object>
            </w:r>
          </w:p>
        </w:tc>
      </w:tr>
      <w:tr w:rsidR="00F446C5" w:rsidRPr="0071546E" w:rsidTr="00133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4" w:type="dxa"/>
          </w:tcPr>
          <w:p w:rsidR="00F446C5" w:rsidRPr="0071546E" w:rsidRDefault="00F446C5" w:rsidP="00CF13FE">
            <w:pPr>
              <w:spacing w:after="200" w:line="480" w:lineRule="auto"/>
              <w:ind w:left="1021" w:right="454"/>
              <w:jc w:val="both"/>
              <w:rPr>
                <w:rFonts w:ascii="Arial" w:hAnsi="Arial" w:cs="Arial"/>
                <w:b w:val="0"/>
                <w:color w:val="auto"/>
                <w:sz w:val="24"/>
                <w:szCs w:val="24"/>
              </w:rPr>
            </w:pPr>
            <w:r w:rsidRPr="0071546E">
              <w:rPr>
                <w:rFonts w:ascii="Arial" w:hAnsi="Arial" w:cs="Arial"/>
                <w:b w:val="0"/>
                <w:color w:val="auto"/>
                <w:sz w:val="24"/>
                <w:szCs w:val="24"/>
              </w:rPr>
              <w:t>N Acetyl-D-glucosamine</w:t>
            </w:r>
          </w:p>
        </w:tc>
      </w:tr>
    </w:tbl>
    <w:p w:rsidR="00F446C5" w:rsidRPr="0071546E" w:rsidRDefault="00EC4916" w:rsidP="00CF13FE">
      <w:pPr>
        <w:spacing w:before="100" w:after="200" w:line="240" w:lineRule="auto"/>
        <w:ind w:left="1021" w:right="454"/>
        <w:jc w:val="both"/>
        <w:rPr>
          <w:rFonts w:ascii="Arial" w:eastAsiaTheme="minorEastAsia" w:hAnsi="Arial" w:cs="Arial"/>
          <w:sz w:val="20"/>
          <w:szCs w:val="24"/>
        </w:rPr>
      </w:pPr>
      <w:r w:rsidRPr="0071546E">
        <w:rPr>
          <w:rFonts w:ascii="Arial" w:eastAsiaTheme="minorEastAsia" w:hAnsi="Arial" w:cs="Arial"/>
          <w:sz w:val="20"/>
          <w:szCs w:val="24"/>
        </w:rPr>
        <w:t>Fig 4.1</w:t>
      </w:r>
      <w:r w:rsidR="00F446C5" w:rsidRPr="0071546E">
        <w:rPr>
          <w:rFonts w:ascii="Arial" w:eastAsiaTheme="minorEastAsia" w:hAnsi="Arial" w:cs="Arial"/>
          <w:sz w:val="20"/>
          <w:szCs w:val="24"/>
        </w:rPr>
        <w:t xml:space="preserve"> Polymer of β- (1-4) –N Acetyl-D-glucosamine units showing the substrate (circled in red) for hen’s egg</w:t>
      </w:r>
      <w:r w:rsidR="00563D9A" w:rsidRPr="0071546E">
        <w:rPr>
          <w:rFonts w:ascii="Arial" w:eastAsiaTheme="minorEastAsia" w:hAnsi="Arial" w:cs="Arial"/>
          <w:sz w:val="20"/>
          <w:szCs w:val="24"/>
        </w:rPr>
        <w:t>-</w:t>
      </w:r>
      <w:r w:rsidR="00F446C5" w:rsidRPr="0071546E">
        <w:rPr>
          <w:rFonts w:ascii="Arial" w:eastAsiaTheme="minorEastAsia" w:hAnsi="Arial" w:cs="Arial"/>
          <w:sz w:val="20"/>
          <w:szCs w:val="24"/>
        </w:rPr>
        <w:t>white lysozyme. These linkages as seen below in cellulose and chitin is hydrolysed by lysozyme but is a much slower rate compared to the hydrolysis of NAG and NAM.</w:t>
      </w:r>
    </w:p>
    <w:p w:rsidR="00F446C5" w:rsidRPr="0071546E" w:rsidRDefault="00F446C5" w:rsidP="00CF13FE">
      <w:pPr>
        <w:spacing w:before="100" w:after="200" w:line="480" w:lineRule="auto"/>
        <w:ind w:left="1021" w:right="454"/>
        <w:jc w:val="both"/>
        <w:rPr>
          <w:rFonts w:ascii="Arial" w:eastAsiaTheme="minorEastAsia" w:hAnsi="Arial" w:cs="Arial"/>
          <w:sz w:val="24"/>
          <w:szCs w:val="24"/>
        </w:rPr>
      </w:pPr>
    </w:p>
    <w:tbl>
      <w:tblPr>
        <w:tblStyle w:val="ListTable6Colorful2"/>
        <w:tblW w:w="0" w:type="auto"/>
        <w:tblInd w:w="993" w:type="dxa"/>
        <w:tblLook w:val="04A0" w:firstRow="1" w:lastRow="0" w:firstColumn="1" w:lastColumn="0" w:noHBand="0" w:noVBand="1"/>
      </w:tblPr>
      <w:tblGrid>
        <w:gridCol w:w="7688"/>
      </w:tblGrid>
      <w:tr w:rsidR="00F446C5" w:rsidRPr="0071546E" w:rsidTr="001335B0">
        <w:trPr>
          <w:cnfStyle w:val="100000000000" w:firstRow="1" w:lastRow="0" w:firstColumn="0" w:lastColumn="0" w:oddVBand="0" w:evenVBand="0" w:oddHBand="0" w:evenHBand="0" w:firstRowFirstColumn="0" w:firstRowLastColumn="0" w:lastRowFirstColumn="0" w:lastRowLastColumn="0"/>
          <w:trHeight w:val="3886"/>
        </w:trPr>
        <w:tc>
          <w:tcPr>
            <w:cnfStyle w:val="001000000000" w:firstRow="0" w:lastRow="0" w:firstColumn="1" w:lastColumn="0" w:oddVBand="0" w:evenVBand="0" w:oddHBand="0" w:evenHBand="0" w:firstRowFirstColumn="0" w:firstRowLastColumn="0" w:lastRowFirstColumn="0" w:lastRowLastColumn="0"/>
            <w:tcW w:w="7688" w:type="dxa"/>
          </w:tcPr>
          <w:p w:rsidR="00F446C5" w:rsidRPr="0071546E" w:rsidRDefault="00F446C5" w:rsidP="001335B0">
            <w:pPr>
              <w:spacing w:after="200" w:line="480" w:lineRule="auto"/>
              <w:ind w:right="454"/>
              <w:jc w:val="both"/>
              <w:rPr>
                <w:rFonts w:ascii="Arial" w:hAnsi="Arial" w:cs="Arial"/>
                <w:b w:val="0"/>
                <w:color w:val="auto"/>
                <w:sz w:val="24"/>
                <w:szCs w:val="24"/>
              </w:rPr>
            </w:pPr>
            <w:r w:rsidRPr="0071546E">
              <w:rPr>
                <w:rFonts w:ascii="Arial" w:hAnsi="Arial" w:cs="Arial"/>
                <w:noProof/>
                <w:sz w:val="24"/>
                <w:szCs w:val="24"/>
                <w:lang w:eastAsia="en-GB"/>
              </w:rPr>
              <mc:AlternateContent>
                <mc:Choice Requires="wps">
                  <w:drawing>
                    <wp:anchor distT="0" distB="0" distL="114300" distR="114300" simplePos="0" relativeHeight="251714560" behindDoc="0" locked="0" layoutInCell="1" allowOverlap="1" wp14:anchorId="7D722BD6" wp14:editId="2008B19F">
                      <wp:simplePos x="0" y="0"/>
                      <wp:positionH relativeFrom="margin">
                        <wp:posOffset>1478866</wp:posOffset>
                      </wp:positionH>
                      <wp:positionV relativeFrom="paragraph">
                        <wp:posOffset>655808</wp:posOffset>
                      </wp:positionV>
                      <wp:extent cx="900332" cy="899893"/>
                      <wp:effectExtent l="19050" t="19050" r="14605" b="14605"/>
                      <wp:wrapNone/>
                      <wp:docPr id="1208" name="Rectangle 1208"/>
                      <wp:cNvGraphicFramePr/>
                      <a:graphic xmlns:a="http://schemas.openxmlformats.org/drawingml/2006/main">
                        <a:graphicData uri="http://schemas.microsoft.com/office/word/2010/wordprocessingShape">
                          <wps:wsp>
                            <wps:cNvSpPr/>
                            <wps:spPr>
                              <a:xfrm>
                                <a:off x="0" y="0"/>
                                <a:ext cx="900332" cy="899893"/>
                              </a:xfrm>
                              <a:prstGeom prst="rect">
                                <a:avLst/>
                              </a:prstGeom>
                              <a:noFill/>
                              <a:ln w="38100" cap="flat" cmpd="sng" algn="ctr">
                                <a:solidFill>
                                  <a:srgbClr val="C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441716" id="Rectangle 1208" o:spid="_x0000_s1026" style="position:absolute;margin-left:116.45pt;margin-top:51.65pt;width:70.9pt;height:70.8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" filled="f" strokecolor="#c00000" strokeweight="3pt">
                      <v:stroke dashstyle="dash"/>
                      <w10:wrap anchorx="margin"/>
                    </v:rect>
                  </w:pict>
                </mc:Fallback>
              </mc:AlternateContent>
            </w:r>
            <w:r w:rsidRPr="0071546E">
              <w:rPr>
                <w:rFonts w:ascii="Arial" w:eastAsiaTheme="minorHAnsi" w:hAnsi="Arial" w:cs="Arial"/>
                <w:b w:val="0"/>
                <w:bCs w:val="0"/>
                <w:color w:val="auto"/>
                <w:sz w:val="24"/>
                <w:szCs w:val="24"/>
              </w:rPr>
              <w:object w:dxaOrig="5606" w:dyaOrig="2558">
                <v:shape id="_x0000_i1045" type="#_x0000_t75" style="width:331.5pt;height:178.5pt" o:ole="">
                  <v:imagedata r:id="rId131" o:title=""/>
                </v:shape>
                <o:OLEObject Type="Embed" ProgID="ChemDraw.Document.6.0" ShapeID="_x0000_i1045" DrawAspect="Content" ObjectID="_1649004632" r:id="rId132"/>
              </w:object>
            </w:r>
          </w:p>
        </w:tc>
      </w:tr>
      <w:tr w:rsidR="00F446C5" w:rsidRPr="0071546E" w:rsidTr="001335B0">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7688" w:type="dxa"/>
          </w:tcPr>
          <w:p w:rsidR="00F446C5" w:rsidRPr="0071546E" w:rsidRDefault="00F446C5" w:rsidP="00CF13FE">
            <w:pPr>
              <w:spacing w:after="200" w:line="480" w:lineRule="auto"/>
              <w:ind w:left="1021" w:right="454"/>
              <w:jc w:val="both"/>
              <w:rPr>
                <w:rFonts w:ascii="Arial" w:hAnsi="Arial" w:cs="Arial"/>
                <w:b w:val="0"/>
                <w:color w:val="auto"/>
                <w:sz w:val="24"/>
                <w:szCs w:val="24"/>
              </w:rPr>
            </w:pPr>
            <w:r w:rsidRPr="0071546E">
              <w:rPr>
                <w:rFonts w:ascii="Arial" w:hAnsi="Arial" w:cs="Arial"/>
                <w:b w:val="0"/>
                <w:color w:val="auto"/>
                <w:sz w:val="24"/>
                <w:szCs w:val="24"/>
              </w:rPr>
              <w:t>Cellulose</w:t>
            </w:r>
          </w:p>
        </w:tc>
      </w:tr>
    </w:tbl>
    <w:p w:rsidR="00F446C5" w:rsidRPr="0071546E" w:rsidRDefault="00EC4916" w:rsidP="00CF13FE">
      <w:pPr>
        <w:spacing w:before="100" w:after="200" w:line="240" w:lineRule="auto"/>
        <w:ind w:left="1021" w:right="454"/>
        <w:jc w:val="both"/>
        <w:rPr>
          <w:rFonts w:ascii="Arial" w:eastAsiaTheme="minorEastAsia" w:hAnsi="Arial" w:cs="Arial"/>
          <w:sz w:val="20"/>
          <w:szCs w:val="24"/>
        </w:rPr>
      </w:pPr>
      <w:r w:rsidRPr="0071546E">
        <w:rPr>
          <w:rFonts w:ascii="Arial" w:eastAsiaTheme="minorEastAsia" w:hAnsi="Arial" w:cs="Arial"/>
          <w:sz w:val="20"/>
          <w:szCs w:val="24"/>
        </w:rPr>
        <w:t xml:space="preserve">Fig </w:t>
      </w:r>
      <w:r w:rsidR="00A066F8" w:rsidRPr="0071546E">
        <w:rPr>
          <w:rFonts w:ascii="Arial" w:eastAsiaTheme="minorEastAsia" w:hAnsi="Arial" w:cs="Arial"/>
          <w:sz w:val="20"/>
          <w:szCs w:val="24"/>
        </w:rPr>
        <w:t>4.2 Structure</w:t>
      </w:r>
      <w:r w:rsidR="00F446C5" w:rsidRPr="0071546E">
        <w:rPr>
          <w:rFonts w:ascii="Arial" w:eastAsiaTheme="minorEastAsia" w:hAnsi="Arial" w:cs="Arial"/>
          <w:sz w:val="20"/>
          <w:szCs w:val="24"/>
        </w:rPr>
        <w:t xml:space="preserve"> of Cellulose. Cellulose is made up of assembled glucose molecules joined by β- (1-4) glycosidic bond (red square). Although lysozyme hydrolyses glucose-glucose linkage, it is specific to </w:t>
      </w:r>
      <w:r w:rsidR="00F446C5" w:rsidRPr="0071546E">
        <w:rPr>
          <w:rFonts w:ascii="Arial" w:eastAsiaTheme="minorEastAsia" w:hAnsi="Arial" w:cs="Arial"/>
          <w:i/>
          <w:sz w:val="20"/>
          <w:szCs w:val="24"/>
        </w:rPr>
        <w:t>NAG</w:t>
      </w:r>
      <w:r w:rsidR="00F446C5" w:rsidRPr="0071546E">
        <w:rPr>
          <w:rFonts w:ascii="Arial" w:eastAsiaTheme="minorEastAsia" w:hAnsi="Arial" w:cs="Arial"/>
          <w:sz w:val="20"/>
          <w:szCs w:val="24"/>
        </w:rPr>
        <w:t xml:space="preserve"> and </w:t>
      </w:r>
      <w:r w:rsidR="00F446C5" w:rsidRPr="0071546E">
        <w:rPr>
          <w:rFonts w:ascii="Arial" w:eastAsiaTheme="minorEastAsia" w:hAnsi="Arial" w:cs="Arial"/>
          <w:i/>
          <w:sz w:val="20"/>
          <w:szCs w:val="24"/>
        </w:rPr>
        <w:t>NAM</w:t>
      </w:r>
      <w:r w:rsidR="00F446C5" w:rsidRPr="0071546E">
        <w:rPr>
          <w:rFonts w:ascii="Arial" w:eastAsiaTheme="minorEastAsia" w:hAnsi="Arial" w:cs="Arial"/>
          <w:sz w:val="20"/>
          <w:szCs w:val="24"/>
        </w:rPr>
        <w:t>, and the reason for this is the specificity of the active site.</w:t>
      </w:r>
    </w:p>
    <w:p w:rsidR="00406B96" w:rsidRPr="0071546E" w:rsidRDefault="00406B96" w:rsidP="00CF13FE">
      <w:pPr>
        <w:spacing w:after="0" w:line="480" w:lineRule="auto"/>
        <w:ind w:left="1021" w:right="454"/>
        <w:jc w:val="both"/>
        <w:rPr>
          <w:rFonts w:ascii="Arial" w:eastAsiaTheme="minorEastAsia" w:hAnsi="Arial" w:cs="Arial"/>
          <w:sz w:val="24"/>
          <w:szCs w:val="24"/>
          <w:lang w:eastAsia="en-GB"/>
        </w:rPr>
      </w:pPr>
      <w:r w:rsidRPr="0071546E">
        <w:rPr>
          <w:rFonts w:ascii="Arial" w:eastAsiaTheme="minorEastAsia" w:hAnsi="Arial" w:cs="Arial"/>
          <w:sz w:val="24"/>
          <w:szCs w:val="24"/>
          <w:lang w:eastAsia="en-GB"/>
        </w:rPr>
        <w:t>4.2.2 General optimization of the ATP assay protocol.</w:t>
      </w:r>
    </w:p>
    <w:p w:rsidR="00406B96" w:rsidRPr="0071546E" w:rsidRDefault="00EC4916" w:rsidP="00CF13FE">
      <w:pPr>
        <w:spacing w:after="0" w:line="480" w:lineRule="auto"/>
        <w:ind w:left="1021" w:right="454"/>
        <w:jc w:val="both"/>
        <w:rPr>
          <w:rFonts w:ascii="Arial" w:eastAsiaTheme="minorEastAsia" w:hAnsi="Arial" w:cs="Arial"/>
          <w:sz w:val="24"/>
          <w:szCs w:val="24"/>
          <w:lang w:eastAsia="en-GB"/>
        </w:rPr>
      </w:pPr>
      <w:r w:rsidRPr="0071546E">
        <w:rPr>
          <w:rFonts w:ascii="Arial" w:eastAsiaTheme="minorEastAsia" w:hAnsi="Arial" w:cs="Arial"/>
          <w:sz w:val="24"/>
          <w:szCs w:val="24"/>
          <w:lang w:eastAsia="en-GB"/>
        </w:rPr>
        <w:t>Analysis of the t</w:t>
      </w:r>
      <w:r w:rsidR="00406B96" w:rsidRPr="0071546E">
        <w:rPr>
          <w:rFonts w:ascii="Arial" w:eastAsiaTheme="minorEastAsia" w:hAnsi="Arial" w:cs="Arial"/>
          <w:sz w:val="24"/>
          <w:szCs w:val="24"/>
          <w:lang w:eastAsia="en-GB"/>
        </w:rPr>
        <w:t>ime taken for complet</w:t>
      </w:r>
      <w:r w:rsidRPr="0071546E">
        <w:rPr>
          <w:rFonts w:ascii="Arial" w:eastAsiaTheme="minorEastAsia" w:hAnsi="Arial" w:cs="Arial"/>
          <w:sz w:val="24"/>
          <w:szCs w:val="24"/>
          <w:lang w:eastAsia="en-GB"/>
        </w:rPr>
        <w:t>e lysis of Acanthamoeba cysts using</w:t>
      </w:r>
      <w:r w:rsidR="00406B96" w:rsidRPr="0071546E">
        <w:rPr>
          <w:rFonts w:ascii="Arial" w:eastAsiaTheme="minorEastAsia" w:hAnsi="Arial" w:cs="Arial"/>
          <w:sz w:val="24"/>
          <w:szCs w:val="24"/>
          <w:lang w:eastAsia="en-GB"/>
        </w:rPr>
        <w:t xml:space="preserve"> lysozyme showed that it took about 40 minutes for complete lysis of the cyst cell wall at room temperature. Recall </w:t>
      </w:r>
      <w:r w:rsidRPr="0071546E">
        <w:rPr>
          <w:rFonts w:ascii="Arial" w:eastAsiaTheme="minorEastAsia" w:hAnsi="Arial" w:cs="Arial"/>
          <w:sz w:val="24"/>
          <w:szCs w:val="24"/>
          <w:lang w:eastAsia="en-GB"/>
        </w:rPr>
        <w:t xml:space="preserve">that </w:t>
      </w:r>
      <w:r w:rsidR="00406B96" w:rsidRPr="0071546E">
        <w:rPr>
          <w:rFonts w:ascii="Arial" w:eastAsiaTheme="minorEastAsia" w:hAnsi="Arial" w:cs="Arial"/>
          <w:sz w:val="24"/>
          <w:szCs w:val="24"/>
          <w:lang w:eastAsia="en-GB"/>
        </w:rPr>
        <w:t>the detergent lysis buffer was able to lyse the trophozoites after 35 minutes of incubation. Earlier reports have shown close to 100</w:t>
      </w:r>
      <w:r w:rsidR="00234554" w:rsidRPr="0071546E">
        <w:rPr>
          <w:rFonts w:ascii="Arial" w:eastAsiaTheme="minorEastAsia" w:hAnsi="Arial" w:cs="Arial"/>
          <w:sz w:val="24"/>
          <w:szCs w:val="24"/>
          <w:lang w:eastAsia="en-GB"/>
        </w:rPr>
        <w:t xml:space="preserve"> </w:t>
      </w:r>
      <w:r w:rsidR="00406B96" w:rsidRPr="0071546E">
        <w:rPr>
          <w:rFonts w:ascii="Arial" w:eastAsiaTheme="minorEastAsia" w:hAnsi="Arial" w:cs="Arial"/>
          <w:sz w:val="24"/>
          <w:szCs w:val="24"/>
          <w:lang w:eastAsia="en-GB"/>
        </w:rPr>
        <w:t xml:space="preserve">% release of ATP </w:t>
      </w:r>
      <w:r w:rsidR="00406B96" w:rsidRPr="0071546E">
        <w:rPr>
          <w:rFonts w:ascii="Arial" w:eastAsiaTheme="minorEastAsia" w:hAnsi="Arial" w:cs="Arial"/>
          <w:i/>
          <w:sz w:val="24"/>
          <w:szCs w:val="24"/>
          <w:lang w:eastAsia="en-GB"/>
        </w:rPr>
        <w:t>from Escherichia coli</w:t>
      </w:r>
      <w:r w:rsidR="00406B96" w:rsidRPr="0071546E">
        <w:rPr>
          <w:rFonts w:ascii="Arial" w:eastAsiaTheme="minorEastAsia" w:hAnsi="Arial" w:cs="Arial"/>
          <w:sz w:val="24"/>
          <w:szCs w:val="24"/>
          <w:lang w:eastAsia="en-GB"/>
        </w:rPr>
        <w:t xml:space="preserve">, </w:t>
      </w:r>
      <w:r w:rsidR="00406B96" w:rsidRPr="0071546E">
        <w:rPr>
          <w:rFonts w:ascii="Arial" w:eastAsiaTheme="minorEastAsia" w:hAnsi="Arial" w:cs="Arial"/>
          <w:i/>
          <w:sz w:val="24"/>
          <w:szCs w:val="24"/>
          <w:lang w:eastAsia="en-GB"/>
        </w:rPr>
        <w:t>Bacillus cereus,</w:t>
      </w:r>
      <w:r w:rsidR="00406B96" w:rsidRPr="0071546E">
        <w:rPr>
          <w:rFonts w:ascii="Arial" w:eastAsiaTheme="minorEastAsia" w:hAnsi="Arial" w:cs="Arial"/>
          <w:sz w:val="24"/>
          <w:szCs w:val="24"/>
          <w:lang w:eastAsia="en-GB"/>
        </w:rPr>
        <w:t xml:space="preserve"> </w:t>
      </w:r>
      <w:r w:rsidR="00406B96" w:rsidRPr="0071546E">
        <w:rPr>
          <w:rFonts w:ascii="Arial" w:eastAsiaTheme="minorEastAsia" w:hAnsi="Arial" w:cs="Arial"/>
          <w:i/>
          <w:sz w:val="24"/>
          <w:szCs w:val="24"/>
          <w:lang w:eastAsia="en-GB"/>
        </w:rPr>
        <w:t>Klebsiella pneumonia</w:t>
      </w:r>
      <w:r w:rsidR="00406B96" w:rsidRPr="0071546E">
        <w:rPr>
          <w:rFonts w:ascii="Arial" w:eastAsiaTheme="minorEastAsia" w:hAnsi="Arial" w:cs="Arial"/>
          <w:sz w:val="24"/>
          <w:szCs w:val="24"/>
          <w:lang w:eastAsia="en-GB"/>
        </w:rPr>
        <w:t xml:space="preserve">, </w:t>
      </w:r>
      <w:r w:rsidR="00406B96" w:rsidRPr="0071546E">
        <w:rPr>
          <w:rFonts w:ascii="Arial" w:eastAsiaTheme="minorEastAsia" w:hAnsi="Arial" w:cs="Arial"/>
          <w:i/>
          <w:sz w:val="24"/>
          <w:szCs w:val="24"/>
          <w:lang w:eastAsia="en-GB"/>
        </w:rPr>
        <w:t>Staphylococcus aureus</w:t>
      </w:r>
      <w:r w:rsidR="00406B96" w:rsidRPr="0071546E">
        <w:rPr>
          <w:rFonts w:ascii="Arial" w:eastAsiaTheme="minorEastAsia" w:hAnsi="Arial" w:cs="Arial"/>
          <w:sz w:val="24"/>
          <w:szCs w:val="24"/>
          <w:lang w:eastAsia="en-GB"/>
        </w:rPr>
        <w:t xml:space="preserve"> and </w:t>
      </w:r>
      <w:r w:rsidR="00406B96" w:rsidRPr="0071546E">
        <w:rPr>
          <w:rFonts w:ascii="Arial" w:eastAsiaTheme="minorEastAsia" w:hAnsi="Arial" w:cs="Arial"/>
          <w:i/>
          <w:sz w:val="24"/>
          <w:szCs w:val="24"/>
          <w:lang w:eastAsia="en-GB"/>
        </w:rPr>
        <w:t>Pseudomonas aeruginosa</w:t>
      </w:r>
      <w:r w:rsidR="00406B96" w:rsidRPr="0071546E">
        <w:rPr>
          <w:rFonts w:ascii="Arial" w:eastAsiaTheme="minorEastAsia" w:hAnsi="Arial" w:cs="Arial"/>
          <w:sz w:val="24"/>
          <w:szCs w:val="24"/>
          <w:lang w:eastAsia="en-GB"/>
        </w:rPr>
        <w:t xml:space="preserve"> using organic solvents (Arne and Anders 1975). What this implies is that we can generate comparable data by using to lysis approach for cysts and trophozoites. However, we </w:t>
      </w:r>
      <w:r w:rsidRPr="0071546E">
        <w:rPr>
          <w:rFonts w:ascii="Arial" w:eastAsiaTheme="minorEastAsia" w:hAnsi="Arial" w:cs="Arial"/>
          <w:sz w:val="24"/>
          <w:szCs w:val="24"/>
          <w:lang w:eastAsia="en-GB"/>
        </w:rPr>
        <w:t>wanted to</w:t>
      </w:r>
      <w:r w:rsidR="00406B96" w:rsidRPr="0071546E">
        <w:rPr>
          <w:rFonts w:ascii="Arial" w:eastAsiaTheme="minorEastAsia" w:hAnsi="Arial" w:cs="Arial"/>
          <w:sz w:val="24"/>
          <w:szCs w:val="24"/>
          <w:lang w:eastAsia="en-GB"/>
        </w:rPr>
        <w:t xml:space="preserve"> show that close to 100% ATP is released by lysing the cyst cell wall with lysozyme. Comparison of the three available lysis method for ATP extraction using </w:t>
      </w:r>
      <w:r w:rsidRPr="0071546E">
        <w:rPr>
          <w:rFonts w:ascii="Arial" w:eastAsiaTheme="minorEastAsia" w:hAnsi="Arial" w:cs="Arial"/>
          <w:sz w:val="24"/>
          <w:szCs w:val="24"/>
          <w:lang w:eastAsia="en-GB"/>
        </w:rPr>
        <w:t>the firefly luciferase fig 3.12</w:t>
      </w:r>
      <w:r w:rsidR="00234554" w:rsidRPr="0071546E">
        <w:rPr>
          <w:rFonts w:ascii="Arial" w:eastAsiaTheme="minorEastAsia" w:hAnsi="Arial" w:cs="Arial"/>
          <w:sz w:val="24"/>
          <w:szCs w:val="24"/>
          <w:lang w:eastAsia="en-GB"/>
        </w:rPr>
        <w:t xml:space="preserve"> showed that close to 100 </w:t>
      </w:r>
      <w:r w:rsidR="00406B96" w:rsidRPr="0071546E">
        <w:rPr>
          <w:rFonts w:ascii="Arial" w:eastAsiaTheme="minorEastAsia" w:hAnsi="Arial" w:cs="Arial"/>
          <w:sz w:val="24"/>
          <w:szCs w:val="24"/>
          <w:lang w:eastAsia="en-GB"/>
        </w:rPr>
        <w:t>% ATP is extracted via lysozyme lysis compared to about 50% extraction with lysis buffer and sonication. Following this result, a standard curve for known concentrations of ATP diluted serially was used to generate a standard curve. The correlation between bioluminescence intensity (RLU) and ATP concentratio</w:t>
      </w:r>
      <w:r w:rsidRPr="0071546E">
        <w:rPr>
          <w:rFonts w:ascii="Arial" w:eastAsiaTheme="minorEastAsia" w:hAnsi="Arial" w:cs="Arial"/>
          <w:sz w:val="24"/>
          <w:szCs w:val="24"/>
          <w:lang w:eastAsia="en-GB"/>
        </w:rPr>
        <w:t>n (µg) as shown in figure 3.11</w:t>
      </w:r>
      <w:r w:rsidR="00406B96" w:rsidRPr="0071546E">
        <w:rPr>
          <w:rFonts w:ascii="Arial" w:eastAsiaTheme="minorEastAsia" w:hAnsi="Arial" w:cs="Arial"/>
          <w:sz w:val="24"/>
          <w:szCs w:val="24"/>
          <w:lang w:eastAsia="en-GB"/>
        </w:rPr>
        <w:t>. The bioluminescence intensity increases in a concentration</w:t>
      </w:r>
      <w:r w:rsidR="00234554" w:rsidRPr="0071546E">
        <w:rPr>
          <w:rFonts w:ascii="Arial" w:eastAsiaTheme="minorEastAsia" w:hAnsi="Arial" w:cs="Arial"/>
          <w:sz w:val="24"/>
          <w:szCs w:val="24"/>
          <w:lang w:eastAsia="en-GB"/>
        </w:rPr>
        <w:t>-dependent</w:t>
      </w:r>
      <w:r w:rsidR="00406B96" w:rsidRPr="0071546E">
        <w:rPr>
          <w:rFonts w:ascii="Arial" w:eastAsiaTheme="minorEastAsia" w:hAnsi="Arial" w:cs="Arial"/>
          <w:sz w:val="24"/>
          <w:szCs w:val="24"/>
          <w:lang w:eastAsia="en-GB"/>
        </w:rPr>
        <w:t xml:space="preserve"> manner with the ATP concentration. Similar results were also seen from a cell concentration curve with the t</w:t>
      </w:r>
      <w:r w:rsidR="00493A2D" w:rsidRPr="0071546E">
        <w:rPr>
          <w:rFonts w:ascii="Arial" w:eastAsiaTheme="minorEastAsia" w:hAnsi="Arial" w:cs="Arial"/>
          <w:sz w:val="24"/>
          <w:szCs w:val="24"/>
          <w:lang w:eastAsia="en-GB"/>
        </w:rPr>
        <w:t>rophozoites and the cysts fig</w:t>
      </w:r>
      <w:r w:rsidRPr="0071546E">
        <w:rPr>
          <w:rFonts w:ascii="Arial" w:eastAsiaTheme="minorEastAsia" w:hAnsi="Arial" w:cs="Arial"/>
          <w:sz w:val="24"/>
          <w:szCs w:val="24"/>
          <w:lang w:eastAsia="en-GB"/>
        </w:rPr>
        <w:t xml:space="preserve"> 3.15</w:t>
      </w:r>
      <w:r w:rsidR="00406B96" w:rsidRPr="0071546E">
        <w:rPr>
          <w:rFonts w:ascii="Arial" w:eastAsiaTheme="minorEastAsia" w:hAnsi="Arial" w:cs="Arial"/>
          <w:sz w:val="24"/>
          <w:szCs w:val="24"/>
          <w:lang w:eastAsia="en-GB"/>
        </w:rPr>
        <w:t xml:space="preserve">. </w:t>
      </w:r>
      <w:r w:rsidR="00331072" w:rsidRPr="0071546E">
        <w:rPr>
          <w:rFonts w:ascii="Arial" w:eastAsiaTheme="minorEastAsia" w:hAnsi="Arial" w:cs="Arial"/>
          <w:sz w:val="24"/>
          <w:szCs w:val="24"/>
          <w:lang w:eastAsia="en-GB"/>
        </w:rPr>
        <w:t>Usually</w:t>
      </w:r>
      <w:r w:rsidR="00406B96" w:rsidRPr="0071546E">
        <w:rPr>
          <w:rFonts w:ascii="Arial" w:eastAsiaTheme="minorEastAsia" w:hAnsi="Arial" w:cs="Arial"/>
          <w:sz w:val="24"/>
          <w:szCs w:val="24"/>
          <w:lang w:eastAsia="en-GB"/>
        </w:rPr>
        <w:t xml:space="preserve">, a stock solution of compounds </w:t>
      </w:r>
      <w:r w:rsidR="007B4B9B" w:rsidRPr="0071546E">
        <w:rPr>
          <w:rFonts w:ascii="Arial" w:eastAsiaTheme="minorEastAsia" w:hAnsi="Arial" w:cs="Arial"/>
          <w:sz w:val="24"/>
          <w:szCs w:val="24"/>
          <w:lang w:eastAsia="en-GB"/>
        </w:rPr>
        <w:t>is</w:t>
      </w:r>
      <w:r w:rsidR="00406B96" w:rsidRPr="0071546E">
        <w:rPr>
          <w:rFonts w:ascii="Arial" w:eastAsiaTheme="minorEastAsia" w:hAnsi="Arial" w:cs="Arial"/>
          <w:sz w:val="24"/>
          <w:szCs w:val="24"/>
          <w:lang w:eastAsia="en-GB"/>
        </w:rPr>
        <w:t xml:space="preserve"> stored for future use and it is fair to anticipate </w:t>
      </w:r>
      <w:r w:rsidR="00D7164A" w:rsidRPr="0071546E">
        <w:rPr>
          <w:rFonts w:ascii="Arial" w:eastAsiaTheme="minorEastAsia" w:hAnsi="Arial" w:cs="Arial"/>
          <w:sz w:val="24"/>
          <w:szCs w:val="24"/>
          <w:lang w:eastAsia="en-GB"/>
        </w:rPr>
        <w:t>a</w:t>
      </w:r>
      <w:r w:rsidR="00406B96" w:rsidRPr="0071546E">
        <w:rPr>
          <w:rFonts w:ascii="Arial" w:eastAsiaTheme="minorEastAsia" w:hAnsi="Arial" w:cs="Arial"/>
          <w:sz w:val="24"/>
          <w:szCs w:val="24"/>
          <w:lang w:eastAsia="en-GB"/>
        </w:rPr>
        <w:t xml:space="preserve"> loss of activity over time. The experiment conducted to monitor loss of activity of ATP and luciferase enzyme a</w:t>
      </w:r>
      <w:r w:rsidR="005075AB" w:rsidRPr="0071546E">
        <w:rPr>
          <w:rFonts w:ascii="Arial" w:eastAsiaTheme="minorEastAsia" w:hAnsi="Arial" w:cs="Arial"/>
          <w:sz w:val="24"/>
          <w:szCs w:val="24"/>
          <w:lang w:eastAsia="en-GB"/>
        </w:rPr>
        <w:t xml:space="preserve">fter 24 hours of storage at </w:t>
      </w:r>
      <w:r w:rsidR="00D7164A" w:rsidRPr="0071546E">
        <w:rPr>
          <w:rFonts w:ascii="Arial" w:eastAsiaTheme="minorEastAsia" w:hAnsi="Arial" w:cs="Arial"/>
          <w:sz w:val="24"/>
          <w:szCs w:val="24"/>
          <w:lang w:eastAsia="en-GB"/>
        </w:rPr>
        <w:t>–</w:t>
      </w:r>
      <w:r w:rsidR="005075AB" w:rsidRPr="0071546E">
        <w:rPr>
          <w:rFonts w:ascii="Arial" w:eastAsiaTheme="minorEastAsia" w:hAnsi="Arial" w:cs="Arial"/>
          <w:sz w:val="24"/>
          <w:szCs w:val="24"/>
          <w:lang w:eastAsia="en-GB"/>
        </w:rPr>
        <w:t xml:space="preserve"> 20</w:t>
      </w:r>
      <w:r w:rsidR="00D7164A" w:rsidRPr="0071546E">
        <w:rPr>
          <w:rFonts w:ascii="Arial" w:eastAsiaTheme="minorEastAsia" w:hAnsi="Arial" w:cs="Arial"/>
          <w:sz w:val="24"/>
          <w:szCs w:val="24"/>
          <w:lang w:eastAsia="en-GB"/>
        </w:rPr>
        <w:t xml:space="preserve"> </w:t>
      </w:r>
      <w:r w:rsidR="005075AB" w:rsidRPr="0071546E">
        <w:rPr>
          <w:rFonts w:ascii="Arial" w:eastAsiaTheme="minorEastAsia" w:hAnsi="Arial" w:cs="Arial"/>
          <w:sz w:val="24"/>
          <w:szCs w:val="24"/>
          <w:vertAlign w:val="superscript"/>
          <w:lang w:eastAsia="en-GB"/>
        </w:rPr>
        <w:t>o</w:t>
      </w:r>
      <w:r w:rsidR="00406B96" w:rsidRPr="0071546E">
        <w:rPr>
          <w:rFonts w:ascii="Arial" w:eastAsiaTheme="minorEastAsia" w:hAnsi="Arial" w:cs="Arial"/>
          <w:sz w:val="24"/>
          <w:szCs w:val="24"/>
          <w:lang w:eastAsia="en-GB"/>
        </w:rPr>
        <w:t>C showed that there was no signif</w:t>
      </w:r>
      <w:r w:rsidRPr="0071546E">
        <w:rPr>
          <w:rFonts w:ascii="Arial" w:eastAsiaTheme="minorEastAsia" w:hAnsi="Arial" w:cs="Arial"/>
          <w:sz w:val="24"/>
          <w:szCs w:val="24"/>
          <w:lang w:eastAsia="en-GB"/>
        </w:rPr>
        <w:t>icant loss of activity fig 3.16</w:t>
      </w:r>
      <w:r w:rsidR="00406B96" w:rsidRPr="0071546E">
        <w:rPr>
          <w:rFonts w:ascii="Arial" w:eastAsiaTheme="minorEastAsia" w:hAnsi="Arial" w:cs="Arial"/>
          <w:sz w:val="24"/>
          <w:szCs w:val="24"/>
          <w:lang w:eastAsia="en-GB"/>
        </w:rPr>
        <w:t>. Further investigation on the effect of phosphate</w:t>
      </w:r>
      <w:r w:rsidR="00563D9A" w:rsidRPr="0071546E">
        <w:rPr>
          <w:rFonts w:ascii="Arial" w:eastAsiaTheme="minorEastAsia" w:hAnsi="Arial" w:cs="Arial"/>
          <w:sz w:val="24"/>
          <w:szCs w:val="24"/>
          <w:lang w:eastAsia="en-GB"/>
        </w:rPr>
        <w:t>-</w:t>
      </w:r>
      <w:r w:rsidR="00406B96" w:rsidRPr="0071546E">
        <w:rPr>
          <w:rFonts w:ascii="Arial" w:eastAsiaTheme="minorEastAsia" w:hAnsi="Arial" w:cs="Arial"/>
          <w:sz w:val="24"/>
          <w:szCs w:val="24"/>
          <w:lang w:eastAsia="en-GB"/>
        </w:rPr>
        <w:t>buffered saline used as a solvent for ATP luciferase action showed concentration</w:t>
      </w:r>
      <w:r w:rsidR="005075AB" w:rsidRPr="0071546E">
        <w:rPr>
          <w:rFonts w:ascii="Arial" w:eastAsiaTheme="minorEastAsia" w:hAnsi="Arial" w:cs="Arial"/>
          <w:sz w:val="24"/>
          <w:szCs w:val="24"/>
          <w:lang w:eastAsia="en-GB"/>
        </w:rPr>
        <w:t>-dependent</w:t>
      </w:r>
      <w:r w:rsidR="00406B96" w:rsidRPr="0071546E">
        <w:rPr>
          <w:rFonts w:ascii="Arial" w:eastAsiaTheme="minorEastAsia" w:hAnsi="Arial" w:cs="Arial"/>
          <w:sz w:val="24"/>
          <w:szCs w:val="24"/>
          <w:lang w:eastAsia="en-GB"/>
        </w:rPr>
        <w:t xml:space="preserve"> inhibition of luciferase enzyme activity as seen by the highest reduction of the bioluminescence signal at X1 mix PBS compared to a control of sterile water f</w:t>
      </w:r>
      <w:r w:rsidRPr="0071546E">
        <w:rPr>
          <w:rFonts w:ascii="Arial" w:eastAsiaTheme="minorEastAsia" w:hAnsi="Arial" w:cs="Arial"/>
          <w:sz w:val="24"/>
          <w:szCs w:val="24"/>
          <w:lang w:eastAsia="en-GB"/>
        </w:rPr>
        <w:t>ig 3.17</w:t>
      </w:r>
    </w:p>
    <w:p w:rsidR="00406B96" w:rsidRPr="0071546E" w:rsidRDefault="00406B96" w:rsidP="00CF13FE">
      <w:pPr>
        <w:pStyle w:val="Heading2"/>
        <w:ind w:left="1021" w:right="454"/>
        <w:rPr>
          <w:rFonts w:eastAsiaTheme="minorEastAsia"/>
        </w:rPr>
      </w:pPr>
      <w:bookmarkStart w:id="121" w:name="_Toc14711491"/>
      <w:r w:rsidRPr="0071546E">
        <w:rPr>
          <w:rFonts w:eastAsiaTheme="minorEastAsia"/>
        </w:rPr>
        <w:t>4.3 Activity of disinfectants and therapeutic agents measured using ATP bioluminescence assay.</w:t>
      </w:r>
      <w:bookmarkEnd w:id="121"/>
    </w:p>
    <w:p w:rsidR="00406B96" w:rsidRPr="0071546E" w:rsidRDefault="00406B96" w:rsidP="00CF13FE">
      <w:pPr>
        <w:spacing w:after="0" w:line="480" w:lineRule="auto"/>
        <w:ind w:left="1021" w:right="454"/>
        <w:jc w:val="both"/>
        <w:rPr>
          <w:rFonts w:ascii="Arial" w:eastAsiaTheme="minorEastAsia" w:hAnsi="Arial" w:cs="Arial"/>
          <w:sz w:val="24"/>
          <w:szCs w:val="24"/>
          <w:lang w:eastAsia="en-GB"/>
        </w:rPr>
      </w:pPr>
      <w:r w:rsidRPr="0071546E">
        <w:rPr>
          <w:rFonts w:ascii="Arial" w:eastAsiaTheme="minorEastAsia" w:hAnsi="Arial" w:cs="Arial"/>
          <w:sz w:val="24"/>
          <w:szCs w:val="24"/>
          <w:lang w:eastAsia="en-GB"/>
        </w:rPr>
        <w:t xml:space="preserve">Results from the susceptibility of </w:t>
      </w:r>
      <w:r w:rsidRPr="0071546E">
        <w:rPr>
          <w:rFonts w:ascii="Arial" w:eastAsiaTheme="minorEastAsia" w:hAnsi="Arial" w:cs="Arial"/>
          <w:i/>
          <w:sz w:val="24"/>
          <w:szCs w:val="24"/>
          <w:lang w:eastAsia="en-GB"/>
        </w:rPr>
        <w:t>Acanthamoeba</w:t>
      </w:r>
      <w:r w:rsidRPr="0071546E">
        <w:rPr>
          <w:rFonts w:ascii="Arial" w:eastAsiaTheme="minorEastAsia" w:hAnsi="Arial" w:cs="Arial"/>
          <w:sz w:val="24"/>
          <w:szCs w:val="24"/>
          <w:lang w:eastAsia="en-GB"/>
        </w:rPr>
        <w:t xml:space="preserve"> cysts and trophozoites showed a 100% inactivation of cysts and trophozoites after 24 hours exposure to </w:t>
      </w:r>
      <w:r w:rsidR="00EC4916" w:rsidRPr="0071546E">
        <w:rPr>
          <w:rFonts w:ascii="Arial" w:eastAsiaTheme="minorEastAsia" w:hAnsi="Arial" w:cs="Arial"/>
          <w:sz w:val="24"/>
          <w:szCs w:val="24"/>
          <w:lang w:eastAsia="en-GB"/>
        </w:rPr>
        <w:t xml:space="preserve">1000 µg/ml amphotericin </w:t>
      </w:r>
      <w:r w:rsidR="00493A2D" w:rsidRPr="0071546E">
        <w:rPr>
          <w:rFonts w:ascii="Arial" w:eastAsiaTheme="minorEastAsia" w:hAnsi="Arial" w:cs="Arial"/>
          <w:sz w:val="24"/>
          <w:szCs w:val="24"/>
          <w:lang w:eastAsia="en-GB"/>
        </w:rPr>
        <w:t>B</w:t>
      </w:r>
      <w:r w:rsidR="00EC4916" w:rsidRPr="0071546E">
        <w:rPr>
          <w:rFonts w:ascii="Arial" w:eastAsiaTheme="minorEastAsia" w:hAnsi="Arial" w:cs="Arial"/>
          <w:sz w:val="24"/>
          <w:szCs w:val="24"/>
          <w:lang w:eastAsia="en-GB"/>
        </w:rPr>
        <w:t xml:space="preserve"> fig 3.18</w:t>
      </w:r>
      <w:r w:rsidR="003A3CAF" w:rsidRPr="0071546E">
        <w:rPr>
          <w:rFonts w:ascii="Arial" w:eastAsiaTheme="minorEastAsia" w:hAnsi="Arial" w:cs="Arial"/>
          <w:sz w:val="24"/>
          <w:szCs w:val="24"/>
          <w:lang w:eastAsia="en-GB"/>
        </w:rPr>
        <w:t>. Comparing the IC</w:t>
      </w:r>
      <w:r w:rsidR="003A3CAF" w:rsidRPr="0071546E">
        <w:rPr>
          <w:rFonts w:ascii="Arial" w:eastAsiaTheme="minorEastAsia" w:hAnsi="Arial" w:cs="Arial"/>
          <w:sz w:val="24"/>
          <w:szCs w:val="24"/>
          <w:vertAlign w:val="subscript"/>
          <w:lang w:eastAsia="en-GB"/>
        </w:rPr>
        <w:t>50</w:t>
      </w:r>
      <w:r w:rsidRPr="0071546E">
        <w:rPr>
          <w:rFonts w:ascii="Arial" w:eastAsiaTheme="minorEastAsia" w:hAnsi="Arial" w:cs="Arial"/>
          <w:sz w:val="24"/>
          <w:szCs w:val="24"/>
          <w:lang w:eastAsia="en-GB"/>
        </w:rPr>
        <w:t xml:space="preserve"> for both, the trophozoites are understandably more susceptible to amphotericin B than the cysts. Considering the </w:t>
      </w:r>
      <w:r w:rsidR="00493A2D" w:rsidRPr="0071546E">
        <w:rPr>
          <w:rFonts w:ascii="Arial" w:eastAsiaTheme="minorEastAsia" w:hAnsi="Arial" w:cs="Arial"/>
          <w:sz w:val="24"/>
          <w:szCs w:val="24"/>
          <w:lang w:eastAsia="en-GB"/>
        </w:rPr>
        <w:t>mode of action of amphotericin B</w:t>
      </w:r>
      <w:r w:rsidRPr="0071546E">
        <w:rPr>
          <w:rFonts w:ascii="Arial" w:eastAsiaTheme="minorEastAsia" w:hAnsi="Arial" w:cs="Arial"/>
          <w:sz w:val="24"/>
          <w:szCs w:val="24"/>
          <w:lang w:eastAsia="en-GB"/>
        </w:rPr>
        <w:t xml:space="preserve"> (enhances membrane permeability by binding ergosterol found in the cell membrane, leading to intracellular leakage and cell death, it is likely that it will bind the membrane of the trophozoites faster tha</w:t>
      </w:r>
      <w:r w:rsidR="00563D9A" w:rsidRPr="0071546E">
        <w:rPr>
          <w:rFonts w:ascii="Arial" w:eastAsiaTheme="minorEastAsia" w:hAnsi="Arial" w:cs="Arial"/>
          <w:sz w:val="24"/>
          <w:szCs w:val="24"/>
          <w:lang w:eastAsia="en-GB"/>
        </w:rPr>
        <w:t>n</w:t>
      </w:r>
      <w:r w:rsidRPr="0071546E">
        <w:rPr>
          <w:rFonts w:ascii="Arial" w:eastAsiaTheme="minorEastAsia" w:hAnsi="Arial" w:cs="Arial"/>
          <w:sz w:val="24"/>
          <w:szCs w:val="24"/>
          <w:lang w:eastAsia="en-GB"/>
        </w:rPr>
        <w:t xml:space="preserve"> it will for the cysts hence trophozoites are more sensitive. In agreement with the present result and</w:t>
      </w:r>
      <w:r w:rsidR="00EC4916" w:rsidRPr="0071546E">
        <w:rPr>
          <w:rFonts w:ascii="Arial" w:eastAsiaTheme="minorEastAsia" w:hAnsi="Arial" w:cs="Arial"/>
          <w:sz w:val="24"/>
          <w:szCs w:val="24"/>
          <w:lang w:eastAsia="en-GB"/>
        </w:rPr>
        <w:t xml:space="preserve"> as seen in figure 3.18</w:t>
      </w:r>
      <w:r w:rsidRPr="0071546E">
        <w:rPr>
          <w:rFonts w:ascii="Arial" w:eastAsiaTheme="minorEastAsia" w:hAnsi="Arial" w:cs="Arial"/>
          <w:sz w:val="24"/>
          <w:szCs w:val="24"/>
          <w:lang w:eastAsia="en-GB"/>
        </w:rPr>
        <w:t xml:space="preserve">, </w:t>
      </w:r>
      <w:r w:rsidRPr="0071546E">
        <w:rPr>
          <w:rFonts w:ascii="Arial" w:eastAsiaTheme="minorEastAsia" w:hAnsi="Arial" w:cs="Arial"/>
          <w:i/>
          <w:sz w:val="24"/>
          <w:szCs w:val="24"/>
          <w:lang w:eastAsia="en-GB"/>
        </w:rPr>
        <w:t xml:space="preserve">Acanthamoeba </w:t>
      </w:r>
      <w:r w:rsidR="005075AB" w:rsidRPr="0071546E">
        <w:rPr>
          <w:rFonts w:ascii="Arial" w:eastAsiaTheme="minorEastAsia" w:hAnsi="Arial" w:cs="Arial"/>
          <w:sz w:val="24"/>
          <w:szCs w:val="24"/>
          <w:lang w:eastAsia="en-GB"/>
        </w:rPr>
        <w:t>cysts and trophozoites have been</w:t>
      </w:r>
      <w:r w:rsidRPr="0071546E">
        <w:rPr>
          <w:rFonts w:ascii="Arial" w:eastAsiaTheme="minorEastAsia" w:hAnsi="Arial" w:cs="Arial"/>
          <w:sz w:val="24"/>
          <w:szCs w:val="24"/>
          <w:lang w:eastAsia="en-GB"/>
        </w:rPr>
        <w:t xml:space="preserve"> reported to be susceptible to a concentra</w:t>
      </w:r>
      <w:r w:rsidR="00493A2D" w:rsidRPr="0071546E">
        <w:rPr>
          <w:rFonts w:ascii="Arial" w:eastAsiaTheme="minorEastAsia" w:hAnsi="Arial" w:cs="Arial"/>
          <w:sz w:val="24"/>
          <w:szCs w:val="24"/>
          <w:lang w:eastAsia="en-GB"/>
        </w:rPr>
        <w:t>tion of 100 µg/ml amphotericin B</w:t>
      </w:r>
      <w:r w:rsidRPr="0071546E">
        <w:rPr>
          <w:rFonts w:ascii="Arial" w:eastAsiaTheme="minorEastAsia" w:hAnsi="Arial" w:cs="Arial"/>
          <w:sz w:val="24"/>
          <w:szCs w:val="24"/>
          <w:lang w:eastAsia="en-GB"/>
        </w:rPr>
        <w:t xml:space="preserve"> (</w:t>
      </w:r>
      <w:r w:rsidR="00E21DDC" w:rsidRPr="0071546E">
        <w:rPr>
          <w:rFonts w:ascii="Arial" w:eastAsiaTheme="minorEastAsia" w:hAnsi="Arial" w:cs="Arial"/>
          <w:sz w:val="24"/>
          <w:szCs w:val="24"/>
          <w:lang w:eastAsia="en-GB"/>
        </w:rPr>
        <w:t xml:space="preserve">Aqeel Siddiqui, </w:t>
      </w:r>
      <w:r w:rsidRPr="0071546E">
        <w:rPr>
          <w:rFonts w:ascii="Arial" w:eastAsiaTheme="minorEastAsia" w:hAnsi="Arial" w:cs="Arial"/>
          <w:sz w:val="24"/>
          <w:szCs w:val="24"/>
          <w:lang w:eastAsia="en-GB"/>
        </w:rPr>
        <w:t xml:space="preserve">and Khan, 2016). Other studies show greater sensitivity of </w:t>
      </w:r>
      <w:r w:rsidRPr="0071546E">
        <w:rPr>
          <w:rFonts w:ascii="Arial" w:eastAsiaTheme="minorEastAsia" w:hAnsi="Arial" w:cs="Arial"/>
          <w:i/>
          <w:sz w:val="24"/>
          <w:szCs w:val="24"/>
          <w:lang w:eastAsia="en-GB"/>
        </w:rPr>
        <w:t>Acanthamoeba</w:t>
      </w:r>
      <w:r w:rsidRPr="0071546E">
        <w:rPr>
          <w:rFonts w:ascii="Arial" w:eastAsiaTheme="minorEastAsia" w:hAnsi="Arial" w:cs="Arial"/>
          <w:sz w:val="24"/>
          <w:szCs w:val="24"/>
          <w:lang w:eastAsia="en-GB"/>
        </w:rPr>
        <w:t xml:space="preserve"> to am</w:t>
      </w:r>
      <w:r w:rsidR="00493A2D" w:rsidRPr="0071546E">
        <w:rPr>
          <w:rFonts w:ascii="Arial" w:eastAsiaTheme="minorEastAsia" w:hAnsi="Arial" w:cs="Arial"/>
          <w:sz w:val="24"/>
          <w:szCs w:val="24"/>
          <w:lang w:eastAsia="en-GB"/>
        </w:rPr>
        <w:t>photericin B when amphotericin B</w:t>
      </w:r>
      <w:r w:rsidRPr="0071546E">
        <w:rPr>
          <w:rFonts w:ascii="Arial" w:eastAsiaTheme="minorEastAsia" w:hAnsi="Arial" w:cs="Arial"/>
          <w:sz w:val="24"/>
          <w:szCs w:val="24"/>
          <w:lang w:eastAsia="en-GB"/>
        </w:rPr>
        <w:t xml:space="preserve"> is conjugated to permeability enhancing silver nanoparticle (Anwar et al., 2017). Total inactivation of </w:t>
      </w:r>
      <w:r w:rsidRPr="0071546E">
        <w:rPr>
          <w:rFonts w:ascii="Arial" w:eastAsiaTheme="minorEastAsia" w:hAnsi="Arial" w:cs="Arial"/>
          <w:i/>
          <w:sz w:val="24"/>
          <w:szCs w:val="24"/>
          <w:lang w:eastAsia="en-GB"/>
        </w:rPr>
        <w:t>Acanthamo</w:t>
      </w:r>
      <w:r w:rsidR="00EC4916" w:rsidRPr="0071546E">
        <w:rPr>
          <w:rFonts w:ascii="Arial" w:eastAsiaTheme="minorEastAsia" w:hAnsi="Arial" w:cs="Arial"/>
          <w:i/>
          <w:sz w:val="24"/>
          <w:szCs w:val="24"/>
          <w:lang w:eastAsia="en-GB"/>
        </w:rPr>
        <w:t>eba</w:t>
      </w:r>
      <w:r w:rsidR="00D7164A" w:rsidRPr="0071546E">
        <w:rPr>
          <w:rFonts w:ascii="Arial" w:eastAsiaTheme="minorEastAsia" w:hAnsi="Arial" w:cs="Arial"/>
          <w:sz w:val="24"/>
          <w:szCs w:val="24"/>
          <w:lang w:eastAsia="en-GB"/>
        </w:rPr>
        <w:t xml:space="preserve"> after exposure to 1000 µg</w:t>
      </w:r>
      <w:r w:rsidR="00EC4916" w:rsidRPr="0071546E">
        <w:rPr>
          <w:rFonts w:ascii="Arial" w:eastAsiaTheme="minorEastAsia" w:hAnsi="Arial" w:cs="Arial"/>
          <w:sz w:val="24"/>
          <w:szCs w:val="24"/>
          <w:lang w:eastAsia="en-GB"/>
        </w:rPr>
        <w:t>/</w:t>
      </w:r>
      <w:r w:rsidRPr="0071546E">
        <w:rPr>
          <w:rFonts w:ascii="Arial" w:eastAsiaTheme="minorEastAsia" w:hAnsi="Arial" w:cs="Arial"/>
          <w:sz w:val="24"/>
          <w:szCs w:val="24"/>
          <w:lang w:eastAsia="en-GB"/>
        </w:rPr>
        <w:t>ml</w:t>
      </w:r>
      <w:r w:rsidR="00D7164A" w:rsidRPr="0071546E">
        <w:rPr>
          <w:rFonts w:ascii="Arial" w:eastAsiaTheme="minorEastAsia" w:hAnsi="Arial" w:cs="Arial"/>
          <w:sz w:val="24"/>
          <w:szCs w:val="24"/>
          <w:lang w:eastAsia="en-GB"/>
        </w:rPr>
        <w:t xml:space="preserve"> of amphotericin B</w:t>
      </w:r>
      <w:r w:rsidRPr="0071546E">
        <w:rPr>
          <w:rFonts w:ascii="Arial" w:eastAsiaTheme="minorEastAsia" w:hAnsi="Arial" w:cs="Arial"/>
          <w:sz w:val="24"/>
          <w:szCs w:val="24"/>
          <w:lang w:eastAsia="en-GB"/>
        </w:rPr>
        <w:t xml:space="preserve"> was confirmed after a re-growth assay, neither the </w:t>
      </w:r>
      <w:r w:rsidR="00D200F4" w:rsidRPr="0071546E">
        <w:rPr>
          <w:rFonts w:ascii="Arial" w:eastAsiaTheme="minorEastAsia" w:hAnsi="Arial" w:cs="Arial"/>
          <w:sz w:val="24"/>
          <w:szCs w:val="24"/>
          <w:lang w:eastAsia="en-GB"/>
        </w:rPr>
        <w:t>trophozoites</w:t>
      </w:r>
      <w:r w:rsidRPr="0071546E">
        <w:rPr>
          <w:rFonts w:ascii="Arial" w:eastAsiaTheme="minorEastAsia" w:hAnsi="Arial" w:cs="Arial"/>
          <w:sz w:val="24"/>
          <w:szCs w:val="24"/>
          <w:lang w:eastAsia="en-GB"/>
        </w:rPr>
        <w:t xml:space="preserve"> nor the cysts were</w:t>
      </w:r>
      <w:r w:rsidR="007B4B9B" w:rsidRPr="0071546E">
        <w:rPr>
          <w:rFonts w:ascii="Arial" w:eastAsiaTheme="minorEastAsia" w:hAnsi="Arial" w:cs="Arial"/>
          <w:sz w:val="24"/>
          <w:szCs w:val="24"/>
          <w:lang w:eastAsia="en-GB"/>
        </w:rPr>
        <w:t xml:space="preserve"> able to recover after 14 days’</w:t>
      </w:r>
      <w:r w:rsidRPr="0071546E">
        <w:rPr>
          <w:rFonts w:ascii="Arial" w:eastAsiaTheme="minorEastAsia" w:hAnsi="Arial" w:cs="Arial"/>
          <w:sz w:val="24"/>
          <w:szCs w:val="24"/>
          <w:lang w:eastAsia="en-GB"/>
        </w:rPr>
        <w:t xml:space="preserve"> subculture in fresh growth media.  Dead cells were visibly seen in culture media, no transformation to cysts, no locomotion and no replication was seen. </w:t>
      </w:r>
      <w:r w:rsidRPr="0071546E">
        <w:rPr>
          <w:rFonts w:ascii="Arial" w:eastAsiaTheme="minorEastAsia" w:hAnsi="Arial" w:cs="Arial"/>
          <w:i/>
          <w:sz w:val="24"/>
          <w:szCs w:val="24"/>
          <w:lang w:eastAsia="en-GB"/>
        </w:rPr>
        <w:t>Acanthamoeba</w:t>
      </w:r>
      <w:r w:rsidRPr="0071546E">
        <w:rPr>
          <w:rFonts w:ascii="Arial" w:eastAsiaTheme="minorEastAsia" w:hAnsi="Arial" w:cs="Arial"/>
          <w:sz w:val="24"/>
          <w:szCs w:val="24"/>
          <w:lang w:eastAsia="en-GB"/>
        </w:rPr>
        <w:t xml:space="preserve"> cysts and trophozoites also s</w:t>
      </w:r>
      <w:r w:rsidR="00EC4916" w:rsidRPr="0071546E">
        <w:rPr>
          <w:rFonts w:ascii="Arial" w:eastAsiaTheme="minorEastAsia" w:hAnsi="Arial" w:cs="Arial"/>
          <w:sz w:val="24"/>
          <w:szCs w:val="24"/>
          <w:lang w:eastAsia="en-GB"/>
        </w:rPr>
        <w:t>howed susceptibility to 125 µg/</w:t>
      </w:r>
      <w:r w:rsidRPr="0071546E">
        <w:rPr>
          <w:rFonts w:ascii="Arial" w:eastAsiaTheme="minorEastAsia" w:hAnsi="Arial" w:cs="Arial"/>
          <w:sz w:val="24"/>
          <w:szCs w:val="24"/>
          <w:lang w:eastAsia="en-GB"/>
        </w:rPr>
        <w:t xml:space="preserve">ml of miltefosine. Recall </w:t>
      </w:r>
      <w:r w:rsidR="005075AB" w:rsidRPr="0071546E">
        <w:rPr>
          <w:rFonts w:ascii="Arial" w:eastAsiaTheme="minorEastAsia" w:hAnsi="Arial" w:cs="Arial"/>
          <w:sz w:val="24"/>
          <w:szCs w:val="24"/>
          <w:lang w:eastAsia="en-GB"/>
        </w:rPr>
        <w:t xml:space="preserve">that </w:t>
      </w:r>
      <w:r w:rsidRPr="0071546E">
        <w:rPr>
          <w:rFonts w:ascii="Arial" w:eastAsiaTheme="minorEastAsia" w:hAnsi="Arial" w:cs="Arial"/>
          <w:sz w:val="24"/>
          <w:szCs w:val="24"/>
          <w:lang w:eastAsia="en-GB"/>
        </w:rPr>
        <w:t xml:space="preserve">miltefosine was only given orphan drug status for </w:t>
      </w:r>
      <w:r w:rsidRPr="0071546E">
        <w:rPr>
          <w:rFonts w:ascii="Arial" w:eastAsiaTheme="minorEastAsia" w:hAnsi="Arial" w:cs="Arial"/>
          <w:i/>
          <w:sz w:val="24"/>
          <w:szCs w:val="24"/>
          <w:lang w:eastAsia="en-GB"/>
        </w:rPr>
        <w:t>Acanthamoeba</w:t>
      </w:r>
      <w:r w:rsidRPr="0071546E">
        <w:rPr>
          <w:rFonts w:ascii="Arial" w:eastAsiaTheme="minorEastAsia" w:hAnsi="Arial" w:cs="Arial"/>
          <w:sz w:val="24"/>
          <w:szCs w:val="24"/>
          <w:lang w:eastAsia="en-GB"/>
        </w:rPr>
        <w:t xml:space="preserve"> treatment by US FDA in 2017. Miltefosine was used for the treatment of </w:t>
      </w:r>
      <w:r w:rsidRPr="0071546E">
        <w:rPr>
          <w:rFonts w:ascii="Arial" w:eastAsiaTheme="minorEastAsia" w:hAnsi="Arial" w:cs="Arial"/>
          <w:i/>
          <w:sz w:val="24"/>
          <w:szCs w:val="24"/>
          <w:lang w:eastAsia="en-GB"/>
        </w:rPr>
        <w:t>Acanthamoeba</w:t>
      </w:r>
      <w:r w:rsidRPr="0071546E">
        <w:rPr>
          <w:rFonts w:ascii="Arial" w:eastAsiaTheme="minorEastAsia" w:hAnsi="Arial" w:cs="Arial"/>
          <w:sz w:val="24"/>
          <w:szCs w:val="24"/>
          <w:lang w:eastAsia="en-GB"/>
        </w:rPr>
        <w:t xml:space="preserve"> in the United Kingdom for the first time in March 2018. (Tavassoli et al., 2018)</w:t>
      </w:r>
    </w:p>
    <w:p w:rsidR="00406B96" w:rsidRPr="0071546E" w:rsidRDefault="00406B96" w:rsidP="00CF13FE">
      <w:pPr>
        <w:spacing w:after="0" w:line="480" w:lineRule="auto"/>
        <w:ind w:left="1021" w:right="454"/>
        <w:jc w:val="both"/>
        <w:rPr>
          <w:rFonts w:ascii="Arial" w:eastAsiaTheme="minorEastAsia" w:hAnsi="Arial" w:cs="Arial"/>
          <w:sz w:val="24"/>
          <w:szCs w:val="24"/>
          <w:lang w:eastAsia="en-GB"/>
        </w:rPr>
      </w:pPr>
    </w:p>
    <w:p w:rsidR="00E17914" w:rsidRPr="0071546E" w:rsidRDefault="00406B96" w:rsidP="00CF13FE">
      <w:pPr>
        <w:spacing w:after="0" w:line="480" w:lineRule="auto"/>
        <w:ind w:left="1021" w:right="454"/>
        <w:jc w:val="both"/>
        <w:rPr>
          <w:rFonts w:ascii="Arial" w:eastAsiaTheme="minorEastAsia" w:hAnsi="Arial" w:cs="Arial"/>
          <w:noProof/>
          <w:sz w:val="24"/>
          <w:szCs w:val="24"/>
          <w:lang w:eastAsia="en-GB"/>
        </w:rPr>
      </w:pPr>
      <w:r w:rsidRPr="0071546E">
        <w:rPr>
          <w:rFonts w:ascii="Arial" w:eastAsiaTheme="minorEastAsia" w:hAnsi="Arial" w:cs="Arial"/>
          <w:sz w:val="24"/>
          <w:szCs w:val="24"/>
          <w:lang w:eastAsia="en-GB"/>
        </w:rPr>
        <w:t xml:space="preserve">The highest concentration of miltefosine used for assay (125 µg/ ml) was not able to achieve a hundred per cent kill of </w:t>
      </w:r>
      <w:r w:rsidRPr="0071546E">
        <w:rPr>
          <w:rFonts w:ascii="Arial" w:eastAsiaTheme="minorEastAsia" w:hAnsi="Arial" w:cs="Arial"/>
          <w:i/>
          <w:sz w:val="24"/>
          <w:szCs w:val="24"/>
          <w:lang w:eastAsia="en-GB"/>
        </w:rPr>
        <w:t>Acanthamoeba</w:t>
      </w:r>
      <w:r w:rsidRPr="0071546E">
        <w:rPr>
          <w:rFonts w:ascii="Arial" w:eastAsiaTheme="minorEastAsia" w:hAnsi="Arial" w:cs="Arial"/>
          <w:sz w:val="24"/>
          <w:szCs w:val="24"/>
          <w:lang w:eastAsia="en-GB"/>
        </w:rPr>
        <w:t xml:space="preserve"> cysts and trophozoites, although there was less than 5</w:t>
      </w:r>
      <w:r w:rsidR="00D7164A" w:rsidRPr="0071546E">
        <w:rPr>
          <w:rFonts w:ascii="Arial" w:eastAsiaTheme="minorEastAsia" w:hAnsi="Arial" w:cs="Arial"/>
          <w:sz w:val="24"/>
          <w:szCs w:val="24"/>
          <w:lang w:eastAsia="en-GB"/>
        </w:rPr>
        <w:t xml:space="preserve"> </w:t>
      </w:r>
      <w:r w:rsidRPr="0071546E">
        <w:rPr>
          <w:rFonts w:ascii="Arial" w:eastAsiaTheme="minorEastAsia" w:hAnsi="Arial" w:cs="Arial"/>
          <w:sz w:val="24"/>
          <w:szCs w:val="24"/>
          <w:lang w:eastAsia="en-GB"/>
        </w:rPr>
        <w:t xml:space="preserve">% viability for both after exposure. This was confirmed from the regrowth assay as both the cyst and the trophozoites recovered after subculture. An explanation for this is that a single viable cyst has the potential to replicate when sub-cultured and that might be the case. Again, the trophozoites and cysts showed different response kinetics, the trophozoites typically were more susceptible to miltefosine compared to the cysts. </w:t>
      </w:r>
      <w:r w:rsidRPr="0071546E">
        <w:rPr>
          <w:rFonts w:ascii="Arial" w:eastAsiaTheme="minorEastAsia" w:hAnsi="Arial" w:cs="Arial"/>
          <w:i/>
          <w:sz w:val="24"/>
          <w:szCs w:val="24"/>
          <w:lang w:eastAsia="en-GB"/>
        </w:rPr>
        <w:t>Acanthamoeba</w:t>
      </w:r>
      <w:r w:rsidRPr="0071546E">
        <w:rPr>
          <w:rFonts w:ascii="Arial" w:eastAsiaTheme="minorEastAsia" w:hAnsi="Arial" w:cs="Arial"/>
          <w:sz w:val="24"/>
          <w:szCs w:val="24"/>
          <w:lang w:eastAsia="en-GB"/>
        </w:rPr>
        <w:t xml:space="preserve"> cysts and trophozoites appeared to be more sensitive to povidone</w:t>
      </w:r>
      <w:r w:rsidR="00563D9A" w:rsidRPr="0071546E">
        <w:rPr>
          <w:rFonts w:ascii="Arial" w:eastAsiaTheme="minorEastAsia" w:hAnsi="Arial" w:cs="Arial"/>
          <w:sz w:val="24"/>
          <w:szCs w:val="24"/>
          <w:lang w:eastAsia="en-GB"/>
        </w:rPr>
        <w:t>-</w:t>
      </w:r>
      <w:r w:rsidRPr="0071546E">
        <w:rPr>
          <w:rFonts w:ascii="Arial" w:eastAsiaTheme="minorEastAsia" w:hAnsi="Arial" w:cs="Arial"/>
          <w:sz w:val="24"/>
          <w:szCs w:val="24"/>
          <w:lang w:eastAsia="en-GB"/>
        </w:rPr>
        <w:t>iodine. Exposure of trophozoites and cysts to 1000 µg/ml of pov</w:t>
      </w:r>
      <w:r w:rsidR="00D7164A" w:rsidRPr="0071546E">
        <w:rPr>
          <w:rFonts w:ascii="Arial" w:eastAsiaTheme="minorEastAsia" w:hAnsi="Arial" w:cs="Arial"/>
          <w:sz w:val="24"/>
          <w:szCs w:val="24"/>
          <w:lang w:eastAsia="en-GB"/>
        </w:rPr>
        <w:t xml:space="preserve">idone showed complete kill, </w:t>
      </w:r>
      <w:r w:rsidRPr="0071546E">
        <w:rPr>
          <w:rFonts w:ascii="Arial" w:eastAsiaTheme="minorEastAsia" w:hAnsi="Arial" w:cs="Arial"/>
          <w:sz w:val="24"/>
          <w:szCs w:val="24"/>
          <w:lang w:eastAsia="en-GB"/>
        </w:rPr>
        <w:t>this was further established from re-growth assay. The cysts were more resistant to povidone-iodine compared to trophozoites that are highly susceptible to povidone</w:t>
      </w:r>
      <w:r w:rsidR="00563D9A" w:rsidRPr="0071546E">
        <w:rPr>
          <w:rFonts w:ascii="Arial" w:eastAsiaTheme="minorEastAsia" w:hAnsi="Arial" w:cs="Arial"/>
          <w:sz w:val="24"/>
          <w:szCs w:val="24"/>
          <w:lang w:eastAsia="en-GB"/>
        </w:rPr>
        <w:t>-</w:t>
      </w:r>
      <w:r w:rsidRPr="0071546E">
        <w:rPr>
          <w:rFonts w:ascii="Arial" w:eastAsiaTheme="minorEastAsia" w:hAnsi="Arial" w:cs="Arial"/>
          <w:sz w:val="24"/>
          <w:szCs w:val="24"/>
          <w:lang w:eastAsia="en-GB"/>
        </w:rPr>
        <w:t>iodine. A concentration of 10 µg/ml reduced the viabil</w:t>
      </w:r>
      <w:r w:rsidR="007B4B9B" w:rsidRPr="0071546E">
        <w:rPr>
          <w:rFonts w:ascii="Arial" w:eastAsiaTheme="minorEastAsia" w:hAnsi="Arial" w:cs="Arial"/>
          <w:sz w:val="24"/>
          <w:szCs w:val="24"/>
          <w:lang w:eastAsia="en-GB"/>
        </w:rPr>
        <w:t>ity of trophozoites by</w:t>
      </w:r>
      <w:r w:rsidRPr="0071546E">
        <w:rPr>
          <w:rFonts w:ascii="Arial" w:eastAsiaTheme="minorEastAsia" w:hAnsi="Arial" w:cs="Arial"/>
          <w:sz w:val="24"/>
          <w:szCs w:val="24"/>
          <w:lang w:eastAsia="en-GB"/>
        </w:rPr>
        <w:t xml:space="preserve"> 5</w:t>
      </w:r>
      <w:r w:rsidR="007B4B9B" w:rsidRPr="0071546E">
        <w:rPr>
          <w:rFonts w:ascii="Arial" w:eastAsiaTheme="minorEastAsia" w:hAnsi="Arial" w:cs="Arial"/>
          <w:sz w:val="24"/>
          <w:szCs w:val="24"/>
          <w:lang w:eastAsia="en-GB"/>
        </w:rPr>
        <w:t>0</w:t>
      </w:r>
      <w:r w:rsidRPr="0071546E">
        <w:rPr>
          <w:rFonts w:ascii="Arial" w:eastAsiaTheme="minorEastAsia" w:hAnsi="Arial" w:cs="Arial"/>
          <w:sz w:val="24"/>
          <w:szCs w:val="24"/>
          <w:lang w:eastAsia="en-GB"/>
        </w:rPr>
        <w:t xml:space="preserve">% at this </w:t>
      </w:r>
      <w:r w:rsidR="00510540" w:rsidRPr="0071546E">
        <w:rPr>
          <w:rFonts w:ascii="Arial" w:eastAsiaTheme="minorEastAsia" w:hAnsi="Arial" w:cs="Arial"/>
          <w:sz w:val="24"/>
          <w:szCs w:val="24"/>
          <w:lang w:eastAsia="en-GB"/>
        </w:rPr>
        <w:t>concentration;</w:t>
      </w:r>
      <w:r w:rsidRPr="0071546E">
        <w:rPr>
          <w:rFonts w:ascii="Arial" w:eastAsiaTheme="minorEastAsia" w:hAnsi="Arial" w:cs="Arial"/>
          <w:sz w:val="24"/>
          <w:szCs w:val="24"/>
          <w:lang w:eastAsia="en-GB"/>
        </w:rPr>
        <w:t xml:space="preserve"> the viability of th</w:t>
      </w:r>
      <w:r w:rsidR="00EC4916" w:rsidRPr="0071546E">
        <w:rPr>
          <w:rFonts w:ascii="Arial" w:eastAsiaTheme="minorEastAsia" w:hAnsi="Arial" w:cs="Arial"/>
          <w:sz w:val="24"/>
          <w:szCs w:val="24"/>
          <w:lang w:eastAsia="en-GB"/>
        </w:rPr>
        <w:t>e cysts was nearly 80% fig (3.20</w:t>
      </w:r>
      <w:r w:rsidRPr="0071546E">
        <w:rPr>
          <w:rFonts w:ascii="Arial" w:eastAsiaTheme="minorEastAsia" w:hAnsi="Arial" w:cs="Arial"/>
          <w:sz w:val="24"/>
          <w:szCs w:val="24"/>
          <w:lang w:eastAsia="en-GB"/>
        </w:rPr>
        <w:t>). Such a high variation in sensitivity can be connected to the mode of action of povidone</w:t>
      </w:r>
      <w:r w:rsidR="00563D9A" w:rsidRPr="0071546E">
        <w:rPr>
          <w:rFonts w:ascii="Arial" w:eastAsiaTheme="minorEastAsia" w:hAnsi="Arial" w:cs="Arial"/>
          <w:sz w:val="24"/>
          <w:szCs w:val="24"/>
          <w:lang w:eastAsia="en-GB"/>
        </w:rPr>
        <w:t>-</w:t>
      </w:r>
      <w:r w:rsidRPr="0071546E">
        <w:rPr>
          <w:rFonts w:ascii="Arial" w:eastAsiaTheme="minorEastAsia" w:hAnsi="Arial" w:cs="Arial"/>
          <w:sz w:val="24"/>
          <w:szCs w:val="24"/>
          <w:lang w:eastAsia="en-GB"/>
        </w:rPr>
        <w:t>iodine. Povidone</w:t>
      </w:r>
      <w:r w:rsidR="00563D9A" w:rsidRPr="0071546E">
        <w:rPr>
          <w:rFonts w:ascii="Arial" w:eastAsiaTheme="minorEastAsia" w:hAnsi="Arial" w:cs="Arial"/>
          <w:sz w:val="24"/>
          <w:szCs w:val="24"/>
          <w:lang w:eastAsia="en-GB"/>
        </w:rPr>
        <w:t>-</w:t>
      </w:r>
      <w:r w:rsidRPr="0071546E">
        <w:rPr>
          <w:rFonts w:ascii="Arial" w:eastAsiaTheme="minorEastAsia" w:hAnsi="Arial" w:cs="Arial"/>
          <w:sz w:val="24"/>
          <w:szCs w:val="24"/>
          <w:lang w:eastAsia="en-GB"/>
        </w:rPr>
        <w:t xml:space="preserve">iodine is an iodophor and has a very fast penetrating capacity to microbial cells. Within minutes of incubation, it permeates the cell releasing iodine, which intercalates the DNA causing cycle arrest and cell death. Unlike the trophozoites, the double cell wall of the cysts means they are selectively permeable and will inhibit permeation of the iodine complex through the cells. In a study by (Padzik et al., 2018) he evaluated the efficacy of povidone-iodine, chlorhexidine digluconate and toyocamycin on </w:t>
      </w:r>
      <w:bookmarkStart w:id="122" w:name="OLE_LINK1"/>
      <w:bookmarkStart w:id="123" w:name="OLE_LINK2"/>
      <w:r w:rsidRPr="0071546E">
        <w:rPr>
          <w:rFonts w:ascii="Arial" w:eastAsiaTheme="minorEastAsia" w:hAnsi="Arial" w:cs="Arial"/>
          <w:sz w:val="24"/>
          <w:szCs w:val="24"/>
          <w:lang w:eastAsia="en-GB"/>
        </w:rPr>
        <w:t>amphizoic amoebic strains.</w:t>
      </w:r>
      <w:bookmarkEnd w:id="122"/>
      <w:bookmarkEnd w:id="123"/>
      <w:r w:rsidRPr="0071546E">
        <w:rPr>
          <w:rFonts w:ascii="Arial" w:eastAsiaTheme="minorEastAsia" w:hAnsi="Arial" w:cs="Arial"/>
          <w:sz w:val="24"/>
          <w:szCs w:val="24"/>
          <w:lang w:eastAsia="en-GB"/>
        </w:rPr>
        <w:t xml:space="preserve"> Although Padzik et al used a much higher concentration of povidone; they concluded that all amoeba strains were highly susceptible to povidone compared to chlorhexidine digluconate and toyocamycin.</w:t>
      </w:r>
    </w:p>
    <w:p w:rsidR="00E17914" w:rsidRPr="0071546E" w:rsidRDefault="00E17914" w:rsidP="00CF13FE">
      <w:pPr>
        <w:spacing w:after="0" w:line="480" w:lineRule="auto"/>
        <w:ind w:left="1021" w:right="454"/>
        <w:jc w:val="both"/>
        <w:rPr>
          <w:rFonts w:ascii="Arial" w:hAnsi="Arial" w:cs="Arial"/>
          <w:noProof/>
          <w:sz w:val="24"/>
          <w:szCs w:val="24"/>
          <w:lang w:eastAsia="en-GB"/>
        </w:rPr>
      </w:pPr>
    </w:p>
    <w:p w:rsidR="00E4070C" w:rsidRPr="0071546E" w:rsidRDefault="003B2528" w:rsidP="00CF13FE">
      <w:pPr>
        <w:spacing w:after="0" w:line="480" w:lineRule="auto"/>
        <w:ind w:left="1021" w:right="454"/>
        <w:jc w:val="both"/>
        <w:rPr>
          <w:rFonts w:ascii="Arial" w:hAnsi="Arial" w:cs="Arial"/>
          <w:noProof/>
          <w:sz w:val="24"/>
          <w:szCs w:val="24"/>
          <w:lang w:eastAsia="en-GB"/>
        </w:rPr>
      </w:pPr>
      <w:r w:rsidRPr="0071546E">
        <w:rPr>
          <w:rFonts w:ascii="Arial" w:hAnsi="Arial" w:cs="Arial"/>
          <w:noProof/>
          <w:sz w:val="24"/>
          <w:szCs w:val="24"/>
          <w:lang w:eastAsia="en-GB"/>
        </w:rPr>
        <w:t xml:space="preserve">Susceptibility of </w:t>
      </w:r>
      <w:r w:rsidR="00432D1D" w:rsidRPr="0071546E">
        <w:rPr>
          <w:rFonts w:ascii="Arial" w:hAnsi="Arial" w:cs="Arial"/>
          <w:i/>
          <w:noProof/>
          <w:sz w:val="24"/>
          <w:szCs w:val="24"/>
          <w:lang w:eastAsia="en-GB"/>
        </w:rPr>
        <w:t>Acanthamoeba</w:t>
      </w:r>
      <w:r w:rsidRPr="0071546E">
        <w:rPr>
          <w:rFonts w:ascii="Arial" w:hAnsi="Arial" w:cs="Arial"/>
          <w:noProof/>
          <w:sz w:val="24"/>
          <w:szCs w:val="24"/>
          <w:lang w:eastAsia="en-GB"/>
        </w:rPr>
        <w:t xml:space="preserve"> cysts and trophozo</w:t>
      </w:r>
      <w:r w:rsidR="00486E52" w:rsidRPr="0071546E">
        <w:rPr>
          <w:rFonts w:ascii="Arial" w:hAnsi="Arial" w:cs="Arial"/>
          <w:noProof/>
          <w:sz w:val="24"/>
          <w:szCs w:val="24"/>
          <w:lang w:eastAsia="en-GB"/>
        </w:rPr>
        <w:t>ites</w:t>
      </w:r>
      <w:r w:rsidRPr="0071546E">
        <w:rPr>
          <w:rFonts w:ascii="Arial" w:hAnsi="Arial" w:cs="Arial"/>
          <w:noProof/>
          <w:sz w:val="24"/>
          <w:szCs w:val="24"/>
          <w:lang w:eastAsia="en-GB"/>
        </w:rPr>
        <w:t xml:space="preserve"> was also noticed after 24</w:t>
      </w:r>
      <w:r w:rsidR="00486E52" w:rsidRPr="0071546E">
        <w:rPr>
          <w:rFonts w:ascii="Arial" w:hAnsi="Arial" w:cs="Arial"/>
          <w:noProof/>
          <w:sz w:val="24"/>
          <w:szCs w:val="24"/>
          <w:lang w:eastAsia="en-GB"/>
        </w:rPr>
        <w:t>-hour incubation with</w:t>
      </w:r>
      <w:r w:rsidR="003A3CAF" w:rsidRPr="0071546E">
        <w:rPr>
          <w:rFonts w:ascii="Arial" w:hAnsi="Arial" w:cs="Arial"/>
          <w:noProof/>
          <w:sz w:val="24"/>
          <w:szCs w:val="24"/>
          <w:lang w:eastAsia="en-GB"/>
        </w:rPr>
        <w:t xml:space="preserve"> </w:t>
      </w:r>
      <w:r w:rsidRPr="0071546E">
        <w:rPr>
          <w:rFonts w:ascii="Arial" w:hAnsi="Arial" w:cs="Arial"/>
          <w:noProof/>
          <w:sz w:val="24"/>
          <w:szCs w:val="24"/>
          <w:lang w:eastAsia="en-GB"/>
        </w:rPr>
        <w:t>concent</w:t>
      </w:r>
      <w:r w:rsidR="00486E52" w:rsidRPr="0071546E">
        <w:rPr>
          <w:rFonts w:ascii="Arial" w:hAnsi="Arial" w:cs="Arial"/>
          <w:noProof/>
          <w:sz w:val="24"/>
          <w:szCs w:val="24"/>
          <w:lang w:eastAsia="en-GB"/>
        </w:rPr>
        <w:t>ration</w:t>
      </w:r>
      <w:r w:rsidR="00EC4916" w:rsidRPr="0071546E">
        <w:rPr>
          <w:rFonts w:ascii="Arial" w:hAnsi="Arial" w:cs="Arial"/>
          <w:noProof/>
          <w:sz w:val="24"/>
          <w:szCs w:val="24"/>
          <w:lang w:eastAsia="en-GB"/>
        </w:rPr>
        <w:t>s of caspofungin fig (3.21</w:t>
      </w:r>
      <w:r w:rsidRPr="0071546E">
        <w:rPr>
          <w:rFonts w:ascii="Arial" w:hAnsi="Arial" w:cs="Arial"/>
          <w:noProof/>
          <w:sz w:val="24"/>
          <w:szCs w:val="24"/>
          <w:lang w:eastAsia="en-GB"/>
        </w:rPr>
        <w:t xml:space="preserve">).  Close to </w:t>
      </w:r>
      <w:r w:rsidR="00486E52" w:rsidRPr="0071546E">
        <w:rPr>
          <w:rFonts w:ascii="Arial" w:hAnsi="Arial" w:cs="Arial"/>
          <w:noProof/>
          <w:sz w:val="24"/>
          <w:szCs w:val="24"/>
          <w:lang w:eastAsia="en-GB"/>
        </w:rPr>
        <w:t xml:space="preserve">a </w:t>
      </w:r>
      <w:r w:rsidRPr="0071546E">
        <w:rPr>
          <w:rFonts w:ascii="Arial" w:hAnsi="Arial" w:cs="Arial"/>
          <w:noProof/>
          <w:sz w:val="24"/>
          <w:szCs w:val="24"/>
          <w:lang w:eastAsia="en-GB"/>
        </w:rPr>
        <w:t>hundred per</w:t>
      </w:r>
      <w:r w:rsidR="00486E52" w:rsidRPr="0071546E">
        <w:rPr>
          <w:rFonts w:ascii="Arial" w:hAnsi="Arial" w:cs="Arial"/>
          <w:noProof/>
          <w:sz w:val="24"/>
          <w:szCs w:val="24"/>
          <w:lang w:eastAsia="en-GB"/>
        </w:rPr>
        <w:t xml:space="preserve"> </w:t>
      </w:r>
      <w:r w:rsidRPr="0071546E">
        <w:rPr>
          <w:rFonts w:ascii="Arial" w:hAnsi="Arial" w:cs="Arial"/>
          <w:noProof/>
          <w:sz w:val="24"/>
          <w:szCs w:val="24"/>
          <w:lang w:eastAsia="en-GB"/>
        </w:rPr>
        <w:t>cent inhibition was seen after incubation with 500 µg/ml. this result agrees with earlier studies that</w:t>
      </w:r>
      <w:r w:rsidR="00E4070C" w:rsidRPr="0071546E">
        <w:rPr>
          <w:rFonts w:ascii="Arial" w:hAnsi="Arial" w:cs="Arial"/>
          <w:noProof/>
          <w:sz w:val="24"/>
          <w:szCs w:val="24"/>
          <w:lang w:eastAsia="en-GB"/>
        </w:rPr>
        <w:t xml:space="preserve"> which reported that 250 and 500 µg/ml concentrations gave a 100 % inhibition of trophozoites and cysts </w:t>
      </w:r>
      <w:r w:rsidR="00E0737E" w:rsidRPr="0071546E">
        <w:rPr>
          <w:rFonts w:ascii="Arial" w:hAnsi="Arial" w:cs="Arial"/>
          <w:noProof/>
          <w:sz w:val="24"/>
          <w:szCs w:val="24"/>
          <w:lang w:eastAsia="en-GB"/>
        </w:rPr>
        <w:t>(Bouyer et al., 2006).</w:t>
      </w:r>
      <w:r w:rsidR="00E4070C" w:rsidRPr="0071546E">
        <w:rPr>
          <w:rFonts w:ascii="Arial" w:hAnsi="Arial" w:cs="Arial"/>
          <w:noProof/>
          <w:sz w:val="24"/>
          <w:szCs w:val="24"/>
          <w:lang w:eastAsia="en-GB"/>
        </w:rPr>
        <w:t xml:space="preserve">  At concentrations lower than 100 µg/ml </w:t>
      </w:r>
      <w:r w:rsidR="00E0737E" w:rsidRPr="0071546E">
        <w:rPr>
          <w:rFonts w:ascii="Arial" w:hAnsi="Arial" w:cs="Arial"/>
          <w:noProof/>
          <w:sz w:val="24"/>
          <w:szCs w:val="24"/>
          <w:lang w:eastAsia="en-GB"/>
        </w:rPr>
        <w:t>the trophozoites and cysts were more than 80 % viable.</w:t>
      </w:r>
    </w:p>
    <w:p w:rsidR="005A11C8" w:rsidRPr="0071546E" w:rsidRDefault="005A11C8" w:rsidP="00CF13FE">
      <w:pPr>
        <w:spacing w:after="0" w:line="480" w:lineRule="auto"/>
        <w:ind w:left="1021" w:right="454"/>
        <w:jc w:val="both"/>
        <w:rPr>
          <w:rFonts w:ascii="Arial" w:hAnsi="Arial" w:cs="Arial"/>
          <w:noProof/>
          <w:sz w:val="24"/>
          <w:szCs w:val="24"/>
          <w:lang w:eastAsia="en-GB"/>
        </w:rPr>
      </w:pPr>
    </w:p>
    <w:p w:rsidR="006E7815" w:rsidRPr="0071546E" w:rsidRDefault="006E7815" w:rsidP="00CF13FE">
      <w:pPr>
        <w:spacing w:after="0" w:line="480" w:lineRule="auto"/>
        <w:ind w:left="1021" w:right="454"/>
        <w:jc w:val="both"/>
        <w:rPr>
          <w:rFonts w:ascii="Arial" w:hAnsi="Arial" w:cs="Arial"/>
          <w:noProof/>
          <w:sz w:val="24"/>
          <w:szCs w:val="24"/>
          <w:lang w:eastAsia="en-GB"/>
        </w:rPr>
      </w:pPr>
    </w:p>
    <w:p w:rsidR="006E7815" w:rsidRPr="0071546E" w:rsidRDefault="006E7815" w:rsidP="00CF13FE">
      <w:pPr>
        <w:spacing w:after="0" w:line="480" w:lineRule="auto"/>
        <w:ind w:left="1021" w:right="454"/>
        <w:jc w:val="both"/>
        <w:rPr>
          <w:rFonts w:ascii="Arial" w:hAnsi="Arial" w:cs="Arial"/>
          <w:noProof/>
          <w:sz w:val="24"/>
          <w:szCs w:val="24"/>
          <w:lang w:eastAsia="en-GB"/>
        </w:rPr>
      </w:pPr>
    </w:p>
    <w:p w:rsidR="006E7815" w:rsidRPr="0071546E" w:rsidRDefault="006E7815" w:rsidP="00CF13FE">
      <w:pPr>
        <w:spacing w:after="0" w:line="480" w:lineRule="auto"/>
        <w:ind w:left="1021" w:right="454"/>
        <w:jc w:val="both"/>
        <w:rPr>
          <w:rFonts w:ascii="Arial" w:hAnsi="Arial" w:cs="Arial"/>
          <w:noProof/>
          <w:sz w:val="24"/>
          <w:szCs w:val="24"/>
          <w:lang w:eastAsia="en-GB"/>
        </w:rPr>
      </w:pPr>
    </w:p>
    <w:p w:rsidR="00642631" w:rsidRPr="0071546E" w:rsidRDefault="00642631" w:rsidP="00CF13FE">
      <w:pPr>
        <w:spacing w:after="0" w:line="480" w:lineRule="auto"/>
        <w:ind w:left="1021" w:right="454"/>
        <w:jc w:val="both"/>
        <w:rPr>
          <w:rFonts w:ascii="Arial" w:hAnsi="Arial" w:cs="Arial"/>
          <w:noProof/>
          <w:sz w:val="24"/>
          <w:szCs w:val="24"/>
          <w:lang w:eastAsia="en-GB"/>
        </w:rPr>
      </w:pPr>
    </w:p>
    <w:p w:rsidR="00642631" w:rsidRPr="0071546E" w:rsidRDefault="00642631" w:rsidP="00CF13FE">
      <w:pPr>
        <w:spacing w:after="0" w:line="480" w:lineRule="auto"/>
        <w:ind w:left="1021" w:right="454"/>
        <w:jc w:val="both"/>
        <w:rPr>
          <w:rFonts w:ascii="Arial" w:hAnsi="Arial" w:cs="Arial"/>
          <w:noProof/>
          <w:sz w:val="24"/>
          <w:szCs w:val="24"/>
          <w:lang w:eastAsia="en-GB"/>
        </w:rPr>
      </w:pPr>
    </w:p>
    <w:p w:rsidR="002F1AB5" w:rsidRPr="0071546E" w:rsidRDefault="00532C01" w:rsidP="006F4D72">
      <w:pPr>
        <w:spacing w:after="0" w:line="240" w:lineRule="auto"/>
        <w:ind w:left="1021" w:right="454"/>
        <w:jc w:val="both"/>
        <w:rPr>
          <w:rFonts w:ascii="Arial" w:hAnsi="Arial" w:cs="Arial"/>
          <w:noProof/>
          <w:sz w:val="24"/>
          <w:szCs w:val="24"/>
          <w:lang w:eastAsia="en-GB"/>
        </w:rPr>
      </w:pPr>
      <w:r w:rsidRPr="0071546E">
        <w:rPr>
          <w:rFonts w:ascii="Arial" w:hAnsi="Arial" w:cs="Arial"/>
          <w:noProof/>
          <w:sz w:val="24"/>
          <w:szCs w:val="24"/>
          <w:lang w:eastAsia="en-GB"/>
        </w:rPr>
        <w:drawing>
          <wp:inline distT="0" distB="0" distL="0" distR="0" wp14:anchorId="04CA6CB5">
            <wp:extent cx="4817490" cy="3222171"/>
            <wp:effectExtent l="0" t="0" r="254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43680" cy="3239688"/>
                    </a:xfrm>
                    <a:prstGeom prst="rect">
                      <a:avLst/>
                    </a:prstGeom>
                    <a:noFill/>
                  </pic:spPr>
                </pic:pic>
              </a:graphicData>
            </a:graphic>
          </wp:inline>
        </w:drawing>
      </w:r>
    </w:p>
    <w:p w:rsidR="002F1AB5" w:rsidRPr="0071546E" w:rsidRDefault="002F1AB5" w:rsidP="006F4D72">
      <w:pPr>
        <w:spacing w:after="0" w:line="240" w:lineRule="auto"/>
        <w:jc w:val="both"/>
        <w:rPr>
          <w:rFonts w:ascii="Times New Roman" w:eastAsia="Times New Roman" w:hAnsi="Times New Roman" w:cs="Times New Roman"/>
          <w:b/>
          <w:sz w:val="24"/>
          <w:szCs w:val="24"/>
          <w:lang w:eastAsia="en-GB"/>
        </w:rPr>
      </w:pPr>
      <w:r w:rsidRPr="0071546E">
        <w:rPr>
          <w:rFonts w:ascii="Times New Roman" w:eastAsia="Times New Roman" w:hAnsi="Times New Roman" w:cs="Times New Roman"/>
          <w:b/>
          <w:sz w:val="24"/>
          <w:szCs w:val="24"/>
          <w:lang w:eastAsia="en-GB"/>
        </w:rPr>
        <w:t xml:space="preserve"> </w:t>
      </w:r>
    </w:p>
    <w:p w:rsidR="007C4367" w:rsidRPr="0071546E" w:rsidRDefault="00E06426" w:rsidP="006F4D72">
      <w:pPr>
        <w:spacing w:after="0" w:line="240" w:lineRule="auto"/>
        <w:ind w:left="1021" w:right="454"/>
        <w:jc w:val="both"/>
        <w:rPr>
          <w:rFonts w:ascii="Arial" w:eastAsia="Times New Roman" w:hAnsi="Arial" w:cs="Arial"/>
          <w:sz w:val="20"/>
          <w:szCs w:val="20"/>
          <w:lang w:eastAsia="en-GB"/>
        </w:rPr>
      </w:pPr>
      <w:r w:rsidRPr="0071546E">
        <w:rPr>
          <w:rFonts w:ascii="Arial" w:eastAsia="Times New Roman" w:hAnsi="Arial" w:cs="Arial"/>
          <w:sz w:val="20"/>
          <w:szCs w:val="20"/>
          <w:lang w:eastAsia="en-GB"/>
        </w:rPr>
        <w:t>Table. 4.0 The</w:t>
      </w:r>
      <w:r w:rsidR="00CA543B" w:rsidRPr="0071546E">
        <w:rPr>
          <w:rFonts w:ascii="Arial" w:eastAsia="Times New Roman" w:hAnsi="Arial" w:cs="Arial"/>
          <w:sz w:val="20"/>
          <w:szCs w:val="20"/>
          <w:lang w:eastAsia="en-GB"/>
        </w:rPr>
        <w:t xml:space="preserve"> r</w:t>
      </w:r>
      <w:r w:rsidR="002F1AB5" w:rsidRPr="0071546E">
        <w:rPr>
          <w:rFonts w:ascii="Arial" w:eastAsia="Times New Roman" w:hAnsi="Arial" w:cs="Arial"/>
          <w:sz w:val="20"/>
          <w:szCs w:val="20"/>
          <w:lang w:eastAsia="en-GB"/>
        </w:rPr>
        <w:t xml:space="preserve">esponse of </w:t>
      </w:r>
      <w:r w:rsidR="002F1AB5" w:rsidRPr="0071546E">
        <w:rPr>
          <w:rFonts w:ascii="Arial" w:eastAsia="Times New Roman" w:hAnsi="Arial" w:cs="Arial"/>
          <w:i/>
          <w:sz w:val="20"/>
          <w:szCs w:val="20"/>
          <w:lang w:eastAsia="en-GB"/>
        </w:rPr>
        <w:t>Acanthamoeba</w:t>
      </w:r>
      <w:r w:rsidR="002F1AB5" w:rsidRPr="0071546E">
        <w:rPr>
          <w:rFonts w:ascii="Arial" w:eastAsia="Times New Roman" w:hAnsi="Arial" w:cs="Arial"/>
          <w:sz w:val="20"/>
          <w:szCs w:val="20"/>
          <w:lang w:eastAsia="en-GB"/>
        </w:rPr>
        <w:t xml:space="preserve"> cysts and trophozoites to drugs/ antimicrobial disinfectants showing IC</w:t>
      </w:r>
      <w:r w:rsidR="002F1AB5" w:rsidRPr="0071546E">
        <w:rPr>
          <w:rFonts w:ascii="Arial" w:eastAsia="Times New Roman" w:hAnsi="Arial" w:cs="Arial"/>
          <w:sz w:val="20"/>
          <w:szCs w:val="20"/>
          <w:vertAlign w:val="subscript"/>
          <w:lang w:eastAsia="en-GB"/>
        </w:rPr>
        <w:t>50</w:t>
      </w:r>
      <w:r w:rsidR="002F1AB5" w:rsidRPr="0071546E">
        <w:rPr>
          <w:rFonts w:ascii="Arial" w:eastAsia="Times New Roman" w:hAnsi="Arial" w:cs="Arial"/>
          <w:sz w:val="20"/>
          <w:szCs w:val="20"/>
          <w:lang w:eastAsia="en-GB"/>
        </w:rPr>
        <w:t xml:space="preserve"> and MICs. Data from the methodology from </w:t>
      </w:r>
      <w:r w:rsidR="00486E52" w:rsidRPr="0071546E">
        <w:rPr>
          <w:rFonts w:ascii="Arial" w:eastAsia="Times New Roman" w:hAnsi="Arial" w:cs="Arial"/>
          <w:sz w:val="20"/>
          <w:szCs w:val="20"/>
          <w:lang w:eastAsia="en-GB"/>
        </w:rPr>
        <w:t xml:space="preserve">the </w:t>
      </w:r>
      <w:r w:rsidR="002F1AB5" w:rsidRPr="0071546E">
        <w:rPr>
          <w:rFonts w:ascii="Arial" w:eastAsia="Times New Roman" w:hAnsi="Arial" w:cs="Arial"/>
          <w:sz w:val="20"/>
          <w:szCs w:val="20"/>
          <w:lang w:eastAsia="en-GB"/>
        </w:rPr>
        <w:t xml:space="preserve">present study is comparable to other studies, which used other susceptibility assay methods. Results from some studies have the abbreviation (nd) means “no data”. ATP assay method shows information for MIC for </w:t>
      </w:r>
      <w:r w:rsidR="002F1AB5" w:rsidRPr="0071546E">
        <w:rPr>
          <w:rFonts w:ascii="Arial" w:eastAsia="Times New Roman" w:hAnsi="Arial" w:cs="Arial"/>
          <w:i/>
          <w:sz w:val="20"/>
          <w:szCs w:val="20"/>
          <w:lang w:eastAsia="en-GB"/>
        </w:rPr>
        <w:t>Acanthamoeba</w:t>
      </w:r>
      <w:r w:rsidR="002F1AB5" w:rsidRPr="0071546E">
        <w:rPr>
          <w:rFonts w:ascii="Arial" w:eastAsia="Times New Roman" w:hAnsi="Arial" w:cs="Arial"/>
          <w:sz w:val="20"/>
          <w:szCs w:val="20"/>
          <w:lang w:eastAsia="en-GB"/>
        </w:rPr>
        <w:t xml:space="preserve"> trophozoites for amphotericin B and miltefosine; reviewed studies have no information on this as at the time of data presentation. </w:t>
      </w:r>
    </w:p>
    <w:p w:rsidR="005A11C8" w:rsidRPr="0071546E" w:rsidRDefault="005A11C8" w:rsidP="006F4D72">
      <w:pPr>
        <w:spacing w:after="0" w:line="240" w:lineRule="auto"/>
        <w:ind w:left="1021" w:right="454"/>
        <w:jc w:val="both"/>
        <w:rPr>
          <w:rFonts w:ascii="Arial" w:eastAsia="Times New Roman" w:hAnsi="Arial" w:cs="Arial"/>
          <w:sz w:val="20"/>
          <w:szCs w:val="20"/>
          <w:lang w:eastAsia="en-GB"/>
        </w:rPr>
      </w:pPr>
    </w:p>
    <w:p w:rsidR="005A11C8" w:rsidRPr="0071546E" w:rsidRDefault="005A11C8" w:rsidP="00CF13FE">
      <w:pPr>
        <w:spacing w:after="0" w:line="240" w:lineRule="auto"/>
        <w:ind w:left="1021" w:right="454"/>
        <w:jc w:val="both"/>
        <w:rPr>
          <w:rFonts w:ascii="Arial" w:eastAsia="Times New Roman" w:hAnsi="Arial" w:cs="Arial"/>
          <w:sz w:val="20"/>
          <w:szCs w:val="20"/>
          <w:lang w:eastAsia="en-GB"/>
        </w:rPr>
      </w:pPr>
    </w:p>
    <w:p w:rsidR="005A11C8" w:rsidRPr="0071546E" w:rsidRDefault="005A11C8" w:rsidP="00CF13FE">
      <w:pPr>
        <w:spacing w:after="0" w:line="240" w:lineRule="auto"/>
        <w:ind w:left="1021" w:right="454"/>
        <w:jc w:val="both"/>
        <w:rPr>
          <w:rFonts w:ascii="Arial" w:eastAsia="Times New Roman" w:hAnsi="Arial" w:cs="Arial"/>
          <w:sz w:val="20"/>
          <w:szCs w:val="20"/>
          <w:lang w:eastAsia="en-GB"/>
        </w:rPr>
      </w:pPr>
    </w:p>
    <w:p w:rsidR="005A11C8" w:rsidRPr="0071546E" w:rsidRDefault="005A11C8" w:rsidP="00CF13FE">
      <w:pPr>
        <w:spacing w:after="0" w:line="240" w:lineRule="auto"/>
        <w:ind w:left="1021" w:right="454"/>
        <w:jc w:val="both"/>
        <w:rPr>
          <w:rFonts w:ascii="Arial" w:eastAsia="Times New Roman" w:hAnsi="Arial" w:cs="Arial"/>
          <w:sz w:val="20"/>
          <w:szCs w:val="20"/>
          <w:lang w:eastAsia="en-GB"/>
        </w:rPr>
      </w:pPr>
    </w:p>
    <w:p w:rsidR="005A11C8" w:rsidRPr="0071546E" w:rsidRDefault="005A11C8" w:rsidP="00CF13FE">
      <w:pPr>
        <w:spacing w:after="0" w:line="240" w:lineRule="auto"/>
        <w:ind w:left="1021" w:right="454"/>
        <w:jc w:val="both"/>
        <w:rPr>
          <w:rFonts w:ascii="Arial" w:eastAsia="Times New Roman" w:hAnsi="Arial" w:cs="Arial"/>
          <w:sz w:val="20"/>
          <w:szCs w:val="20"/>
          <w:lang w:eastAsia="en-GB"/>
        </w:rPr>
      </w:pPr>
    </w:p>
    <w:p w:rsidR="005A11C8" w:rsidRPr="0071546E" w:rsidRDefault="005A11C8" w:rsidP="00CF13FE">
      <w:pPr>
        <w:spacing w:after="0" w:line="240" w:lineRule="auto"/>
        <w:ind w:left="1021" w:right="454"/>
        <w:jc w:val="both"/>
        <w:rPr>
          <w:rFonts w:ascii="Arial" w:eastAsia="Times New Roman" w:hAnsi="Arial" w:cs="Arial"/>
          <w:sz w:val="20"/>
          <w:szCs w:val="20"/>
          <w:lang w:eastAsia="en-GB"/>
        </w:rPr>
      </w:pPr>
    </w:p>
    <w:p w:rsidR="005A11C8" w:rsidRPr="0071546E" w:rsidRDefault="005A11C8" w:rsidP="00CF13FE">
      <w:pPr>
        <w:spacing w:after="0" w:line="240" w:lineRule="auto"/>
        <w:ind w:left="1021" w:right="454"/>
        <w:jc w:val="both"/>
        <w:rPr>
          <w:rFonts w:ascii="Arial" w:eastAsia="Times New Roman" w:hAnsi="Arial" w:cs="Arial"/>
          <w:sz w:val="20"/>
          <w:szCs w:val="20"/>
          <w:lang w:eastAsia="en-GB"/>
        </w:rPr>
      </w:pPr>
    </w:p>
    <w:p w:rsidR="005A11C8" w:rsidRPr="0071546E" w:rsidRDefault="005A11C8" w:rsidP="00CF13FE">
      <w:pPr>
        <w:spacing w:after="0" w:line="240" w:lineRule="auto"/>
        <w:ind w:left="1021" w:right="454"/>
        <w:jc w:val="both"/>
        <w:rPr>
          <w:rFonts w:ascii="Arial" w:eastAsia="Times New Roman" w:hAnsi="Arial" w:cs="Arial"/>
          <w:sz w:val="20"/>
          <w:szCs w:val="20"/>
          <w:lang w:eastAsia="en-GB"/>
        </w:rPr>
      </w:pPr>
    </w:p>
    <w:p w:rsidR="005A11C8" w:rsidRPr="0071546E" w:rsidRDefault="005A11C8" w:rsidP="00CF13FE">
      <w:pPr>
        <w:spacing w:after="0" w:line="240" w:lineRule="auto"/>
        <w:ind w:left="1021" w:right="454"/>
        <w:jc w:val="both"/>
        <w:rPr>
          <w:rFonts w:ascii="Arial" w:eastAsia="Times New Roman" w:hAnsi="Arial" w:cs="Arial"/>
          <w:sz w:val="20"/>
          <w:szCs w:val="20"/>
          <w:lang w:eastAsia="en-GB"/>
        </w:rPr>
      </w:pPr>
    </w:p>
    <w:p w:rsidR="005A11C8" w:rsidRPr="0071546E" w:rsidRDefault="005A11C8" w:rsidP="00CF13FE">
      <w:pPr>
        <w:spacing w:after="0" w:line="240" w:lineRule="auto"/>
        <w:ind w:left="1021" w:right="454"/>
        <w:jc w:val="both"/>
        <w:rPr>
          <w:rFonts w:ascii="Arial" w:eastAsia="Times New Roman" w:hAnsi="Arial" w:cs="Arial"/>
          <w:sz w:val="20"/>
          <w:szCs w:val="20"/>
          <w:lang w:eastAsia="en-GB"/>
        </w:rPr>
      </w:pPr>
    </w:p>
    <w:p w:rsidR="005A11C8" w:rsidRPr="0071546E" w:rsidRDefault="005A11C8" w:rsidP="00CF13FE">
      <w:pPr>
        <w:spacing w:after="0" w:line="240" w:lineRule="auto"/>
        <w:ind w:left="1021" w:right="454"/>
        <w:jc w:val="both"/>
        <w:rPr>
          <w:rFonts w:ascii="Arial" w:eastAsia="Times New Roman" w:hAnsi="Arial" w:cs="Arial"/>
          <w:sz w:val="20"/>
          <w:szCs w:val="20"/>
          <w:lang w:eastAsia="en-GB"/>
        </w:rPr>
      </w:pPr>
    </w:p>
    <w:p w:rsidR="005A11C8" w:rsidRPr="0071546E" w:rsidRDefault="005A11C8" w:rsidP="00CF13FE">
      <w:pPr>
        <w:spacing w:after="0" w:line="240" w:lineRule="auto"/>
        <w:ind w:left="1021" w:right="454"/>
        <w:jc w:val="both"/>
        <w:rPr>
          <w:rFonts w:ascii="Arial" w:eastAsia="Times New Roman" w:hAnsi="Arial" w:cs="Arial"/>
          <w:sz w:val="20"/>
          <w:szCs w:val="20"/>
          <w:lang w:eastAsia="en-GB"/>
        </w:rPr>
      </w:pPr>
    </w:p>
    <w:p w:rsidR="00642631" w:rsidRPr="0071546E" w:rsidRDefault="00642631" w:rsidP="00CF13FE">
      <w:pPr>
        <w:spacing w:after="0" w:line="240" w:lineRule="auto"/>
        <w:ind w:left="1021" w:right="454"/>
        <w:jc w:val="both"/>
        <w:rPr>
          <w:rFonts w:ascii="Arial" w:eastAsia="Times New Roman" w:hAnsi="Arial" w:cs="Arial"/>
          <w:sz w:val="20"/>
          <w:szCs w:val="20"/>
          <w:lang w:eastAsia="en-GB"/>
        </w:rPr>
      </w:pPr>
    </w:p>
    <w:p w:rsidR="00642631" w:rsidRPr="0071546E" w:rsidRDefault="00642631" w:rsidP="00CF13FE">
      <w:pPr>
        <w:spacing w:after="0" w:line="240" w:lineRule="auto"/>
        <w:ind w:left="1021" w:right="454"/>
        <w:jc w:val="both"/>
        <w:rPr>
          <w:rFonts w:ascii="Arial" w:eastAsia="Times New Roman" w:hAnsi="Arial" w:cs="Arial"/>
          <w:sz w:val="20"/>
          <w:szCs w:val="20"/>
          <w:lang w:eastAsia="en-GB"/>
        </w:rPr>
      </w:pPr>
    </w:p>
    <w:p w:rsidR="005A11C8" w:rsidRPr="0071546E" w:rsidRDefault="005A11C8" w:rsidP="00CF13FE">
      <w:pPr>
        <w:spacing w:after="0" w:line="240" w:lineRule="auto"/>
        <w:ind w:left="1021" w:right="454"/>
        <w:jc w:val="both"/>
        <w:rPr>
          <w:rFonts w:ascii="Arial" w:eastAsia="Times New Roman" w:hAnsi="Arial" w:cs="Arial"/>
          <w:sz w:val="20"/>
          <w:szCs w:val="20"/>
          <w:lang w:eastAsia="en-GB"/>
        </w:rPr>
      </w:pPr>
    </w:p>
    <w:p w:rsidR="005A11C8" w:rsidRPr="0071546E" w:rsidRDefault="005A11C8" w:rsidP="00CF13FE">
      <w:pPr>
        <w:spacing w:after="0" w:line="240" w:lineRule="auto"/>
        <w:ind w:left="1021" w:right="454"/>
        <w:jc w:val="both"/>
        <w:rPr>
          <w:rFonts w:ascii="Arial" w:eastAsia="Times New Roman" w:hAnsi="Arial" w:cs="Arial"/>
          <w:sz w:val="20"/>
          <w:szCs w:val="20"/>
          <w:lang w:eastAsia="en-GB"/>
        </w:rPr>
      </w:pPr>
    </w:p>
    <w:p w:rsidR="00D43DAE" w:rsidRPr="0071546E" w:rsidRDefault="00D43DAE" w:rsidP="00CF13FE">
      <w:pPr>
        <w:spacing w:after="0" w:line="240" w:lineRule="auto"/>
        <w:ind w:left="1021" w:right="454"/>
        <w:jc w:val="both"/>
        <w:rPr>
          <w:rFonts w:ascii="Arial" w:eastAsia="Times New Roman" w:hAnsi="Arial" w:cs="Arial"/>
          <w:sz w:val="20"/>
          <w:szCs w:val="20"/>
          <w:lang w:eastAsia="en-GB"/>
        </w:rPr>
      </w:pPr>
    </w:p>
    <w:p w:rsidR="00D43DAE" w:rsidRPr="0071546E" w:rsidRDefault="00D43DAE" w:rsidP="00CF13FE">
      <w:pPr>
        <w:spacing w:after="0" w:line="240" w:lineRule="auto"/>
        <w:ind w:left="1021" w:right="454"/>
        <w:jc w:val="both"/>
        <w:rPr>
          <w:rFonts w:ascii="Arial" w:eastAsia="Times New Roman" w:hAnsi="Arial" w:cs="Arial"/>
          <w:sz w:val="20"/>
          <w:szCs w:val="20"/>
          <w:lang w:eastAsia="en-GB"/>
        </w:rPr>
      </w:pPr>
    </w:p>
    <w:p w:rsidR="00D43DAE" w:rsidRPr="0071546E" w:rsidRDefault="00D43DAE" w:rsidP="00CF13FE">
      <w:pPr>
        <w:spacing w:after="0" w:line="240" w:lineRule="auto"/>
        <w:ind w:left="1021" w:right="454"/>
        <w:jc w:val="both"/>
        <w:rPr>
          <w:rFonts w:ascii="Arial" w:eastAsia="Times New Roman" w:hAnsi="Arial" w:cs="Arial"/>
          <w:sz w:val="20"/>
          <w:szCs w:val="20"/>
          <w:lang w:eastAsia="en-GB"/>
        </w:rPr>
      </w:pPr>
    </w:p>
    <w:p w:rsidR="00D43DAE" w:rsidRPr="0071546E" w:rsidRDefault="00D43DAE" w:rsidP="00CF13FE">
      <w:pPr>
        <w:spacing w:after="0" w:line="240" w:lineRule="auto"/>
        <w:ind w:left="1021" w:right="454"/>
        <w:jc w:val="both"/>
        <w:rPr>
          <w:rFonts w:ascii="Arial" w:eastAsia="Times New Roman" w:hAnsi="Arial" w:cs="Arial"/>
          <w:sz w:val="20"/>
          <w:szCs w:val="20"/>
          <w:lang w:eastAsia="en-GB"/>
        </w:rPr>
      </w:pPr>
    </w:p>
    <w:p w:rsidR="00642631" w:rsidRPr="0071546E" w:rsidRDefault="00642631" w:rsidP="00CF13FE">
      <w:pPr>
        <w:spacing w:after="0" w:line="240" w:lineRule="auto"/>
        <w:ind w:left="1021" w:right="454"/>
        <w:jc w:val="both"/>
        <w:rPr>
          <w:rFonts w:ascii="Arial" w:eastAsia="Times New Roman" w:hAnsi="Arial" w:cs="Arial"/>
          <w:sz w:val="20"/>
          <w:szCs w:val="20"/>
          <w:lang w:eastAsia="en-GB"/>
        </w:rPr>
      </w:pPr>
    </w:p>
    <w:p w:rsidR="00D43DAE" w:rsidRPr="0071546E" w:rsidRDefault="00D43DAE" w:rsidP="00CF13FE">
      <w:pPr>
        <w:spacing w:after="0" w:line="240" w:lineRule="auto"/>
        <w:ind w:left="1021" w:right="454"/>
        <w:jc w:val="both"/>
        <w:rPr>
          <w:rFonts w:ascii="Arial" w:eastAsia="Times New Roman" w:hAnsi="Arial" w:cs="Arial"/>
          <w:sz w:val="20"/>
          <w:szCs w:val="20"/>
          <w:lang w:eastAsia="en-GB"/>
        </w:rPr>
      </w:pPr>
    </w:p>
    <w:p w:rsidR="00D43DAE" w:rsidRPr="0071546E" w:rsidRDefault="00D43DAE" w:rsidP="00CF13FE">
      <w:pPr>
        <w:spacing w:after="0" w:line="240" w:lineRule="auto"/>
        <w:ind w:left="1021" w:right="454"/>
        <w:jc w:val="both"/>
        <w:rPr>
          <w:rFonts w:ascii="Arial" w:eastAsia="Times New Roman" w:hAnsi="Arial" w:cs="Arial"/>
          <w:sz w:val="20"/>
          <w:szCs w:val="20"/>
          <w:lang w:eastAsia="en-GB"/>
        </w:rPr>
      </w:pPr>
    </w:p>
    <w:p w:rsidR="005A11C8" w:rsidRPr="0071546E" w:rsidRDefault="005A11C8" w:rsidP="006F4D72">
      <w:pPr>
        <w:spacing w:after="0" w:line="240" w:lineRule="auto"/>
        <w:ind w:right="454"/>
        <w:jc w:val="both"/>
        <w:rPr>
          <w:rFonts w:ascii="Arial" w:eastAsia="Times New Roman" w:hAnsi="Arial" w:cs="Arial"/>
          <w:sz w:val="20"/>
          <w:szCs w:val="20"/>
          <w:lang w:eastAsia="en-GB"/>
        </w:rPr>
      </w:pPr>
    </w:p>
    <w:p w:rsidR="005A11C8" w:rsidRPr="0071546E" w:rsidRDefault="005A11C8" w:rsidP="003333B5">
      <w:pPr>
        <w:spacing w:after="0" w:line="240" w:lineRule="auto"/>
        <w:ind w:right="454"/>
        <w:jc w:val="both"/>
        <w:rPr>
          <w:rFonts w:ascii="Arial" w:eastAsia="Times New Roman" w:hAnsi="Arial" w:cs="Arial"/>
          <w:sz w:val="20"/>
          <w:szCs w:val="20"/>
          <w:lang w:eastAsia="en-GB"/>
        </w:rPr>
      </w:pPr>
    </w:p>
    <w:p w:rsidR="00EA16FC" w:rsidRPr="0071546E" w:rsidRDefault="00EA16FC" w:rsidP="00CF13FE">
      <w:pPr>
        <w:pStyle w:val="Heading2"/>
        <w:ind w:left="1021" w:right="454"/>
        <w:rPr>
          <w:noProof/>
        </w:rPr>
      </w:pPr>
      <w:bookmarkStart w:id="124" w:name="_Toc14711492"/>
      <w:r w:rsidRPr="0071546E">
        <w:rPr>
          <w:noProof/>
        </w:rPr>
        <w:t xml:space="preserve">4.4 </w:t>
      </w:r>
      <w:r w:rsidRPr="0071546E">
        <w:rPr>
          <w:i/>
          <w:noProof/>
        </w:rPr>
        <w:t>Acanthamoeba</w:t>
      </w:r>
      <w:r w:rsidRPr="0071546E">
        <w:rPr>
          <w:noProof/>
        </w:rPr>
        <w:t xml:space="preserve"> photodynamic therapy Photodynamic therapy</w:t>
      </w:r>
      <w:bookmarkEnd w:id="124"/>
    </w:p>
    <w:p w:rsidR="00EA16FC" w:rsidRPr="0071546E" w:rsidRDefault="00EA16FC" w:rsidP="00CF13FE">
      <w:pPr>
        <w:pStyle w:val="Heading2"/>
        <w:ind w:left="1021" w:right="454"/>
      </w:pPr>
      <w:bookmarkStart w:id="125" w:name="_Toc14711493"/>
      <w:r w:rsidRPr="0071546E">
        <w:t>4.1.1 Toluidine blue photodynamic therapy</w:t>
      </w:r>
      <w:bookmarkEnd w:id="125"/>
    </w:p>
    <w:p w:rsidR="003333B5" w:rsidRPr="0071546E" w:rsidRDefault="00EA16FC" w:rsidP="00CF13FE">
      <w:pPr>
        <w:spacing w:line="480" w:lineRule="auto"/>
        <w:ind w:left="1021" w:right="454"/>
        <w:jc w:val="both"/>
        <w:rPr>
          <w:rFonts w:ascii="Arial" w:hAnsi="Arial" w:cs="Arial"/>
          <w:noProof/>
          <w:sz w:val="24"/>
          <w:szCs w:val="24"/>
          <w:lang w:eastAsia="en-GB"/>
        </w:rPr>
      </w:pPr>
      <w:r w:rsidRPr="0071546E">
        <w:rPr>
          <w:rFonts w:ascii="Arial" w:hAnsi="Arial" w:cs="Arial"/>
          <w:noProof/>
          <w:sz w:val="24"/>
          <w:szCs w:val="24"/>
          <w:lang w:eastAsia="en-GB"/>
        </w:rPr>
        <w:t xml:space="preserve">The use of photoactive compounds in combination with </w:t>
      </w:r>
      <w:r w:rsidR="00486E52" w:rsidRPr="0071546E">
        <w:rPr>
          <w:rFonts w:ascii="Arial" w:hAnsi="Arial" w:cs="Arial"/>
          <w:noProof/>
          <w:sz w:val="24"/>
          <w:szCs w:val="24"/>
          <w:lang w:eastAsia="en-GB"/>
        </w:rPr>
        <w:t xml:space="preserve">the </w:t>
      </w:r>
      <w:r w:rsidRPr="0071546E">
        <w:rPr>
          <w:rFonts w:ascii="Arial" w:hAnsi="Arial" w:cs="Arial"/>
          <w:noProof/>
          <w:sz w:val="24"/>
          <w:szCs w:val="24"/>
          <w:lang w:eastAsia="en-GB"/>
        </w:rPr>
        <w:t>light of specific waveleng</w:t>
      </w:r>
      <w:r w:rsidR="00486E52" w:rsidRPr="0071546E">
        <w:rPr>
          <w:rFonts w:ascii="Arial" w:hAnsi="Arial" w:cs="Arial"/>
          <w:noProof/>
          <w:sz w:val="24"/>
          <w:szCs w:val="24"/>
          <w:lang w:eastAsia="en-GB"/>
        </w:rPr>
        <w:t>th</w:t>
      </w:r>
      <w:r w:rsidRPr="0071546E">
        <w:rPr>
          <w:rFonts w:ascii="Arial" w:hAnsi="Arial" w:cs="Arial"/>
          <w:noProof/>
          <w:sz w:val="24"/>
          <w:szCs w:val="24"/>
          <w:lang w:eastAsia="en-GB"/>
        </w:rPr>
        <w:t xml:space="preserve"> has been suggested as a promising therapeutic modality for Acanthamoeba kera</w:t>
      </w:r>
      <w:r w:rsidR="00486E52" w:rsidRPr="0071546E">
        <w:rPr>
          <w:rFonts w:ascii="Arial" w:hAnsi="Arial" w:cs="Arial"/>
          <w:noProof/>
          <w:sz w:val="24"/>
          <w:szCs w:val="24"/>
          <w:lang w:eastAsia="en-GB"/>
        </w:rPr>
        <w:t>ti</w:t>
      </w:r>
      <w:r w:rsidRPr="0071546E">
        <w:rPr>
          <w:rFonts w:ascii="Arial" w:hAnsi="Arial" w:cs="Arial"/>
          <w:noProof/>
          <w:sz w:val="24"/>
          <w:szCs w:val="24"/>
          <w:lang w:eastAsia="en-GB"/>
        </w:rPr>
        <w:t>tis (Anwar et al., 2017). While most studies have concentrated on the efficacy of photodynamic therapy for the treatment of cancer, there ha</w:t>
      </w:r>
      <w:r w:rsidR="00486E52" w:rsidRPr="0071546E">
        <w:rPr>
          <w:rFonts w:ascii="Arial" w:hAnsi="Arial" w:cs="Arial"/>
          <w:noProof/>
          <w:sz w:val="24"/>
          <w:szCs w:val="24"/>
          <w:lang w:eastAsia="en-GB"/>
        </w:rPr>
        <w:t>s</w:t>
      </w:r>
      <w:r w:rsidRPr="0071546E">
        <w:rPr>
          <w:rFonts w:ascii="Arial" w:hAnsi="Arial" w:cs="Arial"/>
          <w:noProof/>
          <w:sz w:val="24"/>
          <w:szCs w:val="24"/>
          <w:lang w:eastAsia="en-GB"/>
        </w:rPr>
        <w:t xml:space="preserve"> been </w:t>
      </w:r>
      <w:r w:rsidR="00486E52" w:rsidRPr="0071546E">
        <w:rPr>
          <w:rFonts w:ascii="Arial" w:hAnsi="Arial" w:cs="Arial"/>
          <w:noProof/>
          <w:sz w:val="24"/>
          <w:szCs w:val="24"/>
          <w:lang w:eastAsia="en-GB"/>
        </w:rPr>
        <w:t xml:space="preserve">a </w:t>
      </w:r>
      <w:r w:rsidRPr="0071546E">
        <w:rPr>
          <w:rFonts w:ascii="Arial" w:hAnsi="Arial" w:cs="Arial"/>
          <w:noProof/>
          <w:sz w:val="24"/>
          <w:szCs w:val="24"/>
          <w:lang w:eastAsia="en-GB"/>
        </w:rPr>
        <w:t xml:space="preserve">significant result for it use therapeutic use for localised bacteria, fungi and parasitic infections (Lin et al., 2009; Arboleda et al., 2014; Tseng et al., 2017). Only a few studies till date have exploited its application for the treatment of </w:t>
      </w:r>
      <w:r w:rsidRPr="0071546E">
        <w:rPr>
          <w:rFonts w:ascii="Arial" w:hAnsi="Arial" w:cs="Arial"/>
          <w:i/>
          <w:noProof/>
          <w:sz w:val="24"/>
          <w:szCs w:val="24"/>
          <w:lang w:eastAsia="en-GB"/>
        </w:rPr>
        <w:t>Acanthamoeba</w:t>
      </w:r>
      <w:r w:rsidRPr="0071546E">
        <w:rPr>
          <w:rFonts w:ascii="Arial" w:hAnsi="Arial" w:cs="Arial"/>
          <w:noProof/>
          <w:sz w:val="24"/>
          <w:szCs w:val="24"/>
          <w:lang w:eastAsia="en-GB"/>
        </w:rPr>
        <w:t xml:space="preserve"> keratitis (Mito et al., 2012; Siddiqui and Khan, 2012; Corrêa et al., 2016; Wu et al., 2017). The mode of action of photodynamic therapy suggest</w:t>
      </w:r>
      <w:r w:rsidR="00486E52" w:rsidRPr="0071546E">
        <w:rPr>
          <w:rFonts w:ascii="Arial" w:hAnsi="Arial" w:cs="Arial"/>
          <w:noProof/>
          <w:sz w:val="24"/>
          <w:szCs w:val="24"/>
          <w:lang w:eastAsia="en-GB"/>
        </w:rPr>
        <w:t>s</w:t>
      </w:r>
      <w:r w:rsidRPr="0071546E">
        <w:rPr>
          <w:rFonts w:ascii="Arial" w:hAnsi="Arial" w:cs="Arial"/>
          <w:noProof/>
          <w:sz w:val="24"/>
          <w:szCs w:val="24"/>
          <w:lang w:eastAsia="en-GB"/>
        </w:rPr>
        <w:t xml:space="preserve"> that there is likely to be reduced resistance by microbes. Preliminary results from toluidine blue photodynamic therapy with methylene blue exclusion assay showed </w:t>
      </w:r>
      <w:r w:rsidR="00EF5402" w:rsidRPr="0071546E">
        <w:rPr>
          <w:rFonts w:ascii="Arial" w:hAnsi="Arial" w:cs="Arial"/>
          <w:noProof/>
          <w:sz w:val="24"/>
          <w:szCs w:val="24"/>
          <w:lang w:eastAsia="en-GB"/>
        </w:rPr>
        <w:t xml:space="preserve">a </w:t>
      </w:r>
      <w:r w:rsidRPr="0071546E">
        <w:rPr>
          <w:rFonts w:ascii="Arial" w:hAnsi="Arial" w:cs="Arial"/>
          <w:noProof/>
          <w:sz w:val="24"/>
          <w:szCs w:val="24"/>
          <w:lang w:eastAsia="en-GB"/>
        </w:rPr>
        <w:t>significa</w:t>
      </w:r>
      <w:r w:rsidR="00486E52" w:rsidRPr="0071546E">
        <w:rPr>
          <w:rFonts w:ascii="Arial" w:hAnsi="Arial" w:cs="Arial"/>
          <w:noProof/>
          <w:sz w:val="24"/>
          <w:szCs w:val="24"/>
          <w:lang w:eastAsia="en-GB"/>
        </w:rPr>
        <w:t>n</w:t>
      </w:r>
      <w:r w:rsidRPr="0071546E">
        <w:rPr>
          <w:rFonts w:ascii="Arial" w:hAnsi="Arial" w:cs="Arial"/>
          <w:noProof/>
          <w:sz w:val="24"/>
          <w:szCs w:val="24"/>
          <w:lang w:eastAsia="en-GB"/>
        </w:rPr>
        <w:t xml:space="preserve">t reduction in viability of  </w:t>
      </w:r>
      <w:r w:rsidRPr="0071546E">
        <w:rPr>
          <w:rFonts w:ascii="Arial" w:hAnsi="Arial" w:cs="Arial"/>
          <w:i/>
          <w:noProof/>
          <w:sz w:val="24"/>
          <w:szCs w:val="24"/>
          <w:lang w:eastAsia="en-GB"/>
        </w:rPr>
        <w:t>Acanthamoeba trophozoites</w:t>
      </w:r>
      <w:r w:rsidR="00CA543B" w:rsidRPr="0071546E">
        <w:rPr>
          <w:rFonts w:ascii="Arial" w:hAnsi="Arial" w:cs="Arial"/>
          <w:noProof/>
          <w:sz w:val="24"/>
          <w:szCs w:val="24"/>
          <w:lang w:eastAsia="en-GB"/>
        </w:rPr>
        <w:t xml:space="preserve"> fig (3.10</w:t>
      </w:r>
      <w:r w:rsidRPr="0071546E">
        <w:rPr>
          <w:rFonts w:ascii="Arial" w:hAnsi="Arial" w:cs="Arial"/>
          <w:noProof/>
          <w:sz w:val="24"/>
          <w:szCs w:val="24"/>
          <w:lang w:eastAsia="en-GB"/>
        </w:rPr>
        <w:t>)</w:t>
      </w:r>
      <w:r w:rsidR="00CA543B" w:rsidRPr="0071546E">
        <w:rPr>
          <w:rFonts w:ascii="Arial" w:hAnsi="Arial" w:cs="Arial"/>
          <w:noProof/>
          <w:sz w:val="24"/>
          <w:szCs w:val="24"/>
          <w:lang w:eastAsia="en-GB"/>
        </w:rPr>
        <w:t xml:space="preserve"> see fig 8 of </w:t>
      </w:r>
      <w:r w:rsidR="00675534" w:rsidRPr="0071546E">
        <w:rPr>
          <w:rFonts w:ascii="Arial" w:hAnsi="Arial" w:cs="Arial"/>
          <w:noProof/>
          <w:sz w:val="24"/>
          <w:szCs w:val="24"/>
          <w:lang w:eastAsia="en-GB"/>
        </w:rPr>
        <w:t xml:space="preserve">the </w:t>
      </w:r>
      <w:r w:rsidR="00CA543B" w:rsidRPr="0071546E">
        <w:rPr>
          <w:rFonts w:ascii="Arial" w:hAnsi="Arial" w:cs="Arial"/>
          <w:noProof/>
          <w:sz w:val="24"/>
          <w:szCs w:val="24"/>
          <w:lang w:eastAsia="en-GB"/>
        </w:rPr>
        <w:t>appendix for microscopy image</w:t>
      </w:r>
      <w:r w:rsidRPr="0071546E">
        <w:rPr>
          <w:rFonts w:ascii="Arial" w:hAnsi="Arial" w:cs="Arial"/>
          <w:noProof/>
          <w:sz w:val="24"/>
          <w:szCs w:val="24"/>
          <w:lang w:eastAsia="en-GB"/>
        </w:rPr>
        <w:t>. Several studies have shown the use of toluidine blue as PS for treatment of oral bacteria infection in rats</w:t>
      </w:r>
      <w:r w:rsidRPr="0071546E">
        <w:rPr>
          <w:color w:val="000000"/>
        </w:rPr>
        <w:t xml:space="preserve"> </w:t>
      </w:r>
      <w:r w:rsidR="005075AB" w:rsidRPr="0071546E">
        <w:rPr>
          <w:rFonts w:ascii="Arial" w:hAnsi="Arial" w:cs="Arial"/>
          <w:noProof/>
          <w:sz w:val="24"/>
          <w:szCs w:val="24"/>
          <w:lang w:eastAsia="en-GB"/>
        </w:rPr>
        <w:t>(Lin et al., 2009). Toluidine blue has also been used for the inactivation of</w:t>
      </w:r>
      <w:r w:rsidRPr="0071546E">
        <w:rPr>
          <w:rFonts w:ascii="Arial" w:hAnsi="Arial" w:cs="Arial"/>
          <w:noProof/>
          <w:sz w:val="24"/>
          <w:szCs w:val="24"/>
          <w:lang w:eastAsia="en-GB"/>
        </w:rPr>
        <w:t xml:space="preserve"> primary human fibroblast (Kashef, Ravaei Sharif Abadi and Djavid, 2012)</w:t>
      </w:r>
      <w:r w:rsidR="005075AB" w:rsidRPr="0071546E">
        <w:rPr>
          <w:rFonts w:ascii="Arial" w:hAnsi="Arial" w:cs="Arial"/>
          <w:noProof/>
          <w:sz w:val="24"/>
          <w:szCs w:val="24"/>
          <w:lang w:eastAsia="en-GB"/>
        </w:rPr>
        <w:t>.</w:t>
      </w:r>
      <w:r w:rsidRPr="0071546E">
        <w:rPr>
          <w:rFonts w:ascii="Arial" w:hAnsi="Arial" w:cs="Arial"/>
          <w:noProof/>
          <w:sz w:val="24"/>
          <w:szCs w:val="24"/>
          <w:lang w:eastAsia="en-GB"/>
        </w:rPr>
        <w:t xml:space="preserve">  </w:t>
      </w:r>
    </w:p>
    <w:p w:rsidR="003333B5" w:rsidRPr="0071546E" w:rsidRDefault="003333B5" w:rsidP="00CF13FE">
      <w:pPr>
        <w:spacing w:line="480" w:lineRule="auto"/>
        <w:ind w:left="1021" w:right="454"/>
        <w:jc w:val="both"/>
        <w:rPr>
          <w:rFonts w:ascii="Arial" w:hAnsi="Arial" w:cs="Arial"/>
          <w:noProof/>
          <w:sz w:val="24"/>
          <w:szCs w:val="24"/>
          <w:lang w:eastAsia="en-GB"/>
        </w:rPr>
      </w:pPr>
    </w:p>
    <w:p w:rsidR="003333B5" w:rsidRPr="0071546E" w:rsidRDefault="003333B5" w:rsidP="00CF13FE">
      <w:pPr>
        <w:spacing w:line="480" w:lineRule="auto"/>
        <w:ind w:left="1021" w:right="454"/>
        <w:jc w:val="both"/>
        <w:rPr>
          <w:rFonts w:ascii="Arial" w:hAnsi="Arial" w:cs="Arial"/>
          <w:noProof/>
          <w:sz w:val="24"/>
          <w:szCs w:val="24"/>
          <w:lang w:eastAsia="en-GB"/>
        </w:rPr>
      </w:pPr>
    </w:p>
    <w:p w:rsidR="001267E3" w:rsidRPr="0071546E" w:rsidRDefault="00EA16FC" w:rsidP="003333B5">
      <w:pPr>
        <w:spacing w:line="480" w:lineRule="auto"/>
        <w:ind w:left="1021" w:right="454"/>
        <w:jc w:val="both"/>
        <w:rPr>
          <w:rFonts w:ascii="Arial" w:hAnsi="Arial" w:cs="Arial"/>
          <w:noProof/>
          <w:sz w:val="24"/>
          <w:szCs w:val="24"/>
          <w:lang w:eastAsia="en-GB"/>
        </w:rPr>
      </w:pPr>
      <w:r w:rsidRPr="0071546E">
        <w:rPr>
          <w:rFonts w:ascii="Arial" w:hAnsi="Arial" w:cs="Arial"/>
          <w:noProof/>
          <w:sz w:val="24"/>
          <w:szCs w:val="24"/>
          <w:lang w:eastAsia="en-GB"/>
        </w:rPr>
        <w:t>Toluidine blue has also found its application for the treatment of keratitis caused by fungi infections</w:t>
      </w:r>
      <w:r w:rsidRPr="0071546E">
        <w:rPr>
          <w:color w:val="000000"/>
        </w:rPr>
        <w:t xml:space="preserve"> </w:t>
      </w:r>
      <w:r w:rsidRPr="0071546E">
        <w:rPr>
          <w:rFonts w:ascii="Arial" w:hAnsi="Arial" w:cs="Arial"/>
          <w:noProof/>
          <w:sz w:val="24"/>
          <w:szCs w:val="24"/>
          <w:lang w:eastAsia="en-GB"/>
        </w:rPr>
        <w:t xml:space="preserve">(Arboleda et al., 2014). Photodynamic inactivation of </w:t>
      </w:r>
      <w:r w:rsidRPr="0071546E">
        <w:rPr>
          <w:rFonts w:ascii="Arial" w:hAnsi="Arial" w:cs="Arial"/>
          <w:i/>
          <w:noProof/>
          <w:sz w:val="24"/>
          <w:szCs w:val="24"/>
          <w:lang w:eastAsia="en-GB"/>
        </w:rPr>
        <w:t>Acanthamoeba</w:t>
      </w:r>
      <w:r w:rsidRPr="0071546E">
        <w:rPr>
          <w:rFonts w:ascii="Arial" w:hAnsi="Arial" w:cs="Arial"/>
          <w:noProof/>
          <w:sz w:val="24"/>
          <w:szCs w:val="24"/>
          <w:lang w:eastAsia="en-GB"/>
        </w:rPr>
        <w:t xml:space="preserve"> cells using toluidine blue has not been reported before the present research. Our preliminary studies have shown its potential use for </w:t>
      </w:r>
      <w:r w:rsidR="00486E52" w:rsidRPr="0071546E">
        <w:rPr>
          <w:rFonts w:ascii="Arial" w:hAnsi="Arial" w:cs="Arial"/>
          <w:noProof/>
          <w:sz w:val="24"/>
          <w:szCs w:val="24"/>
          <w:lang w:eastAsia="en-GB"/>
        </w:rPr>
        <w:t xml:space="preserve">the </w:t>
      </w:r>
      <w:r w:rsidRPr="0071546E">
        <w:rPr>
          <w:rFonts w:ascii="Arial" w:hAnsi="Arial" w:cs="Arial"/>
          <w:noProof/>
          <w:sz w:val="24"/>
          <w:szCs w:val="24"/>
          <w:lang w:eastAsia="en-GB"/>
        </w:rPr>
        <w:t xml:space="preserve">treatment of </w:t>
      </w:r>
      <w:r w:rsidRPr="0071546E">
        <w:rPr>
          <w:rFonts w:ascii="Arial" w:hAnsi="Arial" w:cs="Arial"/>
          <w:i/>
          <w:noProof/>
          <w:sz w:val="24"/>
          <w:szCs w:val="24"/>
          <w:lang w:eastAsia="en-GB"/>
        </w:rPr>
        <w:t>Acanthamoeba</w:t>
      </w:r>
      <w:r w:rsidRPr="0071546E">
        <w:rPr>
          <w:rFonts w:ascii="Arial" w:hAnsi="Arial" w:cs="Arial"/>
          <w:noProof/>
          <w:sz w:val="24"/>
          <w:szCs w:val="24"/>
          <w:lang w:eastAsia="en-GB"/>
        </w:rPr>
        <w:t xml:space="preserve"> keratitis. However</w:t>
      </w:r>
      <w:r w:rsidR="00486E52" w:rsidRPr="0071546E">
        <w:rPr>
          <w:rFonts w:ascii="Arial" w:hAnsi="Arial" w:cs="Arial"/>
          <w:noProof/>
          <w:sz w:val="24"/>
          <w:szCs w:val="24"/>
          <w:lang w:eastAsia="en-GB"/>
        </w:rPr>
        <w:t>,</w:t>
      </w:r>
      <w:r w:rsidRPr="0071546E">
        <w:rPr>
          <w:rFonts w:ascii="Arial" w:hAnsi="Arial" w:cs="Arial"/>
          <w:noProof/>
          <w:sz w:val="24"/>
          <w:szCs w:val="24"/>
          <w:lang w:eastAsia="en-GB"/>
        </w:rPr>
        <w:t xml:space="preserve"> more toxicology studies </w:t>
      </w:r>
      <w:r w:rsidR="00486E52" w:rsidRPr="0071546E">
        <w:rPr>
          <w:rFonts w:ascii="Arial" w:hAnsi="Arial" w:cs="Arial"/>
          <w:noProof/>
          <w:sz w:val="24"/>
          <w:szCs w:val="24"/>
          <w:lang w:eastAsia="en-GB"/>
        </w:rPr>
        <w:t>are</w:t>
      </w:r>
      <w:r w:rsidRPr="0071546E">
        <w:rPr>
          <w:rFonts w:ascii="Arial" w:hAnsi="Arial" w:cs="Arial"/>
          <w:noProof/>
          <w:sz w:val="24"/>
          <w:szCs w:val="24"/>
          <w:lang w:eastAsia="en-GB"/>
        </w:rPr>
        <w:t xml:space="preserve"> neede</w:t>
      </w:r>
      <w:r w:rsidR="00486E52" w:rsidRPr="0071546E">
        <w:rPr>
          <w:rFonts w:ascii="Arial" w:hAnsi="Arial" w:cs="Arial"/>
          <w:noProof/>
          <w:sz w:val="24"/>
          <w:szCs w:val="24"/>
          <w:lang w:eastAsia="en-GB"/>
        </w:rPr>
        <w:t>d</w:t>
      </w:r>
      <w:r w:rsidRPr="0071546E">
        <w:rPr>
          <w:rFonts w:ascii="Arial" w:hAnsi="Arial" w:cs="Arial"/>
          <w:noProof/>
          <w:sz w:val="24"/>
          <w:szCs w:val="24"/>
          <w:lang w:eastAsia="en-GB"/>
        </w:rPr>
        <w:t xml:space="preserve"> to confirm its applicability</w:t>
      </w:r>
      <w:r w:rsidR="00EF5402" w:rsidRPr="0071546E">
        <w:rPr>
          <w:rFonts w:ascii="Arial" w:hAnsi="Arial" w:cs="Arial"/>
          <w:noProof/>
          <w:sz w:val="24"/>
          <w:szCs w:val="24"/>
          <w:lang w:eastAsia="en-GB"/>
        </w:rPr>
        <w:t>,</w:t>
      </w:r>
      <w:r w:rsidRPr="0071546E">
        <w:rPr>
          <w:rFonts w:ascii="Arial" w:hAnsi="Arial" w:cs="Arial"/>
          <w:noProof/>
          <w:sz w:val="24"/>
          <w:szCs w:val="24"/>
          <w:lang w:eastAsia="en-GB"/>
        </w:rPr>
        <w:t xml:space="preserve"> especia</w:t>
      </w:r>
      <w:r w:rsidR="00486E52" w:rsidRPr="0071546E">
        <w:rPr>
          <w:rFonts w:ascii="Arial" w:hAnsi="Arial" w:cs="Arial"/>
          <w:noProof/>
          <w:sz w:val="24"/>
          <w:szCs w:val="24"/>
          <w:lang w:eastAsia="en-GB"/>
        </w:rPr>
        <w:t>l</w:t>
      </w:r>
      <w:r w:rsidRPr="0071546E">
        <w:rPr>
          <w:rFonts w:ascii="Arial" w:hAnsi="Arial" w:cs="Arial"/>
          <w:noProof/>
          <w:sz w:val="24"/>
          <w:szCs w:val="24"/>
          <w:lang w:eastAsia="en-GB"/>
        </w:rPr>
        <w:t>ly for Acanthamoeba keratitis.</w:t>
      </w:r>
    </w:p>
    <w:p w:rsidR="00406B96" w:rsidRPr="0071546E" w:rsidRDefault="00EA16FC" w:rsidP="00CF13FE">
      <w:pPr>
        <w:pStyle w:val="Heading2"/>
        <w:ind w:left="1021" w:right="454"/>
      </w:pPr>
      <w:bookmarkStart w:id="126" w:name="_Toc14711494"/>
      <w:r w:rsidRPr="0071546E">
        <w:t>4</w:t>
      </w:r>
      <w:r w:rsidR="00406B96" w:rsidRPr="0071546E">
        <w:t>.1.2 Photodynamic therapy using porphyrins.</w:t>
      </w:r>
      <w:bookmarkEnd w:id="126"/>
    </w:p>
    <w:p w:rsidR="00367501" w:rsidRPr="0071546E" w:rsidRDefault="00406B96" w:rsidP="005A11C8">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The four porphyrins used in the present study are structurally different and exhibit different physiochemical properties. All four porphyrins have the same </w:t>
      </w:r>
      <w:r w:rsidR="008823D8" w:rsidRPr="0071546E">
        <w:rPr>
          <w:rFonts w:ascii="Arial" w:eastAsia="Times New Roman" w:hAnsi="Arial" w:cs="Arial"/>
          <w:sz w:val="24"/>
          <w:szCs w:val="24"/>
          <w:lang w:eastAsia="en-GB"/>
        </w:rPr>
        <w:t>primary structure but with</w:t>
      </w:r>
      <w:r w:rsidRPr="0071546E">
        <w:rPr>
          <w:rFonts w:ascii="Arial" w:eastAsia="Times New Roman" w:hAnsi="Arial" w:cs="Arial"/>
          <w:sz w:val="24"/>
          <w:szCs w:val="24"/>
          <w:lang w:eastAsia="en-GB"/>
        </w:rPr>
        <w:t xml:space="preserve"> different conjugate-molecule</w:t>
      </w:r>
      <w:r w:rsidR="008823D8" w:rsidRPr="0071546E">
        <w:rPr>
          <w:rFonts w:ascii="Arial" w:eastAsia="Times New Roman" w:hAnsi="Arial" w:cs="Arial"/>
          <w:sz w:val="24"/>
          <w:szCs w:val="24"/>
          <w:lang w:eastAsia="en-GB"/>
        </w:rPr>
        <w:t>s</w:t>
      </w:r>
      <w:r w:rsidRPr="0071546E">
        <w:rPr>
          <w:rFonts w:ascii="Arial" w:eastAsia="Times New Roman" w:hAnsi="Arial" w:cs="Arial"/>
          <w:sz w:val="24"/>
          <w:szCs w:val="24"/>
          <w:lang w:eastAsia="en-GB"/>
        </w:rPr>
        <w:t xml:space="preserve"> hence their different polarity, ionic state and ultimately different ability to bind</w:t>
      </w:r>
      <w:r w:rsidR="008823D8" w:rsidRPr="0071546E">
        <w:rPr>
          <w:rFonts w:ascii="Arial" w:eastAsia="Times New Roman" w:hAnsi="Arial" w:cs="Arial"/>
          <w:sz w:val="24"/>
          <w:szCs w:val="24"/>
          <w:lang w:eastAsia="en-GB"/>
        </w:rPr>
        <w:t xml:space="preserve"> or permeate</w:t>
      </w:r>
      <w:r w:rsidRPr="0071546E">
        <w:rPr>
          <w:rFonts w:ascii="Arial" w:eastAsia="Times New Roman" w:hAnsi="Arial" w:cs="Arial"/>
          <w:sz w:val="24"/>
          <w:szCs w:val="24"/>
          <w:lang w:eastAsia="en-GB"/>
        </w:rPr>
        <w:t xml:space="preserve"> </w:t>
      </w:r>
      <w:r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cells. The localised effect of singlet oxygen produced during photodynamic therapy shows that photodynamic therapy is more effective if the photosensitiser</w:t>
      </w:r>
      <w:r w:rsidR="008823D8" w:rsidRPr="0071546E">
        <w:rPr>
          <w:rFonts w:ascii="Arial" w:eastAsia="Times New Roman" w:hAnsi="Arial" w:cs="Arial"/>
          <w:sz w:val="24"/>
          <w:szCs w:val="24"/>
          <w:lang w:eastAsia="en-GB"/>
        </w:rPr>
        <w:t xml:space="preserve"> (PS)</w:t>
      </w:r>
      <w:r w:rsidRPr="0071546E">
        <w:rPr>
          <w:rFonts w:ascii="Arial" w:eastAsia="Times New Roman" w:hAnsi="Arial" w:cs="Arial"/>
          <w:sz w:val="24"/>
          <w:szCs w:val="24"/>
          <w:lang w:eastAsia="en-GB"/>
        </w:rPr>
        <w:t xml:space="preserve"> can penetrate</w:t>
      </w:r>
      <w:r w:rsidR="008823D8" w:rsidRPr="0071546E">
        <w:rPr>
          <w:rFonts w:ascii="Arial" w:eastAsia="Times New Roman" w:hAnsi="Arial" w:cs="Arial"/>
          <w:sz w:val="24"/>
          <w:szCs w:val="24"/>
          <w:lang w:eastAsia="en-GB"/>
        </w:rPr>
        <w:t xml:space="preserve"> the target </w:t>
      </w:r>
      <w:r w:rsidRPr="0071546E">
        <w:rPr>
          <w:rFonts w:ascii="Arial" w:eastAsia="Times New Roman" w:hAnsi="Arial" w:cs="Arial"/>
          <w:sz w:val="24"/>
          <w:szCs w:val="24"/>
          <w:lang w:eastAsia="en-GB"/>
        </w:rPr>
        <w:t>cell prior to light delivery</w:t>
      </w:r>
      <w:r w:rsidR="008823D8" w:rsidRPr="0071546E">
        <w:rPr>
          <w:color w:val="000000"/>
        </w:rPr>
        <w:t xml:space="preserve"> </w:t>
      </w:r>
      <w:r w:rsidR="008823D8" w:rsidRPr="0071546E">
        <w:rPr>
          <w:rFonts w:ascii="Arial" w:eastAsia="Times New Roman" w:hAnsi="Arial" w:cs="Arial"/>
          <w:sz w:val="24"/>
          <w:szCs w:val="24"/>
          <w:lang w:eastAsia="en-GB"/>
        </w:rPr>
        <w:t>(Dai et al., 2013)</w:t>
      </w:r>
      <w:r w:rsidRPr="0071546E">
        <w:rPr>
          <w:rFonts w:ascii="Arial" w:eastAsia="Times New Roman" w:hAnsi="Arial" w:cs="Arial"/>
          <w:sz w:val="24"/>
          <w:szCs w:val="24"/>
          <w:lang w:eastAsia="en-GB"/>
        </w:rPr>
        <w:t xml:space="preserve">. Subsequently, the singlet oxygen has the ability to attack several intracellular targets like enzymes, lipids and proteins causing bacterial </w:t>
      </w:r>
      <w:r w:rsidR="00D200F4" w:rsidRPr="0071546E">
        <w:rPr>
          <w:rFonts w:ascii="Arial" w:eastAsia="Times New Roman" w:hAnsi="Arial" w:cs="Arial"/>
          <w:sz w:val="24"/>
          <w:szCs w:val="24"/>
          <w:lang w:eastAsia="en-GB"/>
        </w:rPr>
        <w:t>death (</w:t>
      </w:r>
      <w:r w:rsidRPr="0071546E">
        <w:rPr>
          <w:rFonts w:ascii="Arial" w:eastAsia="Times New Roman" w:hAnsi="Arial" w:cs="Arial"/>
          <w:sz w:val="24"/>
          <w:szCs w:val="24"/>
          <w:lang w:eastAsia="en-GB"/>
        </w:rPr>
        <w:t xml:space="preserve">Cieplik et al., 2018). </w:t>
      </w:r>
      <w:r w:rsidR="0085343E" w:rsidRPr="0071546E">
        <w:rPr>
          <w:rFonts w:ascii="Arial" w:eastAsia="Times New Roman" w:hAnsi="Arial" w:cs="Arial"/>
          <w:sz w:val="24"/>
          <w:szCs w:val="24"/>
          <w:lang w:eastAsia="en-GB"/>
        </w:rPr>
        <w:t>However,</w:t>
      </w:r>
      <w:r w:rsidRPr="0071546E">
        <w:rPr>
          <w:rFonts w:ascii="Arial" w:eastAsia="Times New Roman" w:hAnsi="Arial" w:cs="Arial"/>
          <w:sz w:val="24"/>
          <w:szCs w:val="24"/>
          <w:lang w:eastAsia="en-GB"/>
        </w:rPr>
        <w:t xml:space="preserve"> </w:t>
      </w:r>
      <w:r w:rsidR="008823D8" w:rsidRPr="0071546E">
        <w:rPr>
          <w:rFonts w:ascii="Arial" w:eastAsia="Times New Roman" w:hAnsi="Arial" w:cs="Arial"/>
          <w:sz w:val="24"/>
          <w:szCs w:val="24"/>
          <w:lang w:eastAsia="en-GB"/>
        </w:rPr>
        <w:t>structural modifications and inherent</w:t>
      </w:r>
      <w:r w:rsidRPr="0071546E">
        <w:rPr>
          <w:rFonts w:ascii="Arial" w:eastAsia="Times New Roman" w:hAnsi="Arial" w:cs="Arial"/>
          <w:sz w:val="24"/>
          <w:szCs w:val="24"/>
          <w:lang w:eastAsia="en-GB"/>
        </w:rPr>
        <w:t xml:space="preserve"> </w:t>
      </w:r>
      <w:r w:rsidR="00B658CA" w:rsidRPr="0071546E">
        <w:rPr>
          <w:rFonts w:ascii="Arial" w:eastAsia="Times New Roman" w:hAnsi="Arial" w:cs="Arial"/>
          <w:sz w:val="24"/>
          <w:szCs w:val="24"/>
          <w:lang w:eastAsia="en-GB"/>
        </w:rPr>
        <w:t xml:space="preserve">cell </w:t>
      </w:r>
      <w:r w:rsidRPr="0071546E">
        <w:rPr>
          <w:rFonts w:ascii="Arial" w:eastAsia="Times New Roman" w:hAnsi="Arial" w:cs="Arial"/>
          <w:sz w:val="24"/>
          <w:szCs w:val="24"/>
          <w:lang w:eastAsia="en-GB"/>
        </w:rPr>
        <w:t>membrane potential</w:t>
      </w:r>
      <w:r w:rsidR="008823D8" w:rsidRPr="0071546E">
        <w:rPr>
          <w:rFonts w:ascii="Arial" w:eastAsia="Times New Roman" w:hAnsi="Arial" w:cs="Arial"/>
          <w:sz w:val="24"/>
          <w:szCs w:val="24"/>
          <w:lang w:eastAsia="en-GB"/>
        </w:rPr>
        <w:t xml:space="preserve"> of a microbial cell are factors that can</w:t>
      </w:r>
      <w:r w:rsidRPr="0071546E">
        <w:rPr>
          <w:rFonts w:ascii="Arial" w:eastAsia="Times New Roman" w:hAnsi="Arial" w:cs="Arial"/>
          <w:sz w:val="24"/>
          <w:szCs w:val="24"/>
          <w:lang w:eastAsia="en-GB"/>
        </w:rPr>
        <w:t xml:space="preserve"> limit binding and diffusion of photosensitiser through the cells</w:t>
      </w:r>
      <w:r w:rsidR="00EE59BC" w:rsidRPr="0071546E">
        <w:rPr>
          <w:color w:val="000000"/>
        </w:rPr>
        <w:t xml:space="preserve"> </w:t>
      </w:r>
      <w:r w:rsidR="00EE59BC" w:rsidRPr="0071546E">
        <w:rPr>
          <w:rFonts w:ascii="Arial" w:eastAsia="Times New Roman" w:hAnsi="Arial" w:cs="Arial"/>
          <w:sz w:val="24"/>
          <w:szCs w:val="24"/>
          <w:lang w:eastAsia="en-GB"/>
        </w:rPr>
        <w:t>(Jarlier, 1994;</w:t>
      </w:r>
      <w:r w:rsidR="00EE59BC" w:rsidRPr="0071546E">
        <w:rPr>
          <w:color w:val="000000"/>
        </w:rPr>
        <w:t xml:space="preserve"> </w:t>
      </w:r>
      <w:r w:rsidR="00EE59BC" w:rsidRPr="0071546E">
        <w:rPr>
          <w:rFonts w:ascii="Arial" w:eastAsia="Times New Roman" w:hAnsi="Arial" w:cs="Arial"/>
          <w:sz w:val="24"/>
          <w:szCs w:val="24"/>
          <w:lang w:eastAsia="en-GB"/>
        </w:rPr>
        <w:t>Aharon, Weitman and Ehrenberg, 2011</w:t>
      </w:r>
      <w:r w:rsidR="002517BD" w:rsidRPr="0071546E">
        <w:rPr>
          <w:rFonts w:ascii="Arial" w:eastAsia="Times New Roman" w:hAnsi="Arial" w:cs="Arial"/>
          <w:sz w:val="24"/>
          <w:szCs w:val="24"/>
          <w:lang w:eastAsia="en-GB"/>
        </w:rPr>
        <w:t>;</w:t>
      </w:r>
      <w:r w:rsidR="002517BD" w:rsidRPr="0071546E">
        <w:rPr>
          <w:color w:val="000000"/>
        </w:rPr>
        <w:t xml:space="preserve"> </w:t>
      </w:r>
      <w:r w:rsidR="002517BD" w:rsidRPr="0071546E">
        <w:rPr>
          <w:rFonts w:ascii="Arial" w:eastAsia="Times New Roman" w:hAnsi="Arial" w:cs="Arial"/>
          <w:sz w:val="24"/>
          <w:szCs w:val="24"/>
          <w:lang w:eastAsia="en-GB"/>
        </w:rPr>
        <w:t>Benov, 2015</w:t>
      </w:r>
      <w:r w:rsidR="00EE59BC"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 Earlier experiments carried out in the present research showed that the binding strength of all four porphyrins differs. These results suggest that the non-polar and cationic porphyrins have a stronger affinity to </w:t>
      </w:r>
      <w:r w:rsidR="00D200F4"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cell wall compared to the polar and anionic porphyrins. In general</w:t>
      </w:r>
      <w:r w:rsidR="00B658CA" w:rsidRPr="0071546E">
        <w:rPr>
          <w:rFonts w:ascii="Arial" w:eastAsia="Times New Roman" w:hAnsi="Arial" w:cs="Arial"/>
          <w:sz w:val="24"/>
          <w:szCs w:val="24"/>
          <w:lang w:eastAsia="en-GB"/>
        </w:rPr>
        <w:t>, the</w:t>
      </w:r>
      <w:r w:rsidRPr="0071546E">
        <w:rPr>
          <w:rFonts w:ascii="Arial" w:eastAsia="Times New Roman" w:hAnsi="Arial" w:cs="Arial"/>
          <w:sz w:val="24"/>
          <w:szCs w:val="24"/>
          <w:lang w:eastAsia="en-GB"/>
        </w:rPr>
        <w:t xml:space="preserve"> highest binding affinity to </w:t>
      </w:r>
      <w:r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cell wall determined via fluorescence measu</w:t>
      </w:r>
      <w:r w:rsidR="00B658CA" w:rsidRPr="0071546E">
        <w:rPr>
          <w:rFonts w:ascii="Arial" w:eastAsia="Times New Roman" w:hAnsi="Arial" w:cs="Arial"/>
          <w:sz w:val="24"/>
          <w:szCs w:val="24"/>
          <w:lang w:eastAsia="en-GB"/>
        </w:rPr>
        <w:t>rement showed that only about 24</w:t>
      </w:r>
      <w:r w:rsidRPr="0071546E">
        <w:rPr>
          <w:rFonts w:ascii="Arial" w:eastAsia="Times New Roman" w:hAnsi="Arial" w:cs="Arial"/>
          <w:sz w:val="24"/>
          <w:szCs w:val="24"/>
          <w:lang w:eastAsia="en-GB"/>
        </w:rPr>
        <w:t xml:space="preserve">% affinity was seen after incubation and washing </w:t>
      </w:r>
      <w:r w:rsidR="00B658CA" w:rsidRPr="0071546E">
        <w:rPr>
          <w:rFonts w:ascii="Arial" w:eastAsia="Times New Roman" w:hAnsi="Arial" w:cs="Arial"/>
          <w:sz w:val="24"/>
          <w:szCs w:val="24"/>
          <w:lang w:eastAsia="en-GB"/>
        </w:rPr>
        <w:t>fig 3.23</w:t>
      </w:r>
      <w:r w:rsidRPr="0071546E">
        <w:rPr>
          <w:rFonts w:ascii="Arial" w:eastAsia="Times New Roman" w:hAnsi="Arial" w:cs="Arial"/>
          <w:sz w:val="24"/>
          <w:szCs w:val="24"/>
          <w:lang w:eastAsia="en-GB"/>
        </w:rPr>
        <w:t xml:space="preserve">. These results also show that binding of porphyrins to </w:t>
      </w:r>
      <w:r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cell wall is non-specific as percentage affinity to cell wall continued to decrease after several washes. The continuous decrease was seen in both trophozoites and cysts but was more pronounced for </w:t>
      </w:r>
      <w:r w:rsidR="00B658CA" w:rsidRPr="0071546E">
        <w:rPr>
          <w:rFonts w:ascii="Arial" w:eastAsia="Times New Roman" w:hAnsi="Arial" w:cs="Arial"/>
          <w:sz w:val="24"/>
          <w:szCs w:val="24"/>
          <w:lang w:eastAsia="en-GB"/>
        </w:rPr>
        <w:t>the cysts. After 5</w:t>
      </w:r>
      <w:r w:rsidRPr="0071546E">
        <w:rPr>
          <w:rFonts w:ascii="Arial" w:eastAsia="Times New Roman" w:hAnsi="Arial" w:cs="Arial"/>
          <w:sz w:val="24"/>
          <w:szCs w:val="24"/>
          <w:lang w:eastAsia="en-GB"/>
        </w:rPr>
        <w:t xml:space="preserve"> </w:t>
      </w:r>
      <w:r w:rsidR="00D200F4" w:rsidRPr="0071546E">
        <w:rPr>
          <w:rFonts w:ascii="Arial" w:eastAsia="Times New Roman" w:hAnsi="Arial" w:cs="Arial"/>
          <w:sz w:val="24"/>
          <w:szCs w:val="24"/>
          <w:lang w:eastAsia="en-GB"/>
        </w:rPr>
        <w:t>washed,</w:t>
      </w:r>
      <w:r w:rsidRPr="0071546E">
        <w:rPr>
          <w:rFonts w:ascii="Arial" w:eastAsia="Times New Roman" w:hAnsi="Arial" w:cs="Arial"/>
          <w:sz w:val="24"/>
          <w:szCs w:val="24"/>
          <w:lang w:eastAsia="en-GB"/>
        </w:rPr>
        <w:t xml:space="preserve"> the only anionic porphyrin used for this study showed less than 1% bound porphyrins on </w:t>
      </w:r>
      <w:r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cysts cells</w:t>
      </w:r>
      <w:r w:rsidR="00B658CA" w:rsidRPr="0071546E">
        <w:rPr>
          <w:rFonts w:ascii="Arial" w:eastAsia="Times New Roman" w:hAnsi="Arial" w:cs="Arial"/>
          <w:sz w:val="24"/>
          <w:szCs w:val="24"/>
          <w:lang w:eastAsia="en-GB"/>
        </w:rPr>
        <w:t xml:space="preserve"> fig 3.26</w:t>
      </w:r>
      <w:r w:rsidRPr="0071546E">
        <w:rPr>
          <w:rFonts w:ascii="Arial" w:eastAsia="Times New Roman" w:hAnsi="Arial" w:cs="Arial"/>
          <w:sz w:val="24"/>
          <w:szCs w:val="24"/>
          <w:lang w:eastAsia="en-GB"/>
        </w:rPr>
        <w:t>.</w:t>
      </w:r>
    </w:p>
    <w:p w:rsidR="00367501" w:rsidRPr="0071546E" w:rsidRDefault="00406B96" w:rsidP="005A11C8">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Alves et al., (2009) showed that charge distribution and the number of positive charges, and the meso-substituent have different effects on the </w:t>
      </w:r>
      <w:r w:rsidR="00A066F8" w:rsidRPr="0071546E">
        <w:rPr>
          <w:rFonts w:ascii="Arial" w:eastAsia="Times New Roman" w:hAnsi="Arial" w:cs="Arial"/>
          <w:sz w:val="24"/>
          <w:szCs w:val="24"/>
          <w:lang w:eastAsia="en-GB"/>
        </w:rPr>
        <w:t>photoinactivation</w:t>
      </w:r>
      <w:r w:rsidRPr="0071546E">
        <w:rPr>
          <w:rFonts w:ascii="Arial" w:eastAsia="Times New Roman" w:hAnsi="Arial" w:cs="Arial"/>
          <w:sz w:val="24"/>
          <w:szCs w:val="24"/>
          <w:lang w:eastAsia="en-GB"/>
        </w:rPr>
        <w:t xml:space="preserve"> of bacteria. A similar report also explained that interaction between cationic PS molecule and the negatively charged bacteria causes widening of the pores leading to enhanced diffusion of photosensitiser inside the cell </w:t>
      </w:r>
      <w:r w:rsidR="00A066F8" w:rsidRPr="0071546E">
        <w:rPr>
          <w:rFonts w:ascii="Arial" w:eastAsia="Times New Roman" w:hAnsi="Arial" w:cs="Arial"/>
          <w:sz w:val="24"/>
          <w:szCs w:val="24"/>
          <w:lang w:eastAsia="en-GB"/>
        </w:rPr>
        <w:t>thereby enhancing</w:t>
      </w:r>
      <w:r w:rsidRPr="0071546E">
        <w:rPr>
          <w:rFonts w:ascii="Arial" w:eastAsia="Times New Roman" w:hAnsi="Arial" w:cs="Arial"/>
          <w:sz w:val="24"/>
          <w:szCs w:val="24"/>
          <w:lang w:eastAsia="en-GB"/>
        </w:rPr>
        <w:t xml:space="preserve"> the overall photodynamic process</w:t>
      </w:r>
      <w:r w:rsidR="00A066F8" w:rsidRPr="0071546E">
        <w:rPr>
          <w:rFonts w:ascii="Arial" w:eastAsia="Times New Roman" w:hAnsi="Arial" w:cs="Arial"/>
          <w:sz w:val="24"/>
          <w:szCs w:val="24"/>
          <w:lang w:eastAsia="en-GB"/>
        </w:rPr>
        <w:t xml:space="preserve"> (Hurst et al., 2019)</w:t>
      </w:r>
      <w:r w:rsidRPr="0071546E">
        <w:rPr>
          <w:rFonts w:ascii="Arial" w:eastAsia="Times New Roman" w:hAnsi="Arial" w:cs="Arial"/>
          <w:sz w:val="24"/>
          <w:szCs w:val="24"/>
          <w:lang w:eastAsia="en-GB"/>
        </w:rPr>
        <w:t xml:space="preserve">. No reports on the binding affinity or overall uptake of porphyrins on </w:t>
      </w:r>
      <w:r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cell exists as at the time of this report. </w:t>
      </w:r>
      <w:r w:rsidR="00D200F4" w:rsidRPr="0071546E">
        <w:rPr>
          <w:rFonts w:ascii="Arial" w:eastAsia="Times New Roman" w:hAnsi="Arial" w:cs="Arial"/>
          <w:sz w:val="24"/>
          <w:szCs w:val="24"/>
          <w:lang w:eastAsia="en-GB"/>
        </w:rPr>
        <w:t>Therefore,</w:t>
      </w:r>
      <w:r w:rsidRPr="0071546E">
        <w:rPr>
          <w:rFonts w:ascii="Arial" w:eastAsia="Times New Roman" w:hAnsi="Arial" w:cs="Arial"/>
          <w:sz w:val="24"/>
          <w:szCs w:val="24"/>
          <w:lang w:eastAsia="en-GB"/>
        </w:rPr>
        <w:t xml:space="preserve"> our discussion is entirely based on our findings and comparison with other studies that have to evaluate the binding and uptake of porphyrins by bacteria cells. Further experiments showed that incubation of porphyrins for a duration of 10 minutes was enough for binding and uptake. Our data shows that diffusion through the cells or binding of porphyrin in </w:t>
      </w:r>
      <w:r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cyst and tropho</w:t>
      </w:r>
      <w:r w:rsidR="002517BD" w:rsidRPr="0071546E">
        <w:rPr>
          <w:rFonts w:ascii="Arial" w:eastAsia="Times New Roman" w:hAnsi="Arial" w:cs="Arial"/>
          <w:sz w:val="24"/>
          <w:szCs w:val="24"/>
          <w:lang w:eastAsia="en-GB"/>
        </w:rPr>
        <w:t>zoites saturates after 10 min</w:t>
      </w:r>
      <w:r w:rsidRPr="0071546E">
        <w:rPr>
          <w:rFonts w:ascii="Arial" w:eastAsia="Times New Roman" w:hAnsi="Arial" w:cs="Arial"/>
          <w:sz w:val="24"/>
          <w:szCs w:val="24"/>
          <w:lang w:eastAsia="en-GB"/>
        </w:rPr>
        <w:t xml:space="preserve">s incubation at room temperature. This result is in agreement with </w:t>
      </w:r>
      <w:r w:rsidR="00B658CA" w:rsidRPr="0071546E">
        <w:rPr>
          <w:rFonts w:ascii="Arial" w:eastAsia="Times New Roman" w:hAnsi="Arial" w:cs="Arial"/>
          <w:sz w:val="24"/>
          <w:szCs w:val="24"/>
          <w:lang w:eastAsia="en-GB"/>
        </w:rPr>
        <w:t xml:space="preserve">an </w:t>
      </w:r>
      <w:r w:rsidRPr="0071546E">
        <w:rPr>
          <w:rFonts w:ascii="Arial" w:eastAsia="Times New Roman" w:hAnsi="Arial" w:cs="Arial"/>
          <w:sz w:val="24"/>
          <w:szCs w:val="24"/>
          <w:lang w:eastAsia="en-GB"/>
        </w:rPr>
        <w:t xml:space="preserve">earlier study monitoring the uptake of porphyrins by </w:t>
      </w:r>
      <w:r w:rsidRPr="0071546E">
        <w:rPr>
          <w:rFonts w:ascii="Arial" w:eastAsia="Times New Roman" w:hAnsi="Arial" w:cs="Arial"/>
          <w:i/>
          <w:sz w:val="24"/>
          <w:szCs w:val="24"/>
          <w:lang w:eastAsia="en-GB"/>
        </w:rPr>
        <w:t>Candida albicans</w:t>
      </w:r>
      <w:r w:rsidR="00D200F4"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(Quiroga, Alvarez and Durantini, 2010). Quiroga et al (2010) also showed that the cationic porphyrin used for their study reached the highest cell</w:t>
      </w:r>
      <w:r w:rsidR="00563D9A"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bound </w:t>
      </w:r>
      <w:r w:rsidR="00D200F4" w:rsidRPr="0071546E">
        <w:rPr>
          <w:rFonts w:ascii="Arial" w:eastAsia="Times New Roman" w:hAnsi="Arial" w:cs="Arial"/>
          <w:sz w:val="24"/>
          <w:szCs w:val="24"/>
          <w:lang w:eastAsia="en-GB"/>
        </w:rPr>
        <w:t>sensitizer</w:t>
      </w:r>
      <w:r w:rsidR="002517BD" w:rsidRPr="0071546E">
        <w:rPr>
          <w:rFonts w:ascii="Arial" w:eastAsia="Times New Roman" w:hAnsi="Arial" w:cs="Arial"/>
          <w:sz w:val="24"/>
          <w:szCs w:val="24"/>
          <w:lang w:eastAsia="en-GB"/>
        </w:rPr>
        <w:t xml:space="preserve"> after 15 min</w:t>
      </w:r>
      <w:r w:rsidRPr="0071546E">
        <w:rPr>
          <w:rFonts w:ascii="Arial" w:eastAsia="Times New Roman" w:hAnsi="Arial" w:cs="Arial"/>
          <w:sz w:val="24"/>
          <w:szCs w:val="24"/>
          <w:lang w:eastAsia="en-GB"/>
        </w:rPr>
        <w:t xml:space="preserve">s incubation and consistent with the present report they suggested that an increase in incubation time did not cause the increase of cell-bound </w:t>
      </w:r>
      <w:r w:rsidR="00D200F4" w:rsidRPr="0071546E">
        <w:rPr>
          <w:rFonts w:ascii="Arial" w:eastAsia="Times New Roman" w:hAnsi="Arial" w:cs="Arial"/>
          <w:sz w:val="24"/>
          <w:szCs w:val="24"/>
          <w:lang w:eastAsia="en-GB"/>
        </w:rPr>
        <w:t>sensitizer</w:t>
      </w:r>
      <w:r w:rsidRPr="0071546E">
        <w:rPr>
          <w:rFonts w:ascii="Arial" w:eastAsia="Times New Roman" w:hAnsi="Arial" w:cs="Arial"/>
          <w:sz w:val="24"/>
          <w:szCs w:val="24"/>
          <w:lang w:eastAsia="en-GB"/>
        </w:rPr>
        <w:t xml:space="preserve"> after 15 minutes. Furthermore, </w:t>
      </w:r>
      <w:r w:rsidR="00D200F4" w:rsidRPr="0071546E">
        <w:rPr>
          <w:rFonts w:ascii="Arial" w:eastAsia="Times New Roman" w:hAnsi="Arial" w:cs="Arial"/>
          <w:sz w:val="24"/>
          <w:szCs w:val="24"/>
          <w:lang w:eastAsia="en-GB"/>
        </w:rPr>
        <w:t>and</w:t>
      </w:r>
      <w:r w:rsidRPr="0071546E">
        <w:rPr>
          <w:rFonts w:ascii="Arial" w:eastAsia="Times New Roman" w:hAnsi="Arial" w:cs="Arial"/>
          <w:sz w:val="24"/>
          <w:szCs w:val="24"/>
          <w:lang w:eastAsia="en-GB"/>
        </w:rPr>
        <w:t xml:space="preserve"> in agreement with this report, they showed that there was a decrease in cell-bound porphyrin after e</w:t>
      </w:r>
      <w:r w:rsidR="002517BD" w:rsidRPr="0071546E">
        <w:rPr>
          <w:rFonts w:ascii="Arial" w:eastAsia="Times New Roman" w:hAnsi="Arial" w:cs="Arial"/>
          <w:sz w:val="24"/>
          <w:szCs w:val="24"/>
          <w:lang w:eastAsia="en-GB"/>
        </w:rPr>
        <w:t>ach washing step. They</w:t>
      </w:r>
      <w:r w:rsidRPr="0071546E">
        <w:rPr>
          <w:rFonts w:ascii="Arial" w:eastAsia="Times New Roman" w:hAnsi="Arial" w:cs="Arial"/>
          <w:sz w:val="24"/>
          <w:szCs w:val="24"/>
          <w:lang w:eastAsia="en-GB"/>
        </w:rPr>
        <w:t xml:space="preserve"> concluded that the photodynamic effect of porphyrin was directly proportional to the amount of tightly bound porphyrin on the cell.</w:t>
      </w:r>
    </w:p>
    <w:p w:rsidR="000E2C6C" w:rsidRPr="0071546E" w:rsidRDefault="00406B96"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Results from the photodynamic treatment of all four porphyrins showed varying degree of efficacy after comparison. 4</w:t>
      </w:r>
      <w:r w:rsidR="00D200F4" w:rsidRPr="0071546E">
        <w:rPr>
          <w:rFonts w:ascii="Arial" w:eastAsia="Times New Roman" w:hAnsi="Arial" w:cs="Arial"/>
          <w:sz w:val="24"/>
          <w:szCs w:val="24"/>
          <w:lang w:eastAsia="en-GB"/>
        </w:rPr>
        <w:t>, 4</w:t>
      </w:r>
      <w:r w:rsidRPr="0071546E">
        <w:rPr>
          <w:rFonts w:ascii="Arial" w:eastAsia="Times New Roman" w:hAnsi="Arial" w:cs="Arial"/>
          <w:sz w:val="24"/>
          <w:szCs w:val="24"/>
          <w:lang w:eastAsia="en-GB"/>
        </w:rPr>
        <w:t>′</w:t>
      </w:r>
      <w:r w:rsidR="00D200F4" w:rsidRPr="0071546E">
        <w:rPr>
          <w:rFonts w:ascii="Arial" w:eastAsia="Times New Roman" w:hAnsi="Arial" w:cs="Arial"/>
          <w:sz w:val="24"/>
          <w:szCs w:val="24"/>
          <w:lang w:eastAsia="en-GB"/>
        </w:rPr>
        <w:t>, 4</w:t>
      </w:r>
      <w:r w:rsidRPr="0071546E">
        <w:rPr>
          <w:rFonts w:ascii="Arial" w:eastAsia="Times New Roman" w:hAnsi="Arial" w:cs="Arial"/>
          <w:sz w:val="24"/>
          <w:szCs w:val="24"/>
          <w:lang w:eastAsia="en-GB"/>
        </w:rPr>
        <w:t>′′</w:t>
      </w:r>
      <w:r w:rsidR="00D200F4" w:rsidRPr="0071546E">
        <w:rPr>
          <w:rFonts w:ascii="Arial" w:eastAsia="Times New Roman" w:hAnsi="Arial" w:cs="Arial"/>
          <w:sz w:val="24"/>
          <w:szCs w:val="24"/>
          <w:lang w:eastAsia="en-GB"/>
        </w:rPr>
        <w:t>, 4</w:t>
      </w:r>
      <w:r w:rsidRPr="0071546E">
        <w:rPr>
          <w:rFonts w:ascii="Arial" w:eastAsia="Times New Roman" w:hAnsi="Arial" w:cs="Arial"/>
          <w:sz w:val="24"/>
          <w:szCs w:val="24"/>
          <w:lang w:eastAsia="en-GB"/>
        </w:rPr>
        <w:t>′′′-(porphine-5</w:t>
      </w:r>
      <w:r w:rsidR="00D200F4" w:rsidRPr="0071546E">
        <w:rPr>
          <w:rFonts w:ascii="Arial" w:eastAsia="Times New Roman" w:hAnsi="Arial" w:cs="Arial"/>
          <w:sz w:val="24"/>
          <w:szCs w:val="24"/>
          <w:lang w:eastAsia="en-GB"/>
        </w:rPr>
        <w:t>, 10, 15, 20</w:t>
      </w:r>
      <w:r w:rsidRPr="0071546E">
        <w:rPr>
          <w:rFonts w:ascii="Arial" w:eastAsia="Times New Roman" w:hAnsi="Arial" w:cs="Arial"/>
          <w:sz w:val="24"/>
          <w:szCs w:val="24"/>
          <w:lang w:eastAsia="en-GB"/>
        </w:rPr>
        <w:t>-tetryl) tetrakis (</w:t>
      </w:r>
      <w:r w:rsidR="00D200F4" w:rsidRPr="0071546E">
        <w:rPr>
          <w:rFonts w:ascii="Arial" w:eastAsia="Times New Roman" w:hAnsi="Arial" w:cs="Arial"/>
          <w:sz w:val="24"/>
          <w:szCs w:val="24"/>
          <w:lang w:eastAsia="en-GB"/>
        </w:rPr>
        <w:t>benzene sulfonic</w:t>
      </w:r>
      <w:r w:rsidRPr="0071546E">
        <w:rPr>
          <w:rFonts w:ascii="Arial" w:eastAsia="Times New Roman" w:hAnsi="Arial" w:cs="Arial"/>
          <w:sz w:val="24"/>
          <w:szCs w:val="24"/>
          <w:lang w:eastAsia="en-GB"/>
        </w:rPr>
        <w:t xml:space="preserve"> acid) tetrasodium salt hydrate a water-soluble tetra-anionic porphyrin did not inhibit </w:t>
      </w:r>
      <w:r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cells both the cysts and the trophozoites. An explanation for this can be linked to the binding affinity assay. 4</w:t>
      </w:r>
      <w:r w:rsidR="00D200F4" w:rsidRPr="0071546E">
        <w:rPr>
          <w:rFonts w:ascii="Arial" w:eastAsia="Times New Roman" w:hAnsi="Arial" w:cs="Arial"/>
          <w:sz w:val="24"/>
          <w:szCs w:val="24"/>
          <w:lang w:eastAsia="en-GB"/>
        </w:rPr>
        <w:t>, 4</w:t>
      </w:r>
      <w:r w:rsidRPr="0071546E">
        <w:rPr>
          <w:rFonts w:ascii="Arial" w:eastAsia="Times New Roman" w:hAnsi="Arial" w:cs="Arial"/>
          <w:sz w:val="24"/>
          <w:szCs w:val="24"/>
          <w:lang w:eastAsia="en-GB"/>
        </w:rPr>
        <w:t>′</w:t>
      </w:r>
      <w:r w:rsidR="00D200F4" w:rsidRPr="0071546E">
        <w:rPr>
          <w:rFonts w:ascii="Arial" w:eastAsia="Times New Roman" w:hAnsi="Arial" w:cs="Arial"/>
          <w:sz w:val="24"/>
          <w:szCs w:val="24"/>
          <w:lang w:eastAsia="en-GB"/>
        </w:rPr>
        <w:t>, 4</w:t>
      </w:r>
      <w:r w:rsidRPr="0071546E">
        <w:rPr>
          <w:rFonts w:ascii="Arial" w:eastAsia="Times New Roman" w:hAnsi="Arial" w:cs="Arial"/>
          <w:sz w:val="24"/>
          <w:szCs w:val="24"/>
          <w:lang w:eastAsia="en-GB"/>
        </w:rPr>
        <w:t>′′</w:t>
      </w:r>
      <w:r w:rsidR="00D200F4" w:rsidRPr="0071546E">
        <w:rPr>
          <w:rFonts w:ascii="Arial" w:eastAsia="Times New Roman" w:hAnsi="Arial" w:cs="Arial"/>
          <w:sz w:val="24"/>
          <w:szCs w:val="24"/>
          <w:lang w:eastAsia="en-GB"/>
        </w:rPr>
        <w:t>, 4</w:t>
      </w:r>
      <w:r w:rsidRPr="0071546E">
        <w:rPr>
          <w:rFonts w:ascii="Arial" w:eastAsia="Times New Roman" w:hAnsi="Arial" w:cs="Arial"/>
          <w:sz w:val="24"/>
          <w:szCs w:val="24"/>
          <w:lang w:eastAsia="en-GB"/>
        </w:rPr>
        <w:t>′′′-(porphine-5</w:t>
      </w:r>
      <w:r w:rsidR="00D200F4" w:rsidRPr="0071546E">
        <w:rPr>
          <w:rFonts w:ascii="Arial" w:eastAsia="Times New Roman" w:hAnsi="Arial" w:cs="Arial"/>
          <w:sz w:val="24"/>
          <w:szCs w:val="24"/>
          <w:lang w:eastAsia="en-GB"/>
        </w:rPr>
        <w:t>, 10, 15, 20</w:t>
      </w:r>
      <w:r w:rsidRPr="0071546E">
        <w:rPr>
          <w:rFonts w:ascii="Arial" w:eastAsia="Times New Roman" w:hAnsi="Arial" w:cs="Arial"/>
          <w:sz w:val="24"/>
          <w:szCs w:val="24"/>
          <w:lang w:eastAsia="en-GB"/>
        </w:rPr>
        <w:t>-tetryl) tetrakis (</w:t>
      </w:r>
      <w:r w:rsidR="00D200F4" w:rsidRPr="0071546E">
        <w:rPr>
          <w:rFonts w:ascii="Arial" w:eastAsia="Times New Roman" w:hAnsi="Arial" w:cs="Arial"/>
          <w:sz w:val="24"/>
          <w:szCs w:val="24"/>
          <w:lang w:eastAsia="en-GB"/>
        </w:rPr>
        <w:t>benzene sulfonic</w:t>
      </w:r>
      <w:r w:rsidRPr="0071546E">
        <w:rPr>
          <w:rFonts w:ascii="Arial" w:eastAsia="Times New Roman" w:hAnsi="Arial" w:cs="Arial"/>
          <w:sz w:val="24"/>
          <w:szCs w:val="24"/>
          <w:lang w:eastAsia="en-GB"/>
        </w:rPr>
        <w:t xml:space="preserve"> acid) tetrasodium salt hydrate showed the least biding strength compared to all four porphyrins. Less than 4% was taken up by </w:t>
      </w:r>
      <w:r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trophozoites while approximately 0.5</w:t>
      </w:r>
      <w:r w:rsidR="00F44FF6"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 was recovered from cysts after lysis. This result i</w:t>
      </w:r>
      <w:r w:rsidR="00B658CA" w:rsidRPr="0071546E">
        <w:rPr>
          <w:rFonts w:ascii="Arial" w:eastAsia="Times New Roman" w:hAnsi="Arial" w:cs="Arial"/>
          <w:sz w:val="24"/>
          <w:szCs w:val="24"/>
          <w:lang w:eastAsia="en-GB"/>
        </w:rPr>
        <w:t>s similar to an earlier study comparing</w:t>
      </w:r>
      <w:r w:rsidRPr="0071546E">
        <w:rPr>
          <w:rFonts w:ascii="Arial" w:eastAsia="Times New Roman" w:hAnsi="Arial" w:cs="Arial"/>
          <w:sz w:val="24"/>
          <w:szCs w:val="24"/>
          <w:lang w:eastAsia="en-GB"/>
        </w:rPr>
        <w:t xml:space="preserve"> the ability of cationic and anionic porphyrins to inactivate </w:t>
      </w:r>
      <w:r w:rsidRPr="0071546E">
        <w:rPr>
          <w:rFonts w:ascii="Arial" w:eastAsia="Times New Roman" w:hAnsi="Arial" w:cs="Arial"/>
          <w:i/>
          <w:sz w:val="24"/>
          <w:szCs w:val="24"/>
          <w:lang w:eastAsia="en-GB"/>
        </w:rPr>
        <w:t xml:space="preserve">Vibrio </w:t>
      </w:r>
      <w:r w:rsidR="00D200F4" w:rsidRPr="0071546E">
        <w:rPr>
          <w:rFonts w:ascii="Arial" w:eastAsia="Times New Roman" w:hAnsi="Arial" w:cs="Arial"/>
          <w:i/>
          <w:sz w:val="24"/>
          <w:szCs w:val="24"/>
          <w:lang w:eastAsia="en-GB"/>
        </w:rPr>
        <w:t>Campbell</w:t>
      </w:r>
      <w:r w:rsidR="00B658CA" w:rsidRPr="0071546E">
        <w:rPr>
          <w:rFonts w:ascii="Arial" w:eastAsia="Times New Roman" w:hAnsi="Arial" w:cs="Arial"/>
          <w:sz w:val="24"/>
          <w:szCs w:val="24"/>
          <w:lang w:eastAsia="en-GB"/>
        </w:rPr>
        <w:t xml:space="preserve"> (Malara et al., 2017).</w:t>
      </w:r>
      <w:r w:rsidR="00D200F4"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 xml:space="preserve">Malara </w:t>
      </w:r>
      <w:r w:rsidR="00B658CA" w:rsidRPr="0071546E">
        <w:rPr>
          <w:rFonts w:ascii="Arial" w:eastAsia="Times New Roman" w:hAnsi="Arial" w:cs="Arial"/>
          <w:sz w:val="24"/>
          <w:szCs w:val="24"/>
          <w:lang w:eastAsia="en-GB"/>
        </w:rPr>
        <w:t>and co-workers</w:t>
      </w:r>
      <w:r w:rsidRPr="0071546E">
        <w:rPr>
          <w:rFonts w:ascii="Arial" w:eastAsia="Times New Roman" w:hAnsi="Arial" w:cs="Arial"/>
          <w:sz w:val="24"/>
          <w:szCs w:val="24"/>
          <w:lang w:eastAsia="en-GB"/>
        </w:rPr>
        <w:t xml:space="preserve"> </w:t>
      </w:r>
      <w:r w:rsidR="00B658CA" w:rsidRPr="0071546E">
        <w:rPr>
          <w:rFonts w:ascii="Arial" w:eastAsia="Times New Roman" w:hAnsi="Arial" w:cs="Arial"/>
          <w:sz w:val="24"/>
          <w:szCs w:val="24"/>
          <w:lang w:eastAsia="en-GB"/>
        </w:rPr>
        <w:t>showed</w:t>
      </w:r>
      <w:r w:rsidRPr="0071546E">
        <w:rPr>
          <w:rFonts w:ascii="Arial" w:eastAsia="Times New Roman" w:hAnsi="Arial" w:cs="Arial"/>
          <w:sz w:val="24"/>
          <w:szCs w:val="24"/>
          <w:lang w:eastAsia="en-GB"/>
        </w:rPr>
        <w:t xml:space="preserve"> that 4</w:t>
      </w:r>
      <w:r w:rsidR="00BA300B" w:rsidRPr="0071546E">
        <w:rPr>
          <w:rFonts w:ascii="Arial" w:eastAsia="Times New Roman" w:hAnsi="Arial" w:cs="Arial"/>
          <w:sz w:val="24"/>
          <w:szCs w:val="24"/>
          <w:lang w:eastAsia="en-GB"/>
        </w:rPr>
        <w:t>, 4</w:t>
      </w:r>
      <w:r w:rsidRPr="0071546E">
        <w:rPr>
          <w:rFonts w:ascii="Arial" w:eastAsia="Times New Roman" w:hAnsi="Arial" w:cs="Arial"/>
          <w:sz w:val="24"/>
          <w:szCs w:val="24"/>
          <w:lang w:eastAsia="en-GB"/>
        </w:rPr>
        <w:t>′</w:t>
      </w:r>
      <w:r w:rsidR="00BA300B" w:rsidRPr="0071546E">
        <w:rPr>
          <w:rFonts w:ascii="Arial" w:eastAsia="Times New Roman" w:hAnsi="Arial" w:cs="Arial"/>
          <w:sz w:val="24"/>
          <w:szCs w:val="24"/>
          <w:lang w:eastAsia="en-GB"/>
        </w:rPr>
        <w:t>, 4</w:t>
      </w:r>
      <w:r w:rsidRPr="0071546E">
        <w:rPr>
          <w:rFonts w:ascii="Arial" w:eastAsia="Times New Roman" w:hAnsi="Arial" w:cs="Arial"/>
          <w:sz w:val="24"/>
          <w:szCs w:val="24"/>
          <w:lang w:eastAsia="en-GB"/>
        </w:rPr>
        <w:t>′′</w:t>
      </w:r>
      <w:r w:rsidR="00BA300B" w:rsidRPr="0071546E">
        <w:rPr>
          <w:rFonts w:ascii="Arial" w:eastAsia="Times New Roman" w:hAnsi="Arial" w:cs="Arial"/>
          <w:sz w:val="24"/>
          <w:szCs w:val="24"/>
          <w:lang w:eastAsia="en-GB"/>
        </w:rPr>
        <w:t>, 4</w:t>
      </w:r>
      <w:r w:rsidRPr="0071546E">
        <w:rPr>
          <w:rFonts w:ascii="Arial" w:eastAsia="Times New Roman" w:hAnsi="Arial" w:cs="Arial"/>
          <w:sz w:val="24"/>
          <w:szCs w:val="24"/>
          <w:lang w:eastAsia="en-GB"/>
        </w:rPr>
        <w:t>′′′-(porphine-5</w:t>
      </w:r>
      <w:r w:rsidR="00BA300B" w:rsidRPr="0071546E">
        <w:rPr>
          <w:rFonts w:ascii="Arial" w:eastAsia="Times New Roman" w:hAnsi="Arial" w:cs="Arial"/>
          <w:sz w:val="24"/>
          <w:szCs w:val="24"/>
          <w:lang w:eastAsia="en-GB"/>
        </w:rPr>
        <w:t>, 10, 15, 20</w:t>
      </w:r>
      <w:r w:rsidRPr="0071546E">
        <w:rPr>
          <w:rFonts w:ascii="Arial" w:eastAsia="Times New Roman" w:hAnsi="Arial" w:cs="Arial"/>
          <w:sz w:val="24"/>
          <w:szCs w:val="24"/>
          <w:lang w:eastAsia="en-GB"/>
        </w:rPr>
        <w:t>-tetryl) tetrakis (</w:t>
      </w:r>
      <w:r w:rsidR="00D200F4" w:rsidRPr="0071546E">
        <w:rPr>
          <w:rFonts w:ascii="Arial" w:eastAsia="Times New Roman" w:hAnsi="Arial" w:cs="Arial"/>
          <w:sz w:val="24"/>
          <w:szCs w:val="24"/>
          <w:lang w:eastAsia="en-GB"/>
        </w:rPr>
        <w:t>benzene sulfonic</w:t>
      </w:r>
      <w:r w:rsidRPr="0071546E">
        <w:rPr>
          <w:rFonts w:ascii="Arial" w:eastAsia="Times New Roman" w:hAnsi="Arial" w:cs="Arial"/>
          <w:sz w:val="24"/>
          <w:szCs w:val="24"/>
          <w:lang w:eastAsia="en-GB"/>
        </w:rPr>
        <w:t xml:space="preserve"> acid) </w:t>
      </w:r>
      <w:r w:rsidR="00D200F4" w:rsidRPr="0071546E">
        <w:rPr>
          <w:rFonts w:ascii="Arial" w:eastAsia="Times New Roman" w:hAnsi="Arial" w:cs="Arial"/>
          <w:sz w:val="24"/>
          <w:szCs w:val="24"/>
          <w:lang w:eastAsia="en-GB"/>
        </w:rPr>
        <w:t>tetrasodium</w:t>
      </w:r>
      <w:r w:rsidRPr="0071546E">
        <w:rPr>
          <w:rFonts w:ascii="Arial" w:eastAsia="Times New Roman" w:hAnsi="Arial" w:cs="Arial"/>
          <w:sz w:val="24"/>
          <w:szCs w:val="24"/>
          <w:lang w:eastAsia="en-GB"/>
        </w:rPr>
        <w:t xml:space="preserve"> salt hydrate did not show any inhibitory effects on the pathogen. Their result was consistent with an earlier </w:t>
      </w:r>
      <w:r w:rsidR="00BA300B" w:rsidRPr="0071546E">
        <w:rPr>
          <w:rFonts w:ascii="Arial" w:eastAsia="Times New Roman" w:hAnsi="Arial" w:cs="Arial"/>
          <w:sz w:val="24"/>
          <w:szCs w:val="24"/>
          <w:lang w:eastAsia="en-GB"/>
        </w:rPr>
        <w:t>report, which explained</w:t>
      </w:r>
      <w:r w:rsidRPr="0071546E">
        <w:rPr>
          <w:rFonts w:ascii="Arial" w:eastAsia="Times New Roman" w:hAnsi="Arial" w:cs="Arial"/>
          <w:sz w:val="24"/>
          <w:szCs w:val="24"/>
          <w:lang w:eastAsia="en-GB"/>
        </w:rPr>
        <w:t xml:space="preserve"> that among other factors</w:t>
      </w:r>
      <w:r w:rsidR="00BA300B"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 that the charge and lipophilicity of a porphyrin significantly affect its photodynamic efficacy</w:t>
      </w:r>
      <w:r w:rsidR="00BA300B" w:rsidRPr="0071546E">
        <w:rPr>
          <w:rFonts w:ascii="Arial" w:eastAsia="Times New Roman" w:hAnsi="Arial" w:cs="Arial"/>
          <w:sz w:val="24"/>
          <w:szCs w:val="24"/>
          <w:lang w:eastAsia="en-GB"/>
        </w:rPr>
        <w:t xml:space="preserve"> (Benov, 2015)</w:t>
      </w:r>
      <w:r w:rsidRPr="0071546E">
        <w:rPr>
          <w:rFonts w:ascii="Arial" w:eastAsia="Times New Roman" w:hAnsi="Arial" w:cs="Arial"/>
          <w:sz w:val="24"/>
          <w:szCs w:val="24"/>
          <w:lang w:eastAsia="en-GB"/>
        </w:rPr>
        <w:t xml:space="preserve">. </w:t>
      </w:r>
      <w:r w:rsidR="00BA300B" w:rsidRPr="0071546E">
        <w:rPr>
          <w:rFonts w:ascii="Arial" w:eastAsia="Times New Roman" w:hAnsi="Arial" w:cs="Arial"/>
          <w:sz w:val="24"/>
          <w:szCs w:val="24"/>
          <w:lang w:eastAsia="en-GB"/>
        </w:rPr>
        <w:t>Other studies showed</w:t>
      </w:r>
      <w:r w:rsidRPr="0071546E">
        <w:rPr>
          <w:rFonts w:ascii="Arial" w:eastAsia="Times New Roman" w:hAnsi="Arial" w:cs="Arial"/>
          <w:sz w:val="24"/>
          <w:szCs w:val="24"/>
          <w:lang w:eastAsia="en-GB"/>
        </w:rPr>
        <w:t xml:space="preserve"> that the </w:t>
      </w:r>
      <w:r w:rsidR="00D200F4" w:rsidRPr="0071546E">
        <w:rPr>
          <w:rFonts w:ascii="Arial" w:eastAsia="Times New Roman" w:hAnsi="Arial" w:cs="Arial"/>
          <w:sz w:val="24"/>
          <w:szCs w:val="24"/>
          <w:lang w:eastAsia="en-GB"/>
        </w:rPr>
        <w:t xml:space="preserve">length of </w:t>
      </w:r>
      <w:r w:rsidR="00BA300B" w:rsidRPr="0071546E">
        <w:rPr>
          <w:rFonts w:ascii="Arial" w:eastAsia="Times New Roman" w:hAnsi="Arial" w:cs="Arial"/>
          <w:sz w:val="24"/>
          <w:szCs w:val="24"/>
          <w:lang w:eastAsia="en-GB"/>
        </w:rPr>
        <w:t>the side chains of meso-substituted porphyrins</w:t>
      </w:r>
      <w:r w:rsidR="00D200F4" w:rsidRPr="0071546E">
        <w:rPr>
          <w:rFonts w:ascii="Arial" w:eastAsia="Times New Roman" w:hAnsi="Arial" w:cs="Arial"/>
          <w:sz w:val="24"/>
          <w:szCs w:val="24"/>
          <w:lang w:eastAsia="en-GB"/>
        </w:rPr>
        <w:t xml:space="preserve"> affected the</w:t>
      </w:r>
      <w:r w:rsidR="00BA300B" w:rsidRPr="0071546E">
        <w:rPr>
          <w:rFonts w:ascii="Arial" w:eastAsia="Times New Roman" w:hAnsi="Arial" w:cs="Arial"/>
          <w:sz w:val="24"/>
          <w:szCs w:val="24"/>
          <w:lang w:eastAsia="en-GB"/>
        </w:rPr>
        <w:t xml:space="preserve">ir uptake (Ezzeddine et al., 2013).  </w:t>
      </w:r>
      <w:r w:rsidRPr="0071546E">
        <w:rPr>
          <w:rFonts w:ascii="Arial" w:eastAsia="Times New Roman" w:hAnsi="Arial" w:cs="Arial"/>
          <w:sz w:val="24"/>
          <w:szCs w:val="24"/>
          <w:lang w:eastAsia="en-GB"/>
        </w:rPr>
        <w:t xml:space="preserve">They further explained that </w:t>
      </w:r>
      <w:r w:rsidR="00CB7360" w:rsidRPr="0071546E">
        <w:rPr>
          <w:rFonts w:ascii="Arial" w:eastAsia="Times New Roman" w:hAnsi="Arial" w:cs="Arial"/>
          <w:sz w:val="24"/>
          <w:szCs w:val="24"/>
          <w:lang w:eastAsia="en-GB"/>
        </w:rPr>
        <w:t>although</w:t>
      </w:r>
      <w:r w:rsidRPr="0071546E">
        <w:rPr>
          <w:rFonts w:ascii="Arial" w:eastAsia="Times New Roman" w:hAnsi="Arial" w:cs="Arial"/>
          <w:sz w:val="24"/>
          <w:szCs w:val="24"/>
          <w:lang w:eastAsia="en-GB"/>
        </w:rPr>
        <w:t>, electrostatic induction causes the positively charged anionic porphyrin to bind to the target tissue</w:t>
      </w:r>
      <w:r w:rsidR="00BA300B" w:rsidRPr="0071546E">
        <w:rPr>
          <w:rFonts w:ascii="Arial" w:eastAsia="Times New Roman" w:hAnsi="Arial" w:cs="Arial"/>
          <w:sz w:val="24"/>
          <w:szCs w:val="24"/>
          <w:lang w:eastAsia="en-GB"/>
        </w:rPr>
        <w:t xml:space="preserve"> but that at the locality of the lipid bilayer, hydrophobic forces </w:t>
      </w:r>
      <w:r w:rsidR="00CB7360" w:rsidRPr="0071546E">
        <w:rPr>
          <w:rFonts w:ascii="Arial" w:eastAsia="Times New Roman" w:hAnsi="Arial" w:cs="Arial"/>
          <w:sz w:val="24"/>
          <w:szCs w:val="24"/>
          <w:lang w:eastAsia="en-GB"/>
        </w:rPr>
        <w:t>dominate and inhibit permeability</w:t>
      </w:r>
      <w:r w:rsidRPr="0071546E">
        <w:rPr>
          <w:rFonts w:ascii="Arial" w:eastAsia="Times New Roman" w:hAnsi="Arial" w:cs="Arial"/>
          <w:sz w:val="24"/>
          <w:szCs w:val="24"/>
          <w:lang w:eastAsia="en-GB"/>
        </w:rPr>
        <w:t xml:space="preserve"> </w:t>
      </w:r>
    </w:p>
    <w:p w:rsidR="00406B96" w:rsidRPr="0071546E" w:rsidRDefault="00406B96"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Other studies consistent with this assumption by Ezzeddine, (2013) interestingly showed that the uptake of porphyrins by cells increases by the increasing length of the alkyl chain (Pavani et al., 2009). </w:t>
      </w:r>
      <w:r w:rsidR="00CB7360" w:rsidRPr="0071546E">
        <w:rPr>
          <w:rFonts w:ascii="Arial" w:eastAsia="Times New Roman" w:hAnsi="Arial" w:cs="Arial"/>
          <w:sz w:val="24"/>
          <w:szCs w:val="24"/>
          <w:lang w:eastAsia="en-GB"/>
        </w:rPr>
        <w:t>This study evaluated the</w:t>
      </w:r>
      <w:r w:rsidRPr="0071546E">
        <w:rPr>
          <w:rFonts w:ascii="Arial" w:eastAsia="Times New Roman" w:hAnsi="Arial" w:cs="Arial"/>
          <w:sz w:val="24"/>
          <w:szCs w:val="24"/>
          <w:lang w:eastAsia="en-GB"/>
        </w:rPr>
        <w:t xml:space="preserve"> properties of several photosensitizers, including their uptake, transport through vesicle and retention inside the cells. Pavani and co-workers reported that even though the photo</w:t>
      </w:r>
      <w:r w:rsidR="007B5A5E"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physical characteristics of porphyrins are the same, that their uptake by cells is greatly enhanced by their lipophilicity and membrane potential. Pavani et </w:t>
      </w:r>
      <w:r w:rsidR="00D200F4" w:rsidRPr="0071546E">
        <w:rPr>
          <w:rFonts w:ascii="Arial" w:eastAsia="Times New Roman" w:hAnsi="Arial" w:cs="Arial"/>
          <w:sz w:val="24"/>
          <w:szCs w:val="24"/>
          <w:lang w:eastAsia="en-GB"/>
        </w:rPr>
        <w:t>al (</w:t>
      </w:r>
      <w:r w:rsidRPr="0071546E">
        <w:rPr>
          <w:rFonts w:ascii="Arial" w:eastAsia="Times New Roman" w:hAnsi="Arial" w:cs="Arial"/>
          <w:sz w:val="24"/>
          <w:szCs w:val="24"/>
          <w:lang w:eastAsia="en-GB"/>
        </w:rPr>
        <w:t>2009</w:t>
      </w:r>
      <w:r w:rsidR="0070684E"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 </w:t>
      </w:r>
      <w:r w:rsidR="00CB7360" w:rsidRPr="0071546E">
        <w:rPr>
          <w:rFonts w:ascii="Arial" w:eastAsia="Times New Roman" w:hAnsi="Arial" w:cs="Arial"/>
          <w:sz w:val="24"/>
          <w:szCs w:val="24"/>
          <w:lang w:eastAsia="en-GB"/>
        </w:rPr>
        <w:t>showed that</w:t>
      </w:r>
      <w:r w:rsidRPr="0071546E">
        <w:rPr>
          <w:rFonts w:ascii="Arial" w:eastAsia="Times New Roman" w:hAnsi="Arial" w:cs="Arial"/>
          <w:sz w:val="24"/>
          <w:szCs w:val="24"/>
          <w:lang w:eastAsia="en-GB"/>
        </w:rPr>
        <w:t xml:space="preserve"> the </w:t>
      </w:r>
      <w:r w:rsidR="00CB7360" w:rsidRPr="0071546E">
        <w:rPr>
          <w:rFonts w:ascii="Arial" w:eastAsia="Times New Roman" w:hAnsi="Arial" w:cs="Arial"/>
          <w:sz w:val="24"/>
          <w:szCs w:val="24"/>
          <w:lang w:eastAsia="en-GB"/>
        </w:rPr>
        <w:t>phototoxi</w:t>
      </w:r>
      <w:r w:rsidR="00CA543B" w:rsidRPr="0071546E">
        <w:rPr>
          <w:rFonts w:ascii="Arial" w:eastAsia="Times New Roman" w:hAnsi="Arial" w:cs="Arial"/>
          <w:sz w:val="24"/>
          <w:szCs w:val="24"/>
          <w:lang w:eastAsia="en-GB"/>
        </w:rPr>
        <w:t>c</w:t>
      </w:r>
      <w:r w:rsidR="00CB7360" w:rsidRPr="0071546E">
        <w:rPr>
          <w:rFonts w:ascii="Arial" w:eastAsia="Times New Roman" w:hAnsi="Arial" w:cs="Arial"/>
          <w:sz w:val="24"/>
          <w:szCs w:val="24"/>
          <w:lang w:eastAsia="en-GB"/>
        </w:rPr>
        <w:t>ity</w:t>
      </w:r>
      <w:r w:rsidRPr="0071546E">
        <w:rPr>
          <w:rFonts w:ascii="Arial" w:eastAsia="Times New Roman" w:hAnsi="Arial" w:cs="Arial"/>
          <w:sz w:val="24"/>
          <w:szCs w:val="24"/>
          <w:lang w:eastAsia="en-GB"/>
        </w:rPr>
        <w:t xml:space="preserve"> of porphyrins increases proportionately with membrane</w:t>
      </w:r>
      <w:r w:rsidR="00563D9A" w:rsidRPr="0071546E">
        <w:rPr>
          <w:rFonts w:ascii="Arial" w:eastAsia="Times New Roman" w:hAnsi="Arial" w:cs="Arial"/>
          <w:sz w:val="24"/>
          <w:szCs w:val="24"/>
          <w:lang w:eastAsia="en-GB"/>
        </w:rPr>
        <w:t>-</w:t>
      </w:r>
      <w:r w:rsidRPr="0071546E">
        <w:rPr>
          <w:rFonts w:ascii="Arial" w:eastAsia="Times New Roman" w:hAnsi="Arial" w:cs="Arial"/>
          <w:sz w:val="24"/>
          <w:szCs w:val="24"/>
          <w:lang w:eastAsia="en-GB"/>
        </w:rPr>
        <w:t xml:space="preserve">binding efficacy. In </w:t>
      </w:r>
      <w:r w:rsidR="00CB7360" w:rsidRPr="0071546E">
        <w:rPr>
          <w:rFonts w:ascii="Arial" w:eastAsia="Times New Roman" w:hAnsi="Arial" w:cs="Arial"/>
          <w:sz w:val="24"/>
          <w:szCs w:val="24"/>
          <w:lang w:eastAsia="en-GB"/>
        </w:rPr>
        <w:t>agreement</w:t>
      </w:r>
      <w:r w:rsidRPr="0071546E">
        <w:rPr>
          <w:rFonts w:ascii="Arial" w:eastAsia="Times New Roman" w:hAnsi="Arial" w:cs="Arial"/>
          <w:sz w:val="24"/>
          <w:szCs w:val="24"/>
          <w:lang w:eastAsia="en-GB"/>
        </w:rPr>
        <w:t xml:space="preserve"> with all contribution</w:t>
      </w:r>
      <w:r w:rsidR="00CB7360" w:rsidRPr="0071546E">
        <w:rPr>
          <w:rFonts w:ascii="Arial" w:eastAsia="Times New Roman" w:hAnsi="Arial" w:cs="Arial"/>
          <w:sz w:val="24"/>
          <w:szCs w:val="24"/>
          <w:lang w:eastAsia="en-GB"/>
        </w:rPr>
        <w:t>s</w:t>
      </w:r>
      <w:r w:rsidRPr="0071546E">
        <w:rPr>
          <w:rFonts w:ascii="Arial" w:eastAsia="Times New Roman" w:hAnsi="Arial" w:cs="Arial"/>
          <w:sz w:val="24"/>
          <w:szCs w:val="24"/>
          <w:lang w:eastAsia="en-GB"/>
        </w:rPr>
        <w:t xml:space="preserve"> so far (Pavani et al., </w:t>
      </w:r>
      <w:r w:rsidR="002517BD" w:rsidRPr="0071546E">
        <w:rPr>
          <w:rFonts w:ascii="Arial" w:eastAsia="Times New Roman" w:hAnsi="Arial" w:cs="Arial"/>
          <w:sz w:val="24"/>
          <w:szCs w:val="24"/>
          <w:lang w:eastAsia="en-GB"/>
        </w:rPr>
        <w:t>2009;</w:t>
      </w:r>
      <w:r w:rsidRPr="0071546E">
        <w:rPr>
          <w:rFonts w:ascii="Arial" w:eastAsia="Times New Roman" w:hAnsi="Arial" w:cs="Arial"/>
          <w:sz w:val="24"/>
          <w:szCs w:val="24"/>
          <w:lang w:eastAsia="en-GB"/>
        </w:rPr>
        <w:t xml:space="preserve"> Ezzeddine et al., 2013; Benov , 2015; Malara et al., 2017), photodynamic treatment of </w:t>
      </w:r>
      <w:r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cysts and trophozoites with a lipophilic, non-polar cationic porphyrin,  5, 10, 15, 20-tetrakis (1-methyl-4-pyridino) porphyrin tetra (P-toluene sulfonate) showed significant activity . 5, 10, 15, 20-tetrakis (1-methyl-4-pyridino) porphyrin tetra (P-toluene sulfonate), was able to inhibit in a concentration-dependent manner more than 90% trophozoites and about 80% cysts after photodynamic treatment</w:t>
      </w:r>
      <w:r w:rsidR="00CB7360" w:rsidRPr="0071546E">
        <w:rPr>
          <w:rFonts w:ascii="Arial" w:eastAsia="Times New Roman" w:hAnsi="Arial" w:cs="Arial"/>
          <w:sz w:val="24"/>
          <w:szCs w:val="24"/>
          <w:lang w:eastAsia="en-GB"/>
        </w:rPr>
        <w:t xml:space="preserve"> fig 3.29</w:t>
      </w:r>
      <w:r w:rsidRPr="0071546E">
        <w:rPr>
          <w:rFonts w:ascii="Arial" w:eastAsia="Times New Roman" w:hAnsi="Arial" w:cs="Arial"/>
          <w:sz w:val="24"/>
          <w:szCs w:val="24"/>
          <w:lang w:eastAsia="en-GB"/>
        </w:rPr>
        <w:t xml:space="preserve">. </w:t>
      </w:r>
      <w:r w:rsidR="00CB7360" w:rsidRPr="0071546E">
        <w:rPr>
          <w:rFonts w:ascii="Arial" w:eastAsia="Times New Roman" w:hAnsi="Arial" w:cs="Arial"/>
          <w:sz w:val="24"/>
          <w:szCs w:val="24"/>
          <w:lang w:eastAsia="en-GB"/>
        </w:rPr>
        <w:t xml:space="preserve"> As seen in fig 3.29,</w:t>
      </w:r>
      <w:r w:rsidRPr="0071546E">
        <w:rPr>
          <w:rFonts w:ascii="Arial" w:eastAsia="Times New Roman" w:hAnsi="Arial" w:cs="Arial"/>
          <w:sz w:val="24"/>
          <w:szCs w:val="24"/>
          <w:lang w:eastAsia="en-GB"/>
        </w:rPr>
        <w:t xml:space="preserve"> the highest concentration</w:t>
      </w:r>
      <w:r w:rsidR="00CB7360" w:rsidRPr="0071546E">
        <w:rPr>
          <w:rFonts w:ascii="Arial" w:eastAsia="Times New Roman" w:hAnsi="Arial" w:cs="Arial"/>
          <w:sz w:val="24"/>
          <w:szCs w:val="24"/>
          <w:lang w:eastAsia="en-GB"/>
        </w:rPr>
        <w:t xml:space="preserve"> of porphyrin used for this study was not lethal for</w:t>
      </w:r>
      <w:r w:rsidRPr="0071546E">
        <w:rPr>
          <w:rFonts w:ascii="Arial" w:eastAsia="Times New Roman" w:hAnsi="Arial" w:cs="Arial"/>
          <w:sz w:val="24"/>
          <w:szCs w:val="24"/>
          <w:lang w:eastAsia="en-GB"/>
        </w:rPr>
        <w:t xml:space="preserve"> cysts nor trophozoites. The efficacy of 5, 10, 15, 20-tetrakis (1-methyl-4-pyridino) porphyrin tetra (P-tol</w:t>
      </w:r>
      <w:r w:rsidR="00DC4179" w:rsidRPr="0071546E">
        <w:rPr>
          <w:rFonts w:ascii="Arial" w:eastAsia="Times New Roman" w:hAnsi="Arial" w:cs="Arial"/>
          <w:sz w:val="24"/>
          <w:szCs w:val="24"/>
          <w:lang w:eastAsia="en-GB"/>
        </w:rPr>
        <w:t>uene sulfonate) to</w:t>
      </w:r>
      <w:r w:rsidRPr="0071546E">
        <w:rPr>
          <w:rFonts w:ascii="Arial" w:eastAsia="Times New Roman" w:hAnsi="Arial" w:cs="Arial"/>
          <w:sz w:val="24"/>
          <w:szCs w:val="24"/>
          <w:lang w:eastAsia="en-GB"/>
        </w:rPr>
        <w:t xml:space="preserve"> inhibit </w:t>
      </w:r>
      <w:r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cells can be attributed to its increased cellular uptake observed after the binding strength experiment</w:t>
      </w:r>
      <w:r w:rsidR="004242D8" w:rsidRPr="0071546E">
        <w:rPr>
          <w:rFonts w:ascii="Arial" w:eastAsia="Times New Roman" w:hAnsi="Arial" w:cs="Arial"/>
          <w:sz w:val="24"/>
          <w:szCs w:val="24"/>
          <w:lang w:eastAsia="en-GB"/>
        </w:rPr>
        <w:t xml:space="preserve"> fig 3.23</w:t>
      </w:r>
      <w:r w:rsidRPr="0071546E">
        <w:rPr>
          <w:rFonts w:ascii="Arial" w:eastAsia="Times New Roman" w:hAnsi="Arial" w:cs="Arial"/>
          <w:sz w:val="24"/>
          <w:szCs w:val="24"/>
          <w:lang w:eastAsia="en-GB"/>
        </w:rPr>
        <w:t xml:space="preserve">. Further experiment performed with another non-polar lipophilic cationic porphyrin 5, 10, 15, 20- tetrakis (pentafluorophenyl)-21H, 23H-porphine </w:t>
      </w:r>
      <w:r w:rsidR="004978B7" w:rsidRPr="0071546E">
        <w:rPr>
          <w:rFonts w:ascii="Arial" w:eastAsia="Times New Roman" w:hAnsi="Arial" w:cs="Arial"/>
          <w:sz w:val="24"/>
          <w:szCs w:val="24"/>
          <w:lang w:eastAsia="en-GB"/>
        </w:rPr>
        <w:t>benzene sulfonic acid</w:t>
      </w:r>
      <w:r w:rsidRPr="0071546E">
        <w:rPr>
          <w:rFonts w:ascii="Arial" w:eastAsia="Times New Roman" w:hAnsi="Arial" w:cs="Arial"/>
          <w:sz w:val="24"/>
          <w:szCs w:val="24"/>
          <w:lang w:eastAsia="en-GB"/>
        </w:rPr>
        <w:t xml:space="preserve"> showed enhanced photodynamic activity also supported by its superior binding affinity to </w:t>
      </w:r>
      <w:r w:rsidR="00D200F4" w:rsidRPr="0071546E">
        <w:rPr>
          <w:rFonts w:ascii="Arial" w:eastAsia="Times New Roman" w:hAnsi="Arial" w:cs="Arial"/>
          <w:i/>
          <w:sz w:val="24"/>
          <w:szCs w:val="24"/>
          <w:lang w:eastAsia="en-GB"/>
        </w:rPr>
        <w:t>Acanthamoeba</w:t>
      </w:r>
      <w:r w:rsidRPr="0071546E">
        <w:rPr>
          <w:rFonts w:ascii="Arial" w:eastAsia="Times New Roman" w:hAnsi="Arial" w:cs="Arial"/>
          <w:i/>
          <w:sz w:val="24"/>
          <w:szCs w:val="24"/>
          <w:lang w:eastAsia="en-GB"/>
        </w:rPr>
        <w:t xml:space="preserve"> </w:t>
      </w:r>
      <w:r w:rsidR="00367501" w:rsidRPr="0071546E">
        <w:rPr>
          <w:rFonts w:ascii="Arial" w:eastAsia="Times New Roman" w:hAnsi="Arial" w:cs="Arial"/>
          <w:sz w:val="24"/>
          <w:szCs w:val="24"/>
          <w:lang w:eastAsia="en-GB"/>
        </w:rPr>
        <w:t>cells</w:t>
      </w:r>
      <w:r w:rsidR="004242D8" w:rsidRPr="0071546E">
        <w:rPr>
          <w:rFonts w:ascii="Arial" w:eastAsia="Times New Roman" w:hAnsi="Arial" w:cs="Arial"/>
          <w:sz w:val="24"/>
          <w:szCs w:val="24"/>
          <w:lang w:eastAsia="en-GB"/>
        </w:rPr>
        <w:t xml:space="preserve"> fig 3.24</w:t>
      </w:r>
      <w:r w:rsidR="00367501" w:rsidRPr="0071546E">
        <w:rPr>
          <w:rFonts w:ascii="Arial" w:eastAsia="Times New Roman" w:hAnsi="Arial" w:cs="Arial"/>
          <w:sz w:val="24"/>
          <w:szCs w:val="24"/>
          <w:lang w:eastAsia="en-GB"/>
        </w:rPr>
        <w:t xml:space="preserve">. </w:t>
      </w:r>
      <w:r w:rsidR="006F4D72" w:rsidRPr="0071546E">
        <w:rPr>
          <w:rFonts w:ascii="Arial" w:eastAsia="Times New Roman" w:hAnsi="Arial" w:cs="Arial"/>
          <w:sz w:val="24"/>
          <w:szCs w:val="24"/>
          <w:lang w:eastAsia="en-GB"/>
        </w:rPr>
        <w:t xml:space="preserve">5,10,15,20-Tetrakis(pentafluorophenyl)-21H,23H-porphyrin iron (III) chloride </w:t>
      </w:r>
      <w:r w:rsidRPr="0071546E">
        <w:rPr>
          <w:rFonts w:ascii="Arial" w:eastAsia="Times New Roman" w:hAnsi="Arial" w:cs="Arial"/>
          <w:sz w:val="24"/>
          <w:szCs w:val="24"/>
          <w:lang w:eastAsia="en-GB"/>
        </w:rPr>
        <w:t xml:space="preserve">is a non-polar cationic Iron substituted mesoporphyrin. The binding strength of this porphyrin evaluated in the present report was higher than its anionic </w:t>
      </w:r>
      <w:r w:rsidR="004242D8" w:rsidRPr="0071546E">
        <w:rPr>
          <w:rFonts w:ascii="Arial" w:eastAsia="Times New Roman" w:hAnsi="Arial" w:cs="Arial"/>
          <w:sz w:val="24"/>
          <w:szCs w:val="24"/>
          <w:lang w:eastAsia="en-GB"/>
        </w:rPr>
        <w:t>counterpart’s fig 3.24</w:t>
      </w:r>
      <w:r w:rsidRPr="0071546E">
        <w:rPr>
          <w:rFonts w:ascii="Arial" w:eastAsia="Times New Roman" w:hAnsi="Arial" w:cs="Arial"/>
          <w:sz w:val="24"/>
          <w:szCs w:val="24"/>
          <w:lang w:eastAsia="en-GB"/>
        </w:rPr>
        <w:t xml:space="preserve">. </w:t>
      </w:r>
      <w:r w:rsidR="00302DD8" w:rsidRPr="0071546E">
        <w:rPr>
          <w:rFonts w:ascii="Arial" w:eastAsia="Times New Roman" w:hAnsi="Arial" w:cs="Arial"/>
          <w:sz w:val="24"/>
          <w:szCs w:val="24"/>
          <w:lang w:eastAsia="en-GB"/>
        </w:rPr>
        <w:t>(Pavani et al 2009) have explained the reason for this</w:t>
      </w:r>
      <w:r w:rsidRPr="0071546E">
        <w:rPr>
          <w:rFonts w:ascii="Arial" w:eastAsia="Times New Roman" w:hAnsi="Arial" w:cs="Arial"/>
          <w:sz w:val="24"/>
          <w:szCs w:val="24"/>
          <w:lang w:eastAsia="en-GB"/>
        </w:rPr>
        <w:t xml:space="preserve">. </w:t>
      </w:r>
      <w:r w:rsidR="004242D8" w:rsidRPr="0071546E">
        <w:rPr>
          <w:rFonts w:ascii="Arial" w:eastAsia="Times New Roman" w:hAnsi="Arial" w:cs="Arial"/>
          <w:sz w:val="24"/>
          <w:szCs w:val="24"/>
          <w:lang w:eastAsia="en-GB"/>
        </w:rPr>
        <w:t xml:space="preserve">They showed that </w:t>
      </w:r>
      <w:r w:rsidR="00CA543B" w:rsidRPr="0071546E">
        <w:rPr>
          <w:rFonts w:ascii="Arial" w:eastAsia="Times New Roman" w:hAnsi="Arial" w:cs="Arial"/>
          <w:sz w:val="24"/>
          <w:szCs w:val="24"/>
          <w:lang w:eastAsia="en-GB"/>
        </w:rPr>
        <w:t>M</w:t>
      </w:r>
      <w:r w:rsidRPr="0071546E">
        <w:rPr>
          <w:rFonts w:ascii="Arial" w:eastAsia="Times New Roman" w:hAnsi="Arial" w:cs="Arial"/>
          <w:sz w:val="24"/>
          <w:szCs w:val="24"/>
          <w:lang w:eastAsia="en-GB"/>
        </w:rPr>
        <w:t>etallo-conjugated porphyrins have enhanced permeability into mammalian cells. The reason for this they explained was enhanced permeability stimulated by metal-phosphate complexes formed by the interaction of Iron with the phosphate in phospholipid bilayer to form Iron phosphate complex.  Further experiment with 5</w:t>
      </w:r>
      <w:r w:rsidR="00D200F4" w:rsidRPr="0071546E">
        <w:rPr>
          <w:rFonts w:ascii="Arial" w:eastAsia="Times New Roman" w:hAnsi="Arial" w:cs="Arial"/>
          <w:sz w:val="24"/>
          <w:szCs w:val="24"/>
          <w:lang w:eastAsia="en-GB"/>
        </w:rPr>
        <w:t>, 10, 15, 20</w:t>
      </w:r>
      <w:r w:rsidRPr="0071546E">
        <w:rPr>
          <w:rFonts w:ascii="Arial" w:eastAsia="Times New Roman" w:hAnsi="Arial" w:cs="Arial"/>
          <w:sz w:val="24"/>
          <w:szCs w:val="24"/>
          <w:lang w:eastAsia="en-GB"/>
        </w:rPr>
        <w:t>-tetraphenyl</w:t>
      </w:r>
      <w:r w:rsidR="004978B7"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porphin</w:t>
      </w:r>
      <w:r w:rsidR="004978B7" w:rsidRPr="0071546E">
        <w:rPr>
          <w:rFonts w:ascii="Arial" w:eastAsia="Times New Roman" w:hAnsi="Arial" w:cs="Arial"/>
          <w:sz w:val="24"/>
          <w:szCs w:val="24"/>
          <w:lang w:eastAsia="en-GB"/>
        </w:rPr>
        <w:t>e</w:t>
      </w:r>
      <w:r w:rsidRPr="0071546E">
        <w:rPr>
          <w:rFonts w:ascii="Arial" w:eastAsia="Times New Roman" w:hAnsi="Arial" w:cs="Arial"/>
          <w:sz w:val="24"/>
          <w:szCs w:val="24"/>
          <w:lang w:eastAsia="en-GB"/>
        </w:rPr>
        <w:t xml:space="preserve"> </w:t>
      </w:r>
      <w:r w:rsidR="004242D8" w:rsidRPr="0071546E">
        <w:rPr>
          <w:rFonts w:ascii="Arial" w:eastAsia="Times New Roman" w:hAnsi="Arial" w:cs="Arial"/>
          <w:sz w:val="24"/>
          <w:szCs w:val="24"/>
          <w:lang w:eastAsia="en-GB"/>
        </w:rPr>
        <w:t>showed some</w:t>
      </w:r>
      <w:r w:rsidRPr="0071546E">
        <w:rPr>
          <w:rFonts w:ascii="Arial" w:eastAsia="Times New Roman" w:hAnsi="Arial" w:cs="Arial"/>
          <w:sz w:val="24"/>
          <w:szCs w:val="24"/>
          <w:lang w:eastAsia="en-GB"/>
        </w:rPr>
        <w:t xml:space="preserve"> activity against the trophozoites of </w:t>
      </w:r>
      <w:r w:rsidRPr="0071546E">
        <w:rPr>
          <w:rFonts w:ascii="Arial" w:eastAsia="Times New Roman" w:hAnsi="Arial" w:cs="Arial"/>
          <w:i/>
          <w:sz w:val="24"/>
          <w:szCs w:val="24"/>
          <w:lang w:eastAsia="en-GB"/>
        </w:rPr>
        <w:t>Acanthamoeba</w:t>
      </w:r>
      <w:r w:rsidR="004242D8" w:rsidRPr="0071546E">
        <w:rPr>
          <w:rFonts w:ascii="Arial" w:eastAsia="Times New Roman" w:hAnsi="Arial" w:cs="Arial"/>
          <w:i/>
          <w:sz w:val="24"/>
          <w:szCs w:val="24"/>
          <w:lang w:eastAsia="en-GB"/>
        </w:rPr>
        <w:t xml:space="preserve"> </w:t>
      </w:r>
      <w:r w:rsidR="00411AC8" w:rsidRPr="0071546E">
        <w:rPr>
          <w:rFonts w:ascii="Arial" w:eastAsia="Times New Roman" w:hAnsi="Arial" w:cs="Arial"/>
          <w:sz w:val="24"/>
          <w:szCs w:val="24"/>
          <w:lang w:eastAsia="en-GB"/>
        </w:rPr>
        <w:t>fig 3.35</w:t>
      </w:r>
      <w:r w:rsidR="004242D8" w:rsidRPr="0071546E">
        <w:rPr>
          <w:rFonts w:ascii="Arial" w:eastAsia="Times New Roman" w:hAnsi="Arial" w:cs="Arial"/>
          <w:sz w:val="24"/>
          <w:szCs w:val="24"/>
          <w:lang w:eastAsia="en-GB"/>
        </w:rPr>
        <w:t>;</w:t>
      </w:r>
      <w:r w:rsidR="00486E52" w:rsidRPr="0071546E">
        <w:rPr>
          <w:rFonts w:ascii="Arial" w:eastAsia="Times New Roman" w:hAnsi="Arial" w:cs="Arial"/>
          <w:sz w:val="24"/>
          <w:szCs w:val="24"/>
          <w:lang w:eastAsia="en-GB"/>
        </w:rPr>
        <w:t xml:space="preserve"> however,</w:t>
      </w:r>
      <w:r w:rsidRPr="0071546E">
        <w:rPr>
          <w:rFonts w:ascii="Arial" w:eastAsia="Times New Roman" w:hAnsi="Arial" w:cs="Arial"/>
          <w:sz w:val="24"/>
          <w:szCs w:val="24"/>
          <w:lang w:eastAsia="en-GB"/>
        </w:rPr>
        <w:t xml:space="preserve"> there was no effect on the cysts</w:t>
      </w:r>
      <w:r w:rsidR="00411AC8" w:rsidRPr="0071546E">
        <w:rPr>
          <w:rFonts w:ascii="Arial" w:eastAsia="Times New Roman" w:hAnsi="Arial" w:cs="Arial"/>
          <w:sz w:val="24"/>
          <w:szCs w:val="24"/>
          <w:lang w:eastAsia="en-GB"/>
        </w:rPr>
        <w:t xml:space="preserve"> fig 3.36</w:t>
      </w:r>
      <w:r w:rsidRPr="0071546E">
        <w:rPr>
          <w:rFonts w:ascii="Arial" w:eastAsia="Times New Roman" w:hAnsi="Arial" w:cs="Arial"/>
          <w:sz w:val="24"/>
          <w:szCs w:val="24"/>
          <w:lang w:eastAsia="en-GB"/>
        </w:rPr>
        <w:t xml:space="preserve">. This is again is linked to the degree of permeability of photosensitiser through </w:t>
      </w:r>
      <w:r w:rsidRPr="0071546E">
        <w:rPr>
          <w:rFonts w:ascii="Arial" w:eastAsia="Times New Roman" w:hAnsi="Arial" w:cs="Arial"/>
          <w:i/>
          <w:sz w:val="24"/>
          <w:szCs w:val="24"/>
          <w:lang w:eastAsia="en-GB"/>
        </w:rPr>
        <w:t>Acanthamoeba</w:t>
      </w:r>
      <w:r w:rsidRPr="0071546E">
        <w:rPr>
          <w:rFonts w:ascii="Arial" w:eastAsia="Times New Roman" w:hAnsi="Arial" w:cs="Arial"/>
          <w:sz w:val="24"/>
          <w:szCs w:val="24"/>
          <w:lang w:eastAsia="en-GB"/>
        </w:rPr>
        <w:t xml:space="preserve"> cells, which was less compared to 5, 10, 15, 20-tetrakis (1-methyl-4-pyridino) porphyrin tetra (P-toluene sulfonate) and 5, 10, 15, 20- tetrakis (pentafluorophenyl)-21H, 23H-porphine Iron (III) chloride. Studies have suggested poor permeability of 5</w:t>
      </w:r>
      <w:r w:rsidR="00D200F4" w:rsidRPr="0071546E">
        <w:rPr>
          <w:rFonts w:ascii="Arial" w:eastAsia="Times New Roman" w:hAnsi="Arial" w:cs="Arial"/>
          <w:sz w:val="24"/>
          <w:szCs w:val="24"/>
          <w:lang w:eastAsia="en-GB"/>
        </w:rPr>
        <w:t>, 10, 15, 20</w:t>
      </w:r>
      <w:r w:rsidRPr="0071546E">
        <w:rPr>
          <w:rFonts w:ascii="Arial" w:eastAsia="Times New Roman" w:hAnsi="Arial" w:cs="Arial"/>
          <w:sz w:val="24"/>
          <w:szCs w:val="24"/>
          <w:lang w:eastAsia="en-GB"/>
        </w:rPr>
        <w:t>-tetraphenyl</w:t>
      </w:r>
      <w:r w:rsidR="00411AC8" w:rsidRPr="0071546E">
        <w:rPr>
          <w:rFonts w:ascii="Arial" w:eastAsia="Times New Roman" w:hAnsi="Arial" w:cs="Arial"/>
          <w:sz w:val="24"/>
          <w:szCs w:val="24"/>
          <w:lang w:eastAsia="en-GB"/>
        </w:rPr>
        <w:t xml:space="preserve"> </w:t>
      </w:r>
      <w:r w:rsidRPr="0071546E">
        <w:rPr>
          <w:rFonts w:ascii="Arial" w:eastAsia="Times New Roman" w:hAnsi="Arial" w:cs="Arial"/>
          <w:sz w:val="24"/>
          <w:szCs w:val="24"/>
          <w:lang w:eastAsia="en-GB"/>
        </w:rPr>
        <w:t xml:space="preserve">porphin through mammalian cells (Skidan, Dholakia and Torchilin, 2008). </w:t>
      </w:r>
      <w:r w:rsidR="007F7881" w:rsidRPr="0071546E">
        <w:rPr>
          <w:rFonts w:ascii="Arial" w:eastAsia="Times New Roman" w:hAnsi="Arial" w:cs="Arial"/>
          <w:sz w:val="24"/>
          <w:szCs w:val="24"/>
          <w:lang w:eastAsia="en-GB"/>
        </w:rPr>
        <w:t xml:space="preserve">In this study, 5, 10, 15, 20-tetraphenylporphin was incorporated in a nano-vesicle of polyethene glycol-diacyl lipid micelles </w:t>
      </w:r>
      <w:r w:rsidRPr="0071546E">
        <w:rPr>
          <w:rFonts w:ascii="Arial" w:eastAsia="Times New Roman" w:hAnsi="Arial" w:cs="Arial"/>
          <w:sz w:val="24"/>
          <w:szCs w:val="24"/>
          <w:lang w:eastAsia="en-GB"/>
        </w:rPr>
        <w:t>to increase</w:t>
      </w:r>
      <w:r w:rsidR="007F7881" w:rsidRPr="0071546E">
        <w:rPr>
          <w:rFonts w:ascii="Arial" w:eastAsia="Times New Roman" w:hAnsi="Arial" w:cs="Arial"/>
          <w:sz w:val="24"/>
          <w:szCs w:val="24"/>
          <w:lang w:eastAsia="en-GB"/>
        </w:rPr>
        <w:t xml:space="preserve"> permeability through B-16 melanoma thereby increasing </w:t>
      </w:r>
      <w:r w:rsidRPr="0071546E">
        <w:rPr>
          <w:rFonts w:ascii="Arial" w:eastAsia="Times New Roman" w:hAnsi="Arial" w:cs="Arial"/>
          <w:sz w:val="24"/>
          <w:szCs w:val="24"/>
          <w:lang w:eastAsia="en-GB"/>
        </w:rPr>
        <w:t xml:space="preserve">photodynamic activity. </w:t>
      </w:r>
      <w:r w:rsidR="007F7881" w:rsidRPr="0071546E">
        <w:rPr>
          <w:rFonts w:ascii="Arial" w:eastAsia="Times New Roman" w:hAnsi="Arial" w:cs="Arial"/>
          <w:sz w:val="24"/>
          <w:szCs w:val="24"/>
          <w:lang w:eastAsia="en-GB"/>
        </w:rPr>
        <w:t>Results in this report</w:t>
      </w:r>
      <w:r w:rsidRPr="0071546E">
        <w:rPr>
          <w:rFonts w:ascii="Arial" w:eastAsia="Times New Roman" w:hAnsi="Arial" w:cs="Arial"/>
          <w:sz w:val="24"/>
          <w:szCs w:val="24"/>
          <w:lang w:eastAsia="en-GB"/>
        </w:rPr>
        <w:t xml:space="preserve"> showed th</w:t>
      </w:r>
      <w:r w:rsidR="007F7881" w:rsidRPr="0071546E">
        <w:rPr>
          <w:rFonts w:ascii="Arial" w:eastAsia="Times New Roman" w:hAnsi="Arial" w:cs="Arial"/>
          <w:sz w:val="24"/>
          <w:szCs w:val="24"/>
          <w:lang w:eastAsia="en-GB"/>
        </w:rPr>
        <w:t>at</w:t>
      </w:r>
      <w:r w:rsidRPr="0071546E">
        <w:rPr>
          <w:rFonts w:ascii="Arial" w:eastAsia="Times New Roman" w:hAnsi="Arial" w:cs="Arial"/>
          <w:sz w:val="24"/>
          <w:szCs w:val="24"/>
          <w:lang w:eastAsia="en-GB"/>
        </w:rPr>
        <w:t xml:space="preserve"> incorporation of 5</w:t>
      </w:r>
      <w:r w:rsidR="00D200F4" w:rsidRPr="0071546E">
        <w:rPr>
          <w:rFonts w:ascii="Arial" w:eastAsia="Times New Roman" w:hAnsi="Arial" w:cs="Arial"/>
          <w:sz w:val="24"/>
          <w:szCs w:val="24"/>
          <w:lang w:eastAsia="en-GB"/>
        </w:rPr>
        <w:t>, 10, 15, 20</w:t>
      </w:r>
      <w:r w:rsidRPr="0071546E">
        <w:rPr>
          <w:rFonts w:ascii="Arial" w:eastAsia="Times New Roman" w:hAnsi="Arial" w:cs="Arial"/>
          <w:sz w:val="24"/>
          <w:szCs w:val="24"/>
          <w:lang w:eastAsia="en-GB"/>
        </w:rPr>
        <w:t>-tetraphenylporphin in polyethene glycol-diacyl lipid micelles enhanced its solubility by 150 folds compared to 5</w:t>
      </w:r>
      <w:r w:rsidR="00D200F4" w:rsidRPr="0071546E">
        <w:rPr>
          <w:rFonts w:ascii="Arial" w:eastAsia="Times New Roman" w:hAnsi="Arial" w:cs="Arial"/>
          <w:sz w:val="24"/>
          <w:szCs w:val="24"/>
          <w:lang w:eastAsia="en-GB"/>
        </w:rPr>
        <w:t>, 10, 15, 20</w:t>
      </w:r>
      <w:r w:rsidRPr="0071546E">
        <w:rPr>
          <w:rFonts w:ascii="Arial" w:eastAsia="Times New Roman" w:hAnsi="Arial" w:cs="Arial"/>
          <w:sz w:val="24"/>
          <w:szCs w:val="24"/>
          <w:lang w:eastAsia="en-GB"/>
        </w:rPr>
        <w:t xml:space="preserve">-tetraphenylporphin alone </w:t>
      </w:r>
      <w:r w:rsidR="00D200F4" w:rsidRPr="0071546E">
        <w:rPr>
          <w:rFonts w:ascii="Arial" w:eastAsia="Times New Roman" w:hAnsi="Arial" w:cs="Arial"/>
          <w:sz w:val="24"/>
          <w:szCs w:val="24"/>
          <w:lang w:eastAsia="en-GB"/>
        </w:rPr>
        <w:t>that</w:t>
      </w:r>
      <w:r w:rsidRPr="0071546E">
        <w:rPr>
          <w:rFonts w:ascii="Arial" w:eastAsia="Times New Roman" w:hAnsi="Arial" w:cs="Arial"/>
          <w:sz w:val="24"/>
          <w:szCs w:val="24"/>
          <w:lang w:eastAsia="en-GB"/>
        </w:rPr>
        <w:t xml:space="preserve"> was poorly permeable to B-16 melanoma cells. This work further confirmed our hypothesis that the reduced PDT efficacy of 5</w:t>
      </w:r>
      <w:r w:rsidR="00D200F4" w:rsidRPr="0071546E">
        <w:rPr>
          <w:rFonts w:ascii="Arial" w:eastAsia="Times New Roman" w:hAnsi="Arial" w:cs="Arial"/>
          <w:sz w:val="24"/>
          <w:szCs w:val="24"/>
          <w:lang w:eastAsia="en-GB"/>
        </w:rPr>
        <w:t>, 10, 15, 20</w:t>
      </w:r>
      <w:r w:rsidRPr="0071546E">
        <w:rPr>
          <w:rFonts w:ascii="Arial" w:eastAsia="Times New Roman" w:hAnsi="Arial" w:cs="Arial"/>
          <w:sz w:val="24"/>
          <w:szCs w:val="24"/>
          <w:lang w:eastAsia="en-GB"/>
        </w:rPr>
        <w:t xml:space="preserve">-tetraphenylporphin could be </w:t>
      </w:r>
      <w:r w:rsidR="00D200F4" w:rsidRPr="0071546E">
        <w:rPr>
          <w:rFonts w:ascii="Arial" w:eastAsia="Times New Roman" w:hAnsi="Arial" w:cs="Arial"/>
          <w:sz w:val="24"/>
          <w:szCs w:val="24"/>
          <w:lang w:eastAsia="en-GB"/>
        </w:rPr>
        <w:t>because</w:t>
      </w:r>
      <w:r w:rsidRPr="0071546E">
        <w:rPr>
          <w:rFonts w:ascii="Arial" w:eastAsia="Times New Roman" w:hAnsi="Arial" w:cs="Arial"/>
          <w:sz w:val="24"/>
          <w:szCs w:val="24"/>
          <w:lang w:eastAsia="en-GB"/>
        </w:rPr>
        <w:t xml:space="preserve"> of reduced permeability caused by poor solubility.</w:t>
      </w:r>
    </w:p>
    <w:p w:rsidR="00406B96" w:rsidRPr="0071546E" w:rsidRDefault="00406B96" w:rsidP="00CF13FE">
      <w:pPr>
        <w:spacing w:after="0" w:line="480" w:lineRule="auto"/>
        <w:ind w:left="1021" w:right="454"/>
        <w:jc w:val="both"/>
        <w:rPr>
          <w:rFonts w:ascii="Arial" w:eastAsia="Times New Roman" w:hAnsi="Arial" w:cs="Arial"/>
          <w:sz w:val="24"/>
          <w:szCs w:val="24"/>
          <w:lang w:eastAsia="en-GB"/>
        </w:rPr>
      </w:pPr>
    </w:p>
    <w:p w:rsidR="001267E3" w:rsidRPr="0071546E" w:rsidRDefault="001267E3" w:rsidP="00CF13FE">
      <w:pPr>
        <w:spacing w:after="0" w:line="480" w:lineRule="auto"/>
        <w:ind w:left="1021" w:right="454"/>
        <w:jc w:val="both"/>
        <w:rPr>
          <w:rFonts w:ascii="Arial" w:eastAsia="Times New Roman" w:hAnsi="Arial" w:cs="Arial"/>
          <w:sz w:val="24"/>
          <w:szCs w:val="24"/>
          <w:lang w:eastAsia="en-GB"/>
        </w:rPr>
      </w:pPr>
    </w:p>
    <w:p w:rsidR="00367501" w:rsidRPr="0071546E" w:rsidRDefault="00F35C5E" w:rsidP="00CF13FE">
      <w:pPr>
        <w:spacing w:after="0" w:line="480" w:lineRule="auto"/>
        <w:ind w:left="1021" w:right="454"/>
        <w:jc w:val="both"/>
        <w:rPr>
          <w:rFonts w:ascii="Arial" w:eastAsia="Times New Roman" w:hAnsi="Arial" w:cs="Arial"/>
          <w:sz w:val="24"/>
          <w:szCs w:val="24"/>
          <w:lang w:eastAsia="en-GB"/>
        </w:rPr>
      </w:pPr>
      <w:r w:rsidRPr="0071546E">
        <w:rPr>
          <w:rFonts w:ascii="Arial" w:eastAsia="Times New Roman" w:hAnsi="Arial" w:cs="Arial"/>
          <w:sz w:val="24"/>
          <w:szCs w:val="24"/>
          <w:lang w:eastAsia="en-GB"/>
        </w:rPr>
        <w:t xml:space="preserve">                                                                                                                                                                                                                                                                                                                                                                                                                                                                                                                                                                                                                                                                                                                                                                                                                                                                                                                                                                                                                                                                                                                                                                                                                                                                                                                                                                                                                                                                                                                                                                                                                                                                                                                                                                                                                                                                                                                                                                                                                                                                                                                                                                                                                                                                                                                                                                                                                                                                                                                                                                                                                                                                                                                                                                                                                                                                                                                                                                                                                                                                                                                                                                                                                                                                                                                                                                                                                                                                                                                                                                                                                                                                                                                                                                                                                                                                                                                                                                                                                                                                                                                                                                                                                                                                                                                                                                                                                                                                                                                                                                                                                                                                                                                                                                                                                                                                                                                                                                                                                                                                                                                                                                                                                                                                                                                                                                                                                                                                                                                                                                                                                                                                                                                                                                                                                                                                                                                                                                                                                                                                                                                                                                                                                                                                                                                                                                                                                                                                                                                                                                                                                                                                                                                                                                                                                                                                                                                                                                                                                                                                                                                                                                                                                                                                                                                                                                                                                                                                                                                                                                                                                                                                                                                                                                                                                                                                                                                                                                                                                                                                                                                                                                                                                                                                                                                                                                                                                                                                                                                                                                                                                                                                                                                                                                                                                                                                                                                                                                                                                                                                                                                                                                                                                                                                                                                                                                                                                                                                                                                                                                                                                                                                                                                                                                                                                                                                                                                                                                                                                                                                                                                                                                                                                                                                                                                                                                                                                                                                                                                                                                                                                                                                                                                                                                                                                                                                                                                                                                                                                                                                                                                                                                                                                                                                                                                                                                                                                                                                                                                                                                                                                                                                                                                                                                                                                                                                                                                                                                                                                                                                                                                                                                                                                                                                                                                                                                                                                                                                                                                                                                                                                                                                                                                                                                                                                                                                                                                                                                                                                                                                                                                                                                                                                                                                                                                                                                                                                                                                                                                                                                                                                                                                                                                                                                                                                                                                                                                                                                                                                                                                                                                                                                                                                                                                                                                                                                                                                                                                                                                                                                                                                                                                                                                                                                                                                                                                                                                                                                                                                                                                                                                                                                                                                                                                                                                                                                                                                                                                                                                                                                                                                                                                                                                                                                                                                                                                                                                                                                                                                                                                                                                                                                                                                                                                                                                                                                                                                                                                                                                                                                                                                                                                                                                                                                                                                                                                                                                                                                                                                                                                                                                                                                                                                                                                                                                                                                                                                                                                                                                                                                                                                                                                                                                                                                                                                                                                                                                                                                                                                                                                                                                                                                                                                                                                                                                                                                                                                                                                                                                                                                                                                                                                                                                                                                                                                                                                                                                                                                                                                                                                                                                                                                                                                                                                                                                                                                                                                                                                                                                                                                                                                                                                                                                                                                                                                                                                                                                                                                                                                                                                                                                                                                                                                                                                                                                                                                                                                                                                                                                                                                                                                                                                                                                                                                                                                                                                                                                                                                                                                                                                                                                                                                                                                                                                                                                                                                                                                                                                                                                                                                                                                                                                                                                                                                                                                                                                                                                                                                                                                                                                                                                                                                                                                                                                                                                                                                                                                                                                                                                                                                                                                                                                                                                                                                                                                                                                                                                                                                                                                                                                                                                                                                                                                                                                                                                                                                                                                                                                                                                                                                                                                                                                                                                                                                                                                                                                                                                                                                                                                                                                                                                                                                                                                                                                                                                                                                                                                                                                                                                                                                                                                                                                                                                                                                                                                                                                                                                                                                                                                                                                                                                                                                                                                                                                                                                                                                                                                                                                                                                                                                                                                                                                                                                                                                                                                                                                                                                                                                                                                                                                                                                                                                                                                                                                                                                                                                                                                                                                                                                                                                                                                                                                                                                                                                                                                                                                                                                                                                                                                                                                                                                                                                                                                                                                                                                                                                                                                                                                                                                                                                                                                                                                                                                                                                                                                                                                                                                                                                                                                                                                                                                                                                                                                                                                                                                                                                                                                                                                                                                                                                                                                                                                                                                                                                                                                                                                                                                                                                                                                                                                                                                                                                                                                                                                                                                                                                                                                                                                                                                                                                                                                                                                                                                                                                                                                                                                                                                                                                                                                                                                                                                                                                                                                                                                                                                                                                                                                                                                                                                                                                                                                                                                                                                                                                                                                                                                                                                                                                                                                                                                                                                                                                                                                                                                                                                                                                                                                                                                                                                                                                                                                                                                                                                                                                                                                                                                                                                                                                                                                                                                                                                                                                                                                                                                                                                                                                                                                                                                                                                                                                                                                                                                                                                                                                                                                                                                                                                                                                                                                                                                                                                                                                                                                                                                                                                                                                                                                                                                                                                                                                                                                                                                                                                                                                                                                                                                                                                                                                                                                                                                                                                                                                                                                                                                                                                                                                                                                                                                                                                                                                                                                                                                                                                                                                                                                                                                                                                                                                                                                                                                                                                                                                                                                                                                                                                                                                                                                                                                                                                                                                                                                                                                                                                                                                                                                                                                                                                                                                                                                                                                                                                                                                                                                                                                                                                                                                                                                                                                                                                                                                                                                                                                                                                                                                                                                                                                                                                                                                                                                                                                                                                                                                                                                                                                                                                                                                                                                                                                                                                                                                                                                                                                                                                                                                                                                                                                                                                                                                                                                                                                                                                                                                                                                                                                                                                                                                                                                                                                                                                                                                                                                                                                                                                                                                                                                                                                                                                                                                                                                                                                                                                                                                                                                                                                                                                                                                                                                                                                                                                                                                                                                                                                                                                                                                                                                                                                                                                                                                                                                        </w:t>
      </w:r>
    </w:p>
    <w:p w:rsidR="003A37F1" w:rsidRPr="0071546E" w:rsidRDefault="003A37F1" w:rsidP="00CF13FE">
      <w:pPr>
        <w:spacing w:after="0" w:line="480" w:lineRule="auto"/>
        <w:ind w:left="1021" w:right="454"/>
        <w:jc w:val="both"/>
        <w:rPr>
          <w:rFonts w:ascii="Arial" w:eastAsia="Times New Roman" w:hAnsi="Arial" w:cs="Arial"/>
          <w:sz w:val="24"/>
          <w:szCs w:val="24"/>
          <w:lang w:eastAsia="en-GB"/>
        </w:rPr>
      </w:pPr>
    </w:p>
    <w:p w:rsidR="003A37F1" w:rsidRPr="0071546E" w:rsidRDefault="003A37F1" w:rsidP="00CF13FE">
      <w:pPr>
        <w:spacing w:after="0" w:line="480" w:lineRule="auto"/>
        <w:ind w:left="1021" w:right="454"/>
        <w:jc w:val="both"/>
        <w:rPr>
          <w:rFonts w:ascii="Arial" w:eastAsia="Times New Roman" w:hAnsi="Arial" w:cs="Arial"/>
          <w:sz w:val="24"/>
          <w:szCs w:val="24"/>
          <w:lang w:eastAsia="en-GB"/>
        </w:rPr>
      </w:pPr>
    </w:p>
    <w:p w:rsidR="003A37F1" w:rsidRPr="0071546E" w:rsidRDefault="003A37F1" w:rsidP="005A11C8">
      <w:pPr>
        <w:spacing w:after="0" w:line="480" w:lineRule="auto"/>
        <w:ind w:right="454"/>
        <w:jc w:val="both"/>
        <w:rPr>
          <w:rFonts w:ascii="Arial" w:eastAsia="Times New Roman" w:hAnsi="Arial" w:cs="Arial"/>
          <w:sz w:val="24"/>
          <w:szCs w:val="24"/>
          <w:lang w:eastAsia="en-GB"/>
        </w:rPr>
      </w:pPr>
    </w:p>
    <w:p w:rsidR="005A11C8" w:rsidRPr="0071546E" w:rsidRDefault="005A11C8" w:rsidP="005A11C8">
      <w:pPr>
        <w:spacing w:after="0" w:line="480" w:lineRule="auto"/>
        <w:ind w:right="454"/>
        <w:jc w:val="both"/>
        <w:rPr>
          <w:rFonts w:ascii="Arial" w:eastAsia="Times New Roman" w:hAnsi="Arial" w:cs="Arial"/>
          <w:sz w:val="24"/>
          <w:szCs w:val="24"/>
          <w:lang w:eastAsia="en-GB"/>
        </w:rPr>
      </w:pPr>
    </w:p>
    <w:p w:rsidR="005A11C8" w:rsidRPr="0071546E" w:rsidRDefault="005A11C8" w:rsidP="005A11C8">
      <w:pPr>
        <w:spacing w:after="0" w:line="480" w:lineRule="auto"/>
        <w:ind w:right="454"/>
        <w:jc w:val="both"/>
        <w:rPr>
          <w:rFonts w:ascii="Arial" w:eastAsia="Times New Roman" w:hAnsi="Arial" w:cs="Arial"/>
          <w:sz w:val="24"/>
          <w:szCs w:val="24"/>
          <w:lang w:eastAsia="en-GB"/>
        </w:rPr>
      </w:pPr>
    </w:p>
    <w:p w:rsidR="005A11C8" w:rsidRPr="0071546E" w:rsidRDefault="005A11C8" w:rsidP="005A11C8">
      <w:pPr>
        <w:spacing w:after="0" w:line="480" w:lineRule="auto"/>
        <w:ind w:right="454"/>
        <w:jc w:val="both"/>
        <w:rPr>
          <w:rFonts w:ascii="Arial" w:eastAsia="Times New Roman" w:hAnsi="Arial" w:cs="Arial"/>
          <w:sz w:val="24"/>
          <w:szCs w:val="24"/>
          <w:lang w:eastAsia="en-GB"/>
        </w:rPr>
      </w:pPr>
    </w:p>
    <w:p w:rsidR="005A11C8" w:rsidRPr="0071546E" w:rsidRDefault="005A11C8" w:rsidP="005A11C8">
      <w:pPr>
        <w:spacing w:after="0" w:line="480" w:lineRule="auto"/>
        <w:ind w:right="454"/>
        <w:jc w:val="both"/>
        <w:rPr>
          <w:rFonts w:ascii="Arial" w:eastAsia="Times New Roman" w:hAnsi="Arial" w:cs="Arial"/>
          <w:sz w:val="24"/>
          <w:szCs w:val="24"/>
          <w:lang w:eastAsia="en-GB"/>
        </w:rPr>
      </w:pPr>
    </w:p>
    <w:bookmarkStart w:id="127" w:name="_Toc14711495"/>
    <w:p w:rsidR="00D17291" w:rsidRPr="0071546E" w:rsidRDefault="009B7013" w:rsidP="00CF13FE">
      <w:pPr>
        <w:pStyle w:val="Heading1"/>
        <w:ind w:left="1021" w:right="454"/>
      </w:pPr>
      <w:r w:rsidRPr="0071546E">
        <w:rPr>
          <w:noProof/>
        </w:rPr>
        <mc:AlternateContent>
          <mc:Choice Requires="wps">
            <w:drawing>
              <wp:anchor distT="0" distB="0" distL="114300" distR="114300" simplePos="0" relativeHeight="251763712" behindDoc="0" locked="0" layoutInCell="1" allowOverlap="1">
                <wp:simplePos x="0" y="0"/>
                <wp:positionH relativeFrom="margin">
                  <wp:posOffset>10275</wp:posOffset>
                </wp:positionH>
                <wp:positionV relativeFrom="paragraph">
                  <wp:posOffset>10274</wp:posOffset>
                </wp:positionV>
                <wp:extent cx="5455578" cy="1684962"/>
                <wp:effectExtent l="0" t="0" r="0" b="0"/>
                <wp:wrapNone/>
                <wp:docPr id="1215" name="Text Box 1215"/>
                <wp:cNvGraphicFramePr/>
                <a:graphic xmlns:a="http://schemas.openxmlformats.org/drawingml/2006/main">
                  <a:graphicData uri="http://schemas.microsoft.com/office/word/2010/wordprocessingShape">
                    <wps:wsp>
                      <wps:cNvSpPr txBox="1"/>
                      <wps:spPr>
                        <a:xfrm>
                          <a:off x="0" y="0"/>
                          <a:ext cx="5455578" cy="16849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7A14" w:rsidRPr="00F80E76" w:rsidRDefault="00A87A14" w:rsidP="009B7013">
                            <w:pPr>
                              <w:spacing w:line="276" w:lineRule="auto"/>
                              <w:rPr>
                                <w:rFonts w:ascii="Arial" w:hAnsi="Arial" w:cs="Arial"/>
                                <w:b/>
                                <w:sz w:val="56"/>
                                <w:szCs w:val="56"/>
                              </w:rPr>
                            </w:pPr>
                            <w:r w:rsidRPr="00F80E76">
                              <w:rPr>
                                <w:rFonts w:ascii="Arial" w:hAnsi="Arial" w:cs="Arial"/>
                                <w:b/>
                                <w:sz w:val="56"/>
                                <w:szCs w:val="56"/>
                              </w:rPr>
                              <w:t>CHAPTER FIVE</w:t>
                            </w:r>
                          </w:p>
                          <w:p w:rsidR="00A87A14" w:rsidRPr="00F80E76" w:rsidRDefault="00A87A14" w:rsidP="009B7013">
                            <w:pPr>
                              <w:spacing w:line="276" w:lineRule="auto"/>
                              <w:rPr>
                                <w:rFonts w:ascii="Arial" w:hAnsi="Arial" w:cs="Arial"/>
                                <w:sz w:val="48"/>
                                <w:szCs w:val="48"/>
                              </w:rPr>
                            </w:pPr>
                            <w:r w:rsidRPr="00F80E76">
                              <w:rPr>
                                <w:rFonts w:ascii="Arial" w:hAnsi="Arial" w:cs="Arial"/>
                                <w:sz w:val="48"/>
                                <w:szCs w:val="48"/>
                              </w:rPr>
                              <w:t>CONCLUSION AND FUTURE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15" o:spid="_x0000_s1059" type="#_x0000_t202" style="position:absolute;left:0;text-align:left;margin-left:.8pt;margin-top:.8pt;width:429.55pt;height:132.6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" filled="f" stroked="f" strokeweight=".5pt">
                <v:textbox>
                  <w:txbxContent>
                    <w:p w:rsidR="00A87A14" w:rsidRPr="00F80E76" w:rsidRDefault="00A87A14" w:rsidP="009B7013">
                      <w:pPr>
                        <w:spacing w:line="276" w:lineRule="auto"/>
                        <w:rPr>
                          <w:rFonts w:ascii="Arial" w:hAnsi="Arial" w:cs="Arial"/>
                          <w:b/>
                          <w:sz w:val="56"/>
                          <w:szCs w:val="56"/>
                        </w:rPr>
                      </w:pPr>
                      <w:r w:rsidRPr="00F80E76">
                        <w:rPr>
                          <w:rFonts w:ascii="Arial" w:hAnsi="Arial" w:cs="Arial"/>
                          <w:b/>
                          <w:sz w:val="56"/>
                          <w:szCs w:val="56"/>
                        </w:rPr>
                        <w:t>CHAPTER FIVE</w:t>
                      </w:r>
                    </w:p>
                    <w:p w:rsidR="00A87A14" w:rsidRPr="00F80E76" w:rsidRDefault="00A87A14" w:rsidP="009B7013">
                      <w:pPr>
                        <w:spacing w:line="276" w:lineRule="auto"/>
                        <w:rPr>
                          <w:rFonts w:ascii="Arial" w:hAnsi="Arial" w:cs="Arial"/>
                          <w:sz w:val="48"/>
                          <w:szCs w:val="48"/>
                        </w:rPr>
                      </w:pPr>
                      <w:r w:rsidRPr="00F80E76">
                        <w:rPr>
                          <w:rFonts w:ascii="Arial" w:hAnsi="Arial" w:cs="Arial"/>
                          <w:sz w:val="48"/>
                          <w:szCs w:val="48"/>
                        </w:rPr>
                        <w:t>CONCLUSION AND FUTURE WORK</w:t>
                      </w:r>
                    </w:p>
                  </w:txbxContent>
                </v:textbox>
                <w10:wrap anchorx="margin"/>
              </v:shape>
            </w:pict>
          </mc:Fallback>
        </mc:AlternateContent>
      </w:r>
      <w:r w:rsidR="00F80E76" w:rsidRPr="0071546E">
        <w:rPr>
          <w:noProof/>
        </w:rPr>
        <mc:AlternateContent>
          <mc:Choice Requires="wps">
            <w:drawing>
              <wp:anchor distT="0" distB="0" distL="114300" distR="114300" simplePos="0" relativeHeight="251762688" behindDoc="0" locked="0" layoutInCell="1" allowOverlap="1">
                <wp:simplePos x="0" y="0"/>
                <wp:positionH relativeFrom="column">
                  <wp:posOffset>-1016000</wp:posOffset>
                </wp:positionH>
                <wp:positionV relativeFrom="paragraph">
                  <wp:posOffset>-889000</wp:posOffset>
                </wp:positionV>
                <wp:extent cx="7772400" cy="10758170"/>
                <wp:effectExtent l="0" t="0" r="19050" b="24130"/>
                <wp:wrapNone/>
                <wp:docPr id="1210" name="Rectangle 1210"/>
                <wp:cNvGraphicFramePr/>
                <a:graphic xmlns:a="http://schemas.openxmlformats.org/drawingml/2006/main">
                  <a:graphicData uri="http://schemas.microsoft.com/office/word/2010/wordprocessingShape">
                    <wps:wsp>
                      <wps:cNvSpPr/>
                      <wps:spPr>
                        <a:xfrm>
                          <a:off x="0" y="0"/>
                          <a:ext cx="7772400" cy="10758170"/>
                        </a:xfrm>
                        <a:prstGeom prst="rect">
                          <a:avLst/>
                        </a:prstGeom>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C14E10" id="Rectangle 1210" o:spid="_x0000_s1026" style="position:absolute;margin-left:-80pt;margin-top:-70pt;width:612pt;height:847.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" filled="f" strokecolor="#a5a5a5 [3206]" strokeweight=".5pt"/>
            </w:pict>
          </mc:Fallback>
        </mc:AlternateContent>
      </w:r>
      <w:bookmarkEnd w:id="127"/>
    </w:p>
    <w:p w:rsidR="00D17291" w:rsidRPr="0071546E" w:rsidRDefault="00D17291" w:rsidP="00CF13FE">
      <w:pPr>
        <w:pStyle w:val="Heading1"/>
        <w:ind w:left="1021" w:right="454"/>
      </w:pPr>
    </w:p>
    <w:p w:rsidR="00D17291" w:rsidRPr="0071546E" w:rsidRDefault="00D17291" w:rsidP="00CF13FE">
      <w:pPr>
        <w:pStyle w:val="Heading1"/>
        <w:ind w:left="1021" w:right="454"/>
      </w:pPr>
    </w:p>
    <w:p w:rsidR="00D17291" w:rsidRPr="0071546E" w:rsidRDefault="00D17291" w:rsidP="00CF13FE">
      <w:pPr>
        <w:pStyle w:val="Heading1"/>
        <w:ind w:left="1021" w:right="454"/>
      </w:pPr>
    </w:p>
    <w:p w:rsidR="00D17291" w:rsidRPr="0071546E" w:rsidRDefault="00D17291" w:rsidP="00CF13FE">
      <w:pPr>
        <w:pStyle w:val="Heading1"/>
        <w:ind w:left="1021" w:right="454"/>
      </w:pPr>
    </w:p>
    <w:p w:rsidR="00D17291" w:rsidRPr="0071546E" w:rsidRDefault="00D17291" w:rsidP="00CF13FE">
      <w:pPr>
        <w:pStyle w:val="Heading1"/>
        <w:ind w:left="1021" w:right="454"/>
      </w:pPr>
    </w:p>
    <w:p w:rsidR="00D17291" w:rsidRPr="0071546E" w:rsidRDefault="00D17291" w:rsidP="00CF13FE">
      <w:pPr>
        <w:pStyle w:val="Heading1"/>
        <w:ind w:left="1021" w:right="454"/>
      </w:pPr>
    </w:p>
    <w:p w:rsidR="00D17291" w:rsidRPr="0071546E" w:rsidRDefault="00D17291" w:rsidP="00CF13FE">
      <w:pPr>
        <w:pStyle w:val="Heading1"/>
        <w:ind w:left="1021" w:right="454"/>
      </w:pPr>
    </w:p>
    <w:p w:rsidR="00D17291" w:rsidRPr="0071546E" w:rsidRDefault="00D17291" w:rsidP="00CF13FE">
      <w:pPr>
        <w:pStyle w:val="Heading1"/>
        <w:ind w:left="1021" w:right="454"/>
      </w:pPr>
    </w:p>
    <w:p w:rsidR="00D17291" w:rsidRPr="0071546E" w:rsidRDefault="00D17291" w:rsidP="00CF13FE">
      <w:pPr>
        <w:pStyle w:val="Heading1"/>
        <w:ind w:left="1021" w:right="454"/>
      </w:pPr>
    </w:p>
    <w:p w:rsidR="00D17291" w:rsidRPr="0071546E" w:rsidRDefault="00D17291" w:rsidP="00CF13FE">
      <w:pPr>
        <w:pStyle w:val="Heading1"/>
        <w:ind w:left="1021" w:right="454"/>
      </w:pPr>
    </w:p>
    <w:p w:rsidR="00D17291" w:rsidRPr="0071546E" w:rsidRDefault="00D17291" w:rsidP="00CF13FE">
      <w:pPr>
        <w:pStyle w:val="Heading1"/>
        <w:ind w:left="1021" w:right="454"/>
      </w:pPr>
    </w:p>
    <w:p w:rsidR="00D17291" w:rsidRPr="0071546E" w:rsidRDefault="00D17291" w:rsidP="00CF13FE">
      <w:pPr>
        <w:pStyle w:val="Heading1"/>
        <w:ind w:left="1021" w:right="454"/>
      </w:pPr>
    </w:p>
    <w:p w:rsidR="00D17291" w:rsidRPr="0071546E" w:rsidRDefault="00D17291" w:rsidP="00CF13FE">
      <w:pPr>
        <w:pStyle w:val="Heading1"/>
        <w:ind w:left="1021" w:right="454"/>
      </w:pPr>
    </w:p>
    <w:p w:rsidR="00D17291" w:rsidRPr="0071546E" w:rsidRDefault="00D17291" w:rsidP="00CF13FE">
      <w:pPr>
        <w:pStyle w:val="Heading1"/>
        <w:ind w:left="1021" w:right="454"/>
      </w:pPr>
    </w:p>
    <w:p w:rsidR="00D17291" w:rsidRPr="0071546E" w:rsidRDefault="00D17291" w:rsidP="00CF13FE">
      <w:pPr>
        <w:pStyle w:val="Heading1"/>
        <w:ind w:left="1021" w:right="454"/>
      </w:pPr>
    </w:p>
    <w:p w:rsidR="00D17291" w:rsidRPr="0071546E" w:rsidRDefault="00D17291" w:rsidP="00CF13FE">
      <w:pPr>
        <w:pStyle w:val="Heading1"/>
        <w:ind w:left="1021" w:right="454"/>
      </w:pPr>
    </w:p>
    <w:p w:rsidR="00CB13F6" w:rsidRPr="0071546E" w:rsidRDefault="007C4367" w:rsidP="00CF13FE">
      <w:pPr>
        <w:pStyle w:val="Heading1"/>
        <w:ind w:left="1021" w:right="454"/>
      </w:pPr>
      <w:bookmarkStart w:id="128" w:name="_Toc14711496"/>
      <w:r w:rsidRPr="0071546E">
        <w:t xml:space="preserve">5.0 </w:t>
      </w:r>
      <w:r w:rsidR="003B3353" w:rsidRPr="0071546E">
        <w:t>Conclusion</w:t>
      </w:r>
      <w:bookmarkEnd w:id="128"/>
      <w:r w:rsidR="00CB13F6" w:rsidRPr="0071546E">
        <w:t xml:space="preserve"> </w:t>
      </w:r>
    </w:p>
    <w:p w:rsidR="00F868C8" w:rsidRPr="0071546E" w:rsidRDefault="00F868C8" w:rsidP="00F868C8">
      <w:pPr>
        <w:spacing w:line="480" w:lineRule="auto"/>
        <w:ind w:left="1021" w:right="454"/>
        <w:jc w:val="both"/>
        <w:rPr>
          <w:rFonts w:ascii="Arial" w:hAnsi="Arial" w:cs="Arial"/>
          <w:b/>
          <w:sz w:val="24"/>
          <w:szCs w:val="24"/>
        </w:rPr>
      </w:pPr>
      <w:r w:rsidRPr="0071546E">
        <w:rPr>
          <w:rFonts w:ascii="Arial" w:hAnsi="Arial" w:cs="Arial"/>
          <w:b/>
          <w:sz w:val="24"/>
          <w:szCs w:val="24"/>
        </w:rPr>
        <w:t>Conclusion and future work</w:t>
      </w:r>
    </w:p>
    <w:p w:rsidR="00F868C8" w:rsidRPr="0071546E" w:rsidRDefault="00F868C8" w:rsidP="00F868C8">
      <w:pPr>
        <w:spacing w:line="480" w:lineRule="auto"/>
        <w:ind w:left="1021" w:right="454"/>
        <w:jc w:val="both"/>
        <w:rPr>
          <w:rFonts w:ascii="Arial" w:hAnsi="Arial" w:cs="Arial"/>
          <w:sz w:val="24"/>
          <w:szCs w:val="24"/>
        </w:rPr>
      </w:pPr>
      <w:r w:rsidRPr="0071546E">
        <w:rPr>
          <w:rFonts w:ascii="Arial" w:hAnsi="Arial" w:cs="Arial"/>
          <w:sz w:val="24"/>
          <w:szCs w:val="24"/>
        </w:rPr>
        <w:t xml:space="preserve">The search for potent drugs for the treatment of </w:t>
      </w:r>
      <w:r w:rsidRPr="0071546E">
        <w:rPr>
          <w:rFonts w:ascii="Arial" w:hAnsi="Arial" w:cs="Arial"/>
          <w:i/>
          <w:sz w:val="24"/>
          <w:szCs w:val="24"/>
        </w:rPr>
        <w:t>Acanthamoeba</w:t>
      </w:r>
      <w:r w:rsidRPr="0071546E">
        <w:rPr>
          <w:rFonts w:ascii="Arial" w:hAnsi="Arial" w:cs="Arial"/>
          <w:sz w:val="24"/>
          <w:szCs w:val="24"/>
        </w:rPr>
        <w:t xml:space="preserve"> infections continues to be a challenge to the drug development industries (Khan, Anwar and Siddiqui, 2018). Several studies have shown potential efficacy of a variety of compounds against </w:t>
      </w:r>
      <w:r w:rsidRPr="0071546E">
        <w:rPr>
          <w:rFonts w:ascii="Arial" w:hAnsi="Arial" w:cs="Arial"/>
          <w:i/>
          <w:sz w:val="24"/>
          <w:szCs w:val="24"/>
        </w:rPr>
        <w:t>Acanthamoeba</w:t>
      </w:r>
      <w:r w:rsidRPr="0071546E">
        <w:rPr>
          <w:rFonts w:ascii="Arial" w:hAnsi="Arial" w:cs="Arial"/>
          <w:sz w:val="24"/>
          <w:szCs w:val="24"/>
        </w:rPr>
        <w:t xml:space="preserve"> (Kuhunkiti, 1997; Liesegang et al., 2002; Carnt et al., 2016; Siddiqui et al., 2016; Padzik et al., 2018; Carpinteyro Sanchez et al., 2019), but further </w:t>
      </w:r>
      <w:r w:rsidRPr="0071546E">
        <w:rPr>
          <w:rFonts w:ascii="Arial" w:hAnsi="Arial" w:cs="Arial"/>
          <w:i/>
          <w:sz w:val="24"/>
          <w:szCs w:val="24"/>
        </w:rPr>
        <w:t>in-vivo</w:t>
      </w:r>
      <w:r w:rsidRPr="0071546E">
        <w:rPr>
          <w:rFonts w:ascii="Arial" w:hAnsi="Arial" w:cs="Arial"/>
          <w:sz w:val="24"/>
          <w:szCs w:val="24"/>
        </w:rPr>
        <w:t xml:space="preserve"> studies have not been forthcoming. Reports have successfully identified new chemical entities and potential candidate drugs for repurposing against </w:t>
      </w:r>
      <w:r w:rsidRPr="0071546E">
        <w:rPr>
          <w:rFonts w:ascii="Arial" w:hAnsi="Arial" w:cs="Arial"/>
          <w:i/>
          <w:sz w:val="24"/>
          <w:szCs w:val="24"/>
        </w:rPr>
        <w:t>Acanthamoeba</w:t>
      </w:r>
      <w:r w:rsidRPr="0071546E">
        <w:rPr>
          <w:rFonts w:ascii="Arial" w:hAnsi="Arial" w:cs="Arial"/>
          <w:sz w:val="24"/>
          <w:szCs w:val="24"/>
        </w:rPr>
        <w:t xml:space="preserve"> infections. However, for obvious reasons the large pharmaceuticals companies, whose resources are required to proceed to the next level of drug development, are reluctant to invest. Big pharma’s will rather invest in developing blockbuster drugs, to finance the development of compounds for relatively rare disease. However, considering the continuous increase in contact lens wearers, which is estimated at 125 million in 2004, with 35 million of these people in the USA alone, the contact lens market is booming at an estimated $ 6.1 billion in 2010 and this figure is predicted to get to a staggering $17.6 billion in 2024 (Zion market research, 2018). For a multi-billion industry, it remains unexplainable why the pharmaceutical industries have not invested in </w:t>
      </w:r>
      <w:r w:rsidRPr="0071546E">
        <w:rPr>
          <w:rFonts w:ascii="Arial" w:hAnsi="Arial" w:cs="Arial"/>
          <w:i/>
          <w:sz w:val="24"/>
          <w:szCs w:val="24"/>
        </w:rPr>
        <w:t>Acanthamoeba</w:t>
      </w:r>
      <w:r w:rsidRPr="0071546E">
        <w:rPr>
          <w:rFonts w:ascii="Arial" w:hAnsi="Arial" w:cs="Arial"/>
          <w:sz w:val="24"/>
          <w:szCs w:val="24"/>
        </w:rPr>
        <w:t xml:space="preserve"> research. </w:t>
      </w:r>
    </w:p>
    <w:p w:rsidR="00F868C8" w:rsidRPr="0071546E" w:rsidRDefault="00F868C8" w:rsidP="00F868C8">
      <w:pPr>
        <w:spacing w:line="480" w:lineRule="auto"/>
        <w:ind w:left="1021" w:right="454"/>
        <w:jc w:val="both"/>
        <w:rPr>
          <w:rFonts w:ascii="Arial" w:hAnsi="Arial" w:cs="Arial"/>
          <w:sz w:val="24"/>
          <w:szCs w:val="24"/>
        </w:rPr>
      </w:pPr>
      <w:r w:rsidRPr="0071546E">
        <w:rPr>
          <w:rFonts w:ascii="Arial" w:hAnsi="Arial" w:cs="Arial"/>
          <w:sz w:val="24"/>
          <w:szCs w:val="24"/>
        </w:rPr>
        <w:t xml:space="preserve">     In this study, we showed the potential application of porphyrin based photodynamic therapy for treatment of infections caused by </w:t>
      </w:r>
      <w:r w:rsidRPr="0071546E">
        <w:rPr>
          <w:rFonts w:ascii="Arial" w:hAnsi="Arial" w:cs="Arial"/>
          <w:i/>
          <w:sz w:val="24"/>
          <w:szCs w:val="24"/>
        </w:rPr>
        <w:t>Acanthamoeba</w:t>
      </w:r>
      <w:r w:rsidRPr="0071546E">
        <w:rPr>
          <w:rFonts w:ascii="Arial" w:hAnsi="Arial" w:cs="Arial"/>
          <w:sz w:val="24"/>
          <w:szCs w:val="24"/>
        </w:rPr>
        <w:t>.</w:t>
      </w:r>
      <w:r w:rsidR="00E223F3" w:rsidRPr="0071546E">
        <w:rPr>
          <w:rFonts w:ascii="Arial" w:hAnsi="Arial" w:cs="Arial"/>
          <w:sz w:val="24"/>
          <w:szCs w:val="24"/>
        </w:rPr>
        <w:t xml:space="preserve"> Consistent with report by (Hurst et al., 2019), r</w:t>
      </w:r>
      <w:r w:rsidRPr="0071546E">
        <w:rPr>
          <w:rFonts w:ascii="Arial" w:hAnsi="Arial" w:cs="Arial"/>
          <w:sz w:val="24"/>
          <w:szCs w:val="24"/>
        </w:rPr>
        <w:t xml:space="preserve">esults showed that the non-polar cationic porphyrins were potent photosensitisers than the anionic porphyrins. The binding affinity results showed that the cationic porphyrins had more affinity to </w:t>
      </w:r>
      <w:r w:rsidRPr="0071546E">
        <w:rPr>
          <w:rFonts w:ascii="Arial" w:hAnsi="Arial" w:cs="Arial"/>
          <w:i/>
          <w:sz w:val="24"/>
          <w:szCs w:val="24"/>
        </w:rPr>
        <w:t>Acanthamoeba</w:t>
      </w:r>
      <w:r w:rsidRPr="0071546E">
        <w:rPr>
          <w:rFonts w:ascii="Arial" w:hAnsi="Arial" w:cs="Arial"/>
          <w:sz w:val="24"/>
          <w:szCs w:val="24"/>
        </w:rPr>
        <w:t xml:space="preserve"> cells compared to the anionic polar porphyrins. Although a maximum of 25 % affinity was recorded there was close to 80% inactivation of </w:t>
      </w:r>
      <w:r w:rsidRPr="0071546E">
        <w:rPr>
          <w:rFonts w:ascii="Arial" w:hAnsi="Arial" w:cs="Arial"/>
          <w:i/>
          <w:sz w:val="24"/>
          <w:szCs w:val="24"/>
        </w:rPr>
        <w:t>Acanthamoeba</w:t>
      </w:r>
      <w:r w:rsidRPr="0071546E">
        <w:rPr>
          <w:rFonts w:ascii="Arial" w:hAnsi="Arial" w:cs="Arial"/>
          <w:sz w:val="24"/>
          <w:szCs w:val="24"/>
        </w:rPr>
        <w:t xml:space="preserve"> cells (cysts and trophozoites). The reduced permeability of the porphyrins explains why there was not 100 % inactivation of </w:t>
      </w:r>
      <w:r w:rsidRPr="0071546E">
        <w:rPr>
          <w:rFonts w:ascii="Arial" w:hAnsi="Arial" w:cs="Arial"/>
          <w:i/>
          <w:sz w:val="24"/>
          <w:szCs w:val="24"/>
        </w:rPr>
        <w:t>Acanthamoeba</w:t>
      </w:r>
      <w:r w:rsidRPr="0071546E">
        <w:rPr>
          <w:rFonts w:ascii="Arial" w:hAnsi="Arial" w:cs="Arial"/>
          <w:sz w:val="24"/>
          <w:szCs w:val="24"/>
        </w:rPr>
        <w:t xml:space="preserve"> cells. This suggest that more modifications to enhance permeability of porphyrins is required to get an ideal level of efficacy as less than 95 % efficacy is not acceptable for advance clinical trials. Development of “third generation porphyrin-based sensitizers has been suggested and is underway. Synthesis of these porphyrin will focus on enhancing permeability and targeted delivery using nano-carriers. Numerous studies have shown that incorporating porphyrins to nano-carriers have significantly enhanced efficacy in anti-cancer photodynamic therapy</w:t>
      </w:r>
      <w:r w:rsidR="00E223F3" w:rsidRPr="0071546E">
        <w:rPr>
          <w:rFonts w:ascii="Arial" w:hAnsi="Arial" w:cs="Arial"/>
          <w:sz w:val="24"/>
          <w:szCs w:val="24"/>
        </w:rPr>
        <w:t xml:space="preserve"> </w:t>
      </w:r>
      <w:r w:rsidR="00E223F3" w:rsidRPr="0071546E">
        <w:rPr>
          <w:rFonts w:ascii="Arial" w:hAnsi="Arial" w:cs="Arial"/>
          <w:sz w:val="24"/>
          <w:szCs w:val="24"/>
          <w:lang w:val="en"/>
        </w:rPr>
        <w:t>(Yi et al., 2018;</w:t>
      </w:r>
      <w:r w:rsidR="00E223F3" w:rsidRPr="0071546E">
        <w:rPr>
          <w:rFonts w:ascii="Open Sans" w:hAnsi="Open Sans" w:cs="Arial"/>
          <w:color w:val="000000"/>
          <w:lang w:val="en"/>
        </w:rPr>
        <w:t xml:space="preserve"> </w:t>
      </w:r>
      <w:r w:rsidR="00E223F3" w:rsidRPr="0071546E">
        <w:rPr>
          <w:rFonts w:ascii="Arial" w:hAnsi="Arial" w:cs="Arial"/>
          <w:sz w:val="24"/>
          <w:szCs w:val="24"/>
          <w:lang w:val="en"/>
        </w:rPr>
        <w:t>Hynek et al., 2018</w:t>
      </w:r>
      <w:r w:rsidR="009D064D" w:rsidRPr="0071546E">
        <w:rPr>
          <w:rFonts w:ascii="Arial" w:hAnsi="Arial" w:cs="Arial"/>
          <w:sz w:val="24"/>
          <w:szCs w:val="24"/>
          <w:lang w:val="en"/>
        </w:rPr>
        <w:t>;</w:t>
      </w:r>
      <w:r w:rsidR="009D064D" w:rsidRPr="0071546E">
        <w:rPr>
          <w:rFonts w:ascii="Open Sans" w:hAnsi="Open Sans" w:cs="Arial"/>
          <w:color w:val="000000"/>
          <w:lang w:val="en"/>
        </w:rPr>
        <w:t xml:space="preserve"> </w:t>
      </w:r>
      <w:r w:rsidR="009D064D" w:rsidRPr="0071546E">
        <w:rPr>
          <w:rFonts w:ascii="Arial" w:hAnsi="Arial" w:cs="Arial"/>
          <w:sz w:val="24"/>
          <w:szCs w:val="24"/>
          <w:lang w:val="en"/>
        </w:rPr>
        <w:t>Mesquita et al., 2018)</w:t>
      </w:r>
      <w:r w:rsidRPr="0071546E">
        <w:rPr>
          <w:rFonts w:ascii="Arial" w:hAnsi="Arial" w:cs="Arial"/>
          <w:sz w:val="24"/>
          <w:szCs w:val="24"/>
        </w:rPr>
        <w:t>. Rational molecular synthesis, for example, synthesizing porphyrins to increase permeability by maintaining a hydrophilic and lipophilic balance can increase efficacy in antimicrobial photodynamic therapy</w:t>
      </w:r>
    </w:p>
    <w:p w:rsidR="00F868C8" w:rsidRPr="0071546E" w:rsidRDefault="00F868C8" w:rsidP="00F868C8">
      <w:pPr>
        <w:spacing w:line="480" w:lineRule="auto"/>
        <w:ind w:left="1021" w:right="454"/>
        <w:jc w:val="both"/>
        <w:rPr>
          <w:rFonts w:ascii="Arial" w:hAnsi="Arial" w:cs="Arial"/>
          <w:sz w:val="24"/>
          <w:szCs w:val="24"/>
        </w:rPr>
      </w:pPr>
      <w:r w:rsidRPr="0071546E">
        <w:rPr>
          <w:rFonts w:ascii="Arial" w:hAnsi="Arial" w:cs="Arial"/>
          <w:sz w:val="24"/>
          <w:szCs w:val="24"/>
        </w:rPr>
        <w:t xml:space="preserve">        </w:t>
      </w:r>
    </w:p>
    <w:p w:rsidR="00F868C8" w:rsidRPr="0071546E" w:rsidRDefault="00F868C8" w:rsidP="00F868C8">
      <w:pPr>
        <w:spacing w:line="480" w:lineRule="auto"/>
        <w:ind w:left="1021" w:right="454"/>
        <w:jc w:val="both"/>
        <w:rPr>
          <w:rFonts w:ascii="Arial" w:hAnsi="Arial" w:cs="Arial"/>
          <w:sz w:val="24"/>
          <w:szCs w:val="24"/>
        </w:rPr>
      </w:pPr>
    </w:p>
    <w:p w:rsidR="00F868C8" w:rsidRPr="0071546E" w:rsidRDefault="00F868C8" w:rsidP="00F868C8">
      <w:pPr>
        <w:spacing w:line="480" w:lineRule="auto"/>
        <w:ind w:left="1021" w:right="454"/>
        <w:jc w:val="both"/>
        <w:rPr>
          <w:rFonts w:ascii="Arial" w:hAnsi="Arial" w:cs="Arial"/>
          <w:sz w:val="24"/>
          <w:szCs w:val="24"/>
        </w:rPr>
      </w:pPr>
      <w:r w:rsidRPr="0071546E">
        <w:rPr>
          <w:rFonts w:ascii="Arial" w:hAnsi="Arial" w:cs="Arial"/>
          <w:sz w:val="24"/>
          <w:szCs w:val="24"/>
        </w:rPr>
        <w:t xml:space="preserve"> During this project, a key element was the use of a robust bioassay to assess the activity of photosensitizer against both life cycle of </w:t>
      </w:r>
      <w:r w:rsidRPr="0071546E">
        <w:rPr>
          <w:rFonts w:ascii="Arial" w:hAnsi="Arial" w:cs="Arial"/>
          <w:i/>
          <w:sz w:val="24"/>
          <w:szCs w:val="24"/>
        </w:rPr>
        <w:t>Acanthamoeba.</w:t>
      </w:r>
      <w:r w:rsidRPr="0071546E">
        <w:rPr>
          <w:rFonts w:ascii="Arial" w:hAnsi="Arial" w:cs="Arial"/>
          <w:sz w:val="24"/>
          <w:szCs w:val="24"/>
        </w:rPr>
        <w:t xml:space="preserve"> However, I realised that the commonly used viability assay was not adaptable for cyst viability assay. Microscopy was the only viability assay useful for both cysts and trophozoites, but it was labour intensive, not reproducible and not adaptable for high-throughput screening. As part of this work, we adapted the ATP assay for susceptibility testing. The ATP assay gave good sensitivity and excellent reproducibility. The ATP assay has been used to evaluate the viability of other organisms and there is strong evidence of a correlation between microbial counts and ATP levels. Ultimately, the choice between ATP assay and another viability assay will depend largely on the needs and constraints of assay methods. In this case, the ATP assay was most suitable considering the life cycle of </w:t>
      </w:r>
      <w:r w:rsidRPr="0071546E">
        <w:rPr>
          <w:rFonts w:ascii="Arial" w:hAnsi="Arial" w:cs="Arial"/>
          <w:i/>
          <w:sz w:val="24"/>
          <w:szCs w:val="24"/>
        </w:rPr>
        <w:t>Acanthamoeba.</w:t>
      </w:r>
      <w:r w:rsidRPr="0071546E">
        <w:rPr>
          <w:rFonts w:ascii="Arial" w:hAnsi="Arial" w:cs="Arial"/>
          <w:sz w:val="24"/>
          <w:szCs w:val="24"/>
        </w:rPr>
        <w:t xml:space="preserve"> However, I must reiterate the fact that in addition to viability assay developed we should use the regrowth assay as validation for results of the ATP assay.</w:t>
      </w:r>
    </w:p>
    <w:p w:rsidR="00F868C8" w:rsidRPr="0071546E" w:rsidRDefault="00F868C8" w:rsidP="00F868C8">
      <w:pPr>
        <w:spacing w:line="480" w:lineRule="auto"/>
        <w:ind w:left="1021" w:right="454"/>
        <w:jc w:val="both"/>
        <w:rPr>
          <w:rFonts w:ascii="Arial" w:hAnsi="Arial" w:cs="Arial"/>
          <w:sz w:val="24"/>
          <w:szCs w:val="24"/>
        </w:rPr>
      </w:pPr>
      <w:r w:rsidRPr="0071546E">
        <w:rPr>
          <w:rFonts w:ascii="Arial" w:hAnsi="Arial" w:cs="Arial"/>
          <w:sz w:val="24"/>
          <w:szCs w:val="24"/>
        </w:rPr>
        <w:t>However, a limitation of ATP based assay is the cost and table 5.0 shows a comparison of the cost of ATP assay with another viability assay.</w:t>
      </w:r>
    </w:p>
    <w:p w:rsidR="00F868C8" w:rsidRPr="0071546E" w:rsidRDefault="00F868C8" w:rsidP="00F868C8">
      <w:pPr>
        <w:spacing w:line="480" w:lineRule="auto"/>
        <w:ind w:left="1021" w:right="454"/>
        <w:jc w:val="both"/>
        <w:rPr>
          <w:rFonts w:ascii="Arial" w:hAnsi="Arial" w:cs="Arial"/>
          <w:sz w:val="24"/>
          <w:szCs w:val="24"/>
        </w:rPr>
      </w:pPr>
    </w:p>
    <w:p w:rsidR="00F868C8" w:rsidRPr="0071546E" w:rsidRDefault="00F868C8" w:rsidP="00F868C8">
      <w:pPr>
        <w:spacing w:line="480" w:lineRule="auto"/>
        <w:ind w:left="1021" w:right="454"/>
        <w:jc w:val="both"/>
        <w:rPr>
          <w:rFonts w:ascii="Arial" w:hAnsi="Arial" w:cs="Arial"/>
          <w:sz w:val="24"/>
          <w:szCs w:val="24"/>
        </w:rPr>
      </w:pPr>
    </w:p>
    <w:p w:rsidR="00F868C8" w:rsidRPr="0071546E" w:rsidRDefault="00F868C8" w:rsidP="00F868C8">
      <w:pPr>
        <w:spacing w:line="480" w:lineRule="auto"/>
        <w:ind w:left="1021" w:right="454"/>
        <w:jc w:val="both"/>
        <w:rPr>
          <w:rFonts w:ascii="Arial" w:hAnsi="Arial" w:cs="Arial"/>
          <w:sz w:val="24"/>
          <w:szCs w:val="24"/>
        </w:rPr>
      </w:pPr>
    </w:p>
    <w:p w:rsidR="00F868C8" w:rsidRPr="0071546E" w:rsidRDefault="00F868C8" w:rsidP="00F868C8">
      <w:pPr>
        <w:spacing w:line="480" w:lineRule="auto"/>
        <w:ind w:left="1021" w:right="454"/>
        <w:jc w:val="both"/>
        <w:rPr>
          <w:rFonts w:ascii="Arial" w:hAnsi="Arial" w:cs="Arial"/>
          <w:sz w:val="24"/>
          <w:szCs w:val="24"/>
        </w:rPr>
      </w:pPr>
    </w:p>
    <w:p w:rsidR="006E7815" w:rsidRPr="0071546E" w:rsidRDefault="006E7815" w:rsidP="00F868C8">
      <w:pPr>
        <w:spacing w:line="480" w:lineRule="auto"/>
        <w:ind w:left="1021" w:right="454"/>
        <w:jc w:val="both"/>
        <w:rPr>
          <w:rFonts w:ascii="Arial" w:hAnsi="Arial" w:cs="Arial"/>
          <w:sz w:val="24"/>
          <w:szCs w:val="24"/>
        </w:rPr>
      </w:pPr>
    </w:p>
    <w:p w:rsidR="00F868C8" w:rsidRPr="0071546E" w:rsidRDefault="00F868C8" w:rsidP="00F868C8">
      <w:pPr>
        <w:spacing w:line="480" w:lineRule="auto"/>
        <w:ind w:left="1021" w:right="454"/>
        <w:jc w:val="both"/>
        <w:rPr>
          <w:rFonts w:ascii="Arial" w:hAnsi="Arial" w:cs="Arial"/>
          <w:sz w:val="24"/>
          <w:szCs w:val="24"/>
        </w:rPr>
      </w:pPr>
    </w:p>
    <w:tbl>
      <w:tblPr>
        <w:tblpPr w:leftFromText="180" w:rightFromText="180" w:vertAnchor="text" w:horzAnchor="margin" w:tblpXSpec="center" w:tblpY="40"/>
        <w:tblW w:w="6987" w:type="dxa"/>
        <w:tblCellMar>
          <w:left w:w="0" w:type="dxa"/>
          <w:right w:w="0" w:type="dxa"/>
        </w:tblCellMar>
        <w:tblLook w:val="0420" w:firstRow="1" w:lastRow="0" w:firstColumn="0" w:lastColumn="0" w:noHBand="0" w:noVBand="1"/>
      </w:tblPr>
      <w:tblGrid>
        <w:gridCol w:w="1502"/>
        <w:gridCol w:w="1220"/>
        <w:gridCol w:w="1466"/>
        <w:gridCol w:w="1096"/>
        <w:gridCol w:w="1703"/>
      </w:tblGrid>
      <w:tr w:rsidR="00F868C8" w:rsidRPr="0071546E" w:rsidTr="00F868C8">
        <w:trPr>
          <w:trHeight w:val="259"/>
        </w:trPr>
        <w:tc>
          <w:tcPr>
            <w:tcW w:w="150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Assay type</w:t>
            </w:r>
          </w:p>
        </w:tc>
        <w:tc>
          <w:tcPr>
            <w:tcW w:w="268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 xml:space="preserve">        Applicability</w:t>
            </w:r>
          </w:p>
        </w:tc>
        <w:tc>
          <w:tcPr>
            <w:tcW w:w="109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Cost of assay</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HTS systems</w:t>
            </w:r>
          </w:p>
        </w:tc>
      </w:tr>
      <w:tr w:rsidR="00F868C8" w:rsidRPr="0071546E" w:rsidTr="00F868C8">
        <w:trPr>
          <w:trHeight w:val="382"/>
        </w:trPr>
        <w:tc>
          <w:tcPr>
            <w:tcW w:w="1502" w:type="dxa"/>
            <w:vMerge/>
            <w:tcBorders>
              <w:top w:val="single" w:sz="8" w:space="0" w:color="000000"/>
              <w:left w:val="single" w:sz="8" w:space="0" w:color="000000"/>
              <w:bottom w:val="single" w:sz="8" w:space="0" w:color="000000"/>
              <w:right w:val="single" w:sz="8" w:space="0" w:color="000000"/>
            </w:tcBorders>
            <w:vAlign w:val="center"/>
            <w:hideMark/>
          </w:tcPr>
          <w:p w:rsidR="00F868C8" w:rsidRPr="0071546E" w:rsidRDefault="00F868C8" w:rsidP="00F868C8">
            <w:pPr>
              <w:spacing w:after="0" w:line="240" w:lineRule="auto"/>
              <w:rPr>
                <w:rFonts w:ascii="Arial" w:eastAsia="Times New Roman" w:hAnsi="Arial" w:cs="Arial"/>
                <w:sz w:val="24"/>
                <w:szCs w:val="24"/>
                <w:lang w:eastAsia="en-GB"/>
              </w:rPr>
            </w:pP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Trophs</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Cysts</w:t>
            </w:r>
          </w:p>
        </w:tc>
        <w:tc>
          <w:tcPr>
            <w:tcW w:w="1096" w:type="dxa"/>
            <w:vMerge/>
            <w:tcBorders>
              <w:top w:val="single" w:sz="8" w:space="0" w:color="000000"/>
              <w:left w:val="single" w:sz="8" w:space="0" w:color="000000"/>
              <w:bottom w:val="single" w:sz="8" w:space="0" w:color="000000"/>
              <w:right w:val="single" w:sz="8" w:space="0" w:color="000000"/>
            </w:tcBorders>
            <w:vAlign w:val="center"/>
            <w:hideMark/>
          </w:tcPr>
          <w:p w:rsidR="00F868C8" w:rsidRPr="0071546E" w:rsidRDefault="00F868C8" w:rsidP="00F868C8">
            <w:pPr>
              <w:spacing w:after="0" w:line="240" w:lineRule="auto"/>
              <w:rPr>
                <w:rFonts w:ascii="Arial" w:eastAsia="Times New Roman" w:hAnsi="Arial" w:cs="Arial"/>
                <w:sz w:val="24"/>
                <w:szCs w:val="24"/>
                <w:lang w:eastAsia="en-GB"/>
              </w:rPr>
            </w:pPr>
          </w:p>
        </w:tc>
        <w:tc>
          <w:tcPr>
            <w:tcW w:w="1703" w:type="dxa"/>
            <w:vMerge/>
            <w:tcBorders>
              <w:top w:val="single" w:sz="8" w:space="0" w:color="000000"/>
              <w:left w:val="single" w:sz="8" w:space="0" w:color="000000"/>
              <w:bottom w:val="single" w:sz="8" w:space="0" w:color="000000"/>
              <w:right w:val="single" w:sz="8" w:space="0" w:color="000000"/>
            </w:tcBorders>
            <w:vAlign w:val="center"/>
            <w:hideMark/>
          </w:tcPr>
          <w:p w:rsidR="00F868C8" w:rsidRPr="0071546E" w:rsidRDefault="00F868C8" w:rsidP="00F868C8">
            <w:pPr>
              <w:spacing w:after="0" w:line="240" w:lineRule="auto"/>
              <w:rPr>
                <w:rFonts w:ascii="Arial" w:eastAsia="Times New Roman" w:hAnsi="Arial" w:cs="Arial"/>
                <w:sz w:val="24"/>
                <w:szCs w:val="24"/>
                <w:lang w:eastAsia="en-GB"/>
              </w:rPr>
            </w:pPr>
          </w:p>
        </w:tc>
      </w:tr>
      <w:tr w:rsidR="00F868C8" w:rsidRPr="0071546E" w:rsidTr="00F868C8">
        <w:trPr>
          <w:trHeight w:val="259"/>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FDA assay</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Yes</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No</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20p</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Yes</w:t>
            </w:r>
          </w:p>
        </w:tc>
      </w:tr>
      <w:tr w:rsidR="00F868C8" w:rsidRPr="0071546E" w:rsidTr="00F868C8">
        <w:trPr>
          <w:trHeight w:val="259"/>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 xml:space="preserve">Resazurin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Yes</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No</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20p</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Yes</w:t>
            </w:r>
          </w:p>
        </w:tc>
      </w:tr>
      <w:tr w:rsidR="00F868C8" w:rsidRPr="0071546E" w:rsidTr="00F868C8">
        <w:trPr>
          <w:trHeight w:val="259"/>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Microscopy</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Yes</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Yes</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20p</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No</w:t>
            </w:r>
          </w:p>
        </w:tc>
      </w:tr>
      <w:tr w:rsidR="00F868C8" w:rsidRPr="0071546E" w:rsidTr="00F868C8">
        <w:trPr>
          <w:trHeight w:val="259"/>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ATP assay</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Yes</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Yes</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50p</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Yes</w:t>
            </w:r>
          </w:p>
        </w:tc>
      </w:tr>
      <w:tr w:rsidR="00F868C8" w:rsidRPr="0071546E" w:rsidTr="00F868C8">
        <w:trPr>
          <w:trHeight w:val="259"/>
        </w:trPr>
        <w:tc>
          <w:tcPr>
            <w:tcW w:w="15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MTT assay</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Yes</w:t>
            </w:r>
          </w:p>
        </w:tc>
        <w:tc>
          <w:tcPr>
            <w:tcW w:w="14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No</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20p</w:t>
            </w:r>
          </w:p>
        </w:tc>
        <w:tc>
          <w:tcPr>
            <w:tcW w:w="17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868C8" w:rsidRPr="0071546E" w:rsidRDefault="00F868C8" w:rsidP="00F868C8">
            <w:pPr>
              <w:spacing w:after="0" w:line="240" w:lineRule="auto"/>
              <w:rPr>
                <w:rFonts w:ascii="Arial" w:eastAsia="Times New Roman" w:hAnsi="Arial" w:cs="Arial"/>
                <w:sz w:val="24"/>
                <w:szCs w:val="24"/>
                <w:lang w:eastAsia="en-GB"/>
              </w:rPr>
            </w:pPr>
            <w:r w:rsidRPr="0071546E">
              <w:rPr>
                <w:rFonts w:ascii="Arial" w:eastAsia="Times New Roman" w:hAnsi="Arial" w:cs="Arial"/>
                <w:color w:val="000000" w:themeColor="text1"/>
                <w:kern w:val="24"/>
                <w:sz w:val="24"/>
                <w:szCs w:val="24"/>
                <w:lang w:eastAsia="en-GB"/>
              </w:rPr>
              <w:t>Yes</w:t>
            </w:r>
          </w:p>
        </w:tc>
      </w:tr>
    </w:tbl>
    <w:p w:rsidR="00F868C8" w:rsidRPr="0071546E" w:rsidRDefault="00F868C8" w:rsidP="00F868C8">
      <w:pPr>
        <w:spacing w:line="480" w:lineRule="auto"/>
        <w:ind w:left="1021" w:right="454"/>
        <w:jc w:val="both"/>
        <w:rPr>
          <w:rFonts w:ascii="Arial" w:hAnsi="Arial" w:cs="Arial"/>
          <w:sz w:val="24"/>
          <w:szCs w:val="24"/>
        </w:rPr>
      </w:pPr>
    </w:p>
    <w:p w:rsidR="00F868C8" w:rsidRPr="0071546E" w:rsidRDefault="00F868C8" w:rsidP="00F868C8">
      <w:pPr>
        <w:spacing w:line="480" w:lineRule="auto"/>
        <w:ind w:left="1021" w:right="454"/>
        <w:jc w:val="both"/>
        <w:rPr>
          <w:rFonts w:ascii="Arial" w:hAnsi="Arial" w:cs="Arial"/>
          <w:sz w:val="24"/>
          <w:szCs w:val="24"/>
        </w:rPr>
      </w:pPr>
    </w:p>
    <w:p w:rsidR="00F868C8" w:rsidRPr="0071546E" w:rsidRDefault="00F868C8" w:rsidP="00F868C8">
      <w:pPr>
        <w:spacing w:line="480" w:lineRule="auto"/>
        <w:ind w:left="1021" w:right="454"/>
        <w:jc w:val="both"/>
        <w:rPr>
          <w:rFonts w:ascii="Arial" w:hAnsi="Arial" w:cs="Arial"/>
          <w:sz w:val="24"/>
          <w:szCs w:val="24"/>
        </w:rPr>
      </w:pPr>
    </w:p>
    <w:p w:rsidR="00F868C8" w:rsidRPr="0071546E" w:rsidRDefault="00F868C8" w:rsidP="00F868C8">
      <w:pPr>
        <w:spacing w:line="480" w:lineRule="auto"/>
        <w:ind w:left="1021" w:right="454"/>
        <w:jc w:val="both"/>
        <w:rPr>
          <w:rFonts w:ascii="Arial" w:hAnsi="Arial" w:cs="Arial"/>
          <w:sz w:val="24"/>
          <w:szCs w:val="24"/>
        </w:rPr>
      </w:pPr>
    </w:p>
    <w:p w:rsidR="00F868C8" w:rsidRPr="0071546E" w:rsidRDefault="00F868C8" w:rsidP="00F868C8">
      <w:pPr>
        <w:spacing w:line="480" w:lineRule="auto"/>
        <w:ind w:right="454"/>
        <w:jc w:val="both"/>
        <w:rPr>
          <w:rFonts w:ascii="Arial" w:hAnsi="Arial" w:cs="Arial"/>
          <w:sz w:val="24"/>
          <w:szCs w:val="24"/>
        </w:rPr>
      </w:pPr>
    </w:p>
    <w:p w:rsidR="00F868C8" w:rsidRPr="0071546E" w:rsidRDefault="00F868C8" w:rsidP="00F868C8">
      <w:pPr>
        <w:spacing w:line="240" w:lineRule="auto"/>
        <w:ind w:left="1021" w:right="454"/>
        <w:jc w:val="both"/>
        <w:rPr>
          <w:rFonts w:ascii="Arial" w:hAnsi="Arial" w:cs="Arial"/>
          <w:sz w:val="20"/>
          <w:szCs w:val="24"/>
        </w:rPr>
      </w:pPr>
      <w:r w:rsidRPr="0071546E">
        <w:rPr>
          <w:rFonts w:ascii="Arial" w:hAnsi="Arial" w:cs="Arial"/>
          <w:sz w:val="20"/>
          <w:szCs w:val="24"/>
        </w:rPr>
        <w:t>Table 5.0 Comparison of the applicability cost and adaptability of viability assay considered for the present study.</w:t>
      </w:r>
    </w:p>
    <w:p w:rsidR="00F868C8" w:rsidRPr="0071546E" w:rsidRDefault="00F868C8" w:rsidP="00F868C8">
      <w:pPr>
        <w:spacing w:line="480" w:lineRule="auto"/>
        <w:ind w:left="1021" w:right="454"/>
        <w:jc w:val="both"/>
        <w:rPr>
          <w:rFonts w:ascii="Arial" w:hAnsi="Arial" w:cs="Arial"/>
          <w:sz w:val="24"/>
          <w:szCs w:val="24"/>
        </w:rPr>
      </w:pPr>
    </w:p>
    <w:p w:rsidR="00F868C8" w:rsidRPr="0071546E" w:rsidRDefault="00F868C8" w:rsidP="004A421F">
      <w:pPr>
        <w:pStyle w:val="Heading1"/>
        <w:ind w:left="301" w:firstLine="720"/>
        <w:rPr>
          <w:lang w:val="en"/>
        </w:rPr>
      </w:pPr>
      <w:bookmarkStart w:id="129" w:name="_Toc14711497"/>
      <w:r w:rsidRPr="0071546E">
        <w:rPr>
          <w:lang w:val="en"/>
        </w:rPr>
        <w:t>Novelty.</w:t>
      </w:r>
      <w:bookmarkEnd w:id="129"/>
    </w:p>
    <w:p w:rsidR="00F868C8" w:rsidRPr="0071546E" w:rsidRDefault="00F868C8" w:rsidP="00F868C8">
      <w:pPr>
        <w:spacing w:line="480" w:lineRule="auto"/>
        <w:ind w:left="1021" w:right="454"/>
        <w:jc w:val="both"/>
        <w:rPr>
          <w:rFonts w:ascii="Arial" w:hAnsi="Arial" w:cs="Arial"/>
          <w:sz w:val="24"/>
          <w:szCs w:val="24"/>
        </w:rPr>
      </w:pPr>
      <w:r w:rsidRPr="0071546E">
        <w:rPr>
          <w:rFonts w:ascii="Arial" w:hAnsi="Arial" w:cs="Arial"/>
          <w:sz w:val="24"/>
          <w:szCs w:val="24"/>
          <w:lang w:val="en"/>
        </w:rPr>
        <w:t xml:space="preserve">Development of the ATP assay based on lysozymes ability to lyse </w:t>
      </w:r>
      <w:r w:rsidRPr="0071546E">
        <w:rPr>
          <w:rFonts w:ascii="Arial" w:hAnsi="Arial" w:cs="Arial"/>
          <w:i/>
          <w:sz w:val="24"/>
          <w:szCs w:val="24"/>
          <w:lang w:val="en"/>
        </w:rPr>
        <w:t>Acanthamoeba</w:t>
      </w:r>
      <w:r w:rsidRPr="0071546E">
        <w:rPr>
          <w:rFonts w:ascii="Arial" w:hAnsi="Arial" w:cs="Arial"/>
          <w:sz w:val="24"/>
          <w:szCs w:val="24"/>
          <w:lang w:val="en"/>
        </w:rPr>
        <w:t xml:space="preserve"> cysts in a controlled manner was a novel finding</w:t>
      </w:r>
      <w:r w:rsidRPr="0071546E">
        <w:rPr>
          <w:rFonts w:ascii="Arial" w:hAnsi="Arial" w:cs="Arial"/>
          <w:sz w:val="24"/>
          <w:szCs w:val="24"/>
        </w:rPr>
        <w:t xml:space="preserve">. As at the time of writing this report, no study has optimised ATP assay based on enzymatic lysis to be adaptable for cyst viability testing. Some studies, which have tried the ATP based assay on </w:t>
      </w:r>
      <w:r w:rsidRPr="0071546E">
        <w:rPr>
          <w:rFonts w:ascii="Arial" w:hAnsi="Arial" w:cs="Arial"/>
          <w:i/>
          <w:sz w:val="24"/>
          <w:szCs w:val="24"/>
        </w:rPr>
        <w:t>Acanthamoeba</w:t>
      </w:r>
      <w:r w:rsidRPr="0071546E">
        <w:rPr>
          <w:rFonts w:ascii="Arial" w:hAnsi="Arial" w:cs="Arial"/>
          <w:sz w:val="24"/>
          <w:szCs w:val="24"/>
        </w:rPr>
        <w:t xml:space="preserve">, concluded it was not useful based on non-repeatability of results which they attributed to lack of controlled lysis approach (Hughes and </w:t>
      </w:r>
      <w:r w:rsidRPr="0071546E">
        <w:rPr>
          <w:rFonts w:ascii="Arial" w:hAnsi="Arial" w:cs="Arial"/>
          <w:iCs/>
          <w:sz w:val="24"/>
          <w:szCs w:val="24"/>
        </w:rPr>
        <w:t>Kilvington</w:t>
      </w:r>
      <w:r w:rsidRPr="0071546E">
        <w:rPr>
          <w:rFonts w:ascii="Arial" w:hAnsi="Arial" w:cs="Arial"/>
          <w:sz w:val="24"/>
          <w:szCs w:val="24"/>
        </w:rPr>
        <w:t>, 2004). In this study they suggested that a controlled lysis approach could enhance development of ATP based assay for Acanthamoeba susceptibility testing.</w:t>
      </w:r>
    </w:p>
    <w:p w:rsidR="00F868C8" w:rsidRPr="0071546E" w:rsidRDefault="00F868C8" w:rsidP="00F868C8">
      <w:pPr>
        <w:spacing w:line="480" w:lineRule="auto"/>
        <w:ind w:left="1021" w:right="454"/>
        <w:jc w:val="both"/>
        <w:rPr>
          <w:rFonts w:ascii="Arial" w:hAnsi="Arial" w:cs="Arial"/>
          <w:sz w:val="24"/>
          <w:szCs w:val="24"/>
        </w:rPr>
      </w:pPr>
    </w:p>
    <w:p w:rsidR="00F868C8" w:rsidRPr="0071546E" w:rsidRDefault="00F868C8" w:rsidP="00F868C8">
      <w:pPr>
        <w:spacing w:line="480" w:lineRule="auto"/>
        <w:ind w:left="1021" w:right="454"/>
        <w:jc w:val="both"/>
        <w:rPr>
          <w:rFonts w:ascii="Arial" w:hAnsi="Arial" w:cs="Arial"/>
          <w:sz w:val="24"/>
          <w:szCs w:val="24"/>
        </w:rPr>
      </w:pPr>
    </w:p>
    <w:p w:rsidR="00D43DAE" w:rsidRPr="0071546E" w:rsidRDefault="00D43DAE" w:rsidP="00F868C8">
      <w:pPr>
        <w:spacing w:line="480" w:lineRule="auto"/>
        <w:ind w:left="1021" w:right="454"/>
        <w:jc w:val="both"/>
        <w:rPr>
          <w:rFonts w:ascii="Arial" w:hAnsi="Arial" w:cs="Arial"/>
          <w:sz w:val="24"/>
          <w:szCs w:val="24"/>
        </w:rPr>
      </w:pPr>
    </w:p>
    <w:p w:rsidR="00F868C8" w:rsidRPr="0071546E" w:rsidRDefault="00F868C8" w:rsidP="00F868C8">
      <w:pPr>
        <w:spacing w:line="480" w:lineRule="auto"/>
        <w:ind w:left="1021" w:right="454"/>
        <w:jc w:val="both"/>
        <w:rPr>
          <w:rFonts w:ascii="Arial" w:hAnsi="Arial" w:cs="Arial"/>
          <w:sz w:val="24"/>
          <w:szCs w:val="24"/>
        </w:rPr>
      </w:pPr>
      <w:r w:rsidRPr="0071546E">
        <w:rPr>
          <w:rFonts w:ascii="Arial" w:hAnsi="Arial" w:cs="Arial"/>
          <w:sz w:val="24"/>
          <w:szCs w:val="24"/>
        </w:rPr>
        <w:t>Another interesting novel finding was the deduction of the approximate amount of ATP contained in a single trophozoite and cyst.</w:t>
      </w:r>
      <w:r w:rsidR="00133A08" w:rsidRPr="0071546E">
        <w:rPr>
          <w:rFonts w:ascii="Arial" w:hAnsi="Arial" w:cs="Arial"/>
          <w:sz w:val="24"/>
          <w:szCs w:val="24"/>
        </w:rPr>
        <w:t xml:space="preserve"> This research was the first to attempt to calculate the exact amount of ATP contained in a single </w:t>
      </w:r>
      <w:r w:rsidR="00133A08" w:rsidRPr="0071546E">
        <w:rPr>
          <w:rFonts w:ascii="Arial" w:hAnsi="Arial" w:cs="Arial"/>
          <w:i/>
          <w:sz w:val="24"/>
          <w:szCs w:val="24"/>
        </w:rPr>
        <w:t>Acanthamoeba</w:t>
      </w:r>
      <w:r w:rsidR="00133A08" w:rsidRPr="0071546E">
        <w:rPr>
          <w:rFonts w:ascii="Arial" w:hAnsi="Arial" w:cs="Arial"/>
          <w:sz w:val="24"/>
          <w:szCs w:val="24"/>
        </w:rPr>
        <w:t xml:space="preserve"> cell.</w:t>
      </w:r>
      <w:r w:rsidRPr="0071546E">
        <w:rPr>
          <w:rFonts w:ascii="Arial" w:hAnsi="Arial" w:cs="Arial"/>
          <w:sz w:val="24"/>
          <w:szCs w:val="24"/>
        </w:rPr>
        <w:t xml:space="preserve"> We were able to compare ATP levels for both morphological forms and our calculations (See appendix 8), shows that approximately similar amount of ATP was recovered from trophozoites and cysts (0.5 mM and 0.75 mM) respectively, more experiment needs to be carried out to further validate this result.</w:t>
      </w:r>
    </w:p>
    <w:p w:rsidR="00F868C8" w:rsidRPr="0071546E" w:rsidRDefault="00F868C8" w:rsidP="00F868C8">
      <w:pPr>
        <w:spacing w:line="480" w:lineRule="auto"/>
        <w:ind w:left="1021" w:right="454"/>
        <w:jc w:val="both"/>
        <w:rPr>
          <w:rFonts w:ascii="Arial" w:hAnsi="Arial" w:cs="Arial"/>
          <w:sz w:val="24"/>
          <w:szCs w:val="24"/>
        </w:rPr>
      </w:pPr>
    </w:p>
    <w:p w:rsidR="00F868C8" w:rsidRPr="0071546E" w:rsidRDefault="00F868C8" w:rsidP="004A421F">
      <w:pPr>
        <w:pStyle w:val="Heading1"/>
        <w:ind w:left="301" w:firstLine="720"/>
      </w:pPr>
      <w:bookmarkStart w:id="130" w:name="_Toc14711498"/>
      <w:r w:rsidRPr="0071546E">
        <w:t>Future work</w:t>
      </w:r>
      <w:bookmarkEnd w:id="130"/>
    </w:p>
    <w:p w:rsidR="00D43DAE" w:rsidRPr="0071546E" w:rsidRDefault="00F868C8" w:rsidP="00D43DAE">
      <w:pPr>
        <w:pStyle w:val="ListParagraph"/>
        <w:numPr>
          <w:ilvl w:val="0"/>
          <w:numId w:val="7"/>
        </w:numPr>
        <w:spacing w:line="480" w:lineRule="auto"/>
        <w:ind w:right="454"/>
        <w:jc w:val="both"/>
        <w:rPr>
          <w:rFonts w:ascii="Arial" w:hAnsi="Arial" w:cs="Arial"/>
          <w:sz w:val="24"/>
          <w:szCs w:val="24"/>
        </w:rPr>
      </w:pPr>
      <w:r w:rsidRPr="0071546E">
        <w:rPr>
          <w:rFonts w:ascii="Arial" w:hAnsi="Arial" w:cs="Arial"/>
          <w:sz w:val="24"/>
          <w:szCs w:val="24"/>
        </w:rPr>
        <w:t>To survey a wider range of porphyrin-based molecules to alter their activity against cysts and trophozoites and from there develop their structural relationship</w:t>
      </w:r>
    </w:p>
    <w:p w:rsidR="00D43DAE" w:rsidRPr="0071546E" w:rsidRDefault="00F868C8" w:rsidP="00D43DAE">
      <w:pPr>
        <w:pStyle w:val="ListParagraph"/>
        <w:numPr>
          <w:ilvl w:val="0"/>
          <w:numId w:val="7"/>
        </w:numPr>
        <w:spacing w:line="480" w:lineRule="auto"/>
        <w:ind w:right="454"/>
        <w:jc w:val="both"/>
        <w:rPr>
          <w:rFonts w:ascii="Arial" w:hAnsi="Arial" w:cs="Arial"/>
          <w:sz w:val="24"/>
          <w:szCs w:val="24"/>
        </w:rPr>
      </w:pPr>
      <w:r w:rsidRPr="0071546E">
        <w:rPr>
          <w:rFonts w:ascii="Arial" w:hAnsi="Arial" w:cs="Arial"/>
          <w:sz w:val="24"/>
          <w:szCs w:val="24"/>
        </w:rPr>
        <w:t xml:space="preserve">Use the information on structural relationship to synthesize new porphyrins in a strategic and targeted way to increase its activity against </w:t>
      </w:r>
      <w:r w:rsidRPr="0071546E">
        <w:rPr>
          <w:rFonts w:ascii="Arial" w:hAnsi="Arial" w:cs="Arial"/>
          <w:i/>
          <w:sz w:val="24"/>
          <w:szCs w:val="24"/>
        </w:rPr>
        <w:t>Acanthamoeba</w:t>
      </w:r>
      <w:r w:rsidRPr="0071546E">
        <w:rPr>
          <w:rFonts w:ascii="Arial" w:hAnsi="Arial" w:cs="Arial"/>
          <w:sz w:val="24"/>
          <w:szCs w:val="24"/>
        </w:rPr>
        <w:t>.</w:t>
      </w:r>
    </w:p>
    <w:p w:rsidR="00D43DAE" w:rsidRPr="0071546E" w:rsidRDefault="00F868C8" w:rsidP="00D43DAE">
      <w:pPr>
        <w:pStyle w:val="ListParagraph"/>
        <w:numPr>
          <w:ilvl w:val="0"/>
          <w:numId w:val="7"/>
        </w:numPr>
        <w:spacing w:line="480" w:lineRule="auto"/>
        <w:ind w:right="454"/>
        <w:jc w:val="both"/>
        <w:rPr>
          <w:rFonts w:ascii="Arial" w:hAnsi="Arial" w:cs="Arial"/>
          <w:sz w:val="24"/>
          <w:szCs w:val="24"/>
        </w:rPr>
      </w:pPr>
      <w:r w:rsidRPr="0071546E">
        <w:rPr>
          <w:rFonts w:ascii="Arial" w:hAnsi="Arial" w:cs="Arial"/>
          <w:sz w:val="24"/>
          <w:szCs w:val="24"/>
        </w:rPr>
        <w:t>Evaluate the potential of lysozyme as a prophylactic use in contact lens cleaning solutions. It may also be useful to look at the activity of lysozyme to increase activity against the cysts.</w:t>
      </w:r>
    </w:p>
    <w:p w:rsidR="00F868C8" w:rsidRPr="0071546E" w:rsidRDefault="00F868C8" w:rsidP="00D43DAE">
      <w:pPr>
        <w:pStyle w:val="ListParagraph"/>
        <w:numPr>
          <w:ilvl w:val="0"/>
          <w:numId w:val="7"/>
        </w:numPr>
        <w:spacing w:line="480" w:lineRule="auto"/>
        <w:ind w:right="454"/>
        <w:jc w:val="both"/>
        <w:rPr>
          <w:rFonts w:ascii="Arial" w:hAnsi="Arial" w:cs="Arial"/>
          <w:sz w:val="24"/>
          <w:szCs w:val="24"/>
        </w:rPr>
      </w:pPr>
      <w:r w:rsidRPr="0071546E">
        <w:rPr>
          <w:rFonts w:ascii="Arial" w:hAnsi="Arial" w:cs="Arial"/>
          <w:sz w:val="24"/>
          <w:szCs w:val="24"/>
        </w:rPr>
        <w:t xml:space="preserve">Further validation of the data on the ATP level in </w:t>
      </w:r>
      <w:r w:rsidRPr="0071546E">
        <w:rPr>
          <w:rFonts w:ascii="Arial" w:hAnsi="Arial" w:cs="Arial"/>
          <w:i/>
          <w:sz w:val="24"/>
          <w:szCs w:val="24"/>
        </w:rPr>
        <w:t>Acanthamoeba</w:t>
      </w:r>
      <w:r w:rsidRPr="0071546E">
        <w:rPr>
          <w:rFonts w:ascii="Arial" w:hAnsi="Arial" w:cs="Arial"/>
          <w:sz w:val="24"/>
          <w:szCs w:val="24"/>
        </w:rPr>
        <w:t xml:space="preserve"> cyst and trophozoites using alternative approaches to measure intracellular ATP.</w:t>
      </w:r>
    </w:p>
    <w:p w:rsidR="00F868C8" w:rsidRPr="0071546E" w:rsidRDefault="00F868C8" w:rsidP="00133A08">
      <w:pPr>
        <w:spacing w:after="0" w:line="480" w:lineRule="auto"/>
        <w:ind w:right="454"/>
        <w:jc w:val="both"/>
        <w:rPr>
          <w:rFonts w:ascii="Arial" w:eastAsia="Times New Roman" w:hAnsi="Arial" w:cs="Arial"/>
          <w:sz w:val="24"/>
          <w:szCs w:val="24"/>
          <w:lang w:eastAsia="en-GB"/>
        </w:rPr>
      </w:pPr>
    </w:p>
    <w:p w:rsidR="006F1273" w:rsidRPr="0071546E" w:rsidRDefault="006F1273" w:rsidP="00284357">
      <w:pPr>
        <w:ind w:right="454"/>
        <w:rPr>
          <w:rFonts w:ascii="Arial" w:eastAsia="Times New Roman" w:hAnsi="Arial" w:cs="Arial"/>
          <w:color w:val="000000"/>
          <w:sz w:val="24"/>
          <w:lang w:eastAsia="en-GB"/>
        </w:rPr>
      </w:pPr>
    </w:p>
    <w:p w:rsidR="006F1273" w:rsidRPr="0071546E" w:rsidRDefault="006F1273" w:rsidP="004A421F">
      <w:pPr>
        <w:pStyle w:val="Heading1"/>
        <w:ind w:left="272" w:firstLine="720"/>
      </w:pPr>
      <w:bookmarkStart w:id="131" w:name="_Toc14711499"/>
      <w:r w:rsidRPr="0071546E">
        <w:t>LIST OF PRESENTATIONS</w:t>
      </w:r>
      <w:bookmarkEnd w:id="131"/>
      <w:r w:rsidRPr="0071546E">
        <w:t xml:space="preserve"> </w:t>
      </w:r>
    </w:p>
    <w:p w:rsidR="006F1273" w:rsidRPr="0071546E" w:rsidRDefault="006F1273" w:rsidP="00CF13FE">
      <w:pPr>
        <w:keepNext/>
        <w:keepLines/>
        <w:suppressAutoHyphens/>
        <w:autoSpaceDN w:val="0"/>
        <w:spacing w:before="240" w:after="307" w:line="360" w:lineRule="auto"/>
        <w:ind w:left="1021" w:right="454"/>
        <w:jc w:val="both"/>
        <w:textAlignment w:val="baseline"/>
        <w:outlineLvl w:val="2"/>
        <w:rPr>
          <w:rFonts w:ascii="Arial" w:eastAsia="Times New Roman" w:hAnsi="Arial" w:cs="Arial"/>
          <w:b/>
          <w:color w:val="0D0D0D"/>
          <w:sz w:val="24"/>
          <w:szCs w:val="24"/>
          <w:lang w:eastAsia="en-GB"/>
        </w:rPr>
      </w:pPr>
      <w:bookmarkStart w:id="132" w:name="_Toc905222"/>
      <w:bookmarkStart w:id="133" w:name="_Toc14711500"/>
      <w:r w:rsidRPr="0071546E">
        <w:rPr>
          <w:rFonts w:ascii="Arial" w:eastAsia="Times New Roman" w:hAnsi="Arial" w:cs="Arial"/>
          <w:b/>
          <w:color w:val="0D0D0D"/>
          <w:sz w:val="24"/>
          <w:szCs w:val="24"/>
          <w:lang w:eastAsia="en-GB"/>
        </w:rPr>
        <w:t>Poster Presentations</w:t>
      </w:r>
      <w:bookmarkEnd w:id="132"/>
      <w:bookmarkEnd w:id="133"/>
      <w:r w:rsidRPr="0071546E">
        <w:rPr>
          <w:rFonts w:ascii="Arial" w:eastAsia="Times New Roman" w:hAnsi="Arial" w:cs="Arial"/>
          <w:b/>
          <w:color w:val="0D0D0D"/>
          <w:sz w:val="24"/>
          <w:szCs w:val="24"/>
          <w:lang w:eastAsia="en-GB"/>
        </w:rPr>
        <w:t xml:space="preserve"> </w:t>
      </w:r>
    </w:p>
    <w:p w:rsidR="006F1273" w:rsidRPr="0071546E" w:rsidRDefault="006F1273" w:rsidP="00CF13FE">
      <w:pPr>
        <w:numPr>
          <w:ilvl w:val="0"/>
          <w:numId w:val="2"/>
        </w:numPr>
        <w:suppressAutoHyphens/>
        <w:autoSpaceDN w:val="0"/>
        <w:spacing w:before="120" w:after="120" w:line="360" w:lineRule="auto"/>
        <w:ind w:left="1021" w:right="454"/>
        <w:jc w:val="both"/>
        <w:textAlignment w:val="baseline"/>
        <w:rPr>
          <w:rFonts w:ascii="Arial" w:eastAsia="Calibri" w:hAnsi="Arial" w:cs="Arial"/>
          <w:sz w:val="24"/>
          <w:szCs w:val="24"/>
        </w:rPr>
      </w:pPr>
      <w:r w:rsidRPr="0071546E">
        <w:rPr>
          <w:rFonts w:ascii="Arial" w:eastAsia="Calibri" w:hAnsi="Arial" w:cs="Arial"/>
          <w:sz w:val="24"/>
          <w:szCs w:val="24"/>
        </w:rPr>
        <w:t>Annual University of Sunderland Research Conference, held at St. Peters Campus, University of Sunderland, United Kingdom. 7th January 2016.</w:t>
      </w:r>
    </w:p>
    <w:p w:rsidR="006F1273" w:rsidRPr="0071546E" w:rsidRDefault="00D7164A" w:rsidP="00CF13FE">
      <w:pPr>
        <w:numPr>
          <w:ilvl w:val="0"/>
          <w:numId w:val="2"/>
        </w:numPr>
        <w:suppressAutoHyphens/>
        <w:autoSpaceDN w:val="0"/>
        <w:spacing w:before="120" w:after="120" w:line="360" w:lineRule="auto"/>
        <w:ind w:left="1021" w:right="454"/>
        <w:jc w:val="both"/>
        <w:textAlignment w:val="baseline"/>
        <w:rPr>
          <w:rFonts w:ascii="Arial" w:eastAsia="Calibri" w:hAnsi="Arial" w:cs="Arial"/>
          <w:sz w:val="24"/>
          <w:szCs w:val="24"/>
        </w:rPr>
      </w:pPr>
      <w:r w:rsidRPr="0071546E">
        <w:rPr>
          <w:rFonts w:ascii="Arial" w:eastAsia="Calibri" w:hAnsi="Arial" w:cs="Arial"/>
          <w:sz w:val="24"/>
          <w:szCs w:val="24"/>
        </w:rPr>
        <w:t>Seventh</w:t>
      </w:r>
      <w:r w:rsidR="006F1273" w:rsidRPr="0071546E">
        <w:rPr>
          <w:rFonts w:ascii="Arial" w:eastAsia="Calibri" w:hAnsi="Arial" w:cs="Arial"/>
          <w:sz w:val="24"/>
          <w:szCs w:val="24"/>
        </w:rPr>
        <w:t xml:space="preserve"> Academy of Pharmaceutical Society Conference held at the University of Strathclyde, Glasgow, Scotland, </w:t>
      </w:r>
      <w:r w:rsidRPr="0071546E">
        <w:rPr>
          <w:rFonts w:ascii="Arial" w:eastAsia="Calibri" w:hAnsi="Arial" w:cs="Arial"/>
          <w:sz w:val="24"/>
          <w:szCs w:val="24"/>
        </w:rPr>
        <w:t>and United</w:t>
      </w:r>
      <w:r w:rsidR="006F1273" w:rsidRPr="0071546E">
        <w:rPr>
          <w:rFonts w:ascii="Arial" w:eastAsia="Calibri" w:hAnsi="Arial" w:cs="Arial"/>
          <w:sz w:val="24"/>
          <w:szCs w:val="24"/>
        </w:rPr>
        <w:t xml:space="preserve"> Kingdom. </w:t>
      </w:r>
      <w:r w:rsidRPr="0071546E">
        <w:rPr>
          <w:rFonts w:ascii="Arial" w:eastAsia="Calibri" w:hAnsi="Arial" w:cs="Arial"/>
          <w:sz w:val="24"/>
          <w:szCs w:val="24"/>
        </w:rPr>
        <w:t>Five</w:t>
      </w:r>
      <w:r w:rsidR="006F1273" w:rsidRPr="0071546E">
        <w:rPr>
          <w:rFonts w:ascii="Arial" w:eastAsia="Calibri" w:hAnsi="Arial" w:cs="Arial"/>
          <w:sz w:val="24"/>
          <w:szCs w:val="24"/>
        </w:rPr>
        <w:t xml:space="preserve"> to 7th September 2016.</w:t>
      </w:r>
    </w:p>
    <w:p w:rsidR="006F1273" w:rsidRPr="0071546E" w:rsidRDefault="006F1273" w:rsidP="00CF13FE">
      <w:pPr>
        <w:numPr>
          <w:ilvl w:val="0"/>
          <w:numId w:val="2"/>
        </w:numPr>
        <w:suppressAutoHyphens/>
        <w:autoSpaceDN w:val="0"/>
        <w:spacing w:before="120" w:after="120" w:line="360" w:lineRule="auto"/>
        <w:ind w:left="1021" w:right="454"/>
        <w:jc w:val="both"/>
        <w:textAlignment w:val="baseline"/>
        <w:rPr>
          <w:rFonts w:ascii="Arial" w:eastAsia="Calibri" w:hAnsi="Arial" w:cs="Arial"/>
          <w:sz w:val="24"/>
          <w:szCs w:val="24"/>
        </w:rPr>
      </w:pPr>
      <w:r w:rsidRPr="0071546E">
        <w:rPr>
          <w:rFonts w:ascii="Arial" w:eastAsia="Calibri" w:hAnsi="Arial" w:cs="Arial"/>
          <w:sz w:val="24"/>
          <w:szCs w:val="24"/>
        </w:rPr>
        <w:t xml:space="preserve">Great North Pharmacy Research Conference 2017 held at the University of Sunderland, Sunderland UK. 21st July/ 2017. </w:t>
      </w:r>
    </w:p>
    <w:p w:rsidR="006F1273" w:rsidRPr="0071546E" w:rsidRDefault="006F1273" w:rsidP="00CF13FE">
      <w:pPr>
        <w:numPr>
          <w:ilvl w:val="0"/>
          <w:numId w:val="2"/>
        </w:numPr>
        <w:suppressAutoHyphens/>
        <w:autoSpaceDN w:val="0"/>
        <w:spacing w:before="120" w:after="120" w:line="360" w:lineRule="auto"/>
        <w:ind w:left="1021" w:right="454"/>
        <w:jc w:val="both"/>
        <w:textAlignment w:val="baseline"/>
        <w:rPr>
          <w:rFonts w:ascii="Arial" w:eastAsia="Calibri" w:hAnsi="Arial" w:cs="Arial"/>
          <w:sz w:val="24"/>
          <w:szCs w:val="24"/>
        </w:rPr>
      </w:pPr>
      <w:r w:rsidRPr="0071546E">
        <w:rPr>
          <w:rFonts w:ascii="Arial" w:eastAsia="Calibri" w:hAnsi="Arial" w:cs="Arial"/>
          <w:sz w:val="24"/>
          <w:szCs w:val="24"/>
        </w:rPr>
        <w:t xml:space="preserve">Research Conference /Sunderland </w:t>
      </w:r>
      <w:r w:rsidR="00284357" w:rsidRPr="0071546E">
        <w:rPr>
          <w:rFonts w:ascii="Arial" w:eastAsia="Calibri" w:hAnsi="Arial" w:cs="Arial"/>
          <w:sz w:val="24"/>
          <w:szCs w:val="24"/>
        </w:rPr>
        <w:t>University</w:t>
      </w:r>
      <w:r w:rsidRPr="0071546E">
        <w:rPr>
          <w:rFonts w:ascii="Arial" w:eastAsia="Calibri" w:hAnsi="Arial" w:cs="Arial"/>
          <w:sz w:val="24"/>
          <w:szCs w:val="24"/>
        </w:rPr>
        <w:t xml:space="preserve"> 21</w:t>
      </w:r>
      <w:r w:rsidR="00D7164A" w:rsidRPr="0071546E">
        <w:rPr>
          <w:rFonts w:ascii="Arial" w:eastAsia="Calibri" w:hAnsi="Arial" w:cs="Arial"/>
          <w:sz w:val="24"/>
          <w:szCs w:val="24"/>
        </w:rPr>
        <w:t xml:space="preserve"> </w:t>
      </w:r>
      <w:r w:rsidRPr="0071546E">
        <w:rPr>
          <w:rFonts w:ascii="Arial" w:eastAsia="Calibri" w:hAnsi="Arial" w:cs="Arial"/>
          <w:sz w:val="24"/>
          <w:szCs w:val="24"/>
        </w:rPr>
        <w:t>/</w:t>
      </w:r>
      <w:r w:rsidR="00D7164A" w:rsidRPr="0071546E">
        <w:rPr>
          <w:rFonts w:ascii="Arial" w:eastAsia="Calibri" w:hAnsi="Arial" w:cs="Arial"/>
          <w:sz w:val="24"/>
          <w:szCs w:val="24"/>
        </w:rPr>
        <w:t xml:space="preserve"> </w:t>
      </w:r>
      <w:r w:rsidRPr="0071546E">
        <w:rPr>
          <w:rFonts w:ascii="Arial" w:eastAsia="Calibri" w:hAnsi="Arial" w:cs="Arial"/>
          <w:sz w:val="24"/>
          <w:szCs w:val="24"/>
        </w:rPr>
        <w:t>07</w:t>
      </w:r>
      <w:r w:rsidR="00D7164A" w:rsidRPr="0071546E">
        <w:rPr>
          <w:rFonts w:ascii="Arial" w:eastAsia="Calibri" w:hAnsi="Arial" w:cs="Arial"/>
          <w:sz w:val="24"/>
          <w:szCs w:val="24"/>
        </w:rPr>
        <w:t xml:space="preserve"> </w:t>
      </w:r>
      <w:r w:rsidRPr="0071546E">
        <w:rPr>
          <w:rFonts w:ascii="Arial" w:eastAsia="Calibri" w:hAnsi="Arial" w:cs="Arial"/>
          <w:sz w:val="24"/>
          <w:szCs w:val="24"/>
        </w:rPr>
        <w:t>/</w:t>
      </w:r>
      <w:r w:rsidR="00D7164A" w:rsidRPr="0071546E">
        <w:rPr>
          <w:rFonts w:ascii="Arial" w:eastAsia="Calibri" w:hAnsi="Arial" w:cs="Arial"/>
          <w:sz w:val="24"/>
          <w:szCs w:val="24"/>
        </w:rPr>
        <w:t xml:space="preserve"> </w:t>
      </w:r>
      <w:r w:rsidRPr="0071546E">
        <w:rPr>
          <w:rFonts w:ascii="Arial" w:eastAsia="Calibri" w:hAnsi="Arial" w:cs="Arial"/>
          <w:sz w:val="24"/>
          <w:szCs w:val="24"/>
        </w:rPr>
        <w:t>2017.</w:t>
      </w:r>
    </w:p>
    <w:p w:rsidR="006F1273" w:rsidRPr="0071546E" w:rsidRDefault="006F1273" w:rsidP="00CF13FE">
      <w:pPr>
        <w:numPr>
          <w:ilvl w:val="0"/>
          <w:numId w:val="2"/>
        </w:numPr>
        <w:suppressAutoHyphens/>
        <w:autoSpaceDN w:val="0"/>
        <w:spacing w:before="120" w:after="120" w:line="360" w:lineRule="auto"/>
        <w:ind w:left="1021" w:right="454"/>
        <w:jc w:val="both"/>
        <w:textAlignment w:val="baseline"/>
        <w:rPr>
          <w:rFonts w:ascii="Arial" w:eastAsia="Calibri" w:hAnsi="Arial" w:cs="Arial"/>
          <w:sz w:val="24"/>
          <w:szCs w:val="24"/>
        </w:rPr>
      </w:pPr>
      <w:r w:rsidRPr="0071546E">
        <w:rPr>
          <w:rFonts w:ascii="Arial" w:eastAsia="Calibri" w:hAnsi="Arial" w:cs="Arial"/>
          <w:sz w:val="24"/>
          <w:szCs w:val="24"/>
        </w:rPr>
        <w:t>Federation of Infection Societies Annual Conference /</w:t>
      </w:r>
      <w:r w:rsidR="00D7164A" w:rsidRPr="0071546E">
        <w:rPr>
          <w:rFonts w:ascii="Arial" w:eastAsia="Calibri" w:hAnsi="Arial" w:cs="Arial"/>
          <w:sz w:val="24"/>
          <w:szCs w:val="24"/>
        </w:rPr>
        <w:t xml:space="preserve"> </w:t>
      </w:r>
      <w:r w:rsidRPr="0071546E">
        <w:rPr>
          <w:rFonts w:ascii="Arial" w:eastAsia="Calibri" w:hAnsi="Arial" w:cs="Arial"/>
          <w:sz w:val="24"/>
          <w:szCs w:val="24"/>
        </w:rPr>
        <w:t>Birmingham                                                        30</w:t>
      </w:r>
      <w:r w:rsidR="00D7164A" w:rsidRPr="0071546E">
        <w:rPr>
          <w:rFonts w:ascii="Arial" w:eastAsia="Calibri" w:hAnsi="Arial" w:cs="Arial"/>
          <w:sz w:val="24"/>
          <w:szCs w:val="24"/>
        </w:rPr>
        <w:t xml:space="preserve"> </w:t>
      </w:r>
      <w:r w:rsidRPr="0071546E">
        <w:rPr>
          <w:rFonts w:ascii="Arial" w:eastAsia="Calibri" w:hAnsi="Arial" w:cs="Arial"/>
          <w:sz w:val="24"/>
          <w:szCs w:val="24"/>
        </w:rPr>
        <w:t>/</w:t>
      </w:r>
      <w:r w:rsidR="00D7164A" w:rsidRPr="0071546E">
        <w:rPr>
          <w:rFonts w:ascii="Arial" w:eastAsia="Calibri" w:hAnsi="Arial" w:cs="Arial"/>
          <w:sz w:val="24"/>
          <w:szCs w:val="24"/>
        </w:rPr>
        <w:t xml:space="preserve"> </w:t>
      </w:r>
      <w:r w:rsidRPr="0071546E">
        <w:rPr>
          <w:rFonts w:ascii="Arial" w:eastAsia="Calibri" w:hAnsi="Arial" w:cs="Arial"/>
          <w:sz w:val="24"/>
          <w:szCs w:val="24"/>
        </w:rPr>
        <w:t>11-2</w:t>
      </w:r>
      <w:r w:rsidR="00D7164A" w:rsidRPr="0071546E">
        <w:rPr>
          <w:rFonts w:ascii="Arial" w:eastAsia="Calibri" w:hAnsi="Arial" w:cs="Arial"/>
          <w:sz w:val="24"/>
          <w:szCs w:val="24"/>
        </w:rPr>
        <w:t xml:space="preserve"> </w:t>
      </w:r>
      <w:r w:rsidRPr="0071546E">
        <w:rPr>
          <w:rFonts w:ascii="Arial" w:eastAsia="Calibri" w:hAnsi="Arial" w:cs="Arial"/>
          <w:sz w:val="24"/>
          <w:szCs w:val="24"/>
        </w:rPr>
        <w:t>/</w:t>
      </w:r>
      <w:r w:rsidR="00D7164A" w:rsidRPr="0071546E">
        <w:rPr>
          <w:rFonts w:ascii="Arial" w:eastAsia="Calibri" w:hAnsi="Arial" w:cs="Arial"/>
          <w:sz w:val="24"/>
          <w:szCs w:val="24"/>
        </w:rPr>
        <w:t xml:space="preserve"> </w:t>
      </w:r>
      <w:r w:rsidRPr="0071546E">
        <w:rPr>
          <w:rFonts w:ascii="Arial" w:eastAsia="Calibri" w:hAnsi="Arial" w:cs="Arial"/>
          <w:sz w:val="24"/>
          <w:szCs w:val="24"/>
        </w:rPr>
        <w:t>12</w:t>
      </w:r>
      <w:r w:rsidR="00D7164A" w:rsidRPr="0071546E">
        <w:rPr>
          <w:rFonts w:ascii="Arial" w:eastAsia="Calibri" w:hAnsi="Arial" w:cs="Arial"/>
          <w:sz w:val="24"/>
          <w:szCs w:val="24"/>
        </w:rPr>
        <w:t xml:space="preserve"> </w:t>
      </w:r>
      <w:r w:rsidRPr="0071546E">
        <w:rPr>
          <w:rFonts w:ascii="Arial" w:eastAsia="Calibri" w:hAnsi="Arial" w:cs="Arial"/>
          <w:sz w:val="24"/>
          <w:szCs w:val="24"/>
        </w:rPr>
        <w:t>/</w:t>
      </w:r>
      <w:r w:rsidR="00D7164A" w:rsidRPr="0071546E">
        <w:rPr>
          <w:rFonts w:ascii="Arial" w:eastAsia="Calibri" w:hAnsi="Arial" w:cs="Arial"/>
          <w:sz w:val="24"/>
          <w:szCs w:val="24"/>
        </w:rPr>
        <w:t xml:space="preserve"> </w:t>
      </w:r>
      <w:r w:rsidRPr="0071546E">
        <w:rPr>
          <w:rFonts w:ascii="Arial" w:eastAsia="Calibri" w:hAnsi="Arial" w:cs="Arial"/>
          <w:sz w:val="24"/>
          <w:szCs w:val="24"/>
        </w:rPr>
        <w:t xml:space="preserve">17                 </w:t>
      </w:r>
    </w:p>
    <w:p w:rsidR="006F1273" w:rsidRPr="0071546E" w:rsidRDefault="006F1273" w:rsidP="00CF13FE">
      <w:pPr>
        <w:numPr>
          <w:ilvl w:val="0"/>
          <w:numId w:val="2"/>
        </w:numPr>
        <w:suppressAutoHyphens/>
        <w:autoSpaceDN w:val="0"/>
        <w:spacing w:before="120" w:after="120" w:line="360" w:lineRule="auto"/>
        <w:ind w:left="1021" w:right="454"/>
        <w:jc w:val="both"/>
        <w:textAlignment w:val="baseline"/>
        <w:rPr>
          <w:rFonts w:ascii="Arial" w:eastAsia="Calibri" w:hAnsi="Arial" w:cs="Arial"/>
          <w:sz w:val="24"/>
          <w:szCs w:val="24"/>
        </w:rPr>
      </w:pPr>
      <w:r w:rsidRPr="0071546E">
        <w:rPr>
          <w:rFonts w:ascii="Arial" w:eastAsia="Calibri" w:hAnsi="Arial" w:cs="Arial"/>
          <w:sz w:val="24"/>
          <w:szCs w:val="24"/>
        </w:rPr>
        <w:t>Society of applied microbiology (SfAM) conference/Birmingham University                                   23</w:t>
      </w:r>
      <w:r w:rsidR="00D7164A" w:rsidRPr="0071546E">
        <w:rPr>
          <w:rFonts w:ascii="Arial" w:eastAsia="Calibri" w:hAnsi="Arial" w:cs="Arial"/>
          <w:sz w:val="24"/>
          <w:szCs w:val="24"/>
        </w:rPr>
        <w:t xml:space="preserve"> </w:t>
      </w:r>
      <w:r w:rsidRPr="0071546E">
        <w:rPr>
          <w:rFonts w:ascii="Arial" w:eastAsia="Calibri" w:hAnsi="Arial" w:cs="Arial"/>
          <w:sz w:val="24"/>
          <w:szCs w:val="24"/>
        </w:rPr>
        <w:t>/</w:t>
      </w:r>
      <w:r w:rsidR="00D7164A" w:rsidRPr="0071546E">
        <w:rPr>
          <w:rFonts w:ascii="Arial" w:eastAsia="Calibri" w:hAnsi="Arial" w:cs="Arial"/>
          <w:sz w:val="24"/>
          <w:szCs w:val="24"/>
        </w:rPr>
        <w:t xml:space="preserve"> </w:t>
      </w:r>
      <w:r w:rsidRPr="0071546E">
        <w:rPr>
          <w:rFonts w:ascii="Arial" w:eastAsia="Calibri" w:hAnsi="Arial" w:cs="Arial"/>
          <w:sz w:val="24"/>
          <w:szCs w:val="24"/>
        </w:rPr>
        <w:t>03</w:t>
      </w:r>
      <w:r w:rsidR="00D7164A" w:rsidRPr="0071546E">
        <w:rPr>
          <w:rFonts w:ascii="Arial" w:eastAsia="Calibri" w:hAnsi="Arial" w:cs="Arial"/>
          <w:sz w:val="24"/>
          <w:szCs w:val="24"/>
        </w:rPr>
        <w:t xml:space="preserve"> </w:t>
      </w:r>
      <w:r w:rsidRPr="0071546E">
        <w:rPr>
          <w:rFonts w:ascii="Arial" w:eastAsia="Calibri" w:hAnsi="Arial" w:cs="Arial"/>
          <w:sz w:val="24"/>
          <w:szCs w:val="24"/>
        </w:rPr>
        <w:t>/</w:t>
      </w:r>
      <w:r w:rsidR="00D7164A" w:rsidRPr="0071546E">
        <w:rPr>
          <w:rFonts w:ascii="Arial" w:eastAsia="Calibri" w:hAnsi="Arial" w:cs="Arial"/>
          <w:sz w:val="24"/>
          <w:szCs w:val="24"/>
        </w:rPr>
        <w:t xml:space="preserve"> </w:t>
      </w:r>
      <w:r w:rsidRPr="0071546E">
        <w:rPr>
          <w:rFonts w:ascii="Arial" w:eastAsia="Calibri" w:hAnsi="Arial" w:cs="Arial"/>
          <w:sz w:val="24"/>
          <w:szCs w:val="24"/>
        </w:rPr>
        <w:t xml:space="preserve">2018 </w:t>
      </w:r>
    </w:p>
    <w:p w:rsidR="006F1273" w:rsidRPr="0071546E" w:rsidRDefault="006F1273" w:rsidP="00CF13FE">
      <w:pPr>
        <w:keepNext/>
        <w:keepLines/>
        <w:suppressAutoHyphens/>
        <w:autoSpaceDN w:val="0"/>
        <w:spacing w:before="240" w:after="307" w:line="360" w:lineRule="auto"/>
        <w:ind w:left="1021" w:right="454"/>
        <w:jc w:val="both"/>
        <w:textAlignment w:val="baseline"/>
        <w:outlineLvl w:val="2"/>
        <w:rPr>
          <w:rFonts w:ascii="Arial" w:eastAsia="Times New Roman" w:hAnsi="Arial" w:cs="Arial"/>
          <w:b/>
          <w:color w:val="0D0D0D"/>
          <w:sz w:val="24"/>
          <w:szCs w:val="24"/>
          <w:lang w:eastAsia="en-GB"/>
        </w:rPr>
      </w:pPr>
      <w:bookmarkStart w:id="134" w:name="_Toc905223"/>
      <w:bookmarkStart w:id="135" w:name="_Toc14711501"/>
      <w:r w:rsidRPr="0071546E">
        <w:rPr>
          <w:rFonts w:ascii="Arial" w:eastAsia="Times New Roman" w:hAnsi="Arial" w:cs="Arial"/>
          <w:b/>
          <w:color w:val="0D0D0D"/>
          <w:sz w:val="24"/>
          <w:szCs w:val="24"/>
          <w:lang w:eastAsia="en-GB"/>
        </w:rPr>
        <w:t>Oral Presentation</w:t>
      </w:r>
      <w:bookmarkEnd w:id="134"/>
      <w:bookmarkEnd w:id="135"/>
      <w:r w:rsidRPr="0071546E">
        <w:rPr>
          <w:rFonts w:ascii="Arial" w:eastAsia="Times New Roman" w:hAnsi="Arial" w:cs="Arial"/>
          <w:b/>
          <w:color w:val="0D0D0D"/>
          <w:sz w:val="24"/>
          <w:szCs w:val="24"/>
          <w:lang w:eastAsia="en-GB"/>
        </w:rPr>
        <w:t xml:space="preserve"> </w:t>
      </w:r>
    </w:p>
    <w:p w:rsidR="006F1273" w:rsidRPr="0071546E" w:rsidRDefault="006F1273" w:rsidP="00CF13FE">
      <w:pPr>
        <w:pStyle w:val="ListParagraph"/>
        <w:numPr>
          <w:ilvl w:val="0"/>
          <w:numId w:val="4"/>
        </w:numPr>
        <w:suppressAutoHyphens/>
        <w:autoSpaceDN w:val="0"/>
        <w:spacing w:before="120" w:after="120" w:line="360" w:lineRule="auto"/>
        <w:ind w:left="1021" w:right="454"/>
        <w:jc w:val="both"/>
        <w:textAlignment w:val="baseline"/>
        <w:rPr>
          <w:rFonts w:ascii="Arial" w:eastAsia="Times New Roman" w:hAnsi="Arial" w:cs="Arial"/>
          <w:b/>
          <w:color w:val="000000"/>
          <w:sz w:val="24"/>
          <w:szCs w:val="24"/>
          <w:lang w:eastAsia="en-GB"/>
        </w:rPr>
      </w:pPr>
      <w:r w:rsidRPr="0071546E">
        <w:rPr>
          <w:rFonts w:ascii="Arial" w:eastAsia="Times New Roman" w:hAnsi="Arial" w:cs="Arial"/>
          <w:color w:val="000000"/>
          <w:sz w:val="24"/>
          <w:szCs w:val="24"/>
          <w:lang w:eastAsia="en-GB"/>
        </w:rPr>
        <w:t>British Society for Parasitology (BSP) Spring/Aberystwyth University, 08-11</w:t>
      </w:r>
      <w:r w:rsidR="00D7164A" w:rsidRPr="0071546E">
        <w:rPr>
          <w:rFonts w:ascii="Arial" w:eastAsia="Times New Roman" w:hAnsi="Arial" w:cs="Arial"/>
          <w:color w:val="000000"/>
          <w:sz w:val="24"/>
          <w:szCs w:val="24"/>
          <w:lang w:eastAsia="en-GB"/>
        </w:rPr>
        <w:t xml:space="preserve"> </w:t>
      </w:r>
      <w:r w:rsidRPr="0071546E">
        <w:rPr>
          <w:rFonts w:ascii="Arial" w:eastAsia="Times New Roman" w:hAnsi="Arial" w:cs="Arial"/>
          <w:color w:val="000000"/>
          <w:sz w:val="24"/>
          <w:szCs w:val="24"/>
          <w:lang w:eastAsia="en-GB"/>
        </w:rPr>
        <w:t>/</w:t>
      </w:r>
      <w:r w:rsidR="00D7164A" w:rsidRPr="0071546E">
        <w:rPr>
          <w:rFonts w:ascii="Arial" w:eastAsia="Times New Roman" w:hAnsi="Arial" w:cs="Arial"/>
          <w:color w:val="000000"/>
          <w:sz w:val="24"/>
          <w:szCs w:val="24"/>
          <w:lang w:eastAsia="en-GB"/>
        </w:rPr>
        <w:t xml:space="preserve"> </w:t>
      </w:r>
      <w:r w:rsidRPr="0071546E">
        <w:rPr>
          <w:rFonts w:ascii="Arial" w:eastAsia="Times New Roman" w:hAnsi="Arial" w:cs="Arial"/>
          <w:color w:val="000000"/>
          <w:sz w:val="24"/>
          <w:szCs w:val="24"/>
          <w:lang w:eastAsia="en-GB"/>
        </w:rPr>
        <w:t>04</w:t>
      </w:r>
      <w:r w:rsidR="00D7164A" w:rsidRPr="0071546E">
        <w:rPr>
          <w:rFonts w:ascii="Arial" w:eastAsia="Times New Roman" w:hAnsi="Arial" w:cs="Arial"/>
          <w:color w:val="000000"/>
          <w:sz w:val="24"/>
          <w:szCs w:val="24"/>
          <w:lang w:eastAsia="en-GB"/>
        </w:rPr>
        <w:t xml:space="preserve"> </w:t>
      </w:r>
      <w:r w:rsidRPr="0071546E">
        <w:rPr>
          <w:rFonts w:ascii="Arial" w:eastAsia="Times New Roman" w:hAnsi="Arial" w:cs="Arial"/>
          <w:color w:val="000000"/>
          <w:sz w:val="24"/>
          <w:szCs w:val="24"/>
          <w:lang w:eastAsia="en-GB"/>
        </w:rPr>
        <w:t>/ 2018.</w:t>
      </w:r>
      <w:r w:rsidRPr="0071546E">
        <w:rPr>
          <w:rFonts w:ascii="Arial" w:eastAsia="Times New Roman" w:hAnsi="Arial" w:cs="Arial"/>
          <w:b/>
          <w:color w:val="000000"/>
          <w:sz w:val="24"/>
          <w:szCs w:val="24"/>
          <w:lang w:eastAsia="en-GB"/>
        </w:rPr>
        <w:t xml:space="preserve"> </w:t>
      </w:r>
    </w:p>
    <w:p w:rsidR="006F1273" w:rsidRPr="0071546E" w:rsidRDefault="006F1273" w:rsidP="00CF13FE">
      <w:pPr>
        <w:keepNext/>
        <w:keepLines/>
        <w:suppressAutoHyphens/>
        <w:autoSpaceDN w:val="0"/>
        <w:spacing w:before="240" w:after="307" w:line="360" w:lineRule="auto"/>
        <w:ind w:left="1021" w:right="454"/>
        <w:jc w:val="both"/>
        <w:textAlignment w:val="baseline"/>
        <w:outlineLvl w:val="2"/>
        <w:rPr>
          <w:rFonts w:ascii="Arial" w:eastAsia="Times New Roman" w:hAnsi="Arial" w:cs="Arial"/>
          <w:b/>
          <w:color w:val="0D0D0D"/>
          <w:sz w:val="24"/>
          <w:szCs w:val="24"/>
          <w:lang w:eastAsia="en-GB"/>
        </w:rPr>
      </w:pPr>
      <w:r w:rsidRPr="0071546E">
        <w:rPr>
          <w:rFonts w:ascii="Arial" w:eastAsia="Times New Roman" w:hAnsi="Arial" w:cs="Arial"/>
          <w:bCs/>
          <w:color w:val="0D0D0D"/>
          <w:sz w:val="24"/>
          <w:szCs w:val="24"/>
          <w:lang w:eastAsia="en-GB"/>
        </w:rPr>
        <w:t xml:space="preserve"> </w:t>
      </w:r>
      <w:bookmarkStart w:id="136" w:name="_Toc905224"/>
      <w:bookmarkStart w:id="137" w:name="_Toc14711502"/>
      <w:r w:rsidRPr="0071546E">
        <w:rPr>
          <w:rFonts w:ascii="Arial" w:eastAsia="Times New Roman" w:hAnsi="Arial" w:cs="Arial"/>
          <w:b/>
          <w:color w:val="0D0D0D"/>
          <w:sz w:val="24"/>
          <w:szCs w:val="24"/>
          <w:lang w:eastAsia="en-GB"/>
        </w:rPr>
        <w:t>Publications in preparation</w:t>
      </w:r>
      <w:bookmarkEnd w:id="136"/>
      <w:bookmarkEnd w:id="137"/>
      <w:r w:rsidRPr="0071546E">
        <w:rPr>
          <w:rFonts w:ascii="Arial" w:eastAsia="Times New Roman" w:hAnsi="Arial" w:cs="Arial"/>
          <w:b/>
          <w:color w:val="0D0D0D"/>
          <w:sz w:val="24"/>
          <w:szCs w:val="24"/>
          <w:lang w:eastAsia="en-GB"/>
        </w:rPr>
        <w:t xml:space="preserve">  </w:t>
      </w:r>
    </w:p>
    <w:p w:rsidR="006F1273" w:rsidRPr="0071546E" w:rsidRDefault="006F1273" w:rsidP="00CF13FE">
      <w:pPr>
        <w:numPr>
          <w:ilvl w:val="0"/>
          <w:numId w:val="3"/>
        </w:numPr>
        <w:suppressAutoHyphens/>
        <w:autoSpaceDN w:val="0"/>
        <w:spacing w:before="120" w:after="179" w:line="360" w:lineRule="auto"/>
        <w:ind w:left="1021" w:right="454"/>
        <w:jc w:val="both"/>
        <w:textAlignment w:val="baseline"/>
        <w:rPr>
          <w:rFonts w:ascii="Arial" w:eastAsia="Times New Roman" w:hAnsi="Arial" w:cs="Arial"/>
          <w:color w:val="000000"/>
          <w:sz w:val="24"/>
          <w:szCs w:val="24"/>
          <w:lang w:eastAsia="en-GB"/>
        </w:rPr>
      </w:pPr>
      <w:r w:rsidRPr="0071546E">
        <w:rPr>
          <w:rFonts w:ascii="Arial" w:eastAsia="Times New Roman" w:hAnsi="Arial" w:cs="Arial"/>
          <w:color w:val="000000"/>
          <w:sz w:val="24"/>
          <w:szCs w:val="24"/>
          <w:lang w:eastAsia="en-GB"/>
        </w:rPr>
        <w:t xml:space="preserve">Novel ATP bioluminescence assay for susceptibility testing of all morphological forms of </w:t>
      </w:r>
      <w:r w:rsidRPr="0071546E">
        <w:rPr>
          <w:rFonts w:ascii="Arial" w:eastAsia="Times New Roman" w:hAnsi="Arial" w:cs="Arial"/>
          <w:i/>
          <w:color w:val="000000"/>
          <w:sz w:val="24"/>
          <w:szCs w:val="24"/>
          <w:lang w:eastAsia="en-GB"/>
        </w:rPr>
        <w:t>Acanthamoeba</w:t>
      </w:r>
    </w:p>
    <w:p w:rsidR="006F1273" w:rsidRPr="0071546E" w:rsidRDefault="006F1273" w:rsidP="00CF13FE">
      <w:pPr>
        <w:numPr>
          <w:ilvl w:val="0"/>
          <w:numId w:val="3"/>
        </w:numPr>
        <w:suppressAutoHyphens/>
        <w:autoSpaceDN w:val="0"/>
        <w:spacing w:before="120" w:after="179" w:line="360" w:lineRule="auto"/>
        <w:ind w:left="1021" w:right="454"/>
        <w:jc w:val="both"/>
        <w:textAlignment w:val="baseline"/>
        <w:rPr>
          <w:rFonts w:ascii="Arial" w:eastAsia="Times New Roman" w:hAnsi="Arial" w:cs="Arial"/>
          <w:color w:val="000000"/>
          <w:sz w:val="24"/>
          <w:szCs w:val="24"/>
          <w:lang w:eastAsia="en-GB"/>
        </w:rPr>
      </w:pPr>
      <w:r w:rsidRPr="0071546E">
        <w:rPr>
          <w:rFonts w:ascii="Arial" w:eastAsia="Times New Roman" w:hAnsi="Arial" w:cs="Arial"/>
          <w:color w:val="000000"/>
          <w:sz w:val="24"/>
          <w:szCs w:val="24"/>
          <w:lang w:eastAsia="en-GB"/>
        </w:rPr>
        <w:t xml:space="preserve">Lysozyme specificity for carbohydrate components of </w:t>
      </w:r>
      <w:r w:rsidRPr="0071546E">
        <w:rPr>
          <w:rFonts w:ascii="Arial" w:eastAsia="Times New Roman" w:hAnsi="Arial" w:cs="Arial"/>
          <w:i/>
          <w:color w:val="000000"/>
          <w:sz w:val="24"/>
          <w:szCs w:val="24"/>
          <w:lang w:eastAsia="en-GB"/>
        </w:rPr>
        <w:t>Acanthamoeba</w:t>
      </w:r>
      <w:r w:rsidRPr="0071546E">
        <w:rPr>
          <w:rFonts w:ascii="Arial" w:eastAsia="Times New Roman" w:hAnsi="Arial" w:cs="Arial"/>
          <w:color w:val="000000"/>
          <w:sz w:val="24"/>
          <w:szCs w:val="24"/>
          <w:lang w:eastAsia="en-GB"/>
        </w:rPr>
        <w:t xml:space="preserve"> cysts cell wall.</w:t>
      </w:r>
    </w:p>
    <w:p w:rsidR="006F1273" w:rsidRPr="0071546E" w:rsidRDefault="006F1273" w:rsidP="00CF13FE">
      <w:pPr>
        <w:ind w:left="1021" w:right="454"/>
        <w:rPr>
          <w:rFonts w:ascii="Arial" w:eastAsia="Times New Roman" w:hAnsi="Arial" w:cs="Arial"/>
          <w:color w:val="000000"/>
          <w:sz w:val="24"/>
          <w:lang w:eastAsia="en-GB"/>
        </w:rPr>
      </w:pPr>
    </w:p>
    <w:p w:rsidR="00133A08" w:rsidRPr="0071546E" w:rsidRDefault="00133A08" w:rsidP="00CF13FE">
      <w:pPr>
        <w:ind w:left="1021" w:right="454"/>
        <w:rPr>
          <w:rFonts w:ascii="Arial" w:eastAsia="Times New Roman" w:hAnsi="Arial" w:cs="Arial"/>
          <w:color w:val="000000"/>
          <w:sz w:val="24"/>
          <w:lang w:eastAsia="en-GB"/>
        </w:rPr>
      </w:pPr>
    </w:p>
    <w:p w:rsidR="006F1273" w:rsidRPr="0071546E" w:rsidRDefault="006F1273" w:rsidP="00CF13FE">
      <w:pPr>
        <w:ind w:left="1021" w:right="454"/>
        <w:rPr>
          <w:rFonts w:ascii="Arial" w:eastAsia="Times New Roman" w:hAnsi="Arial" w:cs="Arial"/>
          <w:color w:val="000000"/>
          <w:sz w:val="24"/>
          <w:lang w:eastAsia="en-GB"/>
        </w:rPr>
      </w:pPr>
    </w:p>
    <w:p w:rsidR="006F1273" w:rsidRPr="0071546E" w:rsidRDefault="006F1273" w:rsidP="00CF13FE">
      <w:pPr>
        <w:ind w:left="1021" w:right="454"/>
        <w:rPr>
          <w:rFonts w:ascii="Arial" w:eastAsia="Times New Roman" w:hAnsi="Arial" w:cs="Arial"/>
          <w:color w:val="000000"/>
          <w:sz w:val="24"/>
          <w:lang w:eastAsia="en-GB"/>
        </w:rPr>
      </w:pPr>
    </w:p>
    <w:p w:rsidR="0070684E" w:rsidRPr="0071546E" w:rsidRDefault="006F1273" w:rsidP="00CF13FE">
      <w:pPr>
        <w:ind w:left="1021" w:right="454"/>
        <w:rPr>
          <w:rFonts w:ascii="Arial" w:hAnsi="Arial" w:cs="Arial"/>
          <w:b/>
          <w:sz w:val="24"/>
          <w:szCs w:val="24"/>
          <w:lang w:eastAsia="en-GB"/>
        </w:rPr>
      </w:pPr>
      <w:r w:rsidRPr="0071546E">
        <w:rPr>
          <w:rFonts w:ascii="Arial" w:eastAsia="Times New Roman" w:hAnsi="Arial" w:cs="Arial"/>
          <w:color w:val="000000"/>
          <w:sz w:val="24"/>
          <w:lang w:eastAsia="en-GB"/>
        </w:rPr>
        <w:t xml:space="preserve">                                              </w:t>
      </w:r>
      <w:r w:rsidR="0070684E" w:rsidRPr="0071546E">
        <w:rPr>
          <w:rFonts w:ascii="Arial" w:hAnsi="Arial" w:cs="Arial"/>
          <w:b/>
          <w:sz w:val="24"/>
          <w:szCs w:val="24"/>
          <w:lang w:eastAsia="en-GB"/>
        </w:rPr>
        <w:t xml:space="preserve"> Appendix</w:t>
      </w:r>
      <w:r w:rsidR="00ED0799" w:rsidRPr="0071546E">
        <w:rPr>
          <w:rFonts w:ascii="Arial" w:hAnsi="Arial" w:cs="Arial"/>
          <w:b/>
          <w:sz w:val="24"/>
          <w:szCs w:val="24"/>
          <w:lang w:eastAsia="en-GB"/>
        </w:rPr>
        <w:t xml:space="preserve"> 1</w:t>
      </w:r>
    </w:p>
    <w:p w:rsidR="0070684E" w:rsidRPr="0071546E" w:rsidRDefault="0070684E" w:rsidP="00CF13FE">
      <w:pPr>
        <w:ind w:left="1021" w:right="454"/>
        <w:rPr>
          <w:rFonts w:ascii="Arial" w:hAnsi="Arial" w:cs="Arial"/>
          <w:sz w:val="24"/>
          <w:szCs w:val="24"/>
          <w:lang w:eastAsia="en-GB"/>
        </w:rPr>
      </w:pPr>
      <w:r w:rsidRPr="0071546E">
        <w:rPr>
          <w:noProof/>
          <w:lang w:eastAsia="en-GB"/>
        </w:rPr>
        <w:drawing>
          <wp:inline distT="0" distB="0" distL="0" distR="0" wp14:anchorId="3A91004C" wp14:editId="0FDB9BEB">
            <wp:extent cx="4736368" cy="7271132"/>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749315" cy="7291009"/>
                    </a:xfrm>
                    <a:prstGeom prst="rect">
                      <a:avLst/>
                    </a:prstGeom>
                  </pic:spPr>
                </pic:pic>
              </a:graphicData>
            </a:graphic>
          </wp:inline>
        </w:drawing>
      </w:r>
    </w:p>
    <w:p w:rsidR="00F31465" w:rsidRPr="0071546E" w:rsidRDefault="005245BA" w:rsidP="00CF13FE">
      <w:pPr>
        <w:spacing w:line="240" w:lineRule="auto"/>
        <w:ind w:left="1021" w:right="454"/>
        <w:jc w:val="both"/>
        <w:rPr>
          <w:rFonts w:ascii="Arial" w:hAnsi="Arial" w:cs="Arial"/>
          <w:sz w:val="20"/>
          <w:szCs w:val="24"/>
          <w:lang w:eastAsia="en-GB"/>
        </w:rPr>
      </w:pPr>
      <w:r w:rsidRPr="0071546E">
        <w:rPr>
          <w:rFonts w:ascii="Arial" w:hAnsi="Arial" w:cs="Arial"/>
          <w:sz w:val="20"/>
          <w:szCs w:val="24"/>
          <w:lang w:eastAsia="en-GB"/>
        </w:rPr>
        <w:t xml:space="preserve">Fig </w:t>
      </w:r>
      <w:r w:rsidR="00956334" w:rsidRPr="0071546E">
        <w:rPr>
          <w:rFonts w:ascii="Arial" w:hAnsi="Arial" w:cs="Arial"/>
          <w:sz w:val="20"/>
          <w:szCs w:val="24"/>
          <w:lang w:eastAsia="en-GB"/>
        </w:rPr>
        <w:t>1 M</w:t>
      </w:r>
      <w:r w:rsidR="004F1C02" w:rsidRPr="0071546E">
        <w:rPr>
          <w:rFonts w:ascii="Arial" w:hAnsi="Arial" w:cs="Arial"/>
          <w:sz w:val="20"/>
          <w:szCs w:val="24"/>
          <w:lang w:eastAsia="en-GB"/>
        </w:rPr>
        <w:t xml:space="preserve">ultiple sequence alignment of </w:t>
      </w:r>
      <w:r w:rsidR="004F1C02" w:rsidRPr="0071546E">
        <w:rPr>
          <w:rFonts w:ascii="Arial" w:hAnsi="Arial" w:cs="Arial"/>
          <w:i/>
          <w:sz w:val="20"/>
          <w:szCs w:val="24"/>
          <w:lang w:eastAsia="en-GB"/>
        </w:rPr>
        <w:t>Acanthamoeba</w:t>
      </w:r>
      <w:r w:rsidR="004F1C02" w:rsidRPr="0071546E">
        <w:rPr>
          <w:rFonts w:ascii="Arial" w:hAnsi="Arial" w:cs="Arial"/>
          <w:sz w:val="20"/>
          <w:szCs w:val="24"/>
          <w:lang w:eastAsia="en-GB"/>
        </w:rPr>
        <w:t xml:space="preserve"> as generated from Cluster Omega software. The sequence </w:t>
      </w:r>
      <w:r w:rsidR="00A20CFA" w:rsidRPr="0071546E">
        <w:rPr>
          <w:rFonts w:ascii="Arial" w:hAnsi="Arial" w:cs="Arial"/>
          <w:sz w:val="20"/>
          <w:szCs w:val="24"/>
          <w:lang w:eastAsia="en-GB"/>
        </w:rPr>
        <w:t>alignment was used to generate the d</w:t>
      </w:r>
      <w:r w:rsidR="004F1C02" w:rsidRPr="0071546E">
        <w:rPr>
          <w:rFonts w:ascii="Arial" w:hAnsi="Arial" w:cs="Arial"/>
          <w:sz w:val="20"/>
          <w:szCs w:val="24"/>
          <w:lang w:eastAsia="en-GB"/>
        </w:rPr>
        <w:t xml:space="preserve">endrogram or family tree of the </w:t>
      </w:r>
      <w:r w:rsidR="004F1C02" w:rsidRPr="0071546E">
        <w:rPr>
          <w:rFonts w:ascii="Arial" w:hAnsi="Arial" w:cs="Arial"/>
          <w:i/>
          <w:sz w:val="20"/>
          <w:szCs w:val="24"/>
          <w:lang w:eastAsia="en-GB"/>
        </w:rPr>
        <w:t>Acanthamoeba</w:t>
      </w:r>
      <w:r w:rsidR="004F1C02" w:rsidRPr="0071546E">
        <w:rPr>
          <w:rFonts w:ascii="Arial" w:hAnsi="Arial" w:cs="Arial"/>
          <w:sz w:val="20"/>
          <w:szCs w:val="24"/>
          <w:lang w:eastAsia="en-GB"/>
        </w:rPr>
        <w:t xml:space="preserve"> isolates.</w:t>
      </w:r>
      <w:r w:rsidR="00D304E8" w:rsidRPr="0071546E">
        <w:rPr>
          <w:color w:val="0563C1" w:themeColor="hyperlink"/>
          <w:u w:val="single"/>
        </w:rPr>
        <w:t xml:space="preserve">  </w:t>
      </w:r>
      <w:hyperlink r:id="rId135" w:history="1">
        <w:r w:rsidR="00D304E8" w:rsidRPr="0071546E">
          <w:rPr>
            <w:rStyle w:val="Hyperlink"/>
            <w:rFonts w:ascii="Arial" w:hAnsi="Arial" w:cs="Arial"/>
            <w:sz w:val="20"/>
            <w:szCs w:val="24"/>
            <w:lang w:eastAsia="en-GB"/>
          </w:rPr>
          <w:t>http://www.clustal.org/omega/</w:t>
        </w:r>
      </w:hyperlink>
    </w:p>
    <w:p w:rsidR="005A11C8" w:rsidRPr="0071546E" w:rsidRDefault="005A11C8" w:rsidP="00284357">
      <w:pPr>
        <w:spacing w:line="240" w:lineRule="auto"/>
        <w:ind w:right="454"/>
        <w:jc w:val="both"/>
        <w:rPr>
          <w:rFonts w:ascii="Arial" w:hAnsi="Arial" w:cs="Arial"/>
          <w:sz w:val="20"/>
          <w:szCs w:val="24"/>
          <w:lang w:eastAsia="en-GB"/>
        </w:rPr>
      </w:pPr>
    </w:p>
    <w:p w:rsidR="00284357" w:rsidRPr="0071546E" w:rsidRDefault="00284357" w:rsidP="00284357">
      <w:pPr>
        <w:spacing w:line="240" w:lineRule="auto"/>
        <w:ind w:right="454"/>
        <w:jc w:val="both"/>
        <w:rPr>
          <w:rFonts w:ascii="Arial" w:hAnsi="Arial" w:cs="Arial"/>
          <w:sz w:val="20"/>
          <w:szCs w:val="24"/>
          <w:lang w:eastAsia="en-GB"/>
        </w:rPr>
      </w:pPr>
    </w:p>
    <w:p w:rsidR="00A20CFA" w:rsidRPr="0071546E" w:rsidRDefault="00BF46AD" w:rsidP="005A11C8">
      <w:pPr>
        <w:spacing w:line="240" w:lineRule="auto"/>
        <w:jc w:val="both"/>
        <w:rPr>
          <w:rFonts w:ascii="Arial" w:hAnsi="Arial" w:cs="Arial"/>
          <w:b/>
          <w:sz w:val="24"/>
          <w:szCs w:val="24"/>
          <w:lang w:eastAsia="en-GB"/>
        </w:rPr>
      </w:pPr>
      <w:r w:rsidRPr="0071546E">
        <w:rPr>
          <w:rFonts w:ascii="Arial" w:hAnsi="Arial" w:cs="Arial"/>
          <w:b/>
          <w:sz w:val="24"/>
          <w:szCs w:val="24"/>
          <w:lang w:eastAsia="en-GB"/>
        </w:rPr>
        <w:t xml:space="preserve">                                              Appendix 2</w:t>
      </w:r>
    </w:p>
    <w:p w:rsidR="00D43DAE" w:rsidRPr="0071546E" w:rsidRDefault="00D43DAE" w:rsidP="005A11C8">
      <w:pPr>
        <w:spacing w:line="240" w:lineRule="auto"/>
        <w:jc w:val="both"/>
        <w:rPr>
          <w:rFonts w:ascii="Arial" w:hAnsi="Arial" w:cs="Arial"/>
          <w:b/>
          <w:sz w:val="24"/>
          <w:szCs w:val="24"/>
          <w:lang w:eastAsia="en-GB"/>
        </w:rPr>
      </w:pPr>
      <w:r w:rsidRPr="0071546E">
        <w:rPr>
          <w:noProof/>
          <w:lang w:eastAsia="en-GB"/>
        </w:rPr>
        <w:drawing>
          <wp:inline distT="0" distB="0" distL="0" distR="0" wp14:anchorId="714E3C37" wp14:editId="56BB007A">
            <wp:extent cx="5260369" cy="725255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283708" cy="7284731"/>
                    </a:xfrm>
                    <a:prstGeom prst="rect">
                      <a:avLst/>
                    </a:prstGeom>
                  </pic:spPr>
                </pic:pic>
              </a:graphicData>
            </a:graphic>
          </wp:inline>
        </w:drawing>
      </w:r>
    </w:p>
    <w:p w:rsidR="00F31465" w:rsidRPr="0071546E" w:rsidRDefault="00D43DAE" w:rsidP="005A11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0"/>
          <w:szCs w:val="24"/>
        </w:rPr>
      </w:pPr>
      <w:r w:rsidRPr="0071546E">
        <w:rPr>
          <w:rFonts w:ascii="Arial" w:hAnsi="Arial" w:cs="Arial"/>
          <w:sz w:val="20"/>
          <w:szCs w:val="24"/>
        </w:rPr>
        <w:t>Fig 2 highlighted in pink color are the diagnostic fragment 3 of multiple sequence used to generate the family tree.</w:t>
      </w:r>
    </w:p>
    <w:p w:rsidR="00404F24" w:rsidRPr="0071546E" w:rsidRDefault="00404F24" w:rsidP="00110230">
      <w:pPr>
        <w:ind w:right="454"/>
        <w:jc w:val="both"/>
        <w:rPr>
          <w:rFonts w:ascii="Arial" w:hAnsi="Arial" w:cs="Arial"/>
          <w:sz w:val="20"/>
          <w:szCs w:val="24"/>
          <w:lang w:eastAsia="en-GB"/>
        </w:rPr>
      </w:pPr>
    </w:p>
    <w:p w:rsidR="00D43DAE" w:rsidRPr="0071546E" w:rsidRDefault="00D43DAE" w:rsidP="00110230">
      <w:pPr>
        <w:ind w:right="454"/>
        <w:jc w:val="both"/>
        <w:rPr>
          <w:rFonts w:ascii="Arial" w:hAnsi="Arial" w:cs="Arial"/>
          <w:sz w:val="20"/>
          <w:szCs w:val="24"/>
          <w:lang w:eastAsia="en-GB"/>
        </w:rPr>
      </w:pPr>
    </w:p>
    <w:p w:rsidR="00D43DAE" w:rsidRPr="0071546E" w:rsidRDefault="00D43DAE" w:rsidP="00110230">
      <w:pPr>
        <w:ind w:right="454"/>
        <w:jc w:val="both"/>
        <w:rPr>
          <w:rFonts w:ascii="Arial" w:hAnsi="Arial" w:cs="Arial"/>
          <w:sz w:val="20"/>
          <w:szCs w:val="24"/>
          <w:lang w:eastAsia="en-GB"/>
        </w:rPr>
      </w:pPr>
    </w:p>
    <w:p w:rsidR="00D43DAE" w:rsidRPr="0071546E" w:rsidRDefault="00D43DAE" w:rsidP="00110230">
      <w:pPr>
        <w:ind w:right="454"/>
        <w:jc w:val="both"/>
        <w:rPr>
          <w:rFonts w:ascii="Arial" w:hAnsi="Arial" w:cs="Arial"/>
          <w:sz w:val="20"/>
          <w:szCs w:val="24"/>
          <w:lang w:eastAsia="en-GB"/>
        </w:rPr>
      </w:pPr>
    </w:p>
    <w:p w:rsidR="00BF46AD" w:rsidRPr="0071546E" w:rsidRDefault="00BF46AD" w:rsidP="00CF13FE">
      <w:pPr>
        <w:ind w:left="1021" w:right="454"/>
        <w:jc w:val="both"/>
        <w:rPr>
          <w:rFonts w:ascii="Arial" w:hAnsi="Arial" w:cs="Arial"/>
          <w:sz w:val="20"/>
          <w:szCs w:val="24"/>
          <w:lang w:eastAsia="en-GB"/>
        </w:rPr>
      </w:pPr>
    </w:p>
    <w:p w:rsidR="00BF46AD" w:rsidRPr="0071546E" w:rsidRDefault="00BF46AD" w:rsidP="00CF13FE">
      <w:pPr>
        <w:ind w:left="1021" w:right="454"/>
        <w:jc w:val="both"/>
        <w:rPr>
          <w:rFonts w:ascii="Arial" w:hAnsi="Arial" w:cs="Arial"/>
          <w:b/>
          <w:sz w:val="24"/>
          <w:szCs w:val="24"/>
          <w:lang w:eastAsia="en-GB"/>
        </w:rPr>
      </w:pPr>
      <w:r w:rsidRPr="0071546E">
        <w:rPr>
          <w:rFonts w:ascii="Arial" w:hAnsi="Arial" w:cs="Arial"/>
          <w:b/>
          <w:sz w:val="24"/>
          <w:szCs w:val="24"/>
          <w:lang w:eastAsia="en-GB"/>
        </w:rPr>
        <w:t xml:space="preserve">                                            Appendix 3</w:t>
      </w:r>
    </w:p>
    <w:p w:rsidR="00ED0799" w:rsidRPr="0071546E" w:rsidRDefault="00ED0799" w:rsidP="00CF13FE">
      <w:pPr>
        <w:ind w:left="1021" w:right="454"/>
        <w:jc w:val="both"/>
        <w:rPr>
          <w:rFonts w:ascii="Arial" w:hAnsi="Arial" w:cs="Arial"/>
          <w:sz w:val="20"/>
          <w:szCs w:val="24"/>
          <w:lang w:eastAsia="en-GB"/>
        </w:rPr>
      </w:pPr>
    </w:p>
    <w:p w:rsidR="00ED0799" w:rsidRPr="0071546E" w:rsidRDefault="00ED0799" w:rsidP="00CF13FE">
      <w:pPr>
        <w:ind w:left="1021" w:right="454"/>
        <w:jc w:val="both"/>
        <w:rPr>
          <w:rFonts w:ascii="Arial" w:hAnsi="Arial" w:cs="Arial"/>
          <w:sz w:val="20"/>
          <w:szCs w:val="24"/>
          <w:lang w:eastAsia="en-GB"/>
        </w:rPr>
      </w:pPr>
    </w:p>
    <w:p w:rsidR="0070684E" w:rsidRPr="0071546E" w:rsidRDefault="00DC4179" w:rsidP="00CF13FE">
      <w:pPr>
        <w:ind w:left="1021" w:right="454"/>
        <w:rPr>
          <w:rFonts w:ascii="Arial" w:hAnsi="Arial" w:cs="Arial"/>
          <w:b/>
          <w:sz w:val="28"/>
          <w:szCs w:val="24"/>
          <w:lang w:eastAsia="en-GB"/>
        </w:rPr>
      </w:pPr>
      <w:r w:rsidRPr="0071546E">
        <w:rPr>
          <w:noProof/>
          <w:lang w:eastAsia="en-GB"/>
        </w:rPr>
        <w:drawing>
          <wp:inline distT="0" distB="0" distL="0" distR="0" wp14:anchorId="609BA655" wp14:editId="6D2D9A1F">
            <wp:extent cx="4602480" cy="320103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606448" cy="3203795"/>
                    </a:xfrm>
                    <a:prstGeom prst="rect">
                      <a:avLst/>
                    </a:prstGeom>
                  </pic:spPr>
                </pic:pic>
              </a:graphicData>
            </a:graphic>
          </wp:inline>
        </w:drawing>
      </w:r>
    </w:p>
    <w:p w:rsidR="0070684E" w:rsidRPr="0071546E" w:rsidRDefault="005245BA" w:rsidP="00CF13FE">
      <w:pPr>
        <w:ind w:left="1021" w:right="454"/>
        <w:rPr>
          <w:rFonts w:ascii="Arial" w:hAnsi="Arial" w:cs="Arial"/>
          <w:sz w:val="20"/>
          <w:szCs w:val="20"/>
          <w:lang w:eastAsia="en-GB"/>
        </w:rPr>
      </w:pPr>
      <w:r w:rsidRPr="0071546E">
        <w:rPr>
          <w:rFonts w:ascii="Arial" w:hAnsi="Arial" w:cs="Arial"/>
          <w:sz w:val="20"/>
          <w:szCs w:val="20"/>
          <w:lang w:eastAsia="en-GB"/>
        </w:rPr>
        <w:t>Fig. 3</w:t>
      </w:r>
      <w:r w:rsidR="00ED0799" w:rsidRPr="0071546E">
        <w:rPr>
          <w:rFonts w:ascii="Arial" w:hAnsi="Arial" w:cs="Arial"/>
          <w:sz w:val="20"/>
          <w:szCs w:val="20"/>
          <w:lang w:eastAsia="en-GB"/>
        </w:rPr>
        <w:t>. The excitation and emission wavelength of 5, 10, 15, 20-Tetrakis (4-methyl phenyl)-21H23H porphine.</w:t>
      </w:r>
    </w:p>
    <w:p w:rsidR="0070684E" w:rsidRPr="0071546E" w:rsidRDefault="0070684E" w:rsidP="00CF13FE">
      <w:pPr>
        <w:ind w:left="1021" w:right="454"/>
        <w:rPr>
          <w:rFonts w:ascii="Arial" w:hAnsi="Arial" w:cs="Arial"/>
          <w:b/>
          <w:sz w:val="28"/>
          <w:szCs w:val="24"/>
          <w:lang w:eastAsia="en-GB"/>
        </w:rPr>
      </w:pPr>
    </w:p>
    <w:p w:rsidR="005245BA" w:rsidRPr="0071546E" w:rsidRDefault="003333B5" w:rsidP="00CF13FE">
      <w:pPr>
        <w:ind w:left="1021" w:right="454"/>
        <w:rPr>
          <w:rFonts w:ascii="Arial" w:hAnsi="Arial" w:cs="Arial"/>
          <w:b/>
          <w:sz w:val="28"/>
          <w:szCs w:val="24"/>
          <w:lang w:eastAsia="en-GB"/>
        </w:rPr>
      </w:pPr>
      <w:r w:rsidRPr="0071546E">
        <w:rPr>
          <w:rFonts w:ascii="Arial" w:hAnsi="Arial" w:cs="Arial"/>
          <w:b/>
          <w:sz w:val="28"/>
          <w:szCs w:val="24"/>
          <w:lang w:eastAsia="en-GB"/>
        </w:rPr>
        <w:t xml:space="preserve"> </w:t>
      </w:r>
      <w:r w:rsidR="00DC4179" w:rsidRPr="0071546E">
        <w:rPr>
          <w:noProof/>
          <w:lang w:eastAsia="en-GB"/>
        </w:rPr>
        <w:drawing>
          <wp:inline distT="0" distB="0" distL="0" distR="0" wp14:anchorId="59C302F6" wp14:editId="275458D8">
            <wp:extent cx="4465320" cy="3276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465320" cy="3276600"/>
                    </a:xfrm>
                    <a:prstGeom prst="rect">
                      <a:avLst/>
                    </a:prstGeom>
                  </pic:spPr>
                </pic:pic>
              </a:graphicData>
            </a:graphic>
          </wp:inline>
        </w:drawing>
      </w:r>
    </w:p>
    <w:p w:rsidR="0070684E" w:rsidRPr="0071546E" w:rsidRDefault="005245BA" w:rsidP="00CF13FE">
      <w:pPr>
        <w:ind w:left="1021" w:right="454"/>
        <w:rPr>
          <w:rFonts w:ascii="Arial" w:hAnsi="Arial" w:cs="Arial"/>
          <w:sz w:val="20"/>
          <w:szCs w:val="20"/>
          <w:lang w:eastAsia="en-GB"/>
        </w:rPr>
      </w:pPr>
      <w:r w:rsidRPr="0071546E">
        <w:rPr>
          <w:rFonts w:ascii="Arial" w:hAnsi="Arial" w:cs="Arial"/>
          <w:sz w:val="20"/>
          <w:szCs w:val="20"/>
          <w:lang w:eastAsia="en-GB"/>
        </w:rPr>
        <w:t xml:space="preserve">Fig. 4. </w:t>
      </w:r>
      <w:r w:rsidR="00ED0799" w:rsidRPr="0071546E">
        <w:rPr>
          <w:rFonts w:ascii="Arial" w:hAnsi="Arial" w:cs="Arial"/>
          <w:sz w:val="20"/>
          <w:szCs w:val="20"/>
          <w:lang w:eastAsia="en-GB"/>
        </w:rPr>
        <w:t>The excitation and emission wavelength of5, 10, 15, 20- tetrakis (pentafluorophenyl)-21H, 23H-porphine Iron (III) chloride</w:t>
      </w:r>
    </w:p>
    <w:p w:rsidR="0070684E" w:rsidRPr="0071546E" w:rsidRDefault="0070684E" w:rsidP="00CF13FE">
      <w:pPr>
        <w:ind w:left="1021" w:right="454"/>
        <w:rPr>
          <w:rFonts w:ascii="Arial" w:hAnsi="Arial" w:cs="Arial"/>
          <w:b/>
          <w:sz w:val="28"/>
          <w:szCs w:val="24"/>
          <w:lang w:eastAsia="en-GB"/>
        </w:rPr>
      </w:pPr>
    </w:p>
    <w:p w:rsidR="0070684E" w:rsidRPr="0071546E" w:rsidRDefault="00DC4179" w:rsidP="00CF13FE">
      <w:pPr>
        <w:ind w:left="1021" w:right="454"/>
        <w:rPr>
          <w:rFonts w:ascii="Arial" w:hAnsi="Arial" w:cs="Arial"/>
          <w:b/>
          <w:sz w:val="28"/>
          <w:szCs w:val="24"/>
          <w:lang w:eastAsia="en-GB"/>
        </w:rPr>
      </w:pPr>
      <w:r w:rsidRPr="0071546E">
        <w:rPr>
          <w:noProof/>
          <w:lang w:eastAsia="en-GB"/>
        </w:rPr>
        <w:drawing>
          <wp:inline distT="0" distB="0" distL="0" distR="0" wp14:anchorId="50DCCED8" wp14:editId="5ACB0DF5">
            <wp:extent cx="4617720" cy="34143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624738" cy="3419584"/>
                    </a:xfrm>
                    <a:prstGeom prst="rect">
                      <a:avLst/>
                    </a:prstGeom>
                  </pic:spPr>
                </pic:pic>
              </a:graphicData>
            </a:graphic>
          </wp:inline>
        </w:drawing>
      </w:r>
    </w:p>
    <w:p w:rsidR="00ED0799" w:rsidRPr="0071546E" w:rsidRDefault="005245BA" w:rsidP="00CF13FE">
      <w:pPr>
        <w:ind w:left="1021" w:right="454"/>
        <w:jc w:val="both"/>
        <w:rPr>
          <w:rFonts w:ascii="Arial" w:hAnsi="Arial" w:cs="Arial"/>
          <w:sz w:val="20"/>
          <w:szCs w:val="24"/>
          <w:lang w:eastAsia="en-GB"/>
        </w:rPr>
      </w:pPr>
      <w:r w:rsidRPr="0071546E">
        <w:rPr>
          <w:rFonts w:ascii="Arial" w:hAnsi="Arial" w:cs="Arial"/>
          <w:sz w:val="20"/>
          <w:szCs w:val="24"/>
          <w:lang w:eastAsia="en-GB"/>
        </w:rPr>
        <w:t>Fig. 5</w:t>
      </w:r>
      <w:r w:rsidR="00ED0799" w:rsidRPr="0071546E">
        <w:rPr>
          <w:rFonts w:ascii="Arial" w:hAnsi="Arial" w:cs="Arial"/>
          <w:sz w:val="20"/>
          <w:szCs w:val="24"/>
          <w:lang w:eastAsia="en-GB"/>
        </w:rPr>
        <w:t>. The excitation and emission wavelength</w:t>
      </w:r>
      <w:r w:rsidR="00AF2191" w:rsidRPr="0071546E">
        <w:rPr>
          <w:rFonts w:ascii="Arial" w:hAnsi="Arial" w:cs="Arial"/>
          <w:sz w:val="20"/>
          <w:szCs w:val="24"/>
          <w:lang w:eastAsia="en-GB"/>
        </w:rPr>
        <w:t xml:space="preserve"> of 4, 4′, 4′′, 4′′′-(porphine-5, 10, 15, 20-tetrayl) tetrakis (benzene sulfonic acid) tetrasodium salt hydrate</w:t>
      </w:r>
    </w:p>
    <w:p w:rsidR="0070684E" w:rsidRPr="0071546E" w:rsidRDefault="0070684E" w:rsidP="00CF13FE">
      <w:pPr>
        <w:ind w:left="1021" w:right="454"/>
        <w:rPr>
          <w:rFonts w:ascii="Arial" w:hAnsi="Arial" w:cs="Arial"/>
          <w:b/>
          <w:sz w:val="28"/>
          <w:szCs w:val="24"/>
          <w:lang w:eastAsia="en-GB"/>
        </w:rPr>
      </w:pPr>
    </w:p>
    <w:p w:rsidR="0070684E" w:rsidRPr="0071546E" w:rsidRDefault="00DC4179" w:rsidP="00CF13FE">
      <w:pPr>
        <w:ind w:left="1021" w:right="454"/>
        <w:rPr>
          <w:rFonts w:ascii="Arial" w:hAnsi="Arial" w:cs="Arial"/>
          <w:b/>
          <w:sz w:val="28"/>
          <w:szCs w:val="24"/>
          <w:lang w:eastAsia="en-GB"/>
        </w:rPr>
      </w:pPr>
      <w:r w:rsidRPr="0071546E">
        <w:rPr>
          <w:noProof/>
          <w:lang w:eastAsia="en-GB"/>
        </w:rPr>
        <w:drawing>
          <wp:inline distT="0" distB="0" distL="0" distR="0" wp14:anchorId="50428FC0" wp14:editId="0032D6B6">
            <wp:extent cx="4663065" cy="3383280"/>
            <wp:effectExtent l="0" t="0" r="444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679346" cy="3395093"/>
                    </a:xfrm>
                    <a:prstGeom prst="rect">
                      <a:avLst/>
                    </a:prstGeom>
                  </pic:spPr>
                </pic:pic>
              </a:graphicData>
            </a:graphic>
          </wp:inline>
        </w:drawing>
      </w:r>
    </w:p>
    <w:p w:rsidR="0070684E" w:rsidRPr="0071546E" w:rsidRDefault="005245BA" w:rsidP="00CF13FE">
      <w:pPr>
        <w:spacing w:line="240" w:lineRule="auto"/>
        <w:ind w:left="1021" w:right="454"/>
        <w:jc w:val="both"/>
        <w:rPr>
          <w:rFonts w:ascii="Arial" w:hAnsi="Arial" w:cs="Arial"/>
          <w:sz w:val="20"/>
          <w:szCs w:val="24"/>
          <w:lang w:eastAsia="en-GB"/>
        </w:rPr>
      </w:pPr>
      <w:r w:rsidRPr="0071546E">
        <w:rPr>
          <w:rFonts w:ascii="Arial" w:hAnsi="Arial" w:cs="Arial"/>
          <w:sz w:val="20"/>
          <w:szCs w:val="24"/>
          <w:lang w:eastAsia="en-GB"/>
        </w:rPr>
        <w:t>Fig. 6</w:t>
      </w:r>
      <w:r w:rsidR="00AF2191" w:rsidRPr="0071546E">
        <w:rPr>
          <w:rFonts w:ascii="Arial" w:hAnsi="Arial" w:cs="Arial"/>
          <w:sz w:val="20"/>
          <w:szCs w:val="24"/>
          <w:lang w:eastAsia="en-GB"/>
        </w:rPr>
        <w:t xml:space="preserve">. The excitation and </w:t>
      </w:r>
      <w:r w:rsidR="00EB2409" w:rsidRPr="0071546E">
        <w:rPr>
          <w:rFonts w:ascii="Arial" w:hAnsi="Arial" w:cs="Arial"/>
          <w:sz w:val="20"/>
          <w:szCs w:val="24"/>
          <w:lang w:eastAsia="en-GB"/>
        </w:rPr>
        <w:t xml:space="preserve">an </w:t>
      </w:r>
      <w:r w:rsidR="00AF2191" w:rsidRPr="0071546E">
        <w:rPr>
          <w:rFonts w:ascii="Arial" w:hAnsi="Arial" w:cs="Arial"/>
          <w:sz w:val="20"/>
          <w:szCs w:val="24"/>
          <w:lang w:eastAsia="en-GB"/>
        </w:rPr>
        <w:t>emission wavelength of 45, 10, 15, 20-tetrakis (1-methyl-4-pyridino) porphyrin tetra (P-toluene sulfonate).</w:t>
      </w:r>
    </w:p>
    <w:p w:rsidR="00BF46AD" w:rsidRPr="0071546E" w:rsidRDefault="00BF46AD" w:rsidP="00D43DAE">
      <w:pPr>
        <w:spacing w:line="240" w:lineRule="auto"/>
        <w:ind w:right="454"/>
        <w:jc w:val="both"/>
        <w:rPr>
          <w:rFonts w:ascii="Arial" w:hAnsi="Arial" w:cs="Arial"/>
          <w:sz w:val="20"/>
          <w:szCs w:val="24"/>
          <w:lang w:eastAsia="en-GB"/>
        </w:rPr>
      </w:pPr>
    </w:p>
    <w:p w:rsidR="006900F1" w:rsidRPr="0071546E" w:rsidRDefault="00BF46AD" w:rsidP="00CF13FE">
      <w:pPr>
        <w:spacing w:line="240" w:lineRule="auto"/>
        <w:ind w:left="1021" w:right="454"/>
        <w:jc w:val="both"/>
        <w:rPr>
          <w:rFonts w:ascii="Arial" w:hAnsi="Arial" w:cs="Arial"/>
          <w:b/>
          <w:sz w:val="24"/>
          <w:szCs w:val="24"/>
          <w:lang w:eastAsia="en-GB"/>
        </w:rPr>
      </w:pPr>
      <w:r w:rsidRPr="0071546E">
        <w:rPr>
          <w:rFonts w:ascii="Arial" w:hAnsi="Arial" w:cs="Arial"/>
          <w:sz w:val="20"/>
          <w:szCs w:val="24"/>
          <w:lang w:eastAsia="en-GB"/>
        </w:rPr>
        <w:t xml:space="preserve">                                                      </w:t>
      </w:r>
      <w:r w:rsidRPr="0071546E">
        <w:rPr>
          <w:rFonts w:ascii="Arial" w:hAnsi="Arial" w:cs="Arial"/>
          <w:b/>
          <w:sz w:val="24"/>
          <w:szCs w:val="24"/>
          <w:lang w:eastAsia="en-GB"/>
        </w:rPr>
        <w:t xml:space="preserve"> Appendix 4</w:t>
      </w:r>
    </w:p>
    <w:p w:rsidR="00BF46AD" w:rsidRPr="0071546E" w:rsidRDefault="00BF46AD" w:rsidP="00CF13FE">
      <w:pPr>
        <w:spacing w:line="240" w:lineRule="auto"/>
        <w:ind w:left="1021" w:right="454"/>
        <w:jc w:val="both"/>
        <w:rPr>
          <w:rFonts w:ascii="Arial" w:hAnsi="Arial" w:cs="Arial"/>
          <w:b/>
          <w:sz w:val="24"/>
          <w:szCs w:val="24"/>
          <w:lang w:eastAsia="en-GB"/>
        </w:rPr>
      </w:pPr>
    </w:p>
    <w:p w:rsidR="00DC48E3" w:rsidRPr="0071546E" w:rsidRDefault="00D07BE0" w:rsidP="00CF13FE">
      <w:pPr>
        <w:ind w:left="1021" w:right="454"/>
        <w:rPr>
          <w:rFonts w:ascii="Arial" w:hAnsi="Arial" w:cs="Arial"/>
          <w:b/>
          <w:sz w:val="28"/>
          <w:szCs w:val="24"/>
          <w:lang w:eastAsia="en-GB"/>
        </w:rPr>
      </w:pPr>
      <w:r w:rsidRPr="0071546E">
        <w:rPr>
          <w:noProof/>
          <w:lang w:eastAsia="en-GB"/>
        </w:rPr>
        <w:drawing>
          <wp:inline distT="0" distB="0" distL="0" distR="0" wp14:anchorId="4062FC82" wp14:editId="611518B1">
            <wp:extent cx="4770120" cy="2362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770120" cy="2362200"/>
                    </a:xfrm>
                    <a:prstGeom prst="rect">
                      <a:avLst/>
                    </a:prstGeom>
                  </pic:spPr>
                </pic:pic>
              </a:graphicData>
            </a:graphic>
          </wp:inline>
        </w:drawing>
      </w:r>
    </w:p>
    <w:p w:rsidR="00F07ED3" w:rsidRPr="0071546E" w:rsidRDefault="00EB2409" w:rsidP="00CF13FE">
      <w:pPr>
        <w:ind w:left="1021" w:right="454"/>
        <w:jc w:val="both"/>
        <w:rPr>
          <w:rFonts w:ascii="Arial" w:hAnsi="Arial" w:cs="Arial"/>
          <w:sz w:val="20"/>
          <w:szCs w:val="20"/>
        </w:rPr>
      </w:pPr>
      <w:r w:rsidRPr="0071546E">
        <w:rPr>
          <w:rFonts w:ascii="Arial" w:hAnsi="Arial" w:cs="Arial"/>
          <w:sz w:val="20"/>
          <w:szCs w:val="20"/>
        </w:rPr>
        <w:t xml:space="preserve">Fig 7. </w:t>
      </w:r>
      <w:r w:rsidR="00E167A5" w:rsidRPr="0071546E">
        <w:rPr>
          <w:rFonts w:ascii="Arial" w:hAnsi="Arial" w:cs="Arial"/>
          <w:sz w:val="20"/>
          <w:szCs w:val="20"/>
        </w:rPr>
        <w:t xml:space="preserve">Representative photograph showing the images of </w:t>
      </w:r>
      <w:r w:rsidR="00E167A5" w:rsidRPr="0071546E">
        <w:rPr>
          <w:rFonts w:ascii="Arial" w:hAnsi="Arial" w:cs="Arial"/>
          <w:i/>
          <w:sz w:val="20"/>
          <w:szCs w:val="20"/>
        </w:rPr>
        <w:t>Acanthamoeba</w:t>
      </w:r>
      <w:r w:rsidR="00E167A5" w:rsidRPr="0071546E">
        <w:rPr>
          <w:rFonts w:ascii="Arial" w:hAnsi="Arial" w:cs="Arial"/>
          <w:sz w:val="20"/>
          <w:szCs w:val="20"/>
        </w:rPr>
        <w:t xml:space="preserve"> sp. </w:t>
      </w:r>
      <w:r w:rsidR="00F07ED3" w:rsidRPr="0071546E">
        <w:rPr>
          <w:rFonts w:ascii="Arial" w:hAnsi="Arial" w:cs="Arial"/>
          <w:sz w:val="20"/>
          <w:szCs w:val="20"/>
        </w:rPr>
        <w:t xml:space="preserve">As seen using a light inverted </w:t>
      </w:r>
      <w:r w:rsidR="00F07ED3" w:rsidRPr="0071546E">
        <w:rPr>
          <w:rFonts w:ascii="Arial" w:hAnsi="Arial" w:cs="Arial"/>
          <w:iCs/>
          <w:sz w:val="20"/>
          <w:szCs w:val="20"/>
        </w:rPr>
        <w:t>microscope</w:t>
      </w:r>
      <w:r w:rsidR="00F07ED3" w:rsidRPr="0071546E">
        <w:rPr>
          <w:rFonts w:ascii="Arial" w:hAnsi="Arial" w:cs="Arial"/>
          <w:sz w:val="20"/>
          <w:szCs w:val="20"/>
        </w:rPr>
        <w:t xml:space="preserve"> (Nikon, Japan) using 10X objectives. (A)</w:t>
      </w:r>
      <w:r w:rsidR="00E167A5" w:rsidRPr="0071546E">
        <w:rPr>
          <w:rFonts w:ascii="Arial" w:hAnsi="Arial" w:cs="Arial"/>
          <w:sz w:val="20"/>
          <w:szCs w:val="20"/>
        </w:rPr>
        <w:t xml:space="preserve"> </w:t>
      </w:r>
      <w:r w:rsidR="00F07ED3" w:rsidRPr="0071546E">
        <w:rPr>
          <w:rFonts w:ascii="Arial" w:hAnsi="Arial" w:cs="Arial"/>
          <w:i/>
          <w:sz w:val="20"/>
          <w:szCs w:val="20"/>
        </w:rPr>
        <w:t>Acanthamoeba</w:t>
      </w:r>
      <w:r w:rsidR="00F07ED3" w:rsidRPr="0071546E">
        <w:rPr>
          <w:rFonts w:ascii="Arial" w:hAnsi="Arial" w:cs="Arial"/>
          <w:sz w:val="20"/>
          <w:szCs w:val="20"/>
        </w:rPr>
        <w:t xml:space="preserve"> cysts treated with 50 µM</w:t>
      </w:r>
      <w:r w:rsidR="00F07ED3" w:rsidRPr="0071546E">
        <w:rPr>
          <w:rFonts w:ascii="Arial" w:hAnsi="Arial" w:cs="Arial"/>
          <w:sz w:val="20"/>
          <w:szCs w:val="20"/>
          <w:lang w:eastAsia="en-GB"/>
        </w:rPr>
        <w:t xml:space="preserve"> </w:t>
      </w:r>
      <w:r w:rsidR="00F07ED3" w:rsidRPr="0071546E">
        <w:rPr>
          <w:rFonts w:ascii="Arial" w:hAnsi="Arial" w:cs="Arial"/>
          <w:sz w:val="20"/>
          <w:szCs w:val="20"/>
        </w:rPr>
        <w:t xml:space="preserve">of 5, 10, 15, 20-tetrakis (1-methyl-4-pyridino) porphyrin tetra (P-toluene sulfonate) and exposed to a LED light for 1 hour. The white pointers show what appears to be cell fragments and cells, which appear to have taken up the red colour of the porphyrin. (B) </w:t>
      </w:r>
      <w:r w:rsidRPr="0071546E">
        <w:rPr>
          <w:rFonts w:ascii="Arial" w:hAnsi="Arial" w:cs="Arial"/>
          <w:sz w:val="20"/>
          <w:szCs w:val="20"/>
        </w:rPr>
        <w:t>A c</w:t>
      </w:r>
      <w:r w:rsidR="00F07ED3" w:rsidRPr="0071546E">
        <w:rPr>
          <w:rFonts w:ascii="Arial" w:hAnsi="Arial" w:cs="Arial"/>
          <w:sz w:val="20"/>
          <w:szCs w:val="20"/>
        </w:rPr>
        <w:t xml:space="preserve">ontrol sample of cell incubated with </w:t>
      </w:r>
      <w:r w:rsidRPr="0071546E">
        <w:rPr>
          <w:rFonts w:ascii="Arial" w:hAnsi="Arial" w:cs="Arial"/>
          <w:sz w:val="20"/>
          <w:szCs w:val="20"/>
        </w:rPr>
        <w:t xml:space="preserve">the </w:t>
      </w:r>
      <w:r w:rsidR="00F07ED3" w:rsidRPr="0071546E">
        <w:rPr>
          <w:rFonts w:ascii="Arial" w:hAnsi="Arial" w:cs="Arial"/>
          <w:sz w:val="20"/>
          <w:szCs w:val="20"/>
        </w:rPr>
        <w:t>same concentration of porp</w:t>
      </w:r>
      <w:r w:rsidRPr="0071546E">
        <w:rPr>
          <w:rFonts w:ascii="Arial" w:hAnsi="Arial" w:cs="Arial"/>
          <w:sz w:val="20"/>
          <w:szCs w:val="20"/>
        </w:rPr>
        <w:t>hyrin but protected</w:t>
      </w:r>
      <w:r w:rsidR="00F07ED3" w:rsidRPr="0071546E">
        <w:rPr>
          <w:rFonts w:ascii="Arial" w:hAnsi="Arial" w:cs="Arial"/>
          <w:sz w:val="20"/>
          <w:szCs w:val="20"/>
        </w:rPr>
        <w:t xml:space="preserve"> from</w:t>
      </w:r>
      <w:r w:rsidRPr="0071546E">
        <w:rPr>
          <w:rFonts w:ascii="Arial" w:hAnsi="Arial" w:cs="Arial"/>
          <w:sz w:val="20"/>
          <w:szCs w:val="20"/>
        </w:rPr>
        <w:t xml:space="preserve"> LED</w:t>
      </w:r>
      <w:r w:rsidR="00F07ED3" w:rsidRPr="0071546E">
        <w:rPr>
          <w:rFonts w:ascii="Arial" w:hAnsi="Arial" w:cs="Arial"/>
          <w:sz w:val="20"/>
          <w:szCs w:val="20"/>
        </w:rPr>
        <w:t xml:space="preserve"> light</w:t>
      </w:r>
      <w:r w:rsidRPr="0071546E">
        <w:rPr>
          <w:rFonts w:ascii="Arial" w:hAnsi="Arial" w:cs="Arial"/>
          <w:sz w:val="20"/>
          <w:szCs w:val="20"/>
        </w:rPr>
        <w:t xml:space="preserve"> using an aluminium foil</w:t>
      </w:r>
      <w:r w:rsidR="00F07ED3" w:rsidRPr="0071546E">
        <w:rPr>
          <w:rFonts w:ascii="Arial" w:hAnsi="Arial" w:cs="Arial"/>
          <w:sz w:val="20"/>
          <w:szCs w:val="20"/>
        </w:rPr>
        <w:t xml:space="preserve">. The pointer shows </w:t>
      </w:r>
      <w:r w:rsidR="00F07ED3" w:rsidRPr="0071546E">
        <w:rPr>
          <w:rFonts w:ascii="Arial" w:hAnsi="Arial" w:cs="Arial"/>
          <w:i/>
          <w:sz w:val="20"/>
          <w:szCs w:val="20"/>
        </w:rPr>
        <w:t>Acanthamoeba</w:t>
      </w:r>
      <w:r w:rsidR="00F07ED3" w:rsidRPr="0071546E">
        <w:rPr>
          <w:rFonts w:ascii="Arial" w:hAnsi="Arial" w:cs="Arial"/>
          <w:sz w:val="20"/>
          <w:szCs w:val="20"/>
        </w:rPr>
        <w:t xml:space="preserve"> cyst transformation to trophozoites</w:t>
      </w:r>
      <w:r w:rsidR="00A066F8" w:rsidRPr="0071546E">
        <w:rPr>
          <w:rFonts w:ascii="Arial" w:hAnsi="Arial" w:cs="Arial"/>
          <w:sz w:val="20"/>
          <w:szCs w:val="20"/>
        </w:rPr>
        <w:t>, a</w:t>
      </w:r>
      <w:r w:rsidRPr="0071546E">
        <w:rPr>
          <w:rFonts w:ascii="Arial" w:hAnsi="Arial" w:cs="Arial"/>
          <w:sz w:val="20"/>
          <w:szCs w:val="20"/>
        </w:rPr>
        <w:t>canthopodia is visible.</w:t>
      </w:r>
    </w:p>
    <w:p w:rsidR="00EB2409" w:rsidRPr="0071546E" w:rsidRDefault="00EB2409" w:rsidP="00CF13FE">
      <w:pPr>
        <w:ind w:left="1021" w:right="454"/>
        <w:jc w:val="both"/>
        <w:rPr>
          <w:rFonts w:ascii="Arial" w:hAnsi="Arial" w:cs="Arial"/>
          <w:sz w:val="20"/>
          <w:szCs w:val="20"/>
        </w:rPr>
      </w:pPr>
    </w:p>
    <w:p w:rsidR="00DC48E3" w:rsidRPr="0071546E" w:rsidRDefault="00DC48E3" w:rsidP="00CF13FE">
      <w:pPr>
        <w:ind w:left="1021" w:right="454"/>
        <w:rPr>
          <w:rFonts w:ascii="Arial" w:hAnsi="Arial" w:cs="Arial"/>
          <w:b/>
          <w:sz w:val="28"/>
          <w:szCs w:val="24"/>
          <w:lang w:eastAsia="en-GB"/>
        </w:rPr>
      </w:pPr>
    </w:p>
    <w:p w:rsidR="00E5461B" w:rsidRPr="0071546E" w:rsidRDefault="00956334" w:rsidP="00CF13FE">
      <w:pPr>
        <w:ind w:left="1021" w:right="454"/>
        <w:rPr>
          <w:rFonts w:ascii="Arial" w:hAnsi="Arial" w:cs="Arial"/>
          <w:b/>
          <w:sz w:val="28"/>
          <w:szCs w:val="24"/>
          <w:lang w:eastAsia="en-GB"/>
        </w:rPr>
      </w:pPr>
      <w:r w:rsidRPr="0071546E">
        <w:rPr>
          <w:rFonts w:ascii="Arial" w:hAnsi="Arial" w:cs="Arial"/>
          <w:b/>
          <w:sz w:val="28"/>
          <w:szCs w:val="24"/>
          <w:lang w:eastAsia="en-GB"/>
        </w:rPr>
        <w:t xml:space="preserve">                                   </w:t>
      </w:r>
    </w:p>
    <w:p w:rsidR="00E5461B" w:rsidRPr="0071546E" w:rsidRDefault="00E5461B" w:rsidP="00CF13FE">
      <w:pPr>
        <w:ind w:left="1021" w:right="454"/>
        <w:rPr>
          <w:rFonts w:ascii="Arial" w:hAnsi="Arial" w:cs="Arial"/>
          <w:b/>
          <w:sz w:val="28"/>
          <w:szCs w:val="24"/>
          <w:lang w:eastAsia="en-GB"/>
        </w:rPr>
      </w:pPr>
    </w:p>
    <w:p w:rsidR="00DC48E3" w:rsidRPr="0071546E" w:rsidRDefault="00E5461B" w:rsidP="00CF13FE">
      <w:pPr>
        <w:ind w:left="1021" w:right="454"/>
        <w:rPr>
          <w:rFonts w:ascii="Arial" w:hAnsi="Arial" w:cs="Arial"/>
          <w:b/>
          <w:sz w:val="28"/>
          <w:szCs w:val="24"/>
          <w:lang w:eastAsia="en-GB"/>
        </w:rPr>
      </w:pPr>
      <w:r w:rsidRPr="0071546E">
        <w:rPr>
          <w:rFonts w:ascii="Arial" w:hAnsi="Arial" w:cs="Arial"/>
          <w:b/>
          <w:sz w:val="28"/>
          <w:szCs w:val="24"/>
          <w:lang w:eastAsia="en-GB"/>
        </w:rPr>
        <w:t xml:space="preserve">                           </w:t>
      </w:r>
      <w:r w:rsidR="00956334" w:rsidRPr="0071546E">
        <w:rPr>
          <w:rFonts w:ascii="Arial" w:hAnsi="Arial" w:cs="Arial"/>
          <w:b/>
          <w:sz w:val="28"/>
          <w:szCs w:val="24"/>
          <w:lang w:eastAsia="en-GB"/>
        </w:rPr>
        <w:t xml:space="preserve">  </w:t>
      </w:r>
      <w:r w:rsidR="00956334" w:rsidRPr="0071546E">
        <w:rPr>
          <w:rFonts w:ascii="Arial" w:hAnsi="Arial" w:cs="Arial"/>
          <w:b/>
          <w:sz w:val="24"/>
          <w:szCs w:val="24"/>
          <w:lang w:eastAsia="en-GB"/>
        </w:rPr>
        <w:t>Appendix 5</w:t>
      </w:r>
    </w:p>
    <w:p w:rsidR="00DC48E3" w:rsidRPr="0071546E" w:rsidRDefault="00DC48E3" w:rsidP="00CF13FE">
      <w:pPr>
        <w:ind w:left="1021" w:right="454"/>
        <w:rPr>
          <w:rFonts w:ascii="Arial" w:hAnsi="Arial" w:cs="Arial"/>
          <w:b/>
          <w:sz w:val="28"/>
          <w:szCs w:val="24"/>
          <w:lang w:eastAsia="en-GB"/>
        </w:rPr>
      </w:pPr>
      <w:r w:rsidRPr="0071546E">
        <w:rPr>
          <w:noProof/>
          <w:lang w:eastAsia="en-GB"/>
        </w:rPr>
        <w:drawing>
          <wp:inline distT="0" distB="0" distL="0" distR="0" wp14:anchorId="7BBA246F" wp14:editId="2F14B7CD">
            <wp:extent cx="4770120" cy="37412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796577" cy="3762044"/>
                    </a:xfrm>
                    <a:prstGeom prst="rect">
                      <a:avLst/>
                    </a:prstGeom>
                  </pic:spPr>
                </pic:pic>
              </a:graphicData>
            </a:graphic>
          </wp:inline>
        </w:drawing>
      </w:r>
    </w:p>
    <w:p w:rsidR="00DC48E3" w:rsidRPr="0071546E" w:rsidRDefault="00EB2409" w:rsidP="00CF13FE">
      <w:pPr>
        <w:ind w:left="1021" w:right="454"/>
        <w:jc w:val="both"/>
        <w:rPr>
          <w:rFonts w:ascii="Arial" w:hAnsi="Arial" w:cs="Arial"/>
          <w:sz w:val="20"/>
          <w:szCs w:val="24"/>
          <w:lang w:eastAsia="en-GB"/>
        </w:rPr>
      </w:pPr>
      <w:r w:rsidRPr="0071546E">
        <w:rPr>
          <w:rFonts w:ascii="Arial" w:hAnsi="Arial" w:cs="Arial"/>
          <w:sz w:val="20"/>
          <w:szCs w:val="24"/>
          <w:lang w:eastAsia="en-GB"/>
        </w:rPr>
        <w:t xml:space="preserve">Fig 9 </w:t>
      </w:r>
      <w:r w:rsidRPr="0071546E">
        <w:rPr>
          <w:rFonts w:ascii="Arial" w:hAnsi="Arial" w:cs="Arial"/>
          <w:i/>
          <w:sz w:val="20"/>
          <w:szCs w:val="24"/>
          <w:lang w:eastAsia="en-GB"/>
        </w:rPr>
        <w:t>Acanthamoeba</w:t>
      </w:r>
      <w:r w:rsidRPr="0071546E">
        <w:rPr>
          <w:rFonts w:ascii="Arial" w:hAnsi="Arial" w:cs="Arial"/>
          <w:sz w:val="20"/>
          <w:szCs w:val="24"/>
          <w:lang w:eastAsia="en-GB"/>
        </w:rPr>
        <w:t xml:space="preserve"> cell concentration curve using MTT assay to show the relationship between cell number and fluorescence intensity. The error bars show the standard deviation for 4 replicate absorbance measurement</w:t>
      </w:r>
    </w:p>
    <w:p w:rsidR="00DC48E3" w:rsidRPr="0071546E" w:rsidRDefault="00DC48E3" w:rsidP="00CF13FE">
      <w:pPr>
        <w:ind w:left="1021" w:right="454"/>
        <w:rPr>
          <w:rFonts w:ascii="Arial" w:hAnsi="Arial" w:cs="Arial"/>
          <w:b/>
          <w:sz w:val="28"/>
          <w:szCs w:val="24"/>
          <w:lang w:eastAsia="en-GB"/>
        </w:rPr>
      </w:pPr>
    </w:p>
    <w:p w:rsidR="00DC48E3" w:rsidRPr="0071546E" w:rsidRDefault="00DC48E3" w:rsidP="00CF13FE">
      <w:pPr>
        <w:ind w:left="1021" w:right="454"/>
        <w:rPr>
          <w:rFonts w:ascii="Arial" w:hAnsi="Arial" w:cs="Arial"/>
          <w:b/>
          <w:sz w:val="28"/>
          <w:szCs w:val="24"/>
          <w:lang w:eastAsia="en-GB"/>
        </w:rPr>
      </w:pPr>
    </w:p>
    <w:p w:rsidR="00DC48E3" w:rsidRPr="0071546E" w:rsidRDefault="00DC48E3" w:rsidP="00CF13FE">
      <w:pPr>
        <w:ind w:left="1021" w:right="454"/>
        <w:rPr>
          <w:rFonts w:ascii="Arial" w:hAnsi="Arial" w:cs="Arial"/>
          <w:b/>
          <w:sz w:val="28"/>
          <w:szCs w:val="24"/>
          <w:lang w:eastAsia="en-GB"/>
        </w:rPr>
      </w:pPr>
    </w:p>
    <w:p w:rsidR="00DC48E3" w:rsidRPr="0071546E" w:rsidRDefault="00DC48E3" w:rsidP="00CF13FE">
      <w:pPr>
        <w:ind w:left="1021" w:right="454"/>
        <w:rPr>
          <w:rFonts w:ascii="Arial" w:hAnsi="Arial" w:cs="Arial"/>
          <w:b/>
          <w:sz w:val="28"/>
          <w:szCs w:val="24"/>
          <w:lang w:eastAsia="en-GB"/>
        </w:rPr>
      </w:pPr>
    </w:p>
    <w:p w:rsidR="00DC48E3" w:rsidRPr="0071546E" w:rsidRDefault="00DC48E3" w:rsidP="00CF13FE">
      <w:pPr>
        <w:ind w:left="1021" w:right="454"/>
        <w:rPr>
          <w:rFonts w:ascii="Arial" w:hAnsi="Arial" w:cs="Arial"/>
          <w:b/>
          <w:sz w:val="28"/>
          <w:szCs w:val="24"/>
          <w:lang w:eastAsia="en-GB"/>
        </w:rPr>
      </w:pPr>
    </w:p>
    <w:p w:rsidR="00DC48E3" w:rsidRPr="0071546E" w:rsidRDefault="00DC48E3" w:rsidP="00CF13FE">
      <w:pPr>
        <w:ind w:left="1021" w:right="454"/>
        <w:rPr>
          <w:rFonts w:ascii="Arial" w:hAnsi="Arial" w:cs="Arial"/>
          <w:b/>
          <w:sz w:val="28"/>
          <w:szCs w:val="24"/>
          <w:lang w:eastAsia="en-GB"/>
        </w:rPr>
      </w:pPr>
    </w:p>
    <w:p w:rsidR="00DC48E3" w:rsidRPr="0071546E" w:rsidRDefault="00DC48E3" w:rsidP="00CF13FE">
      <w:pPr>
        <w:ind w:left="1021" w:right="454"/>
        <w:rPr>
          <w:rFonts w:ascii="Arial" w:hAnsi="Arial" w:cs="Arial"/>
          <w:b/>
          <w:sz w:val="28"/>
          <w:szCs w:val="24"/>
          <w:lang w:eastAsia="en-GB"/>
        </w:rPr>
      </w:pPr>
    </w:p>
    <w:p w:rsidR="00DC48E3" w:rsidRPr="0071546E" w:rsidRDefault="00DC48E3" w:rsidP="00CF13FE">
      <w:pPr>
        <w:ind w:left="1021" w:right="454"/>
        <w:rPr>
          <w:rFonts w:ascii="Arial" w:hAnsi="Arial" w:cs="Arial"/>
          <w:b/>
          <w:sz w:val="28"/>
          <w:szCs w:val="24"/>
          <w:lang w:eastAsia="en-GB"/>
        </w:rPr>
      </w:pPr>
    </w:p>
    <w:p w:rsidR="00DC48E3" w:rsidRPr="0071546E" w:rsidRDefault="00DC48E3" w:rsidP="00CF13FE">
      <w:pPr>
        <w:ind w:left="1021" w:right="454"/>
        <w:rPr>
          <w:rFonts w:ascii="Arial" w:hAnsi="Arial" w:cs="Arial"/>
          <w:b/>
          <w:sz w:val="28"/>
          <w:szCs w:val="24"/>
          <w:lang w:eastAsia="en-GB"/>
        </w:rPr>
      </w:pPr>
    </w:p>
    <w:p w:rsidR="00DC48E3" w:rsidRPr="0071546E" w:rsidRDefault="00DC48E3" w:rsidP="00CF13FE">
      <w:pPr>
        <w:ind w:left="1021" w:right="454"/>
        <w:rPr>
          <w:rFonts w:ascii="Arial" w:hAnsi="Arial" w:cs="Arial"/>
          <w:b/>
          <w:sz w:val="28"/>
          <w:szCs w:val="24"/>
          <w:lang w:eastAsia="en-GB"/>
        </w:rPr>
      </w:pPr>
    </w:p>
    <w:p w:rsidR="00956334" w:rsidRPr="0071546E" w:rsidRDefault="00956334" w:rsidP="00CF13FE">
      <w:pPr>
        <w:ind w:left="1021" w:right="454"/>
        <w:rPr>
          <w:rFonts w:ascii="Arial" w:hAnsi="Arial" w:cs="Arial"/>
          <w:b/>
          <w:sz w:val="28"/>
          <w:szCs w:val="24"/>
          <w:lang w:eastAsia="en-GB"/>
        </w:rPr>
      </w:pPr>
    </w:p>
    <w:p w:rsidR="00956334" w:rsidRPr="0071546E" w:rsidRDefault="00956334" w:rsidP="00CF13FE">
      <w:pPr>
        <w:ind w:left="1021" w:right="454"/>
        <w:rPr>
          <w:rFonts w:ascii="Arial" w:hAnsi="Arial" w:cs="Arial"/>
          <w:b/>
          <w:sz w:val="28"/>
          <w:szCs w:val="24"/>
          <w:lang w:eastAsia="en-GB"/>
        </w:rPr>
      </w:pPr>
    </w:p>
    <w:p w:rsidR="00956334" w:rsidRPr="0071546E" w:rsidRDefault="00956334" w:rsidP="00CF13FE">
      <w:pPr>
        <w:ind w:left="1021" w:right="454"/>
        <w:rPr>
          <w:rFonts w:ascii="Arial" w:hAnsi="Arial" w:cs="Arial"/>
          <w:b/>
          <w:sz w:val="28"/>
          <w:szCs w:val="24"/>
          <w:lang w:eastAsia="en-GB"/>
        </w:rPr>
      </w:pPr>
    </w:p>
    <w:p w:rsidR="00956334" w:rsidRPr="0071546E" w:rsidRDefault="00956334" w:rsidP="00CF13FE">
      <w:pPr>
        <w:ind w:left="1021" w:right="454"/>
        <w:rPr>
          <w:rFonts w:ascii="Arial" w:hAnsi="Arial" w:cs="Arial"/>
          <w:b/>
          <w:sz w:val="24"/>
          <w:szCs w:val="24"/>
          <w:lang w:eastAsia="en-GB"/>
        </w:rPr>
      </w:pPr>
      <w:r w:rsidRPr="0071546E">
        <w:rPr>
          <w:rFonts w:ascii="Arial" w:hAnsi="Arial" w:cs="Arial"/>
          <w:b/>
          <w:sz w:val="24"/>
          <w:szCs w:val="24"/>
          <w:lang w:eastAsia="en-GB"/>
        </w:rPr>
        <w:t xml:space="preserve">                                   </w:t>
      </w:r>
      <w:r w:rsidR="002A0AFA" w:rsidRPr="0071546E">
        <w:rPr>
          <w:rFonts w:ascii="Arial" w:hAnsi="Arial" w:cs="Arial"/>
          <w:b/>
          <w:sz w:val="24"/>
          <w:szCs w:val="24"/>
          <w:lang w:eastAsia="en-GB"/>
        </w:rPr>
        <w:t xml:space="preserve">                    </w:t>
      </w:r>
      <w:r w:rsidRPr="0071546E">
        <w:rPr>
          <w:rFonts w:ascii="Arial" w:hAnsi="Arial" w:cs="Arial"/>
          <w:b/>
          <w:sz w:val="24"/>
          <w:szCs w:val="24"/>
          <w:lang w:eastAsia="en-GB"/>
        </w:rPr>
        <w:t>Appendix 6</w:t>
      </w:r>
    </w:p>
    <w:p w:rsidR="00BF46AD" w:rsidRPr="0071546E" w:rsidRDefault="00BF46AD" w:rsidP="00CF13FE">
      <w:pPr>
        <w:ind w:left="1021" w:right="454"/>
        <w:rPr>
          <w:rFonts w:ascii="Times New Roman" w:eastAsia="Calibri" w:hAnsi="Times New Roman" w:cs="Times New Roman"/>
          <w:sz w:val="24"/>
          <w:szCs w:val="28"/>
        </w:rPr>
      </w:pPr>
    </w:p>
    <w:p w:rsidR="00BF46AD" w:rsidRPr="0071546E" w:rsidRDefault="00BF46AD" w:rsidP="00CF13FE">
      <w:pPr>
        <w:ind w:left="1021" w:right="454"/>
        <w:rPr>
          <w:rFonts w:ascii="Times New Roman" w:eastAsia="Calibri" w:hAnsi="Times New Roman" w:cs="Times New Roman"/>
          <w:sz w:val="24"/>
          <w:szCs w:val="28"/>
        </w:rPr>
      </w:pPr>
      <w:r w:rsidRPr="0071546E">
        <w:rPr>
          <w:rFonts w:ascii="Arial" w:eastAsia="Times New Roman" w:hAnsi="Arial" w:cs="Arial"/>
          <w:i/>
          <w:noProof/>
          <w:sz w:val="24"/>
          <w:szCs w:val="24"/>
          <w:lang w:eastAsia="en-GB"/>
        </w:rPr>
        <w:drawing>
          <wp:inline distT="0" distB="0" distL="0" distR="0" wp14:anchorId="376FD3B3" wp14:editId="58194614">
            <wp:extent cx="4991100" cy="32385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BF46AD" w:rsidRPr="0071546E" w:rsidRDefault="00FE2EF1" w:rsidP="00CF13FE">
      <w:pPr>
        <w:ind w:left="1021" w:right="454"/>
        <w:rPr>
          <w:rFonts w:ascii="Times New Roman" w:eastAsia="Calibri" w:hAnsi="Times New Roman" w:cs="Times New Roman"/>
          <w:sz w:val="24"/>
          <w:szCs w:val="28"/>
        </w:rPr>
      </w:pPr>
      <w:r w:rsidRPr="0071546E">
        <w:rPr>
          <w:noProof/>
          <w:lang w:eastAsia="en-GB"/>
        </w:rPr>
        <w:drawing>
          <wp:inline distT="0" distB="0" distL="0" distR="0" wp14:anchorId="0268DC5A" wp14:editId="4A83922B">
            <wp:extent cx="5067300" cy="3524250"/>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3C0923" w:rsidRPr="0071546E" w:rsidRDefault="008236AE" w:rsidP="00CF13FE">
      <w:pPr>
        <w:ind w:left="1021" w:right="454"/>
        <w:rPr>
          <w:rFonts w:ascii="Times New Roman" w:eastAsia="Calibri" w:hAnsi="Times New Roman" w:cs="Times New Roman"/>
          <w:sz w:val="24"/>
          <w:szCs w:val="28"/>
        </w:rPr>
      </w:pPr>
      <w:r w:rsidRPr="0071546E">
        <w:rPr>
          <w:rFonts w:ascii="Times New Roman" w:eastAsia="Calibri" w:hAnsi="Times New Roman" w:cs="Times New Roman"/>
          <w:sz w:val="24"/>
          <w:szCs w:val="28"/>
        </w:rPr>
        <w:t xml:space="preserve">       </w:t>
      </w:r>
      <w:r w:rsidR="00BC0692" w:rsidRPr="0071546E">
        <w:rPr>
          <w:rFonts w:ascii="Times New Roman" w:eastAsia="Calibri" w:hAnsi="Times New Roman" w:cs="Times New Roman"/>
          <w:sz w:val="24"/>
          <w:szCs w:val="28"/>
        </w:rPr>
        <w:t xml:space="preserve">            </w:t>
      </w:r>
      <w:r w:rsidR="003C0923" w:rsidRPr="0071546E">
        <w:rPr>
          <w:rFonts w:ascii="Times New Roman" w:eastAsia="Calibri" w:hAnsi="Times New Roman" w:cs="Times New Roman"/>
          <w:sz w:val="24"/>
          <w:szCs w:val="28"/>
        </w:rPr>
        <w:t xml:space="preserve">Fig </w:t>
      </w:r>
      <w:r w:rsidR="00450FD6" w:rsidRPr="0071546E">
        <w:rPr>
          <w:rFonts w:ascii="Times New Roman" w:eastAsia="Calibri" w:hAnsi="Times New Roman" w:cs="Times New Roman"/>
          <w:sz w:val="24"/>
          <w:szCs w:val="28"/>
        </w:rPr>
        <w:t>10 Concentration</w:t>
      </w:r>
      <w:r w:rsidRPr="0071546E">
        <w:rPr>
          <w:rFonts w:ascii="Times New Roman" w:eastAsia="Calibri" w:hAnsi="Times New Roman" w:cs="Times New Roman"/>
          <w:sz w:val="24"/>
          <w:szCs w:val="28"/>
        </w:rPr>
        <w:t xml:space="preserve"> curve using </w:t>
      </w:r>
      <w:r w:rsidR="00291AF1" w:rsidRPr="0071546E">
        <w:rPr>
          <w:rFonts w:ascii="Times New Roman" w:eastAsia="Calibri" w:hAnsi="Times New Roman" w:cs="Times New Roman"/>
          <w:sz w:val="24"/>
          <w:szCs w:val="28"/>
        </w:rPr>
        <w:t xml:space="preserve">a </w:t>
      </w:r>
      <w:r w:rsidRPr="0071546E">
        <w:rPr>
          <w:rFonts w:ascii="Times New Roman" w:eastAsia="Calibri" w:hAnsi="Times New Roman" w:cs="Times New Roman"/>
          <w:sz w:val="24"/>
          <w:szCs w:val="28"/>
        </w:rPr>
        <w:t>different concentration of ATP</w:t>
      </w:r>
    </w:p>
    <w:p w:rsidR="00956334" w:rsidRPr="0071546E" w:rsidRDefault="00BF46AD" w:rsidP="00CF13FE">
      <w:pPr>
        <w:ind w:left="1021" w:right="454"/>
        <w:rPr>
          <w:rFonts w:ascii="Times New Roman" w:eastAsia="Calibri" w:hAnsi="Times New Roman" w:cs="Times New Roman"/>
          <w:sz w:val="24"/>
          <w:szCs w:val="28"/>
        </w:rPr>
      </w:pPr>
      <w:r w:rsidRPr="0071546E">
        <w:rPr>
          <w:rFonts w:ascii="Times New Roman" w:eastAsia="Calibri" w:hAnsi="Times New Roman" w:cs="Times New Roman"/>
          <w:sz w:val="24"/>
          <w:szCs w:val="28"/>
        </w:rPr>
        <w:t xml:space="preserve">                    </w:t>
      </w:r>
    </w:p>
    <w:p w:rsidR="00956334" w:rsidRPr="0071546E" w:rsidRDefault="00956334" w:rsidP="00CF13FE">
      <w:pPr>
        <w:ind w:left="1021" w:right="454"/>
        <w:rPr>
          <w:rFonts w:ascii="Times New Roman" w:eastAsia="Calibri" w:hAnsi="Times New Roman" w:cs="Times New Roman"/>
          <w:sz w:val="24"/>
          <w:szCs w:val="28"/>
        </w:rPr>
      </w:pPr>
    </w:p>
    <w:p w:rsidR="00956334" w:rsidRPr="0071546E" w:rsidRDefault="00956334" w:rsidP="00D042B9">
      <w:pPr>
        <w:ind w:right="454"/>
        <w:rPr>
          <w:rFonts w:ascii="Times New Roman" w:eastAsia="Calibri" w:hAnsi="Times New Roman" w:cs="Times New Roman"/>
          <w:sz w:val="24"/>
          <w:szCs w:val="28"/>
        </w:rPr>
      </w:pPr>
    </w:p>
    <w:p w:rsidR="00956334" w:rsidRPr="0071546E" w:rsidRDefault="00956334" w:rsidP="00CF13FE">
      <w:pPr>
        <w:ind w:left="1021" w:right="454"/>
        <w:rPr>
          <w:rFonts w:ascii="Arial" w:eastAsia="Calibri" w:hAnsi="Arial" w:cs="Arial"/>
          <w:b/>
          <w:sz w:val="24"/>
          <w:szCs w:val="28"/>
        </w:rPr>
      </w:pPr>
      <w:r w:rsidRPr="0071546E">
        <w:rPr>
          <w:rFonts w:ascii="Arial" w:eastAsia="Calibri" w:hAnsi="Arial" w:cs="Arial"/>
          <w:b/>
          <w:sz w:val="24"/>
          <w:szCs w:val="28"/>
        </w:rPr>
        <w:t xml:space="preserve">                                                          Appendix 7</w:t>
      </w:r>
      <w:r w:rsidR="00BF46AD" w:rsidRPr="0071546E">
        <w:rPr>
          <w:rFonts w:ascii="Arial" w:eastAsia="Calibri" w:hAnsi="Arial" w:cs="Arial"/>
          <w:b/>
          <w:sz w:val="24"/>
          <w:szCs w:val="28"/>
        </w:rPr>
        <w:t xml:space="preserve"> </w:t>
      </w:r>
    </w:p>
    <w:p w:rsidR="00BF46AD" w:rsidRPr="0071546E" w:rsidRDefault="00BF46AD" w:rsidP="00CF13FE">
      <w:pPr>
        <w:ind w:left="1021" w:right="454"/>
        <w:rPr>
          <w:rFonts w:ascii="Arial" w:eastAsia="Calibri" w:hAnsi="Arial" w:cs="Arial"/>
          <w:b/>
          <w:sz w:val="24"/>
          <w:szCs w:val="28"/>
        </w:rPr>
      </w:pPr>
      <w:r w:rsidRPr="0071546E">
        <w:rPr>
          <w:rFonts w:ascii="Arial" w:eastAsia="Calibri" w:hAnsi="Arial" w:cs="Arial"/>
          <w:b/>
          <w:sz w:val="24"/>
          <w:szCs w:val="28"/>
        </w:rPr>
        <w:t xml:space="preserve">            </w:t>
      </w:r>
    </w:p>
    <w:p w:rsidR="00BF46AD" w:rsidRPr="0071546E" w:rsidRDefault="00C244E3" w:rsidP="00CF13FE">
      <w:pPr>
        <w:ind w:left="1021" w:right="454"/>
        <w:rPr>
          <w:rFonts w:ascii="Times New Roman" w:eastAsia="Calibri" w:hAnsi="Times New Roman" w:cs="Times New Roman"/>
          <w:sz w:val="24"/>
          <w:szCs w:val="28"/>
        </w:rPr>
      </w:pPr>
      <w:r w:rsidRPr="0071546E">
        <w:rPr>
          <w:rFonts w:ascii="Times New Roman" w:eastAsia="Calibri" w:hAnsi="Times New Roman" w:cs="Times New Roman"/>
          <w:i/>
          <w:noProof/>
          <w:sz w:val="24"/>
          <w:szCs w:val="28"/>
          <w:lang w:eastAsia="en-GB"/>
        </w:rPr>
        <mc:AlternateContent>
          <mc:Choice Requires="wps">
            <w:drawing>
              <wp:anchor distT="0" distB="0" distL="114300" distR="114300" simplePos="0" relativeHeight="251726848" behindDoc="0" locked="0" layoutInCell="1" allowOverlap="1">
                <wp:simplePos x="0" y="0"/>
                <wp:positionH relativeFrom="column">
                  <wp:posOffset>1223889</wp:posOffset>
                </wp:positionH>
                <wp:positionV relativeFrom="paragraph">
                  <wp:posOffset>262402</wp:posOffset>
                </wp:positionV>
                <wp:extent cx="267286" cy="337624"/>
                <wp:effectExtent l="0" t="0" r="19050" b="24765"/>
                <wp:wrapNone/>
                <wp:docPr id="55" name="Text Box 55"/>
                <wp:cNvGraphicFramePr/>
                <a:graphic xmlns:a="http://schemas.openxmlformats.org/drawingml/2006/main">
                  <a:graphicData uri="http://schemas.microsoft.com/office/word/2010/wordprocessingShape">
                    <wps:wsp>
                      <wps:cNvSpPr txBox="1"/>
                      <wps:spPr>
                        <a:xfrm>
                          <a:off x="0" y="0"/>
                          <a:ext cx="267286" cy="337624"/>
                        </a:xfrm>
                        <a:prstGeom prst="rect">
                          <a:avLst/>
                        </a:prstGeom>
                        <a:solidFill>
                          <a:schemeClr val="lt1"/>
                        </a:solidFill>
                        <a:ln w="6350">
                          <a:solidFill>
                            <a:schemeClr val="bg1"/>
                          </a:solidFill>
                        </a:ln>
                      </wps:spPr>
                      <wps:txbx>
                        <w:txbxContent>
                          <w:p w:rsidR="00A87A14" w:rsidRPr="00C244E3" w:rsidRDefault="00A87A14">
                            <w:pPr>
                              <w:rPr>
                                <w:rFonts w:ascii="Arial" w:hAnsi="Arial" w:cs="Arial"/>
                                <w:sz w:val="24"/>
                              </w:rPr>
                            </w:pPr>
                            <w:r w:rsidRPr="00C244E3">
                              <w:rPr>
                                <w:rFonts w:ascii="Arial" w:hAnsi="Arial" w:cs="Arial"/>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5" o:spid="_x0000_s1060" type="#_x0000_t202" style="position:absolute;left:0;text-align:left;margin-left:96.35pt;margin-top:20.65pt;width:21.05pt;height:2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" fillcolor="white [3201]" strokecolor="white [3212]" strokeweight=".5pt">
                <v:textbox>
                  <w:txbxContent>
                    <w:p w:rsidR="00A87A14" w:rsidRPr="00C244E3" w:rsidRDefault="00A87A14">
                      <w:pPr>
                        <w:rPr>
                          <w:rFonts w:ascii="Arial" w:hAnsi="Arial" w:cs="Arial"/>
                          <w:sz w:val="24"/>
                        </w:rPr>
                      </w:pPr>
                      <w:r w:rsidRPr="00C244E3">
                        <w:rPr>
                          <w:rFonts w:ascii="Arial" w:hAnsi="Arial" w:cs="Arial"/>
                          <w:sz w:val="24"/>
                        </w:rPr>
                        <w:t>A</w:t>
                      </w:r>
                    </w:p>
                  </w:txbxContent>
                </v:textbox>
              </v:shape>
            </w:pict>
          </mc:Fallback>
        </mc:AlternateContent>
      </w:r>
      <w:r w:rsidR="00BF46AD" w:rsidRPr="0071546E">
        <w:rPr>
          <w:rFonts w:ascii="Times New Roman" w:eastAsia="Calibri" w:hAnsi="Times New Roman" w:cs="Times New Roman"/>
          <w:i/>
          <w:noProof/>
          <w:sz w:val="24"/>
          <w:szCs w:val="28"/>
          <w:lang w:eastAsia="en-GB"/>
        </w:rPr>
        <w:drawing>
          <wp:inline distT="0" distB="0" distL="0" distR="0" wp14:anchorId="0151A9A2" wp14:editId="34E54D0C">
            <wp:extent cx="5264331" cy="3312160"/>
            <wp:effectExtent l="0" t="0" r="0" b="254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BF46AD" w:rsidRPr="0071546E" w:rsidRDefault="00BF46AD" w:rsidP="00CF13FE">
      <w:pPr>
        <w:ind w:left="1021" w:right="454"/>
        <w:rPr>
          <w:rFonts w:ascii="Times New Roman" w:eastAsia="Calibri" w:hAnsi="Times New Roman" w:cs="Times New Roman"/>
          <w:sz w:val="24"/>
          <w:szCs w:val="28"/>
        </w:rPr>
      </w:pPr>
      <w:r w:rsidRPr="0071546E">
        <w:rPr>
          <w:rFonts w:ascii="Times New Roman" w:eastAsia="Calibri" w:hAnsi="Times New Roman" w:cs="Times New Roman"/>
          <w:sz w:val="24"/>
          <w:szCs w:val="28"/>
        </w:rPr>
        <w:t xml:space="preserve">                        </w:t>
      </w:r>
    </w:p>
    <w:p w:rsidR="00BF46AD" w:rsidRPr="0071546E" w:rsidRDefault="003C0923" w:rsidP="00CF13FE">
      <w:pPr>
        <w:ind w:left="1021" w:right="454"/>
        <w:rPr>
          <w:rFonts w:ascii="Times New Roman" w:eastAsia="Calibri" w:hAnsi="Times New Roman" w:cs="Times New Roman"/>
          <w:sz w:val="24"/>
          <w:szCs w:val="28"/>
        </w:rPr>
      </w:pPr>
      <w:r w:rsidRPr="0071546E">
        <w:rPr>
          <w:rFonts w:ascii="Times New Roman" w:eastAsia="Calibri" w:hAnsi="Times New Roman" w:cs="Times New Roman"/>
          <w:noProof/>
          <w:sz w:val="24"/>
          <w:szCs w:val="28"/>
          <w:lang w:eastAsia="en-GB"/>
        </w:rPr>
        <mc:AlternateContent>
          <mc:Choice Requires="wps">
            <w:drawing>
              <wp:anchor distT="0" distB="0" distL="114300" distR="114300" simplePos="0" relativeHeight="251727872" behindDoc="0" locked="0" layoutInCell="1" allowOverlap="1">
                <wp:simplePos x="0" y="0"/>
                <wp:positionH relativeFrom="column">
                  <wp:posOffset>1252025</wp:posOffset>
                </wp:positionH>
                <wp:positionV relativeFrom="paragraph">
                  <wp:posOffset>255807</wp:posOffset>
                </wp:positionV>
                <wp:extent cx="238564" cy="295422"/>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238564" cy="295422"/>
                        </a:xfrm>
                        <a:prstGeom prst="rect">
                          <a:avLst/>
                        </a:prstGeom>
                        <a:solidFill>
                          <a:schemeClr val="lt1"/>
                        </a:solidFill>
                        <a:ln w="6350">
                          <a:noFill/>
                        </a:ln>
                      </wps:spPr>
                      <wps:txbx>
                        <w:txbxContent>
                          <w:p w:rsidR="00A87A14" w:rsidRPr="003C0923" w:rsidRDefault="00A87A14">
                            <w:pPr>
                              <w:rPr>
                                <w:rFonts w:ascii="Arial" w:hAnsi="Arial" w:cs="Arial"/>
                                <w:sz w:val="24"/>
                              </w:rPr>
                            </w:pPr>
                            <w:r w:rsidRPr="003C0923">
                              <w:rPr>
                                <w:rFonts w:ascii="Arial" w:hAnsi="Arial" w:cs="Arial"/>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8" o:spid="_x0000_s1061" type="#_x0000_t202" style="position:absolute;left:0;text-align:left;margin-left:98.6pt;margin-top:20.15pt;width:18.8pt;height:23.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" fillcolor="white [3201]" stroked="f" strokeweight=".5pt">
                <v:textbox>
                  <w:txbxContent>
                    <w:p w:rsidR="00A87A14" w:rsidRPr="003C0923" w:rsidRDefault="00A87A14">
                      <w:pPr>
                        <w:rPr>
                          <w:rFonts w:ascii="Arial" w:hAnsi="Arial" w:cs="Arial"/>
                          <w:sz w:val="24"/>
                        </w:rPr>
                      </w:pPr>
                      <w:r w:rsidRPr="003C0923">
                        <w:rPr>
                          <w:rFonts w:ascii="Arial" w:hAnsi="Arial" w:cs="Arial"/>
                          <w:sz w:val="24"/>
                        </w:rPr>
                        <w:t>B</w:t>
                      </w:r>
                    </w:p>
                  </w:txbxContent>
                </v:textbox>
              </v:shape>
            </w:pict>
          </mc:Fallback>
        </mc:AlternateContent>
      </w:r>
      <w:r w:rsidR="00BF46AD" w:rsidRPr="0071546E">
        <w:rPr>
          <w:rFonts w:ascii="Times New Roman" w:eastAsia="Calibri" w:hAnsi="Times New Roman" w:cs="Times New Roman"/>
          <w:noProof/>
          <w:sz w:val="24"/>
          <w:szCs w:val="28"/>
          <w:lang w:eastAsia="en-GB"/>
        </w:rPr>
        <w:drawing>
          <wp:inline distT="0" distB="0" distL="0" distR="0" wp14:anchorId="5BC98ABE" wp14:editId="5DDC8801">
            <wp:extent cx="5525589" cy="3476625"/>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00BF46AD" w:rsidRPr="0071546E">
        <w:rPr>
          <w:rFonts w:ascii="Times New Roman" w:eastAsia="Calibri" w:hAnsi="Times New Roman" w:cs="Times New Roman"/>
          <w:sz w:val="24"/>
          <w:szCs w:val="28"/>
        </w:rPr>
        <w:t xml:space="preserve">                              </w:t>
      </w:r>
    </w:p>
    <w:p w:rsidR="00BF46AD" w:rsidRPr="0071546E" w:rsidRDefault="003C0923" w:rsidP="00D43DAE">
      <w:pPr>
        <w:spacing w:line="240" w:lineRule="auto"/>
        <w:ind w:left="1021" w:right="454"/>
        <w:jc w:val="both"/>
        <w:rPr>
          <w:rFonts w:ascii="Times New Roman" w:eastAsia="Calibri" w:hAnsi="Times New Roman" w:cs="Times New Roman"/>
          <w:sz w:val="20"/>
          <w:szCs w:val="28"/>
        </w:rPr>
      </w:pPr>
      <w:r w:rsidRPr="0071546E">
        <w:rPr>
          <w:rFonts w:ascii="Times New Roman" w:eastAsia="Calibri" w:hAnsi="Times New Roman" w:cs="Times New Roman"/>
          <w:sz w:val="20"/>
          <w:szCs w:val="28"/>
        </w:rPr>
        <w:t xml:space="preserve">Fig 11 </w:t>
      </w:r>
      <w:r w:rsidRPr="0071546E">
        <w:rPr>
          <w:rFonts w:ascii="Times New Roman" w:eastAsia="Calibri" w:hAnsi="Times New Roman" w:cs="Times New Roman"/>
          <w:i/>
          <w:sz w:val="20"/>
          <w:szCs w:val="28"/>
        </w:rPr>
        <w:t>Acanthamoeba</w:t>
      </w:r>
      <w:r w:rsidRPr="0071546E">
        <w:rPr>
          <w:rFonts w:ascii="Times New Roman" w:eastAsia="Calibri" w:hAnsi="Times New Roman" w:cs="Times New Roman"/>
          <w:sz w:val="20"/>
          <w:szCs w:val="28"/>
        </w:rPr>
        <w:t xml:space="preserve"> cell concentration curve. (A) </w:t>
      </w:r>
      <w:r w:rsidR="00450FD6" w:rsidRPr="0071546E">
        <w:rPr>
          <w:rFonts w:ascii="Times New Roman" w:eastAsia="Calibri" w:hAnsi="Times New Roman" w:cs="Times New Roman"/>
          <w:sz w:val="20"/>
          <w:szCs w:val="28"/>
        </w:rPr>
        <w:t>Shows</w:t>
      </w:r>
      <w:r w:rsidRPr="0071546E">
        <w:rPr>
          <w:rFonts w:ascii="Times New Roman" w:eastAsia="Calibri" w:hAnsi="Times New Roman" w:cs="Times New Roman"/>
          <w:sz w:val="20"/>
          <w:szCs w:val="28"/>
        </w:rPr>
        <w:t xml:space="preserve"> concentration curve for trophozoites while (B) cyst cell concentration curve. Equal concentration of both morphological forms was used to generate curve</w:t>
      </w:r>
    </w:p>
    <w:p w:rsidR="003C0923" w:rsidRPr="0071546E" w:rsidRDefault="003C0923" w:rsidP="00CF13FE">
      <w:pPr>
        <w:ind w:left="1021" w:right="454"/>
        <w:rPr>
          <w:rFonts w:ascii="Times New Roman" w:eastAsia="Calibri" w:hAnsi="Times New Roman" w:cs="Times New Roman"/>
          <w:sz w:val="24"/>
          <w:szCs w:val="28"/>
        </w:rPr>
      </w:pPr>
    </w:p>
    <w:p w:rsidR="00BF46AD" w:rsidRPr="0071546E" w:rsidRDefault="002A0AFA" w:rsidP="00CF13FE">
      <w:pPr>
        <w:ind w:left="1021" w:right="454"/>
        <w:rPr>
          <w:rFonts w:ascii="Arial" w:eastAsia="Calibri" w:hAnsi="Arial" w:cs="Arial"/>
          <w:b/>
          <w:sz w:val="24"/>
          <w:szCs w:val="28"/>
        </w:rPr>
      </w:pPr>
      <w:r w:rsidRPr="0071546E">
        <w:rPr>
          <w:rFonts w:ascii="Arial" w:eastAsia="Calibri" w:hAnsi="Arial" w:cs="Arial"/>
          <w:b/>
          <w:sz w:val="24"/>
          <w:szCs w:val="28"/>
        </w:rPr>
        <w:t xml:space="preserve">                                        Appendix 8</w:t>
      </w:r>
    </w:p>
    <w:p w:rsidR="00956334" w:rsidRPr="0071546E" w:rsidRDefault="00956334" w:rsidP="00CF13FE">
      <w:pPr>
        <w:ind w:left="1021" w:right="454"/>
        <w:rPr>
          <w:rFonts w:ascii="Times New Roman" w:eastAsia="Calibri" w:hAnsi="Times New Roman" w:cs="Times New Roman"/>
          <w:sz w:val="24"/>
          <w:szCs w:val="28"/>
        </w:rPr>
      </w:pPr>
    </w:p>
    <w:p w:rsidR="00BF46AD" w:rsidRPr="0071546E" w:rsidRDefault="002A0AFA" w:rsidP="00CF13FE">
      <w:pPr>
        <w:ind w:left="1021" w:right="454"/>
        <w:rPr>
          <w:rFonts w:ascii="Times New Roman" w:eastAsia="Calibri" w:hAnsi="Times New Roman" w:cs="Times New Roman"/>
          <w:sz w:val="24"/>
          <w:szCs w:val="28"/>
        </w:rPr>
      </w:pPr>
      <w:r w:rsidRPr="0071546E">
        <w:rPr>
          <w:rFonts w:ascii="Times New Roman" w:eastAsia="Calibri" w:hAnsi="Times New Roman" w:cs="Times New Roman"/>
          <w:sz w:val="24"/>
          <w:szCs w:val="28"/>
        </w:rPr>
        <w:t xml:space="preserve">To calculate </w:t>
      </w:r>
      <w:r w:rsidR="00BF46AD" w:rsidRPr="0071546E">
        <w:rPr>
          <w:rFonts w:ascii="Times New Roman" w:eastAsia="Calibri" w:hAnsi="Times New Roman" w:cs="Times New Roman"/>
          <w:sz w:val="24"/>
          <w:szCs w:val="28"/>
        </w:rPr>
        <w:t>the amount of ATP for a single</w:t>
      </w:r>
      <w:r w:rsidR="009D7896" w:rsidRPr="0071546E">
        <w:rPr>
          <w:rFonts w:ascii="Times New Roman" w:eastAsia="Calibri" w:hAnsi="Times New Roman" w:cs="Times New Roman"/>
          <w:sz w:val="24"/>
          <w:szCs w:val="28"/>
        </w:rPr>
        <w:t xml:space="preserve"> trophozoite cell</w:t>
      </w:r>
      <w:r w:rsidR="00BF46AD" w:rsidRPr="0071546E">
        <w:rPr>
          <w:rFonts w:ascii="Times New Roman" w:eastAsia="Calibri" w:hAnsi="Times New Roman" w:cs="Times New Roman"/>
          <w:sz w:val="24"/>
          <w:szCs w:val="28"/>
        </w:rPr>
        <w:t>?</w:t>
      </w:r>
    </w:p>
    <w:p w:rsidR="00BF46AD" w:rsidRPr="0071546E" w:rsidRDefault="00BF46AD" w:rsidP="00CF13FE">
      <w:pPr>
        <w:ind w:left="1021" w:right="454"/>
        <w:rPr>
          <w:rFonts w:ascii="Times New Roman" w:eastAsia="Calibri" w:hAnsi="Times New Roman" w:cs="Times New Roman"/>
          <w:sz w:val="24"/>
          <w:szCs w:val="28"/>
        </w:rPr>
      </w:pPr>
      <w:r w:rsidRPr="0071546E">
        <w:rPr>
          <w:rFonts w:ascii="Times New Roman" w:eastAsia="Calibri" w:hAnsi="Times New Roman" w:cs="Times New Roman"/>
          <w:sz w:val="24"/>
          <w:szCs w:val="28"/>
        </w:rPr>
        <w:t xml:space="preserve">From the ATP </w:t>
      </w:r>
      <w:r w:rsidR="002A0AFA" w:rsidRPr="0071546E">
        <w:rPr>
          <w:rFonts w:ascii="Times New Roman" w:eastAsia="Calibri" w:hAnsi="Times New Roman" w:cs="Times New Roman"/>
          <w:sz w:val="24"/>
          <w:szCs w:val="28"/>
        </w:rPr>
        <w:t xml:space="preserve">standard curve </w:t>
      </w:r>
      <w:r w:rsidRPr="0071546E">
        <w:rPr>
          <w:rFonts w:ascii="Times New Roman" w:eastAsia="Calibri" w:hAnsi="Times New Roman" w:cs="Times New Roman"/>
          <w:sz w:val="24"/>
          <w:szCs w:val="28"/>
        </w:rPr>
        <w:t>and the cell concentration</w:t>
      </w:r>
      <w:r w:rsidR="002A0AFA" w:rsidRPr="0071546E">
        <w:rPr>
          <w:rFonts w:ascii="Times New Roman" w:eastAsia="Calibri" w:hAnsi="Times New Roman" w:cs="Times New Roman"/>
          <w:sz w:val="24"/>
          <w:szCs w:val="28"/>
        </w:rPr>
        <w:t xml:space="preserve"> curve </w:t>
      </w:r>
    </w:p>
    <w:p w:rsidR="00BF46AD" w:rsidRPr="0071546E" w:rsidRDefault="00BF46AD" w:rsidP="00CF13FE">
      <w:pPr>
        <w:pBdr>
          <w:bottom w:val="single" w:sz="6" w:space="1" w:color="auto"/>
        </w:pBdr>
        <w:ind w:left="1021" w:right="454"/>
        <w:rPr>
          <w:rFonts w:ascii="Times New Roman" w:eastAsia="Times New Roman" w:hAnsi="Times New Roman" w:cs="Times New Roman"/>
          <w:b/>
          <w:bCs/>
          <w:sz w:val="24"/>
          <w:szCs w:val="28"/>
        </w:rPr>
      </w:pPr>
    </w:p>
    <w:p w:rsidR="00BF46AD" w:rsidRPr="0071546E" w:rsidRDefault="00BF46AD" w:rsidP="00CF13FE">
      <w:pPr>
        <w:ind w:left="1021" w:right="454"/>
        <w:rPr>
          <w:rFonts w:ascii="Arial" w:eastAsia="Times New Roman" w:hAnsi="Arial" w:cs="Arial"/>
          <w:bCs/>
          <w:sz w:val="24"/>
          <w:szCs w:val="24"/>
        </w:rPr>
      </w:pPr>
      <w:r w:rsidRPr="0071546E">
        <w:rPr>
          <w:rFonts w:ascii="Arial" w:eastAsia="Times New Roman" w:hAnsi="Arial" w:cs="Arial"/>
          <w:b/>
          <w:bCs/>
          <w:sz w:val="24"/>
          <w:szCs w:val="24"/>
        </w:rPr>
        <w:t>Step-1:</w:t>
      </w:r>
      <w:r w:rsidRPr="0071546E">
        <w:rPr>
          <w:rFonts w:ascii="Arial" w:eastAsia="Times New Roman" w:hAnsi="Arial" w:cs="Arial"/>
          <w:bCs/>
          <w:sz w:val="24"/>
          <w:szCs w:val="24"/>
        </w:rPr>
        <w:t xml:space="preserve"> </w:t>
      </w:r>
      <w:r w:rsidRPr="0071546E">
        <w:rPr>
          <w:rFonts w:ascii="Arial" w:eastAsia="Times New Roman" w:hAnsi="Arial" w:cs="Arial"/>
          <w:sz w:val="24"/>
          <w:szCs w:val="24"/>
        </w:rPr>
        <w:t xml:space="preserve">Get the straight-line regression-equation for </w:t>
      </w:r>
      <w:r w:rsidR="00CC24DC" w:rsidRPr="0071546E">
        <w:rPr>
          <w:rFonts w:ascii="Arial" w:eastAsia="Times New Roman" w:hAnsi="Arial" w:cs="Arial"/>
          <w:sz w:val="24"/>
          <w:szCs w:val="24"/>
        </w:rPr>
        <w:t xml:space="preserve">a </w:t>
      </w:r>
      <w:r w:rsidRPr="0071546E">
        <w:rPr>
          <w:rFonts w:ascii="Arial" w:eastAsia="Times New Roman" w:hAnsi="Arial" w:cs="Arial"/>
          <w:sz w:val="24"/>
          <w:szCs w:val="24"/>
        </w:rPr>
        <w:t>high concentration</w:t>
      </w:r>
      <w:r w:rsidR="002A0AFA" w:rsidRPr="0071546E">
        <w:rPr>
          <w:rFonts w:ascii="Arial" w:eastAsia="Times New Roman" w:hAnsi="Arial" w:cs="Arial"/>
          <w:sz w:val="24"/>
          <w:szCs w:val="24"/>
        </w:rPr>
        <w:t xml:space="preserve"> of </w:t>
      </w:r>
      <w:r w:rsidRPr="0071546E">
        <w:rPr>
          <w:rFonts w:ascii="Arial" w:eastAsia="Times New Roman" w:hAnsi="Arial" w:cs="Arial"/>
          <w:sz w:val="24"/>
          <w:szCs w:val="24"/>
        </w:rPr>
        <w:t>ATP standard curve.</w:t>
      </w:r>
    </w:p>
    <w:p w:rsidR="00BF46AD" w:rsidRPr="0071546E" w:rsidRDefault="00BF46AD" w:rsidP="00CF13FE">
      <w:pPr>
        <w:ind w:left="1021" w:right="454"/>
        <w:rPr>
          <w:rFonts w:ascii="Arial" w:eastAsia="Times New Roman" w:hAnsi="Arial" w:cs="Arial"/>
          <w:bCs/>
          <w:sz w:val="24"/>
          <w:szCs w:val="24"/>
        </w:rPr>
      </w:pPr>
      <w:r w:rsidRPr="0071546E">
        <w:rPr>
          <w:rFonts w:ascii="Arial" w:eastAsia="Times New Roman" w:hAnsi="Arial" w:cs="Arial"/>
          <w:bCs/>
          <w:sz w:val="24"/>
          <w:szCs w:val="24"/>
        </w:rPr>
        <w:t xml:space="preserve">Applicable Range </w:t>
      </w:r>
    </w:p>
    <w:p w:rsidR="00BF46AD" w:rsidRPr="0071546E" w:rsidRDefault="00BF46AD" w:rsidP="00CF13FE">
      <w:pPr>
        <w:ind w:left="1021" w:right="454" w:firstLine="720"/>
        <w:rPr>
          <w:rFonts w:ascii="Arial" w:eastAsia="Times New Roman" w:hAnsi="Arial" w:cs="Arial"/>
          <w:bCs/>
          <w:sz w:val="24"/>
          <w:szCs w:val="24"/>
        </w:rPr>
      </w:pPr>
      <w:r w:rsidRPr="0071546E">
        <w:rPr>
          <w:rFonts w:ascii="Arial" w:eastAsia="Times New Roman" w:hAnsi="Arial" w:cs="Arial"/>
          <w:bCs/>
          <w:sz w:val="24"/>
          <w:szCs w:val="24"/>
        </w:rPr>
        <w:t xml:space="preserve">RLU range = 7741157 – 36221 </w:t>
      </w:r>
    </w:p>
    <w:p w:rsidR="00BF46AD" w:rsidRPr="0071546E" w:rsidRDefault="00BF46AD" w:rsidP="00CF13FE">
      <w:pPr>
        <w:ind w:left="1021" w:right="454" w:firstLine="720"/>
        <w:rPr>
          <w:rFonts w:ascii="Arial" w:eastAsia="Times New Roman" w:hAnsi="Arial" w:cs="Arial"/>
          <w:bCs/>
          <w:sz w:val="24"/>
          <w:szCs w:val="24"/>
        </w:rPr>
      </w:pPr>
      <w:r w:rsidRPr="0071546E">
        <w:rPr>
          <w:rFonts w:ascii="Arial" w:eastAsia="Times New Roman" w:hAnsi="Arial" w:cs="Arial"/>
          <w:bCs/>
          <w:sz w:val="24"/>
          <w:szCs w:val="24"/>
        </w:rPr>
        <w:t>Concentration of ATP = 0.0195 – 5 µg/ mL</w:t>
      </w:r>
    </w:p>
    <w:p w:rsidR="00BF46AD" w:rsidRPr="0071546E" w:rsidRDefault="00BF46AD" w:rsidP="00CF13FE">
      <w:pPr>
        <w:ind w:left="1021" w:right="454"/>
        <w:jc w:val="center"/>
        <w:rPr>
          <w:rFonts w:ascii="Arial" w:eastAsia="Times New Roman" w:hAnsi="Arial" w:cs="Arial"/>
          <w:bCs/>
          <w:sz w:val="24"/>
          <w:szCs w:val="24"/>
        </w:rPr>
      </w:pPr>
      <w:r w:rsidRPr="0071546E">
        <w:rPr>
          <w:rFonts w:ascii="Arial" w:eastAsia="Times New Roman" w:hAnsi="Arial" w:cs="Arial"/>
          <w:bCs/>
          <w:sz w:val="24"/>
          <w:szCs w:val="24"/>
        </w:rPr>
        <w:t>Regression line, Y = mX + C</w:t>
      </w:r>
    </w:p>
    <w:p w:rsidR="00BF46AD" w:rsidRPr="0071546E" w:rsidRDefault="00BF46AD" w:rsidP="00CF13FE">
      <w:pPr>
        <w:ind w:left="1021" w:right="454"/>
        <w:jc w:val="center"/>
        <w:rPr>
          <w:rFonts w:ascii="Arial" w:eastAsia="Times New Roman" w:hAnsi="Arial" w:cs="Arial"/>
          <w:bCs/>
          <w:sz w:val="24"/>
          <w:szCs w:val="24"/>
        </w:rPr>
      </w:pPr>
      <w:r w:rsidRPr="0071546E">
        <w:rPr>
          <w:rFonts w:ascii="Arial" w:eastAsia="Times New Roman" w:hAnsi="Arial" w:cs="Arial"/>
          <w:bCs/>
          <w:sz w:val="24"/>
          <w:szCs w:val="24"/>
        </w:rPr>
        <w:t>Y-axis = RLU (relative luminescence unit) | X-axis = Concentration of ATP (µg/ mL)</w:t>
      </w:r>
    </w:p>
    <w:p w:rsidR="00BF46AD" w:rsidRPr="0071546E" w:rsidRDefault="00BF46AD" w:rsidP="00CF13FE">
      <w:pPr>
        <w:ind w:left="1021" w:right="454"/>
        <w:jc w:val="center"/>
        <w:rPr>
          <w:rFonts w:ascii="Arial" w:eastAsia="Times New Roman" w:hAnsi="Arial" w:cs="Arial"/>
          <w:bCs/>
          <w:sz w:val="24"/>
          <w:szCs w:val="24"/>
        </w:rPr>
      </w:pPr>
      <w:r w:rsidRPr="0071546E">
        <w:rPr>
          <w:rFonts w:ascii="Arial" w:eastAsia="Times New Roman" w:hAnsi="Arial" w:cs="Arial"/>
          <w:bCs/>
          <w:sz w:val="24"/>
          <w:szCs w:val="24"/>
        </w:rPr>
        <w:t>C = Y-intercept, m – Slope of the line</w:t>
      </w:r>
    </w:p>
    <w:p w:rsidR="00BF46AD" w:rsidRPr="0071546E" w:rsidRDefault="00BF46AD" w:rsidP="00CF13FE">
      <w:pPr>
        <w:ind w:left="1021" w:right="454"/>
        <w:rPr>
          <w:rFonts w:ascii="Arial" w:eastAsia="Times New Roman" w:hAnsi="Arial" w:cs="Arial"/>
          <w:bCs/>
          <w:sz w:val="24"/>
          <w:szCs w:val="24"/>
        </w:rPr>
      </w:pPr>
    </w:p>
    <w:p w:rsidR="00BF46AD" w:rsidRPr="0071546E" w:rsidRDefault="00BF46AD" w:rsidP="00CF13FE">
      <w:pPr>
        <w:ind w:left="1021" w:right="454"/>
        <w:rPr>
          <w:rFonts w:ascii="Arial" w:eastAsia="Times New Roman" w:hAnsi="Arial" w:cs="Arial"/>
          <w:bCs/>
          <w:sz w:val="24"/>
          <w:szCs w:val="24"/>
        </w:rPr>
      </w:pPr>
      <w:r w:rsidRPr="0071546E">
        <w:rPr>
          <w:rFonts w:ascii="Arial" w:eastAsia="Times New Roman" w:hAnsi="Arial" w:cs="Arial"/>
          <w:bCs/>
          <w:sz w:val="24"/>
          <w:szCs w:val="24"/>
        </w:rPr>
        <w:t>The regression equation for 1</w:t>
      </w:r>
      <w:r w:rsidRPr="0071546E">
        <w:rPr>
          <w:rFonts w:ascii="Arial" w:eastAsia="Times New Roman" w:hAnsi="Arial" w:cs="Arial"/>
          <w:bCs/>
          <w:sz w:val="24"/>
          <w:szCs w:val="24"/>
          <w:vertAlign w:val="superscript"/>
        </w:rPr>
        <w:t>st</w:t>
      </w:r>
      <w:r w:rsidRPr="0071546E">
        <w:rPr>
          <w:rFonts w:ascii="Arial" w:eastAsia="Times New Roman" w:hAnsi="Arial" w:cs="Arial"/>
          <w:bCs/>
          <w:sz w:val="24"/>
          <w:szCs w:val="24"/>
        </w:rPr>
        <w:t xml:space="preserve"> graph is, [Range of ATP conc. = </w:t>
      </w:r>
    </w:p>
    <w:p w:rsidR="00BF46AD" w:rsidRPr="0071546E" w:rsidRDefault="00BF46AD" w:rsidP="00CF13FE">
      <w:pPr>
        <w:ind w:left="1021" w:right="454"/>
        <w:rPr>
          <w:rFonts w:ascii="Arial" w:eastAsia="Times New Roman" w:hAnsi="Arial" w:cs="Arial"/>
          <w:bCs/>
          <w:sz w:val="24"/>
          <w:szCs w:val="24"/>
          <w:lang w:val="en-US"/>
        </w:rPr>
      </w:pPr>
      <w:r w:rsidRPr="0071546E">
        <w:rPr>
          <w:rFonts w:ascii="Arial" w:eastAsia="Times New Roman" w:hAnsi="Arial" w:cs="Arial"/>
          <w:bCs/>
          <w:sz w:val="24"/>
          <w:szCs w:val="24"/>
          <w:lang w:val="en-US"/>
        </w:rPr>
        <w:t>Y = 2E+06x + 34347 (R² = 0.9988)</w:t>
      </w:r>
    </w:p>
    <w:p w:rsidR="00BF46AD" w:rsidRPr="0071546E" w:rsidRDefault="00BF46AD" w:rsidP="00CF13FE">
      <w:pPr>
        <w:ind w:left="1021" w:right="454"/>
        <w:jc w:val="center"/>
        <w:rPr>
          <w:rFonts w:ascii="Arial" w:eastAsia="Times New Roman" w:hAnsi="Arial" w:cs="Arial"/>
          <w:bCs/>
          <w:sz w:val="24"/>
          <w:szCs w:val="24"/>
          <w:lang w:val="en-US"/>
        </w:rPr>
      </w:pPr>
      <w:r w:rsidRPr="0071546E">
        <w:rPr>
          <w:rFonts w:ascii="Arial" w:eastAsia="Times New Roman" w:hAnsi="Arial" w:cs="Arial"/>
          <w:bCs/>
          <w:sz w:val="24"/>
          <w:szCs w:val="24"/>
          <w:lang w:val="en-US"/>
        </w:rPr>
        <w:t xml:space="preserve">RLU = 2E+06 [Conc. of ATP, </w:t>
      </w:r>
      <w:r w:rsidRPr="0071546E">
        <w:rPr>
          <w:rFonts w:ascii="Arial" w:eastAsia="Times New Roman" w:hAnsi="Arial" w:cs="Arial"/>
          <w:bCs/>
          <w:sz w:val="24"/>
          <w:szCs w:val="24"/>
        </w:rPr>
        <w:t>µg/ mL</w:t>
      </w:r>
      <w:r w:rsidRPr="0071546E">
        <w:rPr>
          <w:rFonts w:ascii="Arial" w:eastAsia="Times New Roman" w:hAnsi="Arial" w:cs="Arial"/>
          <w:bCs/>
          <w:sz w:val="24"/>
          <w:szCs w:val="24"/>
          <w:lang w:val="en-US"/>
        </w:rPr>
        <w:t>] + 34347</w:t>
      </w:r>
    </w:p>
    <w:p w:rsidR="00D042B9" w:rsidRPr="0071546E" w:rsidRDefault="002A0AFA" w:rsidP="00D43DAE">
      <w:pPr>
        <w:ind w:left="1021" w:right="454"/>
        <w:rPr>
          <w:rFonts w:ascii="Arial" w:eastAsia="Times New Roman" w:hAnsi="Arial" w:cs="Arial"/>
          <w:sz w:val="24"/>
          <w:szCs w:val="24"/>
          <w:lang w:val="en-US"/>
        </w:rPr>
      </w:pPr>
      <w:r w:rsidRPr="0071546E">
        <w:rPr>
          <w:rFonts w:ascii="Arial" w:eastAsia="Times New Roman" w:hAnsi="Arial" w:cs="Arial"/>
          <w:sz w:val="24"/>
          <w:szCs w:val="24"/>
          <w:lang w:val="en-US"/>
        </w:rPr>
        <w:t>Here</w:t>
      </w:r>
      <w:r w:rsidR="00BF46AD" w:rsidRPr="0071546E">
        <w:rPr>
          <w:rFonts w:ascii="Arial" w:eastAsia="Times New Roman" w:hAnsi="Arial" w:cs="Arial"/>
          <w:sz w:val="24"/>
          <w:szCs w:val="24"/>
          <w:lang w:val="en-US"/>
        </w:rPr>
        <w:t>, m = 2 x 10</w:t>
      </w:r>
      <w:r w:rsidR="00BF46AD" w:rsidRPr="0071546E">
        <w:rPr>
          <w:rFonts w:ascii="Arial" w:eastAsia="Times New Roman" w:hAnsi="Arial" w:cs="Arial"/>
          <w:sz w:val="24"/>
          <w:szCs w:val="24"/>
          <w:vertAlign w:val="superscript"/>
          <w:lang w:val="en-US"/>
        </w:rPr>
        <w:t>6</w:t>
      </w:r>
      <w:r w:rsidR="00D43DAE" w:rsidRPr="0071546E">
        <w:rPr>
          <w:rFonts w:ascii="Arial" w:eastAsia="Times New Roman" w:hAnsi="Arial" w:cs="Arial"/>
          <w:sz w:val="24"/>
          <w:szCs w:val="24"/>
          <w:lang w:val="en-US"/>
        </w:rPr>
        <w:t>, C = 34347</w:t>
      </w:r>
    </w:p>
    <w:p w:rsidR="003C0923" w:rsidRPr="0071546E" w:rsidRDefault="003C0923" w:rsidP="00D042B9">
      <w:pPr>
        <w:ind w:right="454"/>
        <w:rPr>
          <w:rFonts w:ascii="Arial" w:eastAsia="Calibri" w:hAnsi="Arial" w:cs="Arial"/>
          <w:b/>
          <w:bCs/>
          <w:sz w:val="24"/>
          <w:szCs w:val="24"/>
        </w:rPr>
      </w:pPr>
    </w:p>
    <w:p w:rsidR="00BF46AD" w:rsidRPr="0071546E" w:rsidRDefault="00BF46AD" w:rsidP="00CF13FE">
      <w:pPr>
        <w:ind w:left="1021" w:right="454"/>
        <w:rPr>
          <w:rFonts w:ascii="Arial" w:eastAsia="Calibri" w:hAnsi="Arial" w:cs="Arial"/>
          <w:sz w:val="24"/>
          <w:szCs w:val="24"/>
        </w:rPr>
      </w:pPr>
      <w:r w:rsidRPr="0071546E">
        <w:rPr>
          <w:rFonts w:ascii="Arial" w:eastAsia="Calibri" w:hAnsi="Arial" w:cs="Arial"/>
          <w:b/>
          <w:bCs/>
          <w:sz w:val="24"/>
          <w:szCs w:val="24"/>
        </w:rPr>
        <w:t>Step – 2</w:t>
      </w:r>
      <w:r w:rsidRPr="0071546E">
        <w:rPr>
          <w:rFonts w:ascii="Arial" w:eastAsia="Calibri" w:hAnsi="Arial" w:cs="Arial"/>
          <w:bCs/>
          <w:sz w:val="24"/>
          <w:szCs w:val="24"/>
        </w:rPr>
        <w:t>:</w:t>
      </w:r>
      <w:r w:rsidR="002A0AFA" w:rsidRPr="0071546E">
        <w:rPr>
          <w:rFonts w:ascii="Arial" w:eastAsia="Calibri" w:hAnsi="Arial" w:cs="Arial"/>
          <w:bCs/>
          <w:sz w:val="24"/>
          <w:szCs w:val="24"/>
        </w:rPr>
        <w:t xml:space="preserve">  </w:t>
      </w:r>
      <w:r w:rsidRPr="0071546E">
        <w:rPr>
          <w:rFonts w:ascii="Arial" w:eastAsia="Calibri" w:hAnsi="Arial" w:cs="Arial"/>
          <w:bCs/>
          <w:sz w:val="24"/>
          <w:szCs w:val="24"/>
        </w:rPr>
        <w:t>Calculate the concentration of ATP</w:t>
      </w:r>
    </w:p>
    <w:p w:rsidR="00BF46AD" w:rsidRPr="0071546E" w:rsidRDefault="00BF46AD" w:rsidP="00CF13FE">
      <w:pPr>
        <w:ind w:left="1021" w:right="454"/>
        <w:rPr>
          <w:rFonts w:ascii="Arial" w:eastAsia="Calibri" w:hAnsi="Arial" w:cs="Arial"/>
          <w:sz w:val="24"/>
          <w:szCs w:val="24"/>
        </w:rPr>
      </w:pPr>
      <w:r w:rsidRPr="0071546E">
        <w:rPr>
          <w:rFonts w:ascii="Arial" w:eastAsia="Calibri" w:hAnsi="Arial" w:cs="Arial"/>
          <w:sz w:val="24"/>
          <w:szCs w:val="24"/>
        </w:rPr>
        <w:t>To calculate the concentration of ATP from luminescence we need the previous equation from the standard curve,</w:t>
      </w:r>
    </w:p>
    <w:p w:rsidR="00BF46AD" w:rsidRPr="0071546E" w:rsidRDefault="00BF46AD" w:rsidP="00CF13FE">
      <w:pPr>
        <w:ind w:left="1021" w:right="454"/>
        <w:jc w:val="center"/>
        <w:rPr>
          <w:rFonts w:ascii="Arial" w:eastAsia="Times New Roman" w:hAnsi="Arial" w:cs="Arial"/>
          <w:bCs/>
          <w:sz w:val="24"/>
          <w:szCs w:val="24"/>
          <w:lang w:val="en-US"/>
        </w:rPr>
      </w:pPr>
      <w:r w:rsidRPr="0071546E">
        <w:rPr>
          <w:rFonts w:ascii="Arial" w:eastAsia="Times New Roman" w:hAnsi="Arial" w:cs="Arial"/>
          <w:bCs/>
          <w:sz w:val="24"/>
          <w:szCs w:val="24"/>
          <w:lang w:val="en-US"/>
        </w:rPr>
        <w:t xml:space="preserve">RLU = 2E+06 [Conc. of ATP, </w:t>
      </w:r>
      <w:r w:rsidRPr="0071546E">
        <w:rPr>
          <w:rFonts w:ascii="Arial" w:eastAsia="Times New Roman" w:hAnsi="Arial" w:cs="Arial"/>
          <w:bCs/>
          <w:sz w:val="24"/>
          <w:szCs w:val="24"/>
        </w:rPr>
        <w:t>µg/ mL</w:t>
      </w:r>
      <w:r w:rsidRPr="0071546E">
        <w:rPr>
          <w:rFonts w:ascii="Arial" w:eastAsia="Times New Roman" w:hAnsi="Arial" w:cs="Arial"/>
          <w:bCs/>
          <w:sz w:val="24"/>
          <w:szCs w:val="24"/>
          <w:lang w:val="en-US"/>
        </w:rPr>
        <w:t>] + 34347</w:t>
      </w:r>
    </w:p>
    <w:p w:rsidR="00BF46AD" w:rsidRPr="0071546E" w:rsidRDefault="00BF46AD" w:rsidP="00CF13FE">
      <w:pPr>
        <w:ind w:left="1021" w:right="454"/>
        <w:rPr>
          <w:rFonts w:ascii="Arial" w:eastAsia="Calibri" w:hAnsi="Arial" w:cs="Arial"/>
          <w:sz w:val="24"/>
          <w:szCs w:val="24"/>
        </w:rPr>
      </w:pPr>
      <w:r w:rsidRPr="0071546E">
        <w:rPr>
          <w:rFonts w:ascii="Arial" w:eastAsia="Calibri" w:hAnsi="Arial" w:cs="Arial"/>
          <w:sz w:val="24"/>
          <w:szCs w:val="24"/>
        </w:rPr>
        <w:t>Re-arranging the equation, we get</w:t>
      </w:r>
    </w:p>
    <w:p w:rsidR="00BF46AD" w:rsidRPr="0071546E" w:rsidRDefault="00BF46AD" w:rsidP="00CF13FE">
      <w:pPr>
        <w:ind w:left="1021" w:right="454"/>
        <w:jc w:val="center"/>
        <w:rPr>
          <w:rFonts w:ascii="Arial" w:eastAsia="Times New Roman" w:hAnsi="Arial" w:cs="Arial"/>
          <w:bCs/>
          <w:sz w:val="24"/>
          <w:szCs w:val="24"/>
          <w:lang w:val="en-US"/>
        </w:rPr>
      </w:pPr>
      <w:r w:rsidRPr="0071546E">
        <w:rPr>
          <w:rFonts w:ascii="Arial" w:eastAsia="Times New Roman" w:hAnsi="Arial" w:cs="Arial"/>
          <w:bCs/>
          <w:sz w:val="24"/>
          <w:szCs w:val="24"/>
          <w:lang w:val="en-US"/>
        </w:rPr>
        <w:t>[Conc. of ATP, µg/ mL] = (RLU – 34347) / (2 x 10</w:t>
      </w:r>
      <w:r w:rsidRPr="0071546E">
        <w:rPr>
          <w:rFonts w:ascii="Arial" w:eastAsia="Times New Roman" w:hAnsi="Arial" w:cs="Arial"/>
          <w:bCs/>
          <w:sz w:val="24"/>
          <w:szCs w:val="24"/>
          <w:vertAlign w:val="superscript"/>
          <w:lang w:val="en-US"/>
        </w:rPr>
        <w:t>6</w:t>
      </w:r>
      <w:r w:rsidRPr="0071546E">
        <w:rPr>
          <w:rFonts w:ascii="Arial" w:eastAsia="Times New Roman" w:hAnsi="Arial" w:cs="Arial"/>
          <w:bCs/>
          <w:sz w:val="24"/>
          <w:szCs w:val="24"/>
          <w:lang w:val="en-US"/>
        </w:rPr>
        <w:t>)</w:t>
      </w:r>
    </w:p>
    <w:p w:rsidR="00E5461B" w:rsidRPr="0071546E" w:rsidRDefault="00E5461B" w:rsidP="00CF13FE">
      <w:pPr>
        <w:ind w:left="1021" w:right="454"/>
        <w:jc w:val="center"/>
        <w:rPr>
          <w:rFonts w:ascii="Arial" w:eastAsia="Times New Roman" w:hAnsi="Arial" w:cs="Arial"/>
          <w:bCs/>
          <w:sz w:val="24"/>
          <w:szCs w:val="24"/>
          <w:lang w:val="en-US"/>
        </w:rPr>
      </w:pPr>
    </w:p>
    <w:p w:rsidR="00BF46AD" w:rsidRPr="0071546E" w:rsidRDefault="00E5461B" w:rsidP="00CF13FE">
      <w:pPr>
        <w:ind w:left="1021" w:right="454"/>
        <w:rPr>
          <w:rFonts w:ascii="Arial" w:eastAsia="Calibri" w:hAnsi="Arial" w:cs="Arial"/>
          <w:sz w:val="24"/>
          <w:szCs w:val="24"/>
        </w:rPr>
      </w:pPr>
      <w:r w:rsidRPr="0071546E">
        <w:rPr>
          <w:noProof/>
          <w:lang w:eastAsia="en-GB"/>
        </w:rPr>
        <w:drawing>
          <wp:inline distT="0" distB="0" distL="0" distR="0" wp14:anchorId="62BDCD5C" wp14:editId="5B71FC8D">
            <wp:extent cx="3832225" cy="14657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853449" cy="1473848"/>
                    </a:xfrm>
                    <a:prstGeom prst="rect">
                      <a:avLst/>
                    </a:prstGeom>
                  </pic:spPr>
                </pic:pic>
              </a:graphicData>
            </a:graphic>
          </wp:inline>
        </w:drawing>
      </w:r>
    </w:p>
    <w:p w:rsidR="002A0AFA" w:rsidRPr="0071546E" w:rsidRDefault="002A0AFA" w:rsidP="00E5461B">
      <w:pPr>
        <w:ind w:right="454"/>
        <w:rPr>
          <w:rFonts w:ascii="Times New Roman" w:eastAsia="Calibri" w:hAnsi="Times New Roman" w:cs="Times New Roman"/>
          <w:sz w:val="24"/>
          <w:szCs w:val="28"/>
        </w:rPr>
      </w:pPr>
    </w:p>
    <w:p w:rsidR="00BF46AD" w:rsidRPr="0071546E" w:rsidRDefault="002A0AFA" w:rsidP="00CF13FE">
      <w:pPr>
        <w:ind w:left="1021" w:right="454"/>
        <w:rPr>
          <w:rFonts w:ascii="Times New Roman" w:eastAsia="Calibri" w:hAnsi="Times New Roman" w:cs="Times New Roman"/>
          <w:sz w:val="24"/>
          <w:szCs w:val="28"/>
        </w:rPr>
      </w:pPr>
      <w:r w:rsidRPr="0071546E">
        <w:rPr>
          <w:rFonts w:ascii="Times New Roman" w:eastAsia="Calibri" w:hAnsi="Times New Roman" w:cs="Times New Roman"/>
          <w:sz w:val="24"/>
          <w:szCs w:val="28"/>
        </w:rPr>
        <w:t>The reaction</w:t>
      </w:r>
      <w:r w:rsidR="00BF46AD" w:rsidRPr="0071546E">
        <w:rPr>
          <w:rFonts w:ascii="Times New Roman" w:eastAsia="Calibri" w:hAnsi="Times New Roman" w:cs="Times New Roman"/>
          <w:sz w:val="24"/>
          <w:szCs w:val="28"/>
        </w:rPr>
        <w:t xml:space="preserve"> that produced the </w:t>
      </w:r>
      <w:r w:rsidRPr="0071546E">
        <w:rPr>
          <w:rFonts w:ascii="Times New Roman" w:eastAsia="Calibri" w:hAnsi="Times New Roman" w:cs="Times New Roman"/>
          <w:bCs/>
          <w:sz w:val="24"/>
          <w:szCs w:val="28"/>
        </w:rPr>
        <w:t>bioluminescence</w:t>
      </w:r>
      <w:r w:rsidR="00BF46AD" w:rsidRPr="0071546E">
        <w:rPr>
          <w:rFonts w:ascii="Times New Roman" w:eastAsia="Calibri" w:hAnsi="Times New Roman" w:cs="Times New Roman"/>
          <w:bCs/>
          <w:sz w:val="24"/>
          <w:szCs w:val="28"/>
        </w:rPr>
        <w:t xml:space="preserve"> from </w:t>
      </w:r>
      <w:r w:rsidRPr="0071546E">
        <w:rPr>
          <w:rFonts w:ascii="Times New Roman" w:eastAsia="Calibri" w:hAnsi="Times New Roman" w:cs="Times New Roman"/>
          <w:bCs/>
          <w:i/>
          <w:sz w:val="24"/>
          <w:szCs w:val="28"/>
        </w:rPr>
        <w:t>Acanthamoeba</w:t>
      </w:r>
      <w:r w:rsidR="00BF46AD" w:rsidRPr="0071546E">
        <w:rPr>
          <w:rFonts w:ascii="Times New Roman" w:eastAsia="Calibri" w:hAnsi="Times New Roman" w:cs="Times New Roman"/>
          <w:sz w:val="24"/>
          <w:szCs w:val="28"/>
        </w:rPr>
        <w:t xml:space="preserve"> is,</w:t>
      </w:r>
    </w:p>
    <w:p w:rsidR="00BF46AD" w:rsidRPr="0071546E" w:rsidRDefault="002A0AFA" w:rsidP="00CF13FE">
      <w:pPr>
        <w:ind w:left="1021" w:right="454"/>
        <w:rPr>
          <w:rFonts w:ascii="Times New Roman" w:eastAsia="Calibri" w:hAnsi="Times New Roman" w:cs="Times New Roman"/>
          <w:sz w:val="24"/>
          <w:szCs w:val="28"/>
        </w:rPr>
      </w:pPr>
      <w:r w:rsidRPr="0071546E">
        <w:rPr>
          <w:rFonts w:ascii="Times New Roman" w:eastAsia="Calibri" w:hAnsi="Times New Roman" w:cs="Times New Roman"/>
          <w:i/>
          <w:sz w:val="24"/>
          <w:szCs w:val="28"/>
        </w:rPr>
        <w:t>Acanthamoeba</w:t>
      </w:r>
      <w:r w:rsidRPr="0071546E">
        <w:rPr>
          <w:rFonts w:ascii="Times New Roman" w:eastAsia="Calibri" w:hAnsi="Times New Roman" w:cs="Times New Roman"/>
          <w:sz w:val="24"/>
          <w:szCs w:val="28"/>
        </w:rPr>
        <w:t>,</w:t>
      </w:r>
      <w:r w:rsidR="00BF46AD" w:rsidRPr="0071546E">
        <w:rPr>
          <w:rFonts w:ascii="Times New Roman" w:eastAsia="Calibri" w:hAnsi="Times New Roman" w:cs="Times New Roman"/>
          <w:sz w:val="24"/>
          <w:szCs w:val="28"/>
        </w:rPr>
        <w:t xml:space="preserve"> [x cells/ mL]</w:t>
      </w:r>
      <w:r w:rsidR="00BF46AD" w:rsidRPr="0071546E">
        <w:rPr>
          <w:rFonts w:ascii="Times New Roman" w:eastAsia="Calibri" w:hAnsi="Times New Roman" w:cs="Times New Roman"/>
          <w:sz w:val="24"/>
          <w:szCs w:val="28"/>
        </w:rPr>
        <w:tab/>
      </w:r>
      <w:r w:rsidR="00BF46AD" w:rsidRPr="0071546E">
        <w:rPr>
          <w:rFonts w:ascii="Times New Roman" w:eastAsia="Calibri" w:hAnsi="Times New Roman" w:cs="Times New Roman"/>
          <w:sz w:val="24"/>
          <w:szCs w:val="28"/>
        </w:rPr>
        <w:tab/>
      </w:r>
      <w:r w:rsidR="00BF46AD" w:rsidRPr="0071546E">
        <w:rPr>
          <w:rFonts w:ascii="Times New Roman" w:eastAsia="Calibri" w:hAnsi="Times New Roman" w:cs="Times New Roman"/>
          <w:sz w:val="24"/>
          <w:szCs w:val="28"/>
        </w:rPr>
        <w:tab/>
        <w:t>=</w:t>
      </w:r>
      <w:r w:rsidR="00476D08" w:rsidRPr="0071546E">
        <w:rPr>
          <w:rFonts w:ascii="Times New Roman" w:eastAsia="Calibri" w:hAnsi="Times New Roman" w:cs="Times New Roman"/>
          <w:sz w:val="24"/>
          <w:szCs w:val="28"/>
        </w:rPr>
        <w:tab/>
        <w:t xml:space="preserve"> 50</w:t>
      </w:r>
      <w:r w:rsidR="00BF46AD" w:rsidRPr="0071546E">
        <w:rPr>
          <w:rFonts w:ascii="Times New Roman" w:eastAsia="Calibri" w:hAnsi="Times New Roman" w:cs="Times New Roman"/>
          <w:sz w:val="24"/>
          <w:szCs w:val="28"/>
        </w:rPr>
        <w:t xml:space="preserve"> µL</w:t>
      </w:r>
    </w:p>
    <w:p w:rsidR="00BF46AD" w:rsidRPr="0071546E" w:rsidRDefault="00BF46AD" w:rsidP="00CF13FE">
      <w:pPr>
        <w:ind w:left="1021" w:right="454"/>
        <w:rPr>
          <w:rFonts w:ascii="Times New Roman" w:eastAsia="Calibri" w:hAnsi="Times New Roman" w:cs="Times New Roman"/>
          <w:sz w:val="24"/>
          <w:szCs w:val="28"/>
        </w:rPr>
      </w:pPr>
      <w:r w:rsidRPr="0071546E">
        <w:rPr>
          <w:rFonts w:ascii="Times New Roman" w:eastAsia="Calibri" w:hAnsi="Times New Roman" w:cs="Times New Roman"/>
          <w:sz w:val="24"/>
          <w:szCs w:val="28"/>
        </w:rPr>
        <w:t>Luciferase enzyme + D-Luciferin salt</w:t>
      </w:r>
      <w:r w:rsidRPr="0071546E">
        <w:rPr>
          <w:rFonts w:ascii="Times New Roman" w:eastAsia="Calibri" w:hAnsi="Times New Roman" w:cs="Times New Roman"/>
          <w:sz w:val="24"/>
          <w:szCs w:val="28"/>
        </w:rPr>
        <w:tab/>
        <w:t>=</w:t>
      </w:r>
      <w:r w:rsidR="00476D08" w:rsidRPr="0071546E">
        <w:rPr>
          <w:rFonts w:ascii="Times New Roman" w:eastAsia="Calibri" w:hAnsi="Times New Roman" w:cs="Times New Roman"/>
          <w:sz w:val="24"/>
          <w:szCs w:val="28"/>
        </w:rPr>
        <w:tab/>
        <w:t xml:space="preserve"> 50</w:t>
      </w:r>
      <w:r w:rsidRPr="0071546E">
        <w:rPr>
          <w:rFonts w:ascii="Times New Roman" w:eastAsia="Calibri" w:hAnsi="Times New Roman" w:cs="Times New Roman"/>
          <w:sz w:val="24"/>
          <w:szCs w:val="28"/>
        </w:rPr>
        <w:t xml:space="preserve"> µL</w:t>
      </w:r>
    </w:p>
    <w:p w:rsidR="00BF46AD" w:rsidRPr="0071546E" w:rsidRDefault="00BF46AD" w:rsidP="00CF13FE">
      <w:pPr>
        <w:pBdr>
          <w:top w:val="single" w:sz="6" w:space="1" w:color="auto"/>
          <w:bottom w:val="single" w:sz="6" w:space="1" w:color="auto"/>
        </w:pBdr>
        <w:ind w:left="1021" w:right="454"/>
        <w:rPr>
          <w:rFonts w:ascii="Times New Roman" w:eastAsia="Calibri" w:hAnsi="Times New Roman" w:cs="Times New Roman"/>
          <w:sz w:val="24"/>
          <w:szCs w:val="28"/>
        </w:rPr>
      </w:pPr>
      <w:r w:rsidRPr="0071546E">
        <w:rPr>
          <w:rFonts w:ascii="Times New Roman" w:eastAsia="Calibri" w:hAnsi="Times New Roman" w:cs="Times New Roman"/>
          <w:sz w:val="24"/>
          <w:szCs w:val="28"/>
        </w:rPr>
        <w:t>Total volume</w:t>
      </w:r>
      <w:r w:rsidRPr="0071546E">
        <w:rPr>
          <w:rFonts w:ascii="Times New Roman" w:eastAsia="Calibri" w:hAnsi="Times New Roman" w:cs="Times New Roman"/>
          <w:sz w:val="24"/>
          <w:szCs w:val="28"/>
        </w:rPr>
        <w:tab/>
      </w:r>
      <w:r w:rsidRPr="0071546E">
        <w:rPr>
          <w:rFonts w:ascii="Times New Roman" w:eastAsia="Calibri" w:hAnsi="Times New Roman" w:cs="Times New Roman"/>
          <w:sz w:val="24"/>
          <w:szCs w:val="28"/>
        </w:rPr>
        <w:tab/>
      </w:r>
      <w:r w:rsidRPr="0071546E">
        <w:rPr>
          <w:rFonts w:ascii="Times New Roman" w:eastAsia="Calibri" w:hAnsi="Times New Roman" w:cs="Times New Roman"/>
          <w:sz w:val="24"/>
          <w:szCs w:val="28"/>
        </w:rPr>
        <w:tab/>
      </w:r>
      <w:r w:rsidRPr="0071546E">
        <w:rPr>
          <w:rFonts w:ascii="Times New Roman" w:eastAsia="Calibri" w:hAnsi="Times New Roman" w:cs="Times New Roman"/>
          <w:sz w:val="24"/>
          <w:szCs w:val="28"/>
        </w:rPr>
        <w:tab/>
      </w:r>
      <w:r w:rsidRPr="0071546E">
        <w:rPr>
          <w:rFonts w:ascii="Times New Roman" w:eastAsia="Calibri" w:hAnsi="Times New Roman" w:cs="Times New Roman"/>
          <w:sz w:val="24"/>
          <w:szCs w:val="28"/>
        </w:rPr>
        <w:tab/>
        <w:t>=</w:t>
      </w:r>
      <w:r w:rsidRPr="0071546E">
        <w:rPr>
          <w:rFonts w:ascii="Times New Roman" w:eastAsia="Calibri" w:hAnsi="Times New Roman" w:cs="Times New Roman"/>
          <w:sz w:val="24"/>
          <w:szCs w:val="28"/>
        </w:rPr>
        <w:tab/>
        <w:t>100 µL</w:t>
      </w:r>
    </w:p>
    <w:p w:rsidR="00BF46AD" w:rsidRPr="0071546E" w:rsidRDefault="002A0AFA" w:rsidP="00CF13FE">
      <w:pPr>
        <w:ind w:left="1021" w:right="454"/>
        <w:jc w:val="both"/>
        <w:rPr>
          <w:rFonts w:ascii="Times New Roman" w:eastAsia="Calibri" w:hAnsi="Times New Roman" w:cs="Times New Roman"/>
          <w:sz w:val="24"/>
          <w:szCs w:val="28"/>
        </w:rPr>
      </w:pPr>
      <w:r w:rsidRPr="0071546E">
        <w:rPr>
          <w:rFonts w:ascii="Times New Roman" w:eastAsia="Calibri" w:hAnsi="Times New Roman" w:cs="Times New Roman"/>
          <w:sz w:val="24"/>
          <w:szCs w:val="28"/>
        </w:rPr>
        <w:t xml:space="preserve">The reaction, which produce bioluminescence from </w:t>
      </w:r>
      <w:r w:rsidRPr="0071546E">
        <w:rPr>
          <w:rFonts w:ascii="Times New Roman" w:eastAsia="Calibri" w:hAnsi="Times New Roman" w:cs="Times New Roman"/>
          <w:i/>
          <w:sz w:val="24"/>
          <w:szCs w:val="28"/>
        </w:rPr>
        <w:t>Acanthamoeba</w:t>
      </w:r>
      <w:r w:rsidRPr="0071546E">
        <w:rPr>
          <w:rFonts w:ascii="Times New Roman" w:eastAsia="Calibri" w:hAnsi="Times New Roman" w:cs="Times New Roman"/>
          <w:sz w:val="24"/>
          <w:szCs w:val="28"/>
        </w:rPr>
        <w:t xml:space="preserve">, is </w:t>
      </w:r>
    </w:p>
    <w:p w:rsidR="00BF46AD" w:rsidRPr="0071546E" w:rsidRDefault="00BF46AD" w:rsidP="00CF13FE">
      <w:pPr>
        <w:ind w:left="1021" w:right="454"/>
        <w:jc w:val="both"/>
        <w:rPr>
          <w:rFonts w:ascii="Times New Roman" w:eastAsia="Calibri" w:hAnsi="Times New Roman" w:cs="Times New Roman"/>
          <w:sz w:val="24"/>
          <w:szCs w:val="28"/>
        </w:rPr>
      </w:pPr>
      <w:r w:rsidRPr="0071546E">
        <w:rPr>
          <w:rFonts w:ascii="Times New Roman" w:eastAsia="Calibri" w:hAnsi="Times New Roman" w:cs="Times New Roman"/>
          <w:sz w:val="24"/>
          <w:szCs w:val="28"/>
        </w:rPr>
        <w:t xml:space="preserve">That is, the reaction used for </w:t>
      </w:r>
      <w:r w:rsidRPr="0071546E">
        <w:rPr>
          <w:rFonts w:ascii="Times New Roman" w:eastAsia="Calibri" w:hAnsi="Times New Roman" w:cs="Times New Roman"/>
          <w:bCs/>
          <w:sz w:val="24"/>
          <w:szCs w:val="28"/>
        </w:rPr>
        <w:t>ATP standard</w:t>
      </w:r>
    </w:p>
    <w:p w:rsidR="00BF46AD" w:rsidRPr="0071546E" w:rsidRDefault="00BF46AD" w:rsidP="00CF13FE">
      <w:pPr>
        <w:ind w:left="1021" w:right="454"/>
        <w:rPr>
          <w:rFonts w:ascii="Times New Roman" w:eastAsia="Calibri" w:hAnsi="Times New Roman" w:cs="Times New Roman"/>
          <w:sz w:val="24"/>
          <w:szCs w:val="28"/>
        </w:rPr>
      </w:pPr>
      <w:r w:rsidRPr="0071546E">
        <w:rPr>
          <w:rFonts w:ascii="Times New Roman" w:eastAsia="Calibri" w:hAnsi="Times New Roman" w:cs="Times New Roman"/>
          <w:sz w:val="24"/>
          <w:szCs w:val="28"/>
        </w:rPr>
        <w:t xml:space="preserve">ATP </w:t>
      </w:r>
      <w:r w:rsidR="00197992" w:rsidRPr="0071546E">
        <w:rPr>
          <w:rFonts w:ascii="Times New Roman" w:eastAsia="Calibri" w:hAnsi="Times New Roman" w:cs="Times New Roman"/>
          <w:sz w:val="24"/>
          <w:szCs w:val="28"/>
        </w:rPr>
        <w:t>[x</w:t>
      </w:r>
      <w:r w:rsidRPr="0071546E">
        <w:rPr>
          <w:rFonts w:ascii="Times New Roman" w:eastAsia="Calibri" w:hAnsi="Times New Roman" w:cs="Times New Roman"/>
          <w:sz w:val="24"/>
          <w:szCs w:val="28"/>
        </w:rPr>
        <w:t xml:space="preserve"> µg/mL]</w:t>
      </w:r>
      <w:r w:rsidRPr="0071546E">
        <w:rPr>
          <w:rFonts w:ascii="Times New Roman" w:eastAsia="Calibri" w:hAnsi="Times New Roman" w:cs="Times New Roman"/>
          <w:sz w:val="24"/>
          <w:szCs w:val="28"/>
        </w:rPr>
        <w:tab/>
      </w:r>
      <w:r w:rsidRPr="0071546E">
        <w:rPr>
          <w:rFonts w:ascii="Times New Roman" w:eastAsia="Calibri" w:hAnsi="Times New Roman" w:cs="Times New Roman"/>
          <w:sz w:val="24"/>
          <w:szCs w:val="28"/>
        </w:rPr>
        <w:tab/>
      </w:r>
      <w:r w:rsidRPr="0071546E">
        <w:rPr>
          <w:rFonts w:ascii="Times New Roman" w:eastAsia="Calibri" w:hAnsi="Times New Roman" w:cs="Times New Roman"/>
          <w:sz w:val="24"/>
          <w:szCs w:val="28"/>
        </w:rPr>
        <w:tab/>
      </w:r>
      <w:r w:rsidRPr="0071546E">
        <w:rPr>
          <w:rFonts w:ascii="Times New Roman" w:eastAsia="Calibri" w:hAnsi="Times New Roman" w:cs="Times New Roman"/>
          <w:sz w:val="24"/>
          <w:szCs w:val="28"/>
        </w:rPr>
        <w:tab/>
        <w:t>=</w:t>
      </w:r>
      <w:r w:rsidR="00476D08" w:rsidRPr="0071546E">
        <w:rPr>
          <w:rFonts w:ascii="Times New Roman" w:eastAsia="Calibri" w:hAnsi="Times New Roman" w:cs="Times New Roman"/>
          <w:sz w:val="24"/>
          <w:szCs w:val="28"/>
        </w:rPr>
        <w:tab/>
        <w:t xml:space="preserve"> 50</w:t>
      </w:r>
      <w:r w:rsidRPr="0071546E">
        <w:rPr>
          <w:rFonts w:ascii="Times New Roman" w:eastAsia="Calibri" w:hAnsi="Times New Roman" w:cs="Times New Roman"/>
          <w:sz w:val="24"/>
          <w:szCs w:val="28"/>
        </w:rPr>
        <w:t xml:space="preserve"> µL</w:t>
      </w:r>
    </w:p>
    <w:p w:rsidR="00BF46AD" w:rsidRPr="0071546E" w:rsidRDefault="00BF46AD" w:rsidP="00CF13FE">
      <w:pPr>
        <w:ind w:left="1021" w:right="454"/>
        <w:rPr>
          <w:rFonts w:ascii="Times New Roman" w:eastAsia="Calibri" w:hAnsi="Times New Roman" w:cs="Times New Roman"/>
          <w:sz w:val="24"/>
          <w:szCs w:val="28"/>
        </w:rPr>
      </w:pPr>
      <w:r w:rsidRPr="0071546E">
        <w:rPr>
          <w:rFonts w:ascii="Times New Roman" w:eastAsia="Calibri" w:hAnsi="Times New Roman" w:cs="Times New Roman"/>
          <w:sz w:val="24"/>
          <w:szCs w:val="28"/>
        </w:rPr>
        <w:t>Luciferase enzyme + D-Luciferin salt</w:t>
      </w:r>
      <w:r w:rsidRPr="0071546E">
        <w:rPr>
          <w:rFonts w:ascii="Times New Roman" w:eastAsia="Calibri" w:hAnsi="Times New Roman" w:cs="Times New Roman"/>
          <w:sz w:val="24"/>
          <w:szCs w:val="28"/>
        </w:rPr>
        <w:tab/>
        <w:t>=</w:t>
      </w:r>
      <w:r w:rsidR="00476D08" w:rsidRPr="0071546E">
        <w:rPr>
          <w:rFonts w:ascii="Times New Roman" w:eastAsia="Calibri" w:hAnsi="Times New Roman" w:cs="Times New Roman"/>
          <w:sz w:val="24"/>
          <w:szCs w:val="28"/>
        </w:rPr>
        <w:tab/>
        <w:t xml:space="preserve"> 50</w:t>
      </w:r>
      <w:r w:rsidRPr="0071546E">
        <w:rPr>
          <w:rFonts w:ascii="Times New Roman" w:eastAsia="Calibri" w:hAnsi="Times New Roman" w:cs="Times New Roman"/>
          <w:sz w:val="24"/>
          <w:szCs w:val="28"/>
        </w:rPr>
        <w:t xml:space="preserve"> µL</w:t>
      </w:r>
    </w:p>
    <w:p w:rsidR="00BF46AD" w:rsidRPr="0071546E" w:rsidRDefault="00BF46AD" w:rsidP="00CF13FE">
      <w:pPr>
        <w:pBdr>
          <w:top w:val="single" w:sz="6" w:space="1" w:color="auto"/>
          <w:bottom w:val="single" w:sz="6" w:space="1" w:color="auto"/>
        </w:pBdr>
        <w:ind w:left="1021" w:right="454"/>
        <w:rPr>
          <w:rFonts w:ascii="Times New Roman" w:eastAsia="Calibri" w:hAnsi="Times New Roman" w:cs="Times New Roman"/>
          <w:sz w:val="24"/>
          <w:szCs w:val="28"/>
        </w:rPr>
      </w:pPr>
      <w:r w:rsidRPr="0071546E">
        <w:rPr>
          <w:rFonts w:ascii="Times New Roman" w:eastAsia="Calibri" w:hAnsi="Times New Roman" w:cs="Times New Roman"/>
          <w:sz w:val="24"/>
          <w:szCs w:val="28"/>
        </w:rPr>
        <w:t>Total volume</w:t>
      </w:r>
      <w:r w:rsidRPr="0071546E">
        <w:rPr>
          <w:rFonts w:ascii="Times New Roman" w:eastAsia="Calibri" w:hAnsi="Times New Roman" w:cs="Times New Roman"/>
          <w:sz w:val="24"/>
          <w:szCs w:val="28"/>
        </w:rPr>
        <w:tab/>
      </w:r>
      <w:r w:rsidRPr="0071546E">
        <w:rPr>
          <w:rFonts w:ascii="Times New Roman" w:eastAsia="Calibri" w:hAnsi="Times New Roman" w:cs="Times New Roman"/>
          <w:sz w:val="24"/>
          <w:szCs w:val="28"/>
        </w:rPr>
        <w:tab/>
      </w:r>
      <w:r w:rsidRPr="0071546E">
        <w:rPr>
          <w:rFonts w:ascii="Times New Roman" w:eastAsia="Calibri" w:hAnsi="Times New Roman" w:cs="Times New Roman"/>
          <w:sz w:val="24"/>
          <w:szCs w:val="28"/>
        </w:rPr>
        <w:tab/>
      </w:r>
      <w:r w:rsidRPr="0071546E">
        <w:rPr>
          <w:rFonts w:ascii="Times New Roman" w:eastAsia="Calibri" w:hAnsi="Times New Roman" w:cs="Times New Roman"/>
          <w:sz w:val="24"/>
          <w:szCs w:val="28"/>
        </w:rPr>
        <w:tab/>
      </w:r>
      <w:r w:rsidRPr="0071546E">
        <w:rPr>
          <w:rFonts w:ascii="Times New Roman" w:eastAsia="Calibri" w:hAnsi="Times New Roman" w:cs="Times New Roman"/>
          <w:sz w:val="24"/>
          <w:szCs w:val="28"/>
        </w:rPr>
        <w:tab/>
        <w:t>=</w:t>
      </w:r>
      <w:r w:rsidRPr="0071546E">
        <w:rPr>
          <w:rFonts w:ascii="Times New Roman" w:eastAsia="Calibri" w:hAnsi="Times New Roman" w:cs="Times New Roman"/>
          <w:sz w:val="24"/>
          <w:szCs w:val="28"/>
        </w:rPr>
        <w:tab/>
        <w:t>100 µL</w:t>
      </w:r>
    </w:p>
    <w:p w:rsidR="00E5461B" w:rsidRPr="0071546E" w:rsidRDefault="00E5461B" w:rsidP="00D042B9">
      <w:pPr>
        <w:ind w:right="454"/>
        <w:rPr>
          <w:rFonts w:ascii="Arial" w:eastAsia="Calibri" w:hAnsi="Arial" w:cs="Arial"/>
          <w:b/>
          <w:bCs/>
          <w:sz w:val="24"/>
          <w:szCs w:val="24"/>
        </w:rPr>
      </w:pPr>
    </w:p>
    <w:p w:rsidR="00BF46AD" w:rsidRPr="0071546E" w:rsidRDefault="00BF46AD" w:rsidP="00E5461B">
      <w:pPr>
        <w:ind w:left="1021" w:right="454"/>
        <w:rPr>
          <w:rFonts w:ascii="Times New Roman" w:eastAsia="Calibri" w:hAnsi="Times New Roman" w:cs="Times New Roman"/>
          <w:b/>
          <w:bCs/>
          <w:sz w:val="24"/>
          <w:szCs w:val="28"/>
        </w:rPr>
      </w:pPr>
      <w:r w:rsidRPr="0071546E">
        <w:rPr>
          <w:rFonts w:ascii="Arial" w:eastAsia="Calibri" w:hAnsi="Arial" w:cs="Arial"/>
          <w:b/>
          <w:bCs/>
          <w:sz w:val="24"/>
          <w:szCs w:val="24"/>
        </w:rPr>
        <w:t>Step-3</w:t>
      </w:r>
      <w:r w:rsidRPr="0071546E">
        <w:rPr>
          <w:rFonts w:ascii="Arial" w:eastAsia="Calibri" w:hAnsi="Arial" w:cs="Arial"/>
          <w:bCs/>
          <w:sz w:val="24"/>
          <w:szCs w:val="24"/>
        </w:rPr>
        <w:t xml:space="preserve">: </w:t>
      </w:r>
      <w:r w:rsidRPr="0071546E">
        <w:rPr>
          <w:rFonts w:ascii="Arial" w:eastAsia="Calibri" w:hAnsi="Arial" w:cs="Arial"/>
          <w:sz w:val="24"/>
          <w:szCs w:val="24"/>
        </w:rPr>
        <w:t>Calculating the number of ATP per cell</w:t>
      </w:r>
    </w:p>
    <w:p w:rsidR="00BF46AD" w:rsidRPr="0071546E" w:rsidRDefault="00BF46AD" w:rsidP="00E5461B">
      <w:pPr>
        <w:spacing w:line="360" w:lineRule="auto"/>
        <w:ind w:left="1021" w:right="454"/>
        <w:rPr>
          <w:rFonts w:ascii="Arial" w:eastAsia="Calibri" w:hAnsi="Arial" w:cs="Arial"/>
          <w:bCs/>
          <w:color w:val="000000" w:themeColor="text1"/>
          <w:sz w:val="24"/>
          <w:szCs w:val="24"/>
        </w:rPr>
      </w:pPr>
      <w:r w:rsidRPr="0071546E">
        <w:rPr>
          <w:rFonts w:ascii="Arial" w:eastAsia="Calibri" w:hAnsi="Arial" w:cs="Arial"/>
          <w:bCs/>
          <w:color w:val="000000" w:themeColor="text1"/>
          <w:sz w:val="24"/>
          <w:szCs w:val="24"/>
        </w:rPr>
        <w:t xml:space="preserve">For example, </w:t>
      </w:r>
    </w:p>
    <w:p w:rsidR="00BF46AD" w:rsidRPr="0071546E" w:rsidRDefault="00BF46AD" w:rsidP="00E5461B">
      <w:pPr>
        <w:spacing w:line="360" w:lineRule="auto"/>
        <w:ind w:left="1021" w:right="454"/>
        <w:rPr>
          <w:rFonts w:ascii="Arial" w:eastAsia="Calibri" w:hAnsi="Arial" w:cs="Arial"/>
          <w:bCs/>
          <w:color w:val="000000" w:themeColor="text1"/>
          <w:sz w:val="24"/>
          <w:szCs w:val="24"/>
        </w:rPr>
      </w:pPr>
      <w:r w:rsidRPr="0071546E">
        <w:rPr>
          <w:rFonts w:ascii="Arial" w:eastAsia="Calibri" w:hAnsi="Arial" w:cs="Arial"/>
          <w:bCs/>
          <w:color w:val="000000" w:themeColor="text1"/>
          <w:sz w:val="24"/>
          <w:szCs w:val="24"/>
        </w:rPr>
        <w:t>When the concentration of pathogen was 1,000,000 cell/ mL</w:t>
      </w:r>
    </w:p>
    <w:p w:rsidR="00BF46AD" w:rsidRPr="0071546E" w:rsidRDefault="00BF46AD" w:rsidP="00E5461B">
      <w:pPr>
        <w:spacing w:line="360" w:lineRule="auto"/>
        <w:ind w:left="1021" w:right="454"/>
        <w:rPr>
          <w:rFonts w:ascii="Arial" w:eastAsia="Calibri" w:hAnsi="Arial" w:cs="Arial"/>
          <w:bCs/>
          <w:color w:val="000000" w:themeColor="text1"/>
          <w:sz w:val="24"/>
          <w:szCs w:val="24"/>
        </w:rPr>
      </w:pPr>
      <w:r w:rsidRPr="0071546E">
        <w:rPr>
          <w:rFonts w:ascii="Arial" w:eastAsia="Calibri" w:hAnsi="Arial" w:cs="Arial"/>
          <w:bCs/>
          <w:color w:val="000000" w:themeColor="text1"/>
          <w:sz w:val="24"/>
          <w:szCs w:val="24"/>
        </w:rPr>
        <w:t>And if 50 µL (0.05 mL) of the pathogen solution was used for the assay,</w:t>
      </w:r>
    </w:p>
    <w:p w:rsidR="00D042B9" w:rsidRPr="0071546E" w:rsidRDefault="00D042B9" w:rsidP="00E5461B">
      <w:pPr>
        <w:spacing w:line="360" w:lineRule="auto"/>
        <w:ind w:left="1021" w:right="454"/>
        <w:rPr>
          <w:rFonts w:ascii="Arial" w:eastAsia="Calibri" w:hAnsi="Arial" w:cs="Arial"/>
          <w:bCs/>
          <w:color w:val="000000" w:themeColor="text1"/>
          <w:sz w:val="24"/>
          <w:szCs w:val="24"/>
        </w:rPr>
      </w:pPr>
    </w:p>
    <w:p w:rsidR="00BF46AD" w:rsidRPr="0071546E" w:rsidRDefault="009D7896" w:rsidP="00E5461B">
      <w:pPr>
        <w:spacing w:line="360" w:lineRule="auto"/>
        <w:ind w:left="1021" w:right="454"/>
        <w:rPr>
          <w:rFonts w:ascii="Arial" w:eastAsia="Times New Roman" w:hAnsi="Arial" w:cs="Arial"/>
          <w:bCs/>
          <w:color w:val="000000" w:themeColor="text1"/>
          <w:sz w:val="24"/>
          <w:szCs w:val="24"/>
        </w:rPr>
      </w:pPr>
      <w:r w:rsidRPr="0071546E">
        <w:rPr>
          <w:rFonts w:ascii="Arial" w:eastAsia="Calibri" w:hAnsi="Arial" w:cs="Arial"/>
          <w:bCs/>
          <w:color w:val="000000" w:themeColor="text1"/>
          <w:sz w:val="24"/>
          <w:szCs w:val="24"/>
        </w:rPr>
        <w:t>Then</w:t>
      </w:r>
      <w:r w:rsidR="00BF46AD" w:rsidRPr="0071546E">
        <w:rPr>
          <w:rFonts w:ascii="Arial" w:eastAsia="Calibri" w:hAnsi="Arial" w:cs="Arial"/>
          <w:bCs/>
          <w:color w:val="000000" w:themeColor="text1"/>
          <w:sz w:val="24"/>
          <w:szCs w:val="24"/>
        </w:rPr>
        <w:t xml:space="preserve"> the total number of pathogens </w:t>
      </w:r>
      <w:r w:rsidRPr="0071546E">
        <w:rPr>
          <w:rFonts w:ascii="Arial" w:eastAsia="Calibri" w:hAnsi="Arial" w:cs="Arial"/>
          <w:bCs/>
          <w:color w:val="000000" w:themeColor="text1"/>
          <w:sz w:val="24"/>
          <w:szCs w:val="24"/>
        </w:rPr>
        <w:t>= 1,000,000</w:t>
      </w:r>
      <w:r w:rsidR="00BF46AD" w:rsidRPr="0071546E">
        <w:rPr>
          <w:rFonts w:ascii="Arial" w:eastAsia="Calibri" w:hAnsi="Arial" w:cs="Arial"/>
          <w:bCs/>
          <w:color w:val="000000" w:themeColor="text1"/>
          <w:sz w:val="24"/>
          <w:szCs w:val="24"/>
        </w:rPr>
        <w:t xml:space="preserve"> </w:t>
      </w:r>
      <m:oMath>
        <m:f>
          <m:fPr>
            <m:ctrlPr>
              <w:rPr>
                <w:rFonts w:ascii="Cambria Math" w:eastAsia="Calibri" w:hAnsi="Cambria Math" w:cs="Arial"/>
                <w:bCs/>
                <w:i/>
                <w:color w:val="000000" w:themeColor="text1"/>
                <w:sz w:val="24"/>
                <w:szCs w:val="24"/>
              </w:rPr>
            </m:ctrlPr>
          </m:fPr>
          <m:num>
            <m:r>
              <w:rPr>
                <w:rFonts w:ascii="Cambria Math" w:eastAsia="Calibri" w:hAnsi="Cambria Math" w:cs="Arial"/>
                <w:color w:val="000000" w:themeColor="text1"/>
                <w:sz w:val="24"/>
                <w:szCs w:val="24"/>
              </w:rPr>
              <m:t>cells</m:t>
            </m:r>
          </m:num>
          <m:den>
            <m:r>
              <w:rPr>
                <w:rFonts w:ascii="Cambria Math" w:eastAsia="Calibri" w:hAnsi="Cambria Math" w:cs="Arial"/>
                <w:color w:val="000000" w:themeColor="text1"/>
                <w:sz w:val="24"/>
                <w:szCs w:val="24"/>
              </w:rPr>
              <m:t>mL</m:t>
            </m:r>
          </m:den>
        </m:f>
      </m:oMath>
      <w:r w:rsidR="00BF46AD" w:rsidRPr="0071546E">
        <w:rPr>
          <w:rFonts w:ascii="Arial" w:eastAsia="Times New Roman" w:hAnsi="Arial" w:cs="Arial"/>
          <w:bCs/>
          <w:color w:val="000000" w:themeColor="text1"/>
          <w:sz w:val="24"/>
          <w:szCs w:val="24"/>
        </w:rPr>
        <w:t xml:space="preserve"> x 0.05 mL = 50,000 cells</w:t>
      </w:r>
    </w:p>
    <w:p w:rsidR="00BF46AD" w:rsidRPr="0071546E" w:rsidRDefault="009D7896" w:rsidP="00E5461B">
      <w:pPr>
        <w:spacing w:line="360" w:lineRule="auto"/>
        <w:ind w:left="1021" w:right="454"/>
        <w:rPr>
          <w:rFonts w:ascii="Arial" w:eastAsia="Calibri" w:hAnsi="Arial" w:cs="Arial"/>
          <w:color w:val="000000" w:themeColor="text1"/>
          <w:sz w:val="24"/>
          <w:szCs w:val="24"/>
        </w:rPr>
      </w:pPr>
      <w:r w:rsidRPr="0071546E">
        <w:rPr>
          <w:rFonts w:ascii="Arial" w:eastAsia="Calibri" w:hAnsi="Arial" w:cs="Arial"/>
          <w:bCs/>
          <w:color w:val="000000" w:themeColor="text1"/>
          <w:sz w:val="24"/>
          <w:szCs w:val="24"/>
        </w:rPr>
        <w:t>Therefore</w:t>
      </w:r>
      <w:r w:rsidR="00BF46AD" w:rsidRPr="0071546E">
        <w:rPr>
          <w:rFonts w:ascii="Arial" w:eastAsia="Calibri" w:hAnsi="Arial" w:cs="Arial"/>
          <w:bCs/>
          <w:color w:val="000000" w:themeColor="text1"/>
          <w:sz w:val="24"/>
          <w:szCs w:val="24"/>
        </w:rPr>
        <w:t>, 50,000 cells produced 4672635 RLU of luminescence.</w:t>
      </w:r>
    </w:p>
    <w:p w:rsidR="00BF46AD" w:rsidRPr="0071546E" w:rsidRDefault="00BF46AD" w:rsidP="00E5461B">
      <w:pPr>
        <w:spacing w:line="360" w:lineRule="auto"/>
        <w:ind w:left="1021" w:right="454"/>
        <w:rPr>
          <w:rFonts w:ascii="Arial" w:eastAsia="Times New Roman" w:hAnsi="Arial" w:cs="Arial"/>
          <w:bCs/>
          <w:color w:val="000000" w:themeColor="text1"/>
          <w:sz w:val="24"/>
          <w:szCs w:val="24"/>
        </w:rPr>
      </w:pPr>
      <w:r w:rsidRPr="0071546E">
        <w:rPr>
          <w:rFonts w:ascii="Arial" w:eastAsia="Times New Roman" w:hAnsi="Arial" w:cs="Arial"/>
          <w:bCs/>
          <w:color w:val="000000" w:themeColor="text1"/>
          <w:sz w:val="24"/>
          <w:szCs w:val="24"/>
        </w:rPr>
        <w:t>This corresponds to 2.319 µg/ mL of ATP</w:t>
      </w:r>
    </w:p>
    <w:p w:rsidR="00BF46AD" w:rsidRPr="0071546E" w:rsidRDefault="00BF46AD" w:rsidP="00E5461B">
      <w:pPr>
        <w:spacing w:line="360" w:lineRule="auto"/>
        <w:ind w:left="1021" w:right="454"/>
        <w:rPr>
          <w:rFonts w:ascii="Arial" w:eastAsia="Calibri" w:hAnsi="Arial" w:cs="Arial"/>
          <w:bCs/>
          <w:color w:val="000000" w:themeColor="text1"/>
          <w:sz w:val="24"/>
          <w:szCs w:val="24"/>
          <w:lang w:val="en-US"/>
        </w:rPr>
      </w:pPr>
      <w:r w:rsidRPr="0071546E">
        <w:rPr>
          <w:rFonts w:ascii="Arial" w:eastAsia="Calibri" w:hAnsi="Arial" w:cs="Arial"/>
          <w:bCs/>
          <w:color w:val="000000" w:themeColor="text1"/>
          <w:sz w:val="24"/>
          <w:szCs w:val="24"/>
        </w:rPr>
        <w:t xml:space="preserve">So, the total mass of ATP in </w:t>
      </w:r>
      <w:r w:rsidR="009D7896" w:rsidRPr="0071546E">
        <w:rPr>
          <w:rFonts w:ascii="Arial" w:eastAsia="Calibri" w:hAnsi="Arial" w:cs="Arial"/>
          <w:bCs/>
          <w:i/>
          <w:color w:val="000000" w:themeColor="text1"/>
          <w:sz w:val="24"/>
          <w:szCs w:val="24"/>
        </w:rPr>
        <w:t>Acanthamoeba</w:t>
      </w:r>
      <w:r w:rsidR="009D7896" w:rsidRPr="0071546E">
        <w:rPr>
          <w:rFonts w:ascii="Arial" w:eastAsia="Calibri" w:hAnsi="Arial" w:cs="Arial"/>
          <w:bCs/>
          <w:color w:val="000000" w:themeColor="text1"/>
          <w:sz w:val="24"/>
          <w:szCs w:val="24"/>
          <w:lang w:val="en-US"/>
        </w:rPr>
        <w:t xml:space="preserve"> trophozoites</w:t>
      </w:r>
    </w:p>
    <w:p w:rsidR="00BF46AD" w:rsidRPr="0071546E" w:rsidRDefault="00BF46AD" w:rsidP="00E5461B">
      <w:pPr>
        <w:spacing w:line="360" w:lineRule="auto"/>
        <w:ind w:left="1021" w:right="454"/>
        <w:rPr>
          <w:rFonts w:ascii="Arial" w:eastAsia="Times New Roman" w:hAnsi="Arial" w:cs="Arial"/>
          <w:bCs/>
          <w:color w:val="000000" w:themeColor="text1"/>
          <w:sz w:val="24"/>
          <w:szCs w:val="24"/>
        </w:rPr>
      </w:pPr>
      <w:r w:rsidRPr="0071546E">
        <w:rPr>
          <w:rFonts w:ascii="Arial" w:eastAsia="Calibri" w:hAnsi="Arial" w:cs="Arial"/>
          <w:bCs/>
          <w:color w:val="000000" w:themeColor="text1"/>
          <w:sz w:val="24"/>
          <w:szCs w:val="24"/>
        </w:rPr>
        <w:t xml:space="preserve">= 2.319 </w:t>
      </w:r>
      <m:oMath>
        <m:f>
          <m:fPr>
            <m:ctrlPr>
              <w:rPr>
                <w:rFonts w:ascii="Cambria Math" w:eastAsia="Calibri" w:hAnsi="Cambria Math" w:cs="Arial"/>
                <w:bCs/>
                <w:i/>
                <w:color w:val="000000" w:themeColor="text1"/>
                <w:sz w:val="24"/>
                <w:szCs w:val="24"/>
              </w:rPr>
            </m:ctrlPr>
          </m:fPr>
          <m:num>
            <m:r>
              <w:rPr>
                <w:rFonts w:ascii="Cambria Math" w:eastAsia="Calibri" w:hAnsi="Cambria Math" w:cs="Arial"/>
                <w:color w:val="000000" w:themeColor="text1"/>
                <w:sz w:val="24"/>
                <w:szCs w:val="24"/>
              </w:rPr>
              <m:t>µg</m:t>
            </m:r>
          </m:num>
          <m:den>
            <m:r>
              <w:rPr>
                <w:rFonts w:ascii="Cambria Math" w:eastAsia="Calibri" w:hAnsi="Cambria Math" w:cs="Arial"/>
                <w:strike/>
                <w:color w:val="000000" w:themeColor="text1"/>
                <w:sz w:val="24"/>
                <w:szCs w:val="24"/>
              </w:rPr>
              <m:t>mL</m:t>
            </m:r>
          </m:den>
        </m:f>
      </m:oMath>
      <w:r w:rsidRPr="0071546E">
        <w:rPr>
          <w:rFonts w:ascii="Arial" w:eastAsia="Times New Roman" w:hAnsi="Arial" w:cs="Arial"/>
          <w:bCs/>
          <w:color w:val="000000" w:themeColor="text1"/>
          <w:sz w:val="24"/>
          <w:szCs w:val="24"/>
        </w:rPr>
        <w:t xml:space="preserve"> x 0.05</w:t>
      </w:r>
      <w:r w:rsidRPr="0071546E">
        <w:rPr>
          <w:rFonts w:ascii="Arial" w:eastAsia="Times New Roman" w:hAnsi="Arial" w:cs="Arial"/>
          <w:bCs/>
          <w:strike/>
          <w:color w:val="000000" w:themeColor="text1"/>
          <w:sz w:val="24"/>
          <w:szCs w:val="24"/>
        </w:rPr>
        <w:t>mL</w:t>
      </w:r>
      <w:r w:rsidRPr="0071546E">
        <w:rPr>
          <w:rFonts w:ascii="Arial" w:eastAsia="Times New Roman" w:hAnsi="Arial" w:cs="Arial"/>
          <w:bCs/>
          <w:color w:val="000000" w:themeColor="text1"/>
          <w:sz w:val="24"/>
          <w:szCs w:val="24"/>
        </w:rPr>
        <w:t xml:space="preserve">= 0.11595 </w:t>
      </w:r>
      <m:oMath>
        <m:r>
          <w:rPr>
            <w:rFonts w:ascii="Cambria Math" w:eastAsia="Calibri" w:hAnsi="Cambria Math" w:cs="Arial"/>
            <w:color w:val="000000" w:themeColor="text1"/>
            <w:sz w:val="24"/>
            <w:szCs w:val="24"/>
          </w:rPr>
          <m:t>µg</m:t>
        </m:r>
      </m:oMath>
      <w:r w:rsidRPr="0071546E">
        <w:rPr>
          <w:rFonts w:ascii="Arial" w:eastAsia="Times New Roman" w:hAnsi="Arial" w:cs="Arial"/>
          <w:bCs/>
          <w:color w:val="000000" w:themeColor="text1"/>
          <w:sz w:val="24"/>
          <w:szCs w:val="24"/>
        </w:rPr>
        <w:t xml:space="preserve"> of A</w:t>
      </w:r>
      <w:r w:rsidR="009D7896" w:rsidRPr="0071546E">
        <w:rPr>
          <w:rFonts w:ascii="Arial" w:eastAsia="Times New Roman" w:hAnsi="Arial" w:cs="Arial"/>
          <w:bCs/>
          <w:color w:val="000000" w:themeColor="text1"/>
          <w:sz w:val="24"/>
          <w:szCs w:val="24"/>
        </w:rPr>
        <w:t xml:space="preserve">TP </w:t>
      </w:r>
      <w:r w:rsidR="009D7896" w:rsidRPr="0071546E">
        <w:rPr>
          <w:rFonts w:ascii="Arial" w:eastAsia="Calibri" w:hAnsi="Arial" w:cs="Arial"/>
          <w:bCs/>
          <w:color w:val="000000" w:themeColor="text1"/>
          <w:sz w:val="24"/>
          <w:szCs w:val="24"/>
        </w:rPr>
        <w:t>this</w:t>
      </w:r>
      <w:r w:rsidRPr="0071546E">
        <w:rPr>
          <w:rFonts w:ascii="Arial" w:eastAsia="Calibri" w:hAnsi="Arial" w:cs="Arial"/>
          <w:bCs/>
          <w:color w:val="000000" w:themeColor="text1"/>
          <w:sz w:val="24"/>
          <w:szCs w:val="24"/>
        </w:rPr>
        <w:t xml:space="preserve"> means,</w:t>
      </w:r>
    </w:p>
    <w:p w:rsidR="00BF46AD" w:rsidRPr="0071546E" w:rsidRDefault="00BF46AD" w:rsidP="00E5461B">
      <w:pPr>
        <w:spacing w:line="360" w:lineRule="auto"/>
        <w:ind w:left="1021" w:right="454"/>
        <w:rPr>
          <w:rFonts w:ascii="Arial" w:eastAsia="Times New Roman" w:hAnsi="Arial" w:cs="Arial"/>
          <w:bCs/>
          <w:color w:val="000000" w:themeColor="text1"/>
          <w:sz w:val="24"/>
          <w:szCs w:val="24"/>
        </w:rPr>
      </w:pPr>
      <w:r w:rsidRPr="0071546E">
        <w:rPr>
          <w:rFonts w:ascii="Arial" w:eastAsia="Times New Roman" w:hAnsi="Arial" w:cs="Arial"/>
          <w:bCs/>
          <w:color w:val="000000" w:themeColor="text1"/>
          <w:sz w:val="24"/>
          <w:szCs w:val="24"/>
        </w:rPr>
        <w:t xml:space="preserve">50,000 cells has 0.11595 </w:t>
      </w:r>
      <m:oMath>
        <m:r>
          <w:rPr>
            <w:rFonts w:ascii="Cambria Math" w:eastAsia="Calibri" w:hAnsi="Cambria Math" w:cs="Arial"/>
            <w:color w:val="000000" w:themeColor="text1"/>
            <w:sz w:val="24"/>
            <w:szCs w:val="24"/>
          </w:rPr>
          <m:t>µg</m:t>
        </m:r>
      </m:oMath>
      <w:r w:rsidRPr="0071546E">
        <w:rPr>
          <w:rFonts w:ascii="Arial" w:eastAsia="Times New Roman" w:hAnsi="Arial" w:cs="Arial"/>
          <w:bCs/>
          <w:color w:val="000000" w:themeColor="text1"/>
          <w:sz w:val="24"/>
          <w:szCs w:val="24"/>
        </w:rPr>
        <w:t xml:space="preserve"> of ATP</w:t>
      </w:r>
    </w:p>
    <w:p w:rsidR="009D7896" w:rsidRPr="0071546E" w:rsidRDefault="00BF46AD" w:rsidP="00E5461B">
      <w:pPr>
        <w:spacing w:line="360" w:lineRule="auto"/>
        <w:ind w:left="1021" w:right="454"/>
        <w:rPr>
          <w:rFonts w:ascii="Arial" w:eastAsia="Times New Roman" w:hAnsi="Arial" w:cs="Arial"/>
          <w:bCs/>
          <w:color w:val="000000" w:themeColor="text1"/>
          <w:sz w:val="24"/>
          <w:szCs w:val="24"/>
        </w:rPr>
      </w:pPr>
      <w:r w:rsidRPr="0071546E">
        <w:rPr>
          <w:rFonts w:ascii="Arial" w:eastAsia="Times New Roman" w:hAnsi="Arial" w:cs="Arial"/>
          <w:bCs/>
          <w:color w:val="000000" w:themeColor="text1"/>
          <w:sz w:val="24"/>
          <w:szCs w:val="24"/>
        </w:rPr>
        <w:t xml:space="preserve">= </w:t>
      </w:r>
      <m:oMath>
        <m:f>
          <m:fPr>
            <m:ctrlPr>
              <w:rPr>
                <w:rFonts w:ascii="Cambria Math" w:eastAsia="Times New Roman" w:hAnsi="Cambria Math" w:cs="Arial"/>
                <w:bCs/>
                <w:i/>
                <w:color w:val="000000" w:themeColor="text1"/>
                <w:sz w:val="24"/>
                <w:szCs w:val="24"/>
              </w:rPr>
            </m:ctrlPr>
          </m:fPr>
          <m:num>
            <m:r>
              <w:rPr>
                <w:rFonts w:ascii="Cambria Math" w:eastAsia="Times New Roman" w:hAnsi="Cambria Math" w:cs="Arial"/>
                <w:color w:val="000000" w:themeColor="text1"/>
                <w:sz w:val="24"/>
                <w:szCs w:val="24"/>
              </w:rPr>
              <m:t>0.11595 µ</m:t>
            </m:r>
            <m:r>
              <w:rPr>
                <w:rFonts w:ascii="Cambria Math" w:eastAsia="Times New Roman" w:hAnsi="Cambria Math" w:cs="Arial"/>
                <w:strike/>
                <w:color w:val="000000" w:themeColor="text1"/>
                <w:sz w:val="24"/>
                <w:szCs w:val="24"/>
              </w:rPr>
              <m:t>g</m:t>
            </m:r>
          </m:num>
          <m:den>
            <m:r>
              <w:rPr>
                <w:rFonts w:ascii="Cambria Math" w:eastAsia="Times New Roman" w:hAnsi="Cambria Math" w:cs="Arial"/>
                <w:color w:val="000000" w:themeColor="text1"/>
                <w:sz w:val="24"/>
                <w:szCs w:val="24"/>
              </w:rPr>
              <m:t xml:space="preserve"> 551.14 </m:t>
            </m:r>
            <m:r>
              <w:rPr>
                <w:rFonts w:ascii="Cambria Math" w:eastAsia="Times New Roman" w:hAnsi="Cambria Math" w:cs="Arial"/>
                <w:strike/>
                <w:color w:val="000000" w:themeColor="text1"/>
                <w:sz w:val="24"/>
                <w:szCs w:val="24"/>
              </w:rPr>
              <m:t>g</m:t>
            </m:r>
            <m:r>
              <w:rPr>
                <w:rFonts w:ascii="Cambria Math" w:eastAsia="Times New Roman" w:hAnsi="Cambria Math" w:cs="Arial"/>
                <w:color w:val="000000" w:themeColor="text1"/>
                <w:sz w:val="24"/>
                <w:szCs w:val="24"/>
              </w:rPr>
              <m:t>/mol</m:t>
            </m:r>
          </m:den>
        </m:f>
      </m:oMath>
      <w:r w:rsidRPr="0071546E">
        <w:rPr>
          <w:rFonts w:ascii="Arial" w:eastAsia="Times New Roman" w:hAnsi="Arial" w:cs="Arial"/>
          <w:bCs/>
          <w:color w:val="000000" w:themeColor="text1"/>
          <w:sz w:val="24"/>
          <w:szCs w:val="24"/>
        </w:rPr>
        <w:tab/>
        <w:t xml:space="preserve"> = 210 x 10</w:t>
      </w:r>
      <w:r w:rsidRPr="0071546E">
        <w:rPr>
          <w:rFonts w:ascii="Arial" w:eastAsia="Times New Roman" w:hAnsi="Arial" w:cs="Arial"/>
          <w:bCs/>
          <w:color w:val="000000" w:themeColor="text1"/>
          <w:sz w:val="24"/>
          <w:szCs w:val="24"/>
          <w:vertAlign w:val="superscript"/>
        </w:rPr>
        <w:t>-6</w:t>
      </w:r>
      <w:r w:rsidRPr="0071546E">
        <w:rPr>
          <w:rFonts w:ascii="Arial" w:eastAsia="Times New Roman" w:hAnsi="Arial" w:cs="Arial"/>
          <w:bCs/>
          <w:color w:val="000000" w:themeColor="text1"/>
          <w:sz w:val="24"/>
          <w:szCs w:val="24"/>
        </w:rPr>
        <w:t xml:space="preserve"> µmols= 210 pmol</w:t>
      </w:r>
      <w:r w:rsidRPr="0071546E">
        <w:rPr>
          <w:rFonts w:ascii="Arial" w:eastAsia="Times New Roman" w:hAnsi="Arial" w:cs="Arial"/>
          <w:bCs/>
          <w:color w:val="000000" w:themeColor="text1"/>
          <w:sz w:val="24"/>
          <w:szCs w:val="24"/>
        </w:rPr>
        <w:tab/>
        <w:t>= 2.1 x 10</w:t>
      </w:r>
      <w:r w:rsidRPr="0071546E">
        <w:rPr>
          <w:rFonts w:ascii="Arial" w:eastAsia="Times New Roman" w:hAnsi="Arial" w:cs="Arial"/>
          <w:bCs/>
          <w:color w:val="000000" w:themeColor="text1"/>
          <w:sz w:val="24"/>
          <w:szCs w:val="24"/>
          <w:vertAlign w:val="superscript"/>
        </w:rPr>
        <w:t>-10</w:t>
      </w:r>
      <w:r w:rsidR="009D7896" w:rsidRPr="0071546E">
        <w:rPr>
          <w:rFonts w:ascii="Arial" w:eastAsia="Times New Roman" w:hAnsi="Arial" w:cs="Arial"/>
          <w:bCs/>
          <w:color w:val="000000" w:themeColor="text1"/>
          <w:sz w:val="24"/>
          <w:szCs w:val="24"/>
        </w:rPr>
        <w:t>mols</w:t>
      </w:r>
    </w:p>
    <w:p w:rsidR="00DE4F4D" w:rsidRPr="0071546E" w:rsidRDefault="00DE4F4D" w:rsidP="00E5461B">
      <w:pPr>
        <w:spacing w:line="480" w:lineRule="auto"/>
        <w:ind w:left="1021" w:right="454"/>
        <w:rPr>
          <w:rFonts w:ascii="Arial" w:eastAsia="Calibri" w:hAnsi="Arial" w:cs="Arial"/>
          <w:sz w:val="24"/>
          <w:szCs w:val="28"/>
        </w:rPr>
      </w:pPr>
      <w:r w:rsidRPr="0071546E">
        <w:rPr>
          <w:rFonts w:ascii="Arial" w:eastAsia="Calibri" w:hAnsi="Arial" w:cs="Arial"/>
          <w:sz w:val="24"/>
          <w:szCs w:val="28"/>
        </w:rPr>
        <w:t xml:space="preserve">Calculating the amount of ATP in a single cell </w:t>
      </w:r>
    </w:p>
    <w:p w:rsidR="00DE4F4D" w:rsidRPr="0071546E" w:rsidRDefault="009B21F2" w:rsidP="00E5461B">
      <w:pPr>
        <w:spacing w:line="480" w:lineRule="auto"/>
        <w:ind w:left="1021" w:right="454"/>
        <w:rPr>
          <w:rFonts w:ascii="Arial" w:eastAsia="Calibri" w:hAnsi="Arial" w:cs="Arial"/>
          <w:bCs/>
          <w:sz w:val="24"/>
          <w:szCs w:val="28"/>
        </w:rPr>
      </w:pPr>
      <m:oMathPara>
        <m:oMathParaPr>
          <m:jc m:val="left"/>
        </m:oMathParaPr>
        <m:oMath>
          <m:f>
            <m:fPr>
              <m:ctrlPr>
                <w:rPr>
                  <w:rFonts w:ascii="Cambria Math" w:eastAsia="Calibri" w:hAnsi="Cambria Math" w:cs="Arial"/>
                  <w:bCs/>
                  <w:i/>
                  <w:sz w:val="24"/>
                  <w:szCs w:val="28"/>
                </w:rPr>
              </m:ctrlPr>
            </m:fPr>
            <m:num>
              <m:r>
                <w:rPr>
                  <w:rFonts w:ascii="Cambria Math" w:eastAsia="Calibri" w:hAnsi="Cambria Math" w:cs="Arial"/>
                  <w:sz w:val="24"/>
                  <w:szCs w:val="28"/>
                </w:rPr>
                <m:t>0.11595 µg</m:t>
              </m:r>
            </m:num>
            <m:den>
              <m:r>
                <w:rPr>
                  <w:rFonts w:ascii="Cambria Math" w:eastAsia="Calibri" w:hAnsi="Cambria Math" w:cs="Arial"/>
                  <w:sz w:val="24"/>
                  <w:szCs w:val="28"/>
                </w:rPr>
                <m:t xml:space="preserve"> 50000 cell</m:t>
              </m:r>
            </m:den>
          </m:f>
        </m:oMath>
      </m:oMathPara>
    </w:p>
    <w:p w:rsidR="00ED6A90" w:rsidRPr="0071546E" w:rsidRDefault="00DE4F4D" w:rsidP="00E5461B">
      <w:pPr>
        <w:spacing w:line="480" w:lineRule="auto"/>
        <w:ind w:left="1021" w:right="454"/>
        <w:rPr>
          <w:rFonts w:ascii="Arial" w:eastAsia="Calibri" w:hAnsi="Arial" w:cs="Arial"/>
          <w:sz w:val="24"/>
          <w:szCs w:val="28"/>
        </w:rPr>
      </w:pPr>
      <w:r w:rsidRPr="0071546E">
        <w:rPr>
          <w:rFonts w:ascii="Arial" w:eastAsia="Calibri" w:hAnsi="Arial" w:cs="Arial"/>
          <w:sz w:val="24"/>
          <w:szCs w:val="28"/>
        </w:rPr>
        <w:t>= 2.319 X 10</w:t>
      </w:r>
      <w:r w:rsidRPr="0071546E">
        <w:rPr>
          <w:rFonts w:ascii="Arial" w:eastAsia="Calibri" w:hAnsi="Arial" w:cs="Arial"/>
          <w:sz w:val="24"/>
          <w:szCs w:val="28"/>
          <w:vertAlign w:val="superscript"/>
        </w:rPr>
        <w:t>-6</w:t>
      </w:r>
      <w:r w:rsidRPr="0071546E">
        <w:rPr>
          <w:rFonts w:ascii="Arial" w:eastAsia="Calibri" w:hAnsi="Arial" w:cs="Arial"/>
          <w:sz w:val="24"/>
          <w:szCs w:val="28"/>
        </w:rPr>
        <w:t xml:space="preserve">   which is equivalent to 2.319 pg. ATP/ cell</w:t>
      </w:r>
    </w:p>
    <w:p w:rsidR="00E5632E" w:rsidRPr="0071546E" w:rsidRDefault="00DE4F4D" w:rsidP="00E5461B">
      <w:pPr>
        <w:spacing w:line="480" w:lineRule="auto"/>
        <w:ind w:left="1021" w:right="454"/>
        <w:rPr>
          <w:rFonts w:ascii="Arial" w:eastAsia="Calibri" w:hAnsi="Arial" w:cs="Arial"/>
          <w:sz w:val="24"/>
          <w:szCs w:val="28"/>
        </w:rPr>
      </w:pPr>
      <w:r w:rsidRPr="0071546E">
        <w:rPr>
          <w:rFonts w:ascii="Arial" w:eastAsia="Calibri" w:hAnsi="Arial" w:cs="Arial"/>
          <w:sz w:val="24"/>
          <w:szCs w:val="28"/>
        </w:rPr>
        <w:t xml:space="preserve">Considering the volume of the trophozoite cell </w:t>
      </w:r>
      <w:r w:rsidR="00E5632E" w:rsidRPr="0071546E">
        <w:rPr>
          <w:rFonts w:ascii="Arial" w:eastAsia="Calibri" w:hAnsi="Arial" w:cs="Arial"/>
          <w:sz w:val="24"/>
          <w:szCs w:val="28"/>
        </w:rPr>
        <w:t>which is spherical an</w:t>
      </w:r>
      <w:r w:rsidRPr="0071546E">
        <w:rPr>
          <w:rFonts w:ascii="Arial" w:eastAsia="Calibri" w:hAnsi="Arial" w:cs="Arial"/>
          <w:sz w:val="24"/>
          <w:szCs w:val="28"/>
        </w:rPr>
        <w:t xml:space="preserve"> appx</w:t>
      </w:r>
      <w:r w:rsidR="00E5632E" w:rsidRPr="0071546E">
        <w:rPr>
          <w:rFonts w:ascii="Arial" w:eastAsia="Calibri" w:hAnsi="Arial" w:cs="Arial"/>
          <w:sz w:val="24"/>
          <w:szCs w:val="28"/>
        </w:rPr>
        <w:t xml:space="preserve"> (25 µ</w:t>
      </w:r>
      <w:r w:rsidRPr="0071546E">
        <w:rPr>
          <w:rFonts w:ascii="Arial" w:eastAsia="Calibri" w:hAnsi="Arial" w:cs="Arial"/>
          <w:sz w:val="24"/>
          <w:szCs w:val="28"/>
        </w:rPr>
        <w:t>m</w:t>
      </w:r>
      <w:r w:rsidR="00E5632E" w:rsidRPr="0071546E">
        <w:rPr>
          <w:rFonts w:ascii="Arial" w:eastAsia="Calibri" w:hAnsi="Arial" w:cs="Arial"/>
          <w:sz w:val="24"/>
          <w:szCs w:val="28"/>
        </w:rPr>
        <w:t>)</w:t>
      </w:r>
    </w:p>
    <w:p w:rsidR="00E5632E" w:rsidRPr="0071546E" w:rsidRDefault="00E5632E" w:rsidP="00E5461B">
      <w:pPr>
        <w:spacing w:line="480" w:lineRule="auto"/>
        <w:ind w:left="1021" w:right="454"/>
        <w:rPr>
          <w:rFonts w:ascii="Arial" w:eastAsia="Calibri" w:hAnsi="Arial" w:cs="Arial"/>
          <w:sz w:val="24"/>
          <w:szCs w:val="28"/>
        </w:rPr>
      </w:pPr>
      <w:r w:rsidRPr="0071546E">
        <w:rPr>
          <w:rFonts w:ascii="Arial" w:eastAsia="Calibri" w:hAnsi="Arial" w:cs="Arial"/>
          <w:sz w:val="24"/>
          <w:szCs w:val="28"/>
        </w:rPr>
        <w:t>And using the equation for calculating the volume of the cyst</w:t>
      </w:r>
    </w:p>
    <w:p w:rsidR="00E5632E" w:rsidRPr="0071546E" w:rsidRDefault="00E5632E" w:rsidP="00E5461B">
      <w:pPr>
        <w:spacing w:line="480" w:lineRule="auto"/>
        <w:ind w:left="1021" w:right="454"/>
        <w:rPr>
          <w:rFonts w:ascii="Arial" w:eastAsia="Calibri" w:hAnsi="Arial" w:cs="Arial"/>
          <w:sz w:val="24"/>
          <w:szCs w:val="28"/>
        </w:rPr>
      </w:pPr>
      <w:r w:rsidRPr="0071546E">
        <w:rPr>
          <w:rFonts w:ascii="Arial" w:eastAsia="Calibri" w:hAnsi="Arial" w:cs="Arial"/>
          <w:sz w:val="24"/>
          <w:szCs w:val="28"/>
        </w:rPr>
        <w:t>V =</w:t>
      </w:r>
      <m:oMath>
        <m:r>
          <w:rPr>
            <w:rFonts w:ascii="Cambria Math" w:eastAsia="Calibri" w:hAnsi="Cambria Math" w:cs="Arial"/>
            <w:sz w:val="24"/>
            <w:szCs w:val="28"/>
          </w:rPr>
          <m:t>4π</m:t>
        </m:r>
        <m:f>
          <m:fPr>
            <m:ctrlPr>
              <w:rPr>
                <w:rFonts w:ascii="Cambria Math" w:eastAsia="Calibri" w:hAnsi="Cambria Math" w:cs="Arial"/>
                <w:i/>
                <w:sz w:val="24"/>
                <w:szCs w:val="28"/>
              </w:rPr>
            </m:ctrlPr>
          </m:fPr>
          <m:num>
            <m:r>
              <w:rPr>
                <w:rFonts w:ascii="Cambria Math" w:eastAsia="Calibri" w:hAnsi="Cambria Math" w:cs="Arial"/>
                <w:sz w:val="24"/>
                <w:szCs w:val="28"/>
              </w:rPr>
              <m:t>r3</m:t>
            </m:r>
          </m:num>
          <m:den>
            <m:r>
              <w:rPr>
                <w:rFonts w:ascii="Cambria Math" w:eastAsia="Calibri" w:hAnsi="Cambria Math" w:cs="Arial"/>
                <w:sz w:val="24"/>
                <w:szCs w:val="28"/>
              </w:rPr>
              <m:t>3</m:t>
            </m:r>
          </m:den>
        </m:f>
      </m:oMath>
      <w:r w:rsidRPr="0071546E">
        <w:rPr>
          <w:rFonts w:ascii="Arial" w:eastAsia="Calibri" w:hAnsi="Arial" w:cs="Arial"/>
          <w:sz w:val="24"/>
          <w:szCs w:val="28"/>
        </w:rPr>
        <w:t xml:space="preserve">     we have 8181 µm</w:t>
      </w:r>
      <w:r w:rsidRPr="0071546E">
        <w:rPr>
          <w:rFonts w:ascii="Arial" w:eastAsia="Calibri" w:hAnsi="Arial" w:cs="Arial"/>
          <w:sz w:val="24"/>
          <w:szCs w:val="28"/>
          <w:vertAlign w:val="superscript"/>
        </w:rPr>
        <w:t>3</w:t>
      </w:r>
    </w:p>
    <w:p w:rsidR="00E5632E" w:rsidRPr="0071546E" w:rsidRDefault="00E5632E" w:rsidP="00E5461B">
      <w:pPr>
        <w:spacing w:line="480" w:lineRule="auto"/>
        <w:ind w:left="1021" w:right="454"/>
        <w:rPr>
          <w:rFonts w:ascii="Arial" w:eastAsia="Calibri" w:hAnsi="Arial" w:cs="Arial"/>
          <w:sz w:val="24"/>
          <w:szCs w:val="28"/>
        </w:rPr>
      </w:pPr>
      <w:r w:rsidRPr="0071546E">
        <w:rPr>
          <w:rFonts w:ascii="Arial" w:eastAsia="Calibri" w:hAnsi="Arial" w:cs="Arial"/>
          <w:sz w:val="24"/>
          <w:szCs w:val="28"/>
        </w:rPr>
        <w:t>Then converting µm</w:t>
      </w:r>
      <w:r w:rsidRPr="0071546E">
        <w:rPr>
          <w:rFonts w:ascii="Arial" w:eastAsia="Calibri" w:hAnsi="Arial" w:cs="Arial"/>
          <w:sz w:val="24"/>
          <w:szCs w:val="28"/>
          <w:vertAlign w:val="superscript"/>
        </w:rPr>
        <w:t>3</w:t>
      </w:r>
      <w:r w:rsidRPr="0071546E">
        <w:rPr>
          <w:rFonts w:ascii="Arial" w:eastAsia="Calibri" w:hAnsi="Arial" w:cs="Arial"/>
          <w:sz w:val="24"/>
          <w:szCs w:val="28"/>
        </w:rPr>
        <w:t xml:space="preserve"> – litres (1 µm</w:t>
      </w:r>
      <w:r w:rsidRPr="0071546E">
        <w:rPr>
          <w:rFonts w:ascii="Arial" w:eastAsia="Calibri" w:hAnsi="Arial" w:cs="Arial"/>
          <w:sz w:val="24"/>
          <w:szCs w:val="28"/>
          <w:vertAlign w:val="superscript"/>
        </w:rPr>
        <w:t>3</w:t>
      </w:r>
      <w:r w:rsidRPr="0071546E">
        <w:rPr>
          <w:rFonts w:ascii="Arial" w:eastAsia="Calibri" w:hAnsi="Arial" w:cs="Arial"/>
          <w:sz w:val="24"/>
          <w:szCs w:val="28"/>
        </w:rPr>
        <w:t xml:space="preserve"> x 1 x 10</w:t>
      </w:r>
      <w:r w:rsidRPr="0071546E">
        <w:rPr>
          <w:rFonts w:ascii="Arial" w:eastAsia="Calibri" w:hAnsi="Arial" w:cs="Arial"/>
          <w:sz w:val="24"/>
          <w:szCs w:val="28"/>
          <w:vertAlign w:val="superscript"/>
        </w:rPr>
        <w:t>-15</w:t>
      </w:r>
      <w:r w:rsidRPr="0071546E">
        <w:rPr>
          <w:rFonts w:ascii="Arial" w:eastAsia="Calibri" w:hAnsi="Arial" w:cs="Arial"/>
          <w:sz w:val="24"/>
          <w:szCs w:val="28"/>
        </w:rPr>
        <w:t>)</w:t>
      </w:r>
    </w:p>
    <w:p w:rsidR="00066487" w:rsidRPr="0071546E" w:rsidRDefault="00E5632E" w:rsidP="00E5461B">
      <w:pPr>
        <w:spacing w:line="480" w:lineRule="auto"/>
        <w:ind w:left="1021" w:right="454"/>
        <w:rPr>
          <w:rFonts w:ascii="Arial" w:eastAsia="Calibri" w:hAnsi="Arial" w:cs="Arial"/>
          <w:bCs/>
          <w:sz w:val="24"/>
          <w:szCs w:val="28"/>
        </w:rPr>
      </w:pPr>
      <w:r w:rsidRPr="0071546E">
        <w:rPr>
          <w:rFonts w:ascii="Arial" w:eastAsia="Calibri" w:hAnsi="Arial" w:cs="Arial"/>
          <w:sz w:val="24"/>
          <w:szCs w:val="28"/>
        </w:rPr>
        <w:t xml:space="preserve">= </w:t>
      </w:r>
      <m:oMath>
        <m:r>
          <m:rPr>
            <m:sty m:val="p"/>
          </m:rPr>
          <w:rPr>
            <w:rFonts w:ascii="Cambria Math" w:eastAsia="Calibri" w:hAnsi="Cambria Math" w:cs="Arial"/>
            <w:sz w:val="24"/>
            <w:szCs w:val="28"/>
          </w:rPr>
          <w:br/>
        </m:r>
      </m:oMath>
      <m:oMathPara>
        <m:oMathParaPr>
          <m:jc m:val="left"/>
        </m:oMathParaPr>
        <m:oMath>
          <m:f>
            <m:fPr>
              <m:ctrlPr>
                <w:rPr>
                  <w:rFonts w:ascii="Cambria Math" w:eastAsia="Calibri" w:hAnsi="Cambria Math" w:cs="Arial"/>
                  <w:bCs/>
                  <w:i/>
                  <w:sz w:val="24"/>
                  <w:szCs w:val="28"/>
                </w:rPr>
              </m:ctrlPr>
            </m:fPr>
            <m:num>
              <m:r>
                <w:rPr>
                  <w:rFonts w:ascii="Cambria Math" w:eastAsia="Calibri" w:hAnsi="Cambria Math" w:cs="Arial"/>
                  <w:sz w:val="24"/>
                  <w:szCs w:val="28"/>
                </w:rPr>
                <m:t>2.318 pg</m:t>
              </m:r>
            </m:num>
            <m:den>
              <m:r>
                <w:rPr>
                  <w:rFonts w:ascii="Cambria Math" w:eastAsia="Calibri" w:hAnsi="Cambria Math" w:cs="Arial"/>
                  <w:sz w:val="24"/>
                  <w:szCs w:val="28"/>
                </w:rPr>
                <m:t xml:space="preserve"> 8181 </m:t>
              </m:r>
              <m:r>
                <m:rPr>
                  <m:sty m:val="p"/>
                </m:rPr>
                <w:rPr>
                  <w:rFonts w:ascii="Cambria Math" w:eastAsia="Calibri" w:hAnsi="Cambria Math" w:cs="Arial"/>
                  <w:sz w:val="24"/>
                  <w:szCs w:val="28"/>
                </w:rPr>
                <m:t>µm</m:t>
              </m:r>
              <m:r>
                <m:rPr>
                  <m:sty m:val="p"/>
                </m:rPr>
                <w:rPr>
                  <w:rFonts w:ascii="Cambria Math" w:eastAsia="Calibri" w:hAnsi="Cambria Math" w:cs="Arial"/>
                  <w:sz w:val="24"/>
                  <w:szCs w:val="28"/>
                  <w:vertAlign w:val="superscript"/>
                </w:rPr>
                <m:t>3</m:t>
              </m:r>
            </m:den>
          </m:f>
        </m:oMath>
      </m:oMathPara>
    </w:p>
    <w:p w:rsidR="00066487" w:rsidRPr="0071546E" w:rsidRDefault="00066487" w:rsidP="00CF13FE">
      <w:pPr>
        <w:spacing w:line="480" w:lineRule="auto"/>
        <w:ind w:left="1021" w:right="454"/>
        <w:rPr>
          <w:rFonts w:ascii="Arial" w:eastAsia="Calibri" w:hAnsi="Arial" w:cs="Arial"/>
          <w:sz w:val="24"/>
          <w:szCs w:val="28"/>
          <w:vertAlign w:val="superscript"/>
        </w:rPr>
      </w:pPr>
      <w:r w:rsidRPr="0071546E">
        <w:rPr>
          <w:rFonts w:ascii="Arial" w:eastAsia="Calibri" w:hAnsi="Arial" w:cs="Arial"/>
          <w:bCs/>
          <w:sz w:val="24"/>
          <w:szCs w:val="28"/>
        </w:rPr>
        <w:t xml:space="preserve">= 0.000283 </w:t>
      </w:r>
      <w:r w:rsidR="00D042B9" w:rsidRPr="0071546E">
        <w:rPr>
          <w:rFonts w:ascii="Arial" w:eastAsia="Calibri" w:hAnsi="Arial" w:cs="Arial"/>
          <w:bCs/>
          <w:sz w:val="24"/>
          <w:szCs w:val="28"/>
        </w:rPr>
        <w:t>(2.83</w:t>
      </w:r>
      <w:r w:rsidRPr="0071546E">
        <w:rPr>
          <w:rFonts w:ascii="Arial" w:eastAsia="Calibri" w:hAnsi="Arial" w:cs="Arial"/>
          <w:bCs/>
          <w:sz w:val="24"/>
          <w:szCs w:val="28"/>
        </w:rPr>
        <w:t xml:space="preserve"> x 10</w:t>
      </w:r>
      <w:r w:rsidRPr="0071546E">
        <w:rPr>
          <w:rFonts w:ascii="Arial" w:eastAsia="Calibri" w:hAnsi="Arial" w:cs="Arial"/>
          <w:bCs/>
          <w:sz w:val="24"/>
          <w:szCs w:val="28"/>
          <w:vertAlign w:val="superscript"/>
        </w:rPr>
        <w:t xml:space="preserve">-4 </w:t>
      </w:r>
      <w:r w:rsidRPr="0071546E">
        <w:rPr>
          <w:rFonts w:ascii="Arial" w:eastAsia="Calibri" w:hAnsi="Arial" w:cs="Arial"/>
          <w:bCs/>
          <w:sz w:val="24"/>
          <w:szCs w:val="28"/>
        </w:rPr>
        <w:t xml:space="preserve">pg / </w:t>
      </w:r>
      <m:oMath>
        <m:r>
          <m:rPr>
            <m:sty m:val="p"/>
          </m:rPr>
          <w:rPr>
            <w:rFonts w:ascii="Cambria Math" w:eastAsia="Calibri" w:hAnsi="Cambria Math" w:cs="Arial"/>
            <w:sz w:val="24"/>
            <w:szCs w:val="28"/>
          </w:rPr>
          <m:t>µm</m:t>
        </m:r>
        <m:r>
          <m:rPr>
            <m:sty m:val="p"/>
          </m:rPr>
          <w:rPr>
            <w:rFonts w:ascii="Cambria Math" w:eastAsia="Calibri" w:hAnsi="Cambria Math" w:cs="Arial"/>
            <w:sz w:val="24"/>
            <w:szCs w:val="28"/>
            <w:vertAlign w:val="superscript"/>
          </w:rPr>
          <m:t>3)</m:t>
        </m:r>
      </m:oMath>
    </w:p>
    <w:p w:rsidR="00066487" w:rsidRPr="0071546E" w:rsidRDefault="00066487" w:rsidP="00CF13FE">
      <w:pPr>
        <w:spacing w:line="480" w:lineRule="auto"/>
        <w:ind w:left="1021" w:right="454"/>
        <w:rPr>
          <w:rFonts w:ascii="Arial" w:eastAsia="Calibri" w:hAnsi="Arial" w:cs="Arial"/>
          <w:sz w:val="24"/>
          <w:szCs w:val="28"/>
        </w:rPr>
      </w:pPr>
      <w:r w:rsidRPr="0071546E">
        <w:rPr>
          <w:rFonts w:ascii="Arial" w:eastAsia="Calibri" w:hAnsi="Arial" w:cs="Arial"/>
          <w:sz w:val="24"/>
          <w:szCs w:val="28"/>
        </w:rPr>
        <w:t xml:space="preserve">Converting to gram </w:t>
      </w:r>
    </w:p>
    <w:p w:rsidR="00E5632E" w:rsidRPr="0071546E" w:rsidRDefault="00066487" w:rsidP="00CF13FE">
      <w:pPr>
        <w:spacing w:line="480" w:lineRule="auto"/>
        <w:ind w:left="1021" w:right="454"/>
        <w:rPr>
          <w:rFonts w:ascii="Times New Roman" w:eastAsia="Calibri" w:hAnsi="Times New Roman" w:cs="Times New Roman"/>
          <w:sz w:val="24"/>
          <w:szCs w:val="28"/>
          <w:vertAlign w:val="superscript"/>
        </w:rPr>
      </w:pPr>
      <w:r w:rsidRPr="0071546E">
        <w:rPr>
          <w:rFonts w:ascii="Arial" w:eastAsia="Calibri" w:hAnsi="Arial" w:cs="Arial"/>
          <w:sz w:val="24"/>
          <w:szCs w:val="28"/>
        </w:rPr>
        <w:t>2.83 x 10</w:t>
      </w:r>
      <w:r w:rsidRPr="0071546E">
        <w:rPr>
          <w:rFonts w:ascii="Arial" w:eastAsia="Calibri" w:hAnsi="Arial" w:cs="Arial"/>
          <w:sz w:val="24"/>
          <w:szCs w:val="28"/>
          <w:vertAlign w:val="superscript"/>
        </w:rPr>
        <w:t>-16</w:t>
      </w:r>
      <w:r w:rsidRPr="0071546E">
        <w:rPr>
          <w:rFonts w:ascii="Arial" w:eastAsia="Calibri" w:hAnsi="Arial" w:cs="Arial"/>
          <w:sz w:val="24"/>
          <w:szCs w:val="28"/>
        </w:rPr>
        <w:t xml:space="preserve"> g</w:t>
      </w:r>
      <w:r w:rsidR="00486520" w:rsidRPr="0071546E">
        <w:rPr>
          <w:rFonts w:ascii="Arial" w:eastAsia="Calibri" w:hAnsi="Arial" w:cs="Arial"/>
          <w:sz w:val="24"/>
          <w:szCs w:val="28"/>
        </w:rPr>
        <w:t xml:space="preserve"> </w:t>
      </w:r>
      <w:r w:rsidRPr="0071546E">
        <w:rPr>
          <w:rFonts w:ascii="Arial" w:eastAsia="Calibri" w:hAnsi="Arial" w:cs="Arial"/>
          <w:sz w:val="24"/>
          <w:szCs w:val="28"/>
        </w:rPr>
        <w:t>/ µm</w:t>
      </w:r>
      <w:r w:rsidRPr="0071546E">
        <w:rPr>
          <w:rFonts w:ascii="Arial" w:eastAsia="Calibri" w:hAnsi="Arial" w:cs="Arial"/>
          <w:sz w:val="24"/>
          <w:szCs w:val="28"/>
          <w:vertAlign w:val="superscript"/>
        </w:rPr>
        <w:t>3</w:t>
      </w:r>
      <m:oMath>
        <m:r>
          <m:rPr>
            <m:sty m:val="p"/>
          </m:rPr>
          <w:rPr>
            <w:rFonts w:ascii="Cambria Math" w:eastAsia="Calibri" w:hAnsi="Cambria Math" w:cs="Arial"/>
            <w:sz w:val="24"/>
            <w:szCs w:val="28"/>
          </w:rPr>
          <w:br/>
        </m:r>
      </m:oMath>
      <w:r w:rsidRPr="0071546E">
        <w:rPr>
          <w:rFonts w:ascii="Times New Roman" w:eastAsia="Calibri" w:hAnsi="Times New Roman" w:cs="Times New Roman"/>
          <w:sz w:val="24"/>
          <w:szCs w:val="28"/>
        </w:rPr>
        <w:t>= 0.283 g/l x 10</w:t>
      </w:r>
      <w:r w:rsidRPr="0071546E">
        <w:rPr>
          <w:rFonts w:ascii="Times New Roman" w:eastAsia="Calibri" w:hAnsi="Times New Roman" w:cs="Times New Roman"/>
          <w:sz w:val="24"/>
          <w:szCs w:val="28"/>
          <w:vertAlign w:val="superscript"/>
        </w:rPr>
        <w:t>-15</w:t>
      </w:r>
    </w:p>
    <w:p w:rsidR="00ED6A90" w:rsidRPr="0071546E" w:rsidRDefault="00066487" w:rsidP="00E5461B">
      <w:pPr>
        <w:spacing w:line="480" w:lineRule="auto"/>
        <w:ind w:left="1021" w:right="454"/>
        <w:rPr>
          <w:rFonts w:ascii="Times New Roman" w:eastAsia="Calibri" w:hAnsi="Times New Roman" w:cs="Times New Roman"/>
          <w:sz w:val="24"/>
          <w:szCs w:val="28"/>
        </w:rPr>
      </w:pPr>
      <w:r w:rsidRPr="0071546E">
        <w:rPr>
          <w:rFonts w:ascii="Times New Roman" w:eastAsia="Calibri" w:hAnsi="Times New Roman" w:cs="Times New Roman"/>
          <w:sz w:val="24"/>
          <w:szCs w:val="28"/>
        </w:rPr>
        <w:t>= 0.5 mM in a single Trophozoite cell.</w:t>
      </w:r>
    </w:p>
    <w:p w:rsidR="00197992" w:rsidRPr="0071546E" w:rsidRDefault="009D7896" w:rsidP="00E5461B">
      <w:pPr>
        <w:spacing w:line="360" w:lineRule="auto"/>
        <w:ind w:left="1021" w:right="454"/>
        <w:rPr>
          <w:rFonts w:ascii="Arial" w:eastAsia="Times New Roman" w:hAnsi="Arial" w:cs="Arial"/>
          <w:bCs/>
          <w:color w:val="000000" w:themeColor="text1"/>
          <w:sz w:val="24"/>
          <w:szCs w:val="24"/>
        </w:rPr>
      </w:pPr>
      <w:r w:rsidRPr="0071546E">
        <w:rPr>
          <w:rFonts w:ascii="Times New Roman" w:eastAsia="Calibri" w:hAnsi="Times New Roman" w:cs="Times New Roman"/>
          <w:b/>
          <w:sz w:val="24"/>
          <w:szCs w:val="28"/>
        </w:rPr>
        <w:t>To calculate the amount of ATP for a single cyst cell</w:t>
      </w:r>
      <w:r w:rsidR="00E5461B" w:rsidRPr="0071546E">
        <w:rPr>
          <w:noProof/>
          <w:lang w:eastAsia="en-GB"/>
        </w:rPr>
        <w:drawing>
          <wp:inline distT="0" distB="0" distL="0" distR="0" wp14:anchorId="292A4C5C" wp14:editId="0CCF3756">
            <wp:extent cx="3291840" cy="182880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335584" cy="1853102"/>
                    </a:xfrm>
                    <a:prstGeom prst="rect">
                      <a:avLst/>
                    </a:prstGeom>
                  </pic:spPr>
                </pic:pic>
              </a:graphicData>
            </a:graphic>
          </wp:inline>
        </w:drawing>
      </w:r>
    </w:p>
    <w:p w:rsidR="00BF46AD" w:rsidRPr="0071546E" w:rsidRDefault="00BF46AD" w:rsidP="00CF13FE">
      <w:pPr>
        <w:spacing w:line="480" w:lineRule="auto"/>
        <w:ind w:left="1021" w:right="454"/>
        <w:jc w:val="both"/>
        <w:rPr>
          <w:rFonts w:ascii="Arial" w:eastAsia="Calibri" w:hAnsi="Arial" w:cs="Arial"/>
          <w:bCs/>
          <w:color w:val="000000" w:themeColor="text1"/>
          <w:sz w:val="24"/>
          <w:szCs w:val="24"/>
        </w:rPr>
      </w:pPr>
      <w:r w:rsidRPr="0071546E">
        <w:rPr>
          <w:rFonts w:ascii="Arial" w:eastAsia="Calibri" w:hAnsi="Arial" w:cs="Arial"/>
          <w:bCs/>
          <w:color w:val="000000" w:themeColor="text1"/>
          <w:sz w:val="24"/>
          <w:szCs w:val="24"/>
        </w:rPr>
        <w:t>When the concentration of pathogen was 1,000,000 cell/ mL</w:t>
      </w:r>
    </w:p>
    <w:p w:rsidR="0011566D" w:rsidRPr="0071546E" w:rsidRDefault="00BF46AD" w:rsidP="00CF13FE">
      <w:pPr>
        <w:spacing w:line="480" w:lineRule="auto"/>
        <w:ind w:left="1021" w:right="454"/>
        <w:jc w:val="both"/>
        <w:rPr>
          <w:rFonts w:ascii="Arial" w:eastAsia="Calibri" w:hAnsi="Arial" w:cs="Arial"/>
          <w:bCs/>
          <w:color w:val="000000" w:themeColor="text1"/>
          <w:sz w:val="24"/>
          <w:szCs w:val="24"/>
        </w:rPr>
      </w:pPr>
      <w:r w:rsidRPr="0071546E">
        <w:rPr>
          <w:rFonts w:ascii="Arial" w:eastAsia="Calibri" w:hAnsi="Arial" w:cs="Arial"/>
          <w:bCs/>
          <w:color w:val="000000" w:themeColor="text1"/>
          <w:sz w:val="24"/>
          <w:szCs w:val="24"/>
        </w:rPr>
        <w:t xml:space="preserve">And if 50 µL (0.05 mL) of </w:t>
      </w:r>
      <w:r w:rsidR="003B284E" w:rsidRPr="0071546E">
        <w:rPr>
          <w:rFonts w:ascii="Arial" w:eastAsia="Calibri" w:hAnsi="Arial" w:cs="Arial"/>
          <w:bCs/>
          <w:i/>
          <w:color w:val="000000" w:themeColor="text1"/>
          <w:sz w:val="24"/>
          <w:szCs w:val="24"/>
        </w:rPr>
        <w:t>Acanthamoeba</w:t>
      </w:r>
      <w:r w:rsidR="003B284E" w:rsidRPr="0071546E">
        <w:rPr>
          <w:rFonts w:ascii="Arial" w:eastAsia="Calibri" w:hAnsi="Arial" w:cs="Arial"/>
          <w:bCs/>
          <w:color w:val="000000" w:themeColor="text1"/>
          <w:sz w:val="24"/>
          <w:szCs w:val="24"/>
        </w:rPr>
        <w:t xml:space="preserve"> cell suspension</w:t>
      </w:r>
      <w:r w:rsidRPr="0071546E">
        <w:rPr>
          <w:rFonts w:ascii="Arial" w:eastAsia="Calibri" w:hAnsi="Arial" w:cs="Arial"/>
          <w:bCs/>
          <w:color w:val="000000" w:themeColor="text1"/>
          <w:sz w:val="24"/>
          <w:szCs w:val="24"/>
        </w:rPr>
        <w:t xml:space="preserve"> was used for the assay,</w:t>
      </w:r>
      <w:r w:rsidR="0011566D" w:rsidRPr="0071546E">
        <w:rPr>
          <w:rFonts w:ascii="Arial" w:eastAsia="Calibri" w:hAnsi="Arial" w:cs="Arial"/>
          <w:bCs/>
          <w:color w:val="000000" w:themeColor="text1"/>
          <w:sz w:val="24"/>
          <w:szCs w:val="24"/>
        </w:rPr>
        <w:t xml:space="preserve"> </w:t>
      </w:r>
      <w:r w:rsidRPr="0071546E">
        <w:rPr>
          <w:rFonts w:ascii="Arial" w:eastAsia="Calibri" w:hAnsi="Arial" w:cs="Arial"/>
          <w:bCs/>
          <w:color w:val="000000" w:themeColor="text1"/>
          <w:sz w:val="24"/>
          <w:szCs w:val="24"/>
        </w:rPr>
        <w:t xml:space="preserve">then the total number of pathogens =  </w:t>
      </w:r>
    </w:p>
    <w:p w:rsidR="00BF46AD" w:rsidRPr="0071546E" w:rsidRDefault="00BF46AD" w:rsidP="00CF13FE">
      <w:pPr>
        <w:spacing w:line="480" w:lineRule="auto"/>
        <w:ind w:left="1021" w:right="454"/>
        <w:jc w:val="both"/>
        <w:rPr>
          <w:rFonts w:ascii="Arial" w:eastAsia="Calibri" w:hAnsi="Arial" w:cs="Arial"/>
          <w:bCs/>
          <w:color w:val="000000" w:themeColor="text1"/>
          <w:sz w:val="24"/>
          <w:szCs w:val="24"/>
        </w:rPr>
      </w:pPr>
      <w:r w:rsidRPr="0071546E">
        <w:rPr>
          <w:rFonts w:ascii="Arial" w:eastAsia="Calibri" w:hAnsi="Arial" w:cs="Arial"/>
          <w:bCs/>
          <w:color w:val="000000" w:themeColor="text1"/>
          <w:sz w:val="24"/>
          <w:szCs w:val="24"/>
        </w:rPr>
        <w:t xml:space="preserve">1,000,000 </w:t>
      </w:r>
      <m:oMath>
        <m:f>
          <m:fPr>
            <m:ctrlPr>
              <w:rPr>
                <w:rFonts w:ascii="Cambria Math" w:eastAsia="Calibri" w:hAnsi="Cambria Math" w:cs="Arial"/>
                <w:bCs/>
                <w:i/>
                <w:color w:val="000000" w:themeColor="text1"/>
                <w:sz w:val="24"/>
                <w:szCs w:val="24"/>
              </w:rPr>
            </m:ctrlPr>
          </m:fPr>
          <m:num>
            <m:r>
              <w:rPr>
                <w:rFonts w:ascii="Cambria Math" w:eastAsia="Calibri" w:hAnsi="Cambria Math" w:cs="Arial"/>
                <w:color w:val="000000" w:themeColor="text1"/>
                <w:sz w:val="24"/>
                <w:szCs w:val="24"/>
              </w:rPr>
              <m:t>cells</m:t>
            </m:r>
          </m:num>
          <m:den>
            <m:r>
              <w:rPr>
                <w:rFonts w:ascii="Cambria Math" w:eastAsia="Calibri" w:hAnsi="Cambria Math" w:cs="Arial"/>
                <w:color w:val="000000" w:themeColor="text1"/>
                <w:sz w:val="24"/>
                <w:szCs w:val="24"/>
              </w:rPr>
              <m:t>mL</m:t>
            </m:r>
          </m:den>
        </m:f>
      </m:oMath>
      <w:r w:rsidRPr="0071546E">
        <w:rPr>
          <w:rFonts w:ascii="Arial" w:eastAsia="Times New Roman" w:hAnsi="Arial" w:cs="Arial"/>
          <w:bCs/>
          <w:color w:val="000000" w:themeColor="text1"/>
          <w:sz w:val="24"/>
          <w:szCs w:val="24"/>
        </w:rPr>
        <w:t xml:space="preserve"> x 0.05 mL = 50,000 cells</w:t>
      </w:r>
    </w:p>
    <w:p w:rsidR="00BF46AD" w:rsidRPr="0071546E" w:rsidRDefault="0011566D" w:rsidP="00CF13FE">
      <w:pPr>
        <w:spacing w:line="480" w:lineRule="auto"/>
        <w:ind w:left="1021" w:right="454"/>
        <w:jc w:val="both"/>
        <w:rPr>
          <w:rFonts w:ascii="Arial" w:eastAsia="Calibri" w:hAnsi="Arial" w:cs="Arial"/>
          <w:color w:val="000000" w:themeColor="text1"/>
          <w:sz w:val="24"/>
          <w:szCs w:val="24"/>
        </w:rPr>
      </w:pPr>
      <w:r w:rsidRPr="0071546E">
        <w:rPr>
          <w:rFonts w:ascii="Arial" w:eastAsia="Calibri" w:hAnsi="Arial" w:cs="Arial"/>
          <w:bCs/>
          <w:color w:val="000000" w:themeColor="text1"/>
          <w:sz w:val="24"/>
          <w:szCs w:val="24"/>
        </w:rPr>
        <w:t>Therefore</w:t>
      </w:r>
      <w:r w:rsidR="00BF46AD" w:rsidRPr="0071546E">
        <w:rPr>
          <w:rFonts w:ascii="Arial" w:eastAsia="Calibri" w:hAnsi="Arial" w:cs="Arial"/>
          <w:bCs/>
          <w:color w:val="000000" w:themeColor="text1"/>
          <w:sz w:val="24"/>
          <w:szCs w:val="24"/>
        </w:rPr>
        <w:t>, 50,000 cells produced 785258 RLU of luminescence.</w:t>
      </w:r>
    </w:p>
    <w:p w:rsidR="00BF46AD" w:rsidRPr="0071546E" w:rsidRDefault="00BF46AD" w:rsidP="00CF13FE">
      <w:pPr>
        <w:spacing w:line="480" w:lineRule="auto"/>
        <w:ind w:left="1021" w:right="454"/>
        <w:jc w:val="both"/>
        <w:rPr>
          <w:rFonts w:ascii="Arial" w:eastAsia="Times New Roman" w:hAnsi="Arial" w:cs="Arial"/>
          <w:bCs/>
          <w:color w:val="000000" w:themeColor="text1"/>
          <w:sz w:val="24"/>
          <w:szCs w:val="24"/>
        </w:rPr>
      </w:pPr>
      <w:r w:rsidRPr="0071546E">
        <w:rPr>
          <w:rFonts w:ascii="Arial" w:eastAsia="Times New Roman" w:hAnsi="Arial" w:cs="Arial"/>
          <w:bCs/>
          <w:color w:val="000000" w:themeColor="text1"/>
          <w:sz w:val="24"/>
          <w:szCs w:val="24"/>
        </w:rPr>
        <w:t xml:space="preserve">This corresponds </w:t>
      </w:r>
      <w:r w:rsidR="009D7896" w:rsidRPr="0071546E">
        <w:rPr>
          <w:rFonts w:ascii="Arial" w:eastAsia="Times New Roman" w:hAnsi="Arial" w:cs="Arial"/>
          <w:bCs/>
          <w:color w:val="000000" w:themeColor="text1"/>
          <w:sz w:val="24"/>
          <w:szCs w:val="24"/>
        </w:rPr>
        <w:t>to 0.3754555</w:t>
      </w:r>
      <w:r w:rsidRPr="0071546E">
        <w:rPr>
          <w:rFonts w:ascii="Arial" w:eastAsia="Times New Roman" w:hAnsi="Arial" w:cs="Arial"/>
          <w:bCs/>
          <w:color w:val="000000" w:themeColor="text1"/>
          <w:sz w:val="24"/>
          <w:szCs w:val="24"/>
        </w:rPr>
        <w:t xml:space="preserve"> µg/ mL of ATP</w:t>
      </w:r>
    </w:p>
    <w:p w:rsidR="00BF46AD" w:rsidRPr="0071546E" w:rsidRDefault="00BF46AD" w:rsidP="00CF13FE">
      <w:pPr>
        <w:spacing w:line="480" w:lineRule="auto"/>
        <w:ind w:left="1021" w:right="454"/>
        <w:jc w:val="both"/>
        <w:rPr>
          <w:rFonts w:ascii="Arial" w:eastAsia="Calibri" w:hAnsi="Arial" w:cs="Arial"/>
          <w:bCs/>
          <w:color w:val="000000" w:themeColor="text1"/>
          <w:sz w:val="24"/>
          <w:szCs w:val="24"/>
          <w:lang w:val="en-US"/>
        </w:rPr>
      </w:pPr>
      <w:r w:rsidRPr="0071546E">
        <w:rPr>
          <w:rFonts w:ascii="Arial" w:eastAsia="Calibri" w:hAnsi="Arial" w:cs="Arial"/>
          <w:bCs/>
          <w:color w:val="000000" w:themeColor="text1"/>
          <w:sz w:val="24"/>
          <w:szCs w:val="24"/>
        </w:rPr>
        <w:t>So, the total mass of ATP in the pathogen solution</w:t>
      </w:r>
    </w:p>
    <w:p w:rsidR="00BF46AD" w:rsidRPr="0071546E" w:rsidRDefault="00BF46AD" w:rsidP="00CF13FE">
      <w:pPr>
        <w:spacing w:line="480" w:lineRule="auto"/>
        <w:ind w:left="1021" w:right="454"/>
        <w:jc w:val="both"/>
        <w:rPr>
          <w:rFonts w:ascii="Arial" w:eastAsia="Times New Roman" w:hAnsi="Arial" w:cs="Arial"/>
          <w:bCs/>
          <w:color w:val="000000" w:themeColor="text1"/>
          <w:sz w:val="24"/>
          <w:szCs w:val="24"/>
        </w:rPr>
      </w:pPr>
      <w:r w:rsidRPr="0071546E">
        <w:rPr>
          <w:rFonts w:ascii="Arial" w:eastAsia="Calibri" w:hAnsi="Arial" w:cs="Arial"/>
          <w:bCs/>
          <w:color w:val="000000" w:themeColor="text1"/>
          <w:sz w:val="24"/>
          <w:szCs w:val="24"/>
        </w:rPr>
        <w:t xml:space="preserve">= 0.3754555 </w:t>
      </w:r>
      <m:oMath>
        <m:f>
          <m:fPr>
            <m:ctrlPr>
              <w:rPr>
                <w:rFonts w:ascii="Cambria Math" w:eastAsia="Calibri" w:hAnsi="Cambria Math" w:cs="Arial"/>
                <w:bCs/>
                <w:i/>
                <w:color w:val="000000" w:themeColor="text1"/>
                <w:sz w:val="24"/>
                <w:szCs w:val="24"/>
              </w:rPr>
            </m:ctrlPr>
          </m:fPr>
          <m:num>
            <m:r>
              <w:rPr>
                <w:rFonts w:ascii="Cambria Math" w:eastAsia="Calibri" w:hAnsi="Cambria Math" w:cs="Arial"/>
                <w:color w:val="000000" w:themeColor="text1"/>
                <w:sz w:val="24"/>
                <w:szCs w:val="24"/>
              </w:rPr>
              <m:t>µg</m:t>
            </m:r>
          </m:num>
          <m:den>
            <m:r>
              <w:rPr>
                <w:rFonts w:ascii="Cambria Math" w:eastAsia="Calibri" w:hAnsi="Cambria Math" w:cs="Arial"/>
                <w:strike/>
                <w:color w:val="000000" w:themeColor="text1"/>
                <w:sz w:val="24"/>
                <w:szCs w:val="24"/>
              </w:rPr>
              <m:t>mL</m:t>
            </m:r>
          </m:den>
        </m:f>
      </m:oMath>
      <w:r w:rsidRPr="0071546E">
        <w:rPr>
          <w:rFonts w:ascii="Arial" w:eastAsia="Times New Roman" w:hAnsi="Arial" w:cs="Arial"/>
          <w:bCs/>
          <w:color w:val="000000" w:themeColor="text1"/>
          <w:sz w:val="24"/>
          <w:szCs w:val="24"/>
        </w:rPr>
        <w:t xml:space="preserve"> x 0.05</w:t>
      </w:r>
      <w:r w:rsidRPr="0071546E">
        <w:rPr>
          <w:rFonts w:ascii="Arial" w:eastAsia="Times New Roman" w:hAnsi="Arial" w:cs="Arial"/>
          <w:bCs/>
          <w:strike/>
          <w:color w:val="000000" w:themeColor="text1"/>
          <w:sz w:val="24"/>
          <w:szCs w:val="24"/>
        </w:rPr>
        <w:t>mL</w:t>
      </w:r>
      <w:r w:rsidRPr="0071546E">
        <w:rPr>
          <w:rFonts w:ascii="Arial" w:eastAsia="Times New Roman" w:hAnsi="Arial" w:cs="Arial"/>
          <w:bCs/>
          <w:color w:val="000000" w:themeColor="text1"/>
          <w:sz w:val="24"/>
          <w:szCs w:val="24"/>
        </w:rPr>
        <w:t>= 0.018772775</w:t>
      </w:r>
      <m:oMath>
        <m:r>
          <w:rPr>
            <w:rFonts w:ascii="Cambria Math" w:eastAsia="Calibri" w:hAnsi="Cambria Math" w:cs="Arial"/>
            <w:color w:val="000000" w:themeColor="text1"/>
            <w:sz w:val="24"/>
            <w:szCs w:val="24"/>
          </w:rPr>
          <m:t>µg</m:t>
        </m:r>
      </m:oMath>
      <w:r w:rsidRPr="0071546E">
        <w:rPr>
          <w:rFonts w:ascii="Arial" w:eastAsia="Times New Roman" w:hAnsi="Arial" w:cs="Arial"/>
          <w:bCs/>
          <w:color w:val="000000" w:themeColor="text1"/>
          <w:sz w:val="24"/>
          <w:szCs w:val="24"/>
        </w:rPr>
        <w:t xml:space="preserve"> of ATP</w:t>
      </w:r>
    </w:p>
    <w:p w:rsidR="00BF46AD" w:rsidRPr="0071546E" w:rsidRDefault="00BF46AD" w:rsidP="00CF13FE">
      <w:pPr>
        <w:spacing w:line="480" w:lineRule="auto"/>
        <w:ind w:left="1021" w:right="454"/>
        <w:jc w:val="both"/>
        <w:rPr>
          <w:rFonts w:ascii="Arial" w:eastAsia="Calibri" w:hAnsi="Arial" w:cs="Arial"/>
          <w:bCs/>
          <w:color w:val="000000" w:themeColor="text1"/>
          <w:sz w:val="24"/>
          <w:szCs w:val="24"/>
        </w:rPr>
      </w:pPr>
      <w:r w:rsidRPr="0071546E">
        <w:rPr>
          <w:rFonts w:ascii="Arial" w:eastAsia="Calibri" w:hAnsi="Arial" w:cs="Arial"/>
          <w:bCs/>
          <w:color w:val="000000" w:themeColor="text1"/>
          <w:sz w:val="24"/>
          <w:szCs w:val="24"/>
        </w:rPr>
        <w:t>This means,</w:t>
      </w:r>
    </w:p>
    <w:p w:rsidR="00BF46AD" w:rsidRPr="0071546E" w:rsidRDefault="00BF46AD" w:rsidP="00CF13FE">
      <w:pPr>
        <w:spacing w:line="480" w:lineRule="auto"/>
        <w:ind w:left="1021" w:right="454"/>
        <w:jc w:val="both"/>
        <w:rPr>
          <w:rFonts w:ascii="Arial" w:eastAsia="Times New Roman" w:hAnsi="Arial" w:cs="Arial"/>
          <w:bCs/>
          <w:color w:val="000000" w:themeColor="text1"/>
          <w:sz w:val="24"/>
          <w:szCs w:val="24"/>
        </w:rPr>
      </w:pPr>
      <w:r w:rsidRPr="0071546E">
        <w:rPr>
          <w:rFonts w:ascii="Arial" w:eastAsia="Times New Roman" w:hAnsi="Arial" w:cs="Arial"/>
          <w:bCs/>
          <w:color w:val="000000" w:themeColor="text1"/>
          <w:sz w:val="24"/>
          <w:szCs w:val="24"/>
        </w:rPr>
        <w:t>50,000 cells has 0.018772775</w:t>
      </w:r>
      <m:oMath>
        <m:r>
          <w:rPr>
            <w:rFonts w:ascii="Cambria Math" w:eastAsia="Calibri" w:hAnsi="Cambria Math" w:cs="Arial"/>
            <w:color w:val="000000" w:themeColor="text1"/>
            <w:sz w:val="24"/>
            <w:szCs w:val="24"/>
          </w:rPr>
          <m:t>µg</m:t>
        </m:r>
      </m:oMath>
      <w:r w:rsidRPr="0071546E">
        <w:rPr>
          <w:rFonts w:ascii="Arial" w:eastAsia="Times New Roman" w:hAnsi="Arial" w:cs="Arial"/>
          <w:bCs/>
          <w:color w:val="000000" w:themeColor="text1"/>
          <w:sz w:val="24"/>
          <w:szCs w:val="24"/>
        </w:rPr>
        <w:t xml:space="preserve">  of ATP</w:t>
      </w:r>
    </w:p>
    <w:p w:rsidR="00BF46AD" w:rsidRPr="0071546E" w:rsidRDefault="00BF46AD" w:rsidP="00CF13FE">
      <w:pPr>
        <w:spacing w:line="480" w:lineRule="auto"/>
        <w:ind w:left="1021" w:right="454"/>
        <w:jc w:val="both"/>
        <w:rPr>
          <w:rFonts w:ascii="Arial" w:eastAsia="Times New Roman" w:hAnsi="Arial" w:cs="Arial"/>
          <w:bCs/>
          <w:color w:val="000000" w:themeColor="text1"/>
          <w:sz w:val="24"/>
          <w:szCs w:val="24"/>
        </w:rPr>
      </w:pPr>
      <w:r w:rsidRPr="0071546E">
        <w:rPr>
          <w:rFonts w:ascii="Arial" w:eastAsia="Times New Roman" w:hAnsi="Arial" w:cs="Arial"/>
          <w:bCs/>
          <w:color w:val="000000" w:themeColor="text1"/>
          <w:sz w:val="24"/>
          <w:szCs w:val="24"/>
        </w:rPr>
        <w:t xml:space="preserve">= </w:t>
      </w:r>
      <m:oMath>
        <m:f>
          <m:fPr>
            <m:ctrlPr>
              <w:rPr>
                <w:rFonts w:ascii="Cambria Math" w:eastAsia="Times New Roman" w:hAnsi="Cambria Math" w:cs="Arial"/>
                <w:bCs/>
                <w:i/>
                <w:color w:val="000000" w:themeColor="text1"/>
                <w:sz w:val="24"/>
                <w:szCs w:val="24"/>
              </w:rPr>
            </m:ctrlPr>
          </m:fPr>
          <m:num>
            <m:r>
              <w:rPr>
                <w:rFonts w:ascii="Cambria Math" w:eastAsia="Times New Roman" w:hAnsi="Cambria Math" w:cs="Arial"/>
                <w:color w:val="000000" w:themeColor="text1"/>
                <w:sz w:val="24"/>
                <w:szCs w:val="24"/>
              </w:rPr>
              <m:t>0.018772775</m:t>
            </m:r>
            <m:r>
              <w:rPr>
                <w:rFonts w:ascii="Cambria Math" w:eastAsia="Calibri" w:hAnsi="Cambria Math" w:cs="Arial"/>
                <w:color w:val="000000" w:themeColor="text1"/>
                <w:sz w:val="24"/>
                <w:szCs w:val="24"/>
              </w:rPr>
              <m:t>µg</m:t>
            </m:r>
          </m:num>
          <m:den>
            <m:r>
              <w:rPr>
                <w:rFonts w:ascii="Cambria Math" w:eastAsia="Times New Roman" w:hAnsi="Cambria Math" w:cs="Arial"/>
                <w:color w:val="000000" w:themeColor="text1"/>
                <w:sz w:val="24"/>
                <w:szCs w:val="24"/>
              </w:rPr>
              <m:t xml:space="preserve"> 551.14 </m:t>
            </m:r>
            <m:r>
              <w:rPr>
                <w:rFonts w:ascii="Cambria Math" w:eastAsia="Times New Roman" w:hAnsi="Cambria Math" w:cs="Arial"/>
                <w:strike/>
                <w:color w:val="000000" w:themeColor="text1"/>
                <w:sz w:val="24"/>
                <w:szCs w:val="24"/>
              </w:rPr>
              <m:t>g</m:t>
            </m:r>
            <m:r>
              <w:rPr>
                <w:rFonts w:ascii="Cambria Math" w:eastAsia="Times New Roman" w:hAnsi="Cambria Math" w:cs="Arial"/>
                <w:color w:val="000000" w:themeColor="text1"/>
                <w:sz w:val="24"/>
                <w:szCs w:val="24"/>
              </w:rPr>
              <m:t>/mol</m:t>
            </m:r>
          </m:den>
        </m:f>
      </m:oMath>
      <w:r w:rsidRPr="0071546E">
        <w:rPr>
          <w:rFonts w:ascii="Arial" w:eastAsia="Times New Roman" w:hAnsi="Arial" w:cs="Arial"/>
          <w:bCs/>
          <w:color w:val="000000" w:themeColor="text1"/>
          <w:sz w:val="24"/>
          <w:szCs w:val="24"/>
        </w:rPr>
        <w:tab/>
        <w:t xml:space="preserve"> = 34.0 x 10</w:t>
      </w:r>
      <w:r w:rsidRPr="0071546E">
        <w:rPr>
          <w:rFonts w:ascii="Arial" w:eastAsia="Times New Roman" w:hAnsi="Arial" w:cs="Arial"/>
          <w:bCs/>
          <w:color w:val="000000" w:themeColor="text1"/>
          <w:sz w:val="24"/>
          <w:szCs w:val="24"/>
          <w:vertAlign w:val="superscript"/>
        </w:rPr>
        <w:t>-6</w:t>
      </w:r>
      <w:r w:rsidRPr="0071546E">
        <w:rPr>
          <w:rFonts w:ascii="Arial" w:eastAsia="Times New Roman" w:hAnsi="Arial" w:cs="Arial"/>
          <w:bCs/>
          <w:color w:val="000000" w:themeColor="text1"/>
          <w:sz w:val="24"/>
          <w:szCs w:val="24"/>
        </w:rPr>
        <w:t xml:space="preserve"> µmols</w:t>
      </w:r>
    </w:p>
    <w:p w:rsidR="00BF46AD" w:rsidRPr="0071546E" w:rsidRDefault="00BF46AD" w:rsidP="00CF13FE">
      <w:pPr>
        <w:spacing w:line="480" w:lineRule="auto"/>
        <w:ind w:left="1021" w:right="454"/>
        <w:jc w:val="both"/>
        <w:rPr>
          <w:rFonts w:ascii="Arial" w:eastAsia="Times New Roman" w:hAnsi="Arial" w:cs="Arial"/>
          <w:bCs/>
          <w:color w:val="000000" w:themeColor="text1"/>
          <w:sz w:val="24"/>
          <w:szCs w:val="24"/>
        </w:rPr>
      </w:pPr>
      <w:r w:rsidRPr="0071546E">
        <w:rPr>
          <w:rFonts w:ascii="Arial" w:eastAsia="Times New Roman" w:hAnsi="Arial" w:cs="Arial"/>
          <w:bCs/>
          <w:color w:val="000000" w:themeColor="text1"/>
          <w:sz w:val="24"/>
          <w:szCs w:val="24"/>
        </w:rPr>
        <w:t>= 34 pmol</w:t>
      </w:r>
      <w:r w:rsidRPr="0071546E">
        <w:rPr>
          <w:rFonts w:ascii="Arial" w:eastAsia="Times New Roman" w:hAnsi="Arial" w:cs="Arial"/>
          <w:bCs/>
          <w:color w:val="000000" w:themeColor="text1"/>
          <w:sz w:val="24"/>
          <w:szCs w:val="24"/>
        </w:rPr>
        <w:tab/>
        <w:t>= 0.34 x 10</w:t>
      </w:r>
      <w:r w:rsidRPr="0071546E">
        <w:rPr>
          <w:rFonts w:ascii="Arial" w:eastAsia="Times New Roman" w:hAnsi="Arial" w:cs="Arial"/>
          <w:bCs/>
          <w:color w:val="000000" w:themeColor="text1"/>
          <w:sz w:val="24"/>
          <w:szCs w:val="24"/>
          <w:vertAlign w:val="superscript"/>
        </w:rPr>
        <w:t>-10</w:t>
      </w:r>
      <w:r w:rsidRPr="0071546E">
        <w:rPr>
          <w:rFonts w:ascii="Arial" w:eastAsia="Times New Roman" w:hAnsi="Arial" w:cs="Arial"/>
          <w:bCs/>
          <w:color w:val="000000" w:themeColor="text1"/>
          <w:sz w:val="24"/>
          <w:szCs w:val="24"/>
        </w:rPr>
        <w:t>mols of ATP</w:t>
      </w:r>
    </w:p>
    <w:p w:rsidR="00486520" w:rsidRPr="0071546E" w:rsidRDefault="00486520" w:rsidP="00CF13FE">
      <w:pPr>
        <w:spacing w:line="480" w:lineRule="auto"/>
        <w:ind w:left="1021" w:right="454"/>
        <w:jc w:val="both"/>
        <w:rPr>
          <w:rFonts w:ascii="Arial" w:eastAsia="Times New Roman" w:hAnsi="Arial" w:cs="Arial"/>
          <w:bCs/>
          <w:color w:val="000000" w:themeColor="text1"/>
          <w:sz w:val="24"/>
          <w:szCs w:val="24"/>
        </w:rPr>
      </w:pPr>
      <w:r w:rsidRPr="0071546E">
        <w:rPr>
          <w:rFonts w:ascii="Arial" w:eastAsia="Times New Roman" w:hAnsi="Arial" w:cs="Arial"/>
          <w:bCs/>
          <w:color w:val="000000" w:themeColor="text1"/>
          <w:sz w:val="24"/>
          <w:szCs w:val="24"/>
        </w:rPr>
        <w:t>Following similar calculation for the trophozoites</w:t>
      </w:r>
    </w:p>
    <w:p w:rsidR="00486520" w:rsidRPr="0071546E" w:rsidRDefault="009B21F2" w:rsidP="00CF13FE">
      <w:pPr>
        <w:spacing w:line="480" w:lineRule="auto"/>
        <w:ind w:left="1021" w:right="454"/>
        <w:jc w:val="both"/>
        <w:rPr>
          <w:rFonts w:ascii="Arial" w:eastAsia="Times New Roman" w:hAnsi="Arial" w:cs="Arial"/>
          <w:bCs/>
          <w:color w:val="000000" w:themeColor="text1"/>
          <w:sz w:val="24"/>
          <w:szCs w:val="24"/>
        </w:rPr>
      </w:pPr>
      <m:oMathPara>
        <m:oMathParaPr>
          <m:jc m:val="left"/>
        </m:oMathParaPr>
        <m:oMath>
          <m:f>
            <m:fPr>
              <m:ctrlPr>
                <w:rPr>
                  <w:rFonts w:ascii="Cambria Math" w:eastAsia="Times New Roman" w:hAnsi="Cambria Math" w:cs="Arial"/>
                  <w:bCs/>
                  <w:i/>
                  <w:color w:val="000000" w:themeColor="text1"/>
                  <w:sz w:val="24"/>
                  <w:szCs w:val="24"/>
                </w:rPr>
              </m:ctrlPr>
            </m:fPr>
            <m:num>
              <m:r>
                <w:rPr>
                  <w:rFonts w:ascii="Cambria Math" w:eastAsia="Times New Roman" w:hAnsi="Cambria Math" w:cs="Arial"/>
                  <w:color w:val="000000" w:themeColor="text1"/>
                  <w:sz w:val="24"/>
                  <w:szCs w:val="24"/>
                </w:rPr>
                <m:t>0.018772 µ</m:t>
              </m:r>
              <m:r>
                <w:rPr>
                  <w:rFonts w:ascii="Cambria Math" w:eastAsia="Times New Roman" w:hAnsi="Cambria Math" w:cs="Arial"/>
                  <w:strike/>
                  <w:color w:val="000000" w:themeColor="text1"/>
                  <w:sz w:val="24"/>
                  <w:szCs w:val="24"/>
                </w:rPr>
                <m:t>g</m:t>
              </m:r>
            </m:num>
            <m:den>
              <m:r>
                <w:rPr>
                  <w:rFonts w:ascii="Cambria Math" w:eastAsia="Times New Roman" w:hAnsi="Cambria Math" w:cs="Arial"/>
                  <w:color w:val="000000" w:themeColor="text1"/>
                  <w:sz w:val="24"/>
                  <w:szCs w:val="24"/>
                </w:rPr>
                <m:t>50 000</m:t>
              </m:r>
            </m:den>
          </m:f>
        </m:oMath>
      </m:oMathPara>
    </w:p>
    <w:p w:rsidR="00486520" w:rsidRPr="0071546E" w:rsidRDefault="006C29A7" w:rsidP="00CF13FE">
      <w:pPr>
        <w:spacing w:line="480" w:lineRule="auto"/>
        <w:ind w:left="1021" w:right="454"/>
        <w:jc w:val="both"/>
        <w:rPr>
          <w:rFonts w:ascii="Arial" w:eastAsia="Calibri" w:hAnsi="Arial" w:cs="Arial"/>
          <w:bCs/>
          <w:sz w:val="24"/>
          <w:szCs w:val="24"/>
        </w:rPr>
      </w:pPr>
      <w:r w:rsidRPr="0071546E">
        <w:rPr>
          <w:rFonts w:ascii="Arial" w:eastAsia="Times New Roman" w:hAnsi="Arial" w:cs="Arial"/>
          <w:bCs/>
          <w:color w:val="000000" w:themeColor="text1"/>
          <w:sz w:val="24"/>
          <w:szCs w:val="24"/>
        </w:rPr>
        <w:t>= 3.754</w:t>
      </w:r>
      <w:r w:rsidR="00486520" w:rsidRPr="0071546E">
        <w:rPr>
          <w:rFonts w:ascii="Arial" w:eastAsia="Times New Roman" w:hAnsi="Arial" w:cs="Arial"/>
          <w:bCs/>
          <w:color w:val="000000" w:themeColor="text1"/>
          <w:sz w:val="24"/>
          <w:szCs w:val="24"/>
        </w:rPr>
        <w:t xml:space="preserve"> x 10</w:t>
      </w:r>
      <w:r w:rsidRPr="0071546E">
        <w:rPr>
          <w:rFonts w:ascii="Arial" w:eastAsia="Times New Roman" w:hAnsi="Arial" w:cs="Arial"/>
          <w:bCs/>
          <w:color w:val="000000" w:themeColor="text1"/>
          <w:sz w:val="24"/>
          <w:szCs w:val="24"/>
          <w:vertAlign w:val="superscript"/>
        </w:rPr>
        <w:t>-7</w:t>
      </w:r>
      <w:r w:rsidRPr="0071546E">
        <w:rPr>
          <w:rFonts w:ascii="Arial" w:eastAsia="Times New Roman" w:hAnsi="Arial" w:cs="Arial"/>
          <w:bCs/>
          <w:color w:val="000000" w:themeColor="text1"/>
          <w:sz w:val="24"/>
          <w:szCs w:val="24"/>
        </w:rPr>
        <w:t xml:space="preserve"> </w:t>
      </w:r>
      <w:r w:rsidRPr="0071546E">
        <w:rPr>
          <w:rFonts w:ascii="Arial" w:eastAsia="Calibri" w:hAnsi="Arial" w:cs="Arial"/>
          <w:bCs/>
          <w:sz w:val="24"/>
          <w:szCs w:val="24"/>
        </w:rPr>
        <w:t>µg x 10</w:t>
      </w:r>
      <w:r w:rsidRPr="0071546E">
        <w:rPr>
          <w:rFonts w:ascii="Arial" w:eastAsia="Calibri" w:hAnsi="Arial" w:cs="Arial"/>
          <w:bCs/>
          <w:sz w:val="24"/>
          <w:szCs w:val="24"/>
          <w:vertAlign w:val="superscript"/>
        </w:rPr>
        <w:t>6</w:t>
      </w:r>
    </w:p>
    <w:p w:rsidR="006C29A7" w:rsidRPr="0071546E" w:rsidRDefault="006C29A7" w:rsidP="00CF13FE">
      <w:pPr>
        <w:spacing w:line="480" w:lineRule="auto"/>
        <w:ind w:left="1021" w:right="454"/>
        <w:jc w:val="both"/>
        <w:rPr>
          <w:rFonts w:ascii="Arial" w:eastAsia="Calibri" w:hAnsi="Arial" w:cs="Arial"/>
          <w:bCs/>
          <w:sz w:val="24"/>
          <w:szCs w:val="24"/>
        </w:rPr>
      </w:pPr>
      <w:r w:rsidRPr="0071546E">
        <w:rPr>
          <w:rFonts w:ascii="Arial" w:eastAsia="Calibri" w:hAnsi="Arial" w:cs="Arial"/>
          <w:bCs/>
          <w:sz w:val="24"/>
          <w:szCs w:val="24"/>
        </w:rPr>
        <w:t>= 0.3754 pg / cyst</w:t>
      </w:r>
    </w:p>
    <w:p w:rsidR="006C29A7" w:rsidRPr="0071546E" w:rsidRDefault="006C29A7" w:rsidP="00CF13FE">
      <w:pPr>
        <w:spacing w:line="480" w:lineRule="auto"/>
        <w:ind w:left="1021" w:right="454"/>
        <w:jc w:val="both"/>
        <w:rPr>
          <w:rFonts w:ascii="Arial" w:eastAsia="Calibri" w:hAnsi="Arial" w:cs="Arial"/>
          <w:bCs/>
          <w:sz w:val="24"/>
          <w:szCs w:val="24"/>
        </w:rPr>
      </w:pPr>
      <w:r w:rsidRPr="0071546E">
        <w:rPr>
          <w:rFonts w:ascii="Arial" w:eastAsia="Calibri" w:hAnsi="Arial" w:cs="Arial"/>
          <w:bCs/>
          <w:sz w:val="24"/>
          <w:szCs w:val="24"/>
        </w:rPr>
        <w:t>Calculating volume considering size of the cysts (12 µm) with similar equation</w:t>
      </w:r>
    </w:p>
    <w:p w:rsidR="005F4E2E" w:rsidRPr="0071546E" w:rsidRDefault="006C29A7" w:rsidP="00CF13FE">
      <w:pPr>
        <w:spacing w:line="480" w:lineRule="auto"/>
        <w:ind w:left="1021" w:right="454"/>
        <w:jc w:val="both"/>
        <w:rPr>
          <w:rFonts w:ascii="Arial" w:eastAsia="Calibri" w:hAnsi="Arial" w:cs="Arial"/>
          <w:bCs/>
          <w:color w:val="000000" w:themeColor="text1"/>
          <w:sz w:val="28"/>
          <w:szCs w:val="24"/>
        </w:rPr>
      </w:pPr>
      <w:r w:rsidRPr="0071546E">
        <w:rPr>
          <w:rFonts w:ascii="Arial" w:eastAsia="Calibri" w:hAnsi="Arial" w:cs="Arial"/>
          <w:sz w:val="24"/>
          <w:szCs w:val="28"/>
        </w:rPr>
        <w:t>V =</w:t>
      </w:r>
      <m:oMath>
        <m:r>
          <w:rPr>
            <w:rFonts w:ascii="Cambria Math" w:eastAsia="Calibri" w:hAnsi="Cambria Math" w:cs="Arial"/>
            <w:sz w:val="24"/>
            <w:szCs w:val="28"/>
          </w:rPr>
          <m:t>4π</m:t>
        </m:r>
        <m:f>
          <m:fPr>
            <m:ctrlPr>
              <w:rPr>
                <w:rFonts w:ascii="Cambria Math" w:eastAsia="Calibri" w:hAnsi="Cambria Math" w:cs="Arial"/>
                <w:i/>
                <w:sz w:val="24"/>
                <w:szCs w:val="28"/>
              </w:rPr>
            </m:ctrlPr>
          </m:fPr>
          <m:num>
            <m:r>
              <w:rPr>
                <w:rFonts w:ascii="Cambria Math" w:eastAsia="Calibri" w:hAnsi="Cambria Math" w:cs="Arial"/>
                <w:sz w:val="24"/>
                <w:szCs w:val="28"/>
              </w:rPr>
              <m:t>r3</m:t>
            </m:r>
          </m:num>
          <m:den>
            <m:r>
              <w:rPr>
                <w:rFonts w:ascii="Cambria Math" w:eastAsia="Calibri" w:hAnsi="Cambria Math" w:cs="Arial"/>
                <w:sz w:val="24"/>
                <w:szCs w:val="28"/>
              </w:rPr>
              <m:t>3</m:t>
            </m:r>
          </m:den>
        </m:f>
      </m:oMath>
      <w:r w:rsidRPr="0071546E">
        <w:rPr>
          <w:rFonts w:ascii="Arial" w:eastAsia="Calibri" w:hAnsi="Arial" w:cs="Arial"/>
          <w:sz w:val="24"/>
          <w:szCs w:val="28"/>
        </w:rPr>
        <w:t xml:space="preserve">     </w:t>
      </w:r>
      <w:r w:rsidR="005F4E2E" w:rsidRPr="0071546E">
        <w:rPr>
          <w:rFonts w:ascii="Arial" w:eastAsia="Calibri" w:hAnsi="Arial" w:cs="Arial"/>
          <w:sz w:val="24"/>
          <w:szCs w:val="28"/>
        </w:rPr>
        <w:t xml:space="preserve"> </w:t>
      </w:r>
      <w:r w:rsidR="005F4E2E" w:rsidRPr="0071546E">
        <w:rPr>
          <w:rFonts w:ascii="Arial" w:eastAsia="Calibri" w:hAnsi="Arial" w:cs="Arial"/>
          <w:bCs/>
          <w:color w:val="000000" w:themeColor="text1"/>
          <w:sz w:val="28"/>
          <w:szCs w:val="24"/>
        </w:rPr>
        <w:t xml:space="preserve"> </w:t>
      </w:r>
      <m:oMath>
        <m:f>
          <m:fPr>
            <m:ctrlPr>
              <w:rPr>
                <w:rFonts w:ascii="Cambria Math" w:eastAsia="Times New Roman" w:hAnsi="Cambria Math" w:cs="Arial"/>
                <w:bCs/>
                <w:i/>
                <w:color w:val="000000" w:themeColor="text1"/>
                <w:sz w:val="28"/>
                <w:szCs w:val="24"/>
              </w:rPr>
            </m:ctrlPr>
          </m:fPr>
          <m:num>
            <m:r>
              <w:rPr>
                <w:rFonts w:ascii="Cambria Math" w:eastAsia="Times New Roman" w:hAnsi="Cambria Math" w:cs="Arial"/>
                <w:color w:val="000000" w:themeColor="text1"/>
                <w:sz w:val="28"/>
                <w:szCs w:val="24"/>
              </w:rPr>
              <m:t>0.3754 pg</m:t>
            </m:r>
          </m:num>
          <m:den>
            <m:r>
              <w:rPr>
                <w:rFonts w:ascii="Cambria Math" w:eastAsia="Times New Roman" w:hAnsi="Cambria Math" w:cs="Arial"/>
                <w:color w:val="000000" w:themeColor="text1"/>
                <w:sz w:val="28"/>
                <w:szCs w:val="24"/>
              </w:rPr>
              <m:t xml:space="preserve">905  </m:t>
            </m:r>
            <m:r>
              <m:rPr>
                <m:sty m:val="p"/>
              </m:rPr>
              <w:rPr>
                <w:rFonts w:ascii="Cambria Math" w:eastAsia="Calibri" w:hAnsi="Cambria Math" w:cs="Arial"/>
                <w:sz w:val="28"/>
                <w:szCs w:val="28"/>
              </w:rPr>
              <m:t>µm</m:t>
            </m:r>
            <m:r>
              <m:rPr>
                <m:sty m:val="p"/>
              </m:rPr>
              <w:rPr>
                <w:rFonts w:ascii="Cambria Math" w:eastAsia="Calibri" w:hAnsi="Cambria Math" w:cs="Arial"/>
                <w:sz w:val="28"/>
                <w:szCs w:val="28"/>
                <w:vertAlign w:val="superscript"/>
              </w:rPr>
              <m:t>3</m:t>
            </m:r>
          </m:den>
        </m:f>
      </m:oMath>
    </w:p>
    <w:p w:rsidR="005F4E2E" w:rsidRPr="0071546E" w:rsidRDefault="005F4E2E" w:rsidP="00CF13FE">
      <w:pPr>
        <w:spacing w:line="480" w:lineRule="auto"/>
        <w:ind w:left="1021" w:right="454"/>
        <w:jc w:val="both"/>
        <w:rPr>
          <w:rFonts w:ascii="Arial" w:eastAsia="Calibri" w:hAnsi="Arial" w:cs="Arial"/>
          <w:bCs/>
          <w:color w:val="000000" w:themeColor="text1"/>
          <w:sz w:val="24"/>
          <w:szCs w:val="24"/>
        </w:rPr>
      </w:pPr>
      <w:r w:rsidRPr="0071546E">
        <w:rPr>
          <w:rFonts w:ascii="Arial" w:eastAsia="Calibri" w:hAnsi="Arial" w:cs="Arial"/>
          <w:bCs/>
          <w:color w:val="000000" w:themeColor="text1"/>
          <w:sz w:val="24"/>
          <w:szCs w:val="24"/>
        </w:rPr>
        <w:t>= 4.15 x 10</w:t>
      </w:r>
      <w:r w:rsidRPr="0071546E">
        <w:rPr>
          <w:rFonts w:ascii="Arial" w:eastAsia="Calibri" w:hAnsi="Arial" w:cs="Arial"/>
          <w:bCs/>
          <w:color w:val="000000" w:themeColor="text1"/>
          <w:sz w:val="24"/>
          <w:szCs w:val="24"/>
          <w:vertAlign w:val="superscript"/>
        </w:rPr>
        <w:t>-4</w:t>
      </w:r>
      <w:r w:rsidRPr="0071546E">
        <w:rPr>
          <w:rFonts w:ascii="Arial" w:eastAsia="Calibri" w:hAnsi="Arial" w:cs="Arial"/>
          <w:bCs/>
          <w:color w:val="000000" w:themeColor="text1"/>
          <w:sz w:val="24"/>
          <w:szCs w:val="24"/>
        </w:rPr>
        <w:t xml:space="preserve"> pg / µm</w:t>
      </w:r>
      <w:r w:rsidRPr="0071546E">
        <w:rPr>
          <w:rFonts w:ascii="Arial" w:eastAsia="Calibri" w:hAnsi="Arial" w:cs="Arial"/>
          <w:bCs/>
          <w:color w:val="000000" w:themeColor="text1"/>
          <w:sz w:val="24"/>
          <w:szCs w:val="24"/>
          <w:vertAlign w:val="superscript"/>
        </w:rPr>
        <w:t>3</w:t>
      </w:r>
    </w:p>
    <w:p w:rsidR="005F4E2E" w:rsidRPr="0071546E" w:rsidRDefault="005F4E2E" w:rsidP="00CF13FE">
      <w:pPr>
        <w:spacing w:line="480" w:lineRule="auto"/>
        <w:ind w:left="1021" w:right="454"/>
        <w:jc w:val="both"/>
        <w:rPr>
          <w:rFonts w:ascii="Arial" w:eastAsia="Calibri" w:hAnsi="Arial" w:cs="Arial"/>
          <w:bCs/>
          <w:color w:val="000000" w:themeColor="text1"/>
          <w:sz w:val="24"/>
          <w:szCs w:val="24"/>
        </w:rPr>
      </w:pPr>
      <w:r w:rsidRPr="0071546E">
        <w:rPr>
          <w:rFonts w:ascii="Arial" w:eastAsia="Calibri" w:hAnsi="Arial" w:cs="Arial"/>
          <w:bCs/>
          <w:color w:val="000000" w:themeColor="text1"/>
          <w:sz w:val="24"/>
          <w:szCs w:val="24"/>
        </w:rPr>
        <w:t>Converting pg to g (x 10</w:t>
      </w:r>
      <w:r w:rsidRPr="0071546E">
        <w:rPr>
          <w:rFonts w:ascii="Arial" w:eastAsia="Calibri" w:hAnsi="Arial" w:cs="Arial"/>
          <w:bCs/>
          <w:color w:val="000000" w:themeColor="text1"/>
          <w:sz w:val="24"/>
          <w:szCs w:val="24"/>
          <w:vertAlign w:val="superscript"/>
        </w:rPr>
        <w:t>12</w:t>
      </w:r>
      <w:r w:rsidRPr="0071546E">
        <w:rPr>
          <w:rFonts w:ascii="Arial" w:eastAsia="Calibri" w:hAnsi="Arial" w:cs="Arial"/>
          <w:bCs/>
          <w:color w:val="000000" w:themeColor="text1"/>
          <w:sz w:val="24"/>
          <w:szCs w:val="24"/>
        </w:rPr>
        <w:t>)</w:t>
      </w:r>
    </w:p>
    <w:p w:rsidR="005F4E2E" w:rsidRPr="0071546E" w:rsidRDefault="005F4E2E" w:rsidP="00CF13FE">
      <w:pPr>
        <w:spacing w:line="480" w:lineRule="auto"/>
        <w:ind w:left="1021" w:right="454"/>
        <w:jc w:val="both"/>
        <w:rPr>
          <w:rFonts w:ascii="Arial" w:eastAsia="Calibri" w:hAnsi="Arial" w:cs="Arial"/>
          <w:bCs/>
          <w:color w:val="000000" w:themeColor="text1"/>
          <w:sz w:val="24"/>
          <w:szCs w:val="24"/>
        </w:rPr>
      </w:pPr>
      <w:r w:rsidRPr="0071546E">
        <w:rPr>
          <w:rFonts w:ascii="Arial" w:eastAsia="Calibri" w:hAnsi="Arial" w:cs="Arial"/>
          <w:bCs/>
          <w:color w:val="000000" w:themeColor="text1"/>
          <w:sz w:val="24"/>
          <w:szCs w:val="24"/>
        </w:rPr>
        <w:t xml:space="preserve"> = 4.15 x 10</w:t>
      </w:r>
      <w:r w:rsidRPr="0071546E">
        <w:rPr>
          <w:rFonts w:ascii="Arial" w:eastAsia="Calibri" w:hAnsi="Arial" w:cs="Arial"/>
          <w:bCs/>
          <w:color w:val="000000" w:themeColor="text1"/>
          <w:sz w:val="24"/>
          <w:szCs w:val="24"/>
          <w:vertAlign w:val="superscript"/>
        </w:rPr>
        <w:t>-16</w:t>
      </w:r>
      <w:r w:rsidRPr="0071546E">
        <w:rPr>
          <w:rFonts w:ascii="Arial" w:eastAsia="Calibri" w:hAnsi="Arial" w:cs="Arial"/>
          <w:bCs/>
          <w:color w:val="000000" w:themeColor="text1"/>
          <w:sz w:val="24"/>
          <w:szCs w:val="24"/>
        </w:rPr>
        <w:t xml:space="preserve"> ATP / µm</w:t>
      </w:r>
      <w:r w:rsidRPr="0071546E">
        <w:rPr>
          <w:rFonts w:ascii="Arial" w:eastAsia="Calibri" w:hAnsi="Arial" w:cs="Arial"/>
          <w:bCs/>
          <w:color w:val="000000" w:themeColor="text1"/>
          <w:sz w:val="24"/>
          <w:szCs w:val="24"/>
          <w:vertAlign w:val="superscript"/>
        </w:rPr>
        <w:t>3</w:t>
      </w:r>
    </w:p>
    <w:p w:rsidR="005F4E2E" w:rsidRPr="0071546E" w:rsidRDefault="005F4E2E" w:rsidP="00CF13FE">
      <w:pPr>
        <w:spacing w:line="480" w:lineRule="auto"/>
        <w:ind w:left="1021" w:right="454"/>
        <w:jc w:val="both"/>
        <w:rPr>
          <w:rFonts w:ascii="Arial" w:eastAsia="Calibri" w:hAnsi="Arial" w:cs="Arial"/>
          <w:bCs/>
          <w:color w:val="000000" w:themeColor="text1"/>
          <w:sz w:val="24"/>
          <w:szCs w:val="24"/>
        </w:rPr>
      </w:pPr>
      <w:r w:rsidRPr="0071546E">
        <w:rPr>
          <w:rFonts w:ascii="Arial" w:eastAsia="Calibri" w:hAnsi="Arial" w:cs="Arial"/>
          <w:bCs/>
          <w:color w:val="000000" w:themeColor="text1"/>
          <w:sz w:val="24"/>
          <w:szCs w:val="24"/>
        </w:rPr>
        <w:t>Converting µm</w:t>
      </w:r>
      <w:r w:rsidRPr="0071546E">
        <w:rPr>
          <w:rFonts w:ascii="Arial" w:eastAsia="Calibri" w:hAnsi="Arial" w:cs="Arial"/>
          <w:bCs/>
          <w:color w:val="000000" w:themeColor="text1"/>
          <w:sz w:val="24"/>
          <w:szCs w:val="24"/>
          <w:vertAlign w:val="superscript"/>
        </w:rPr>
        <w:t>3</w:t>
      </w:r>
      <w:r w:rsidRPr="0071546E">
        <w:rPr>
          <w:rFonts w:ascii="Arial" w:eastAsia="Calibri" w:hAnsi="Arial" w:cs="Arial"/>
          <w:bCs/>
          <w:color w:val="000000" w:themeColor="text1"/>
          <w:sz w:val="24"/>
          <w:szCs w:val="24"/>
        </w:rPr>
        <w:t xml:space="preserve"> to litre (x 10</w:t>
      </w:r>
      <w:r w:rsidRPr="0071546E">
        <w:rPr>
          <w:rFonts w:ascii="Arial" w:eastAsia="Calibri" w:hAnsi="Arial" w:cs="Arial"/>
          <w:bCs/>
          <w:color w:val="000000" w:themeColor="text1"/>
          <w:sz w:val="24"/>
          <w:szCs w:val="24"/>
          <w:vertAlign w:val="superscript"/>
        </w:rPr>
        <w:t>-15</w:t>
      </w:r>
      <w:r w:rsidRPr="0071546E">
        <w:rPr>
          <w:rFonts w:ascii="Arial" w:eastAsia="Calibri" w:hAnsi="Arial" w:cs="Arial"/>
          <w:bCs/>
          <w:color w:val="000000" w:themeColor="text1"/>
          <w:sz w:val="24"/>
          <w:szCs w:val="24"/>
        </w:rPr>
        <w:t>)</w:t>
      </w:r>
    </w:p>
    <w:p w:rsidR="00C244E3" w:rsidRPr="0071546E" w:rsidRDefault="00C244E3" w:rsidP="00CF13FE">
      <w:pPr>
        <w:spacing w:line="480" w:lineRule="auto"/>
        <w:ind w:left="1021" w:right="454"/>
        <w:jc w:val="both"/>
        <w:rPr>
          <w:rFonts w:ascii="Arial" w:eastAsia="Calibri" w:hAnsi="Arial" w:cs="Arial"/>
          <w:bCs/>
          <w:color w:val="000000" w:themeColor="text1"/>
          <w:sz w:val="24"/>
          <w:szCs w:val="24"/>
        </w:rPr>
      </w:pPr>
      <w:r w:rsidRPr="0071546E">
        <w:rPr>
          <w:rFonts w:ascii="Arial" w:eastAsia="Calibri" w:hAnsi="Arial" w:cs="Arial"/>
          <w:bCs/>
          <w:color w:val="000000" w:themeColor="text1"/>
          <w:sz w:val="24"/>
          <w:szCs w:val="24"/>
        </w:rPr>
        <w:t>= 0.415 g ATP/ l divided by the formula weight ATP</w:t>
      </w:r>
    </w:p>
    <w:p w:rsidR="00C244E3" w:rsidRPr="0071546E" w:rsidRDefault="00C244E3" w:rsidP="00CF13FE">
      <w:pPr>
        <w:spacing w:line="480" w:lineRule="auto"/>
        <w:ind w:left="1021" w:right="454"/>
        <w:jc w:val="both"/>
        <w:rPr>
          <w:rFonts w:ascii="Arial" w:eastAsia="Calibri" w:hAnsi="Arial" w:cs="Arial"/>
          <w:bCs/>
          <w:color w:val="000000" w:themeColor="text1"/>
          <w:sz w:val="24"/>
          <w:szCs w:val="24"/>
        </w:rPr>
      </w:pPr>
      <w:r w:rsidRPr="0071546E">
        <w:rPr>
          <w:rFonts w:ascii="Arial" w:eastAsia="Calibri" w:hAnsi="Arial" w:cs="Arial"/>
          <w:bCs/>
          <w:color w:val="000000" w:themeColor="text1"/>
          <w:sz w:val="24"/>
          <w:szCs w:val="24"/>
        </w:rPr>
        <w:t>=7.53 x 10</w:t>
      </w:r>
      <w:r w:rsidRPr="0071546E">
        <w:rPr>
          <w:rFonts w:ascii="Arial" w:eastAsia="Calibri" w:hAnsi="Arial" w:cs="Arial"/>
          <w:bCs/>
          <w:color w:val="000000" w:themeColor="text1"/>
          <w:sz w:val="24"/>
          <w:szCs w:val="24"/>
          <w:vertAlign w:val="superscript"/>
        </w:rPr>
        <w:t>-4</w:t>
      </w:r>
      <w:r w:rsidRPr="0071546E">
        <w:rPr>
          <w:rFonts w:ascii="Arial" w:eastAsia="Calibri" w:hAnsi="Arial" w:cs="Arial"/>
          <w:bCs/>
          <w:color w:val="000000" w:themeColor="text1"/>
          <w:sz w:val="24"/>
          <w:szCs w:val="24"/>
        </w:rPr>
        <w:t xml:space="preserve"> Molar ATP</w:t>
      </w:r>
    </w:p>
    <w:p w:rsidR="00C244E3" w:rsidRPr="0071546E" w:rsidRDefault="00C244E3" w:rsidP="00CF13FE">
      <w:pPr>
        <w:spacing w:line="480" w:lineRule="auto"/>
        <w:ind w:left="1021" w:right="454"/>
        <w:jc w:val="both"/>
        <w:rPr>
          <w:rFonts w:ascii="Arial" w:eastAsia="Calibri" w:hAnsi="Arial" w:cs="Arial"/>
          <w:bCs/>
          <w:color w:val="000000" w:themeColor="text1"/>
          <w:sz w:val="24"/>
          <w:szCs w:val="24"/>
        </w:rPr>
      </w:pPr>
      <w:r w:rsidRPr="0071546E">
        <w:rPr>
          <w:rFonts w:ascii="Arial" w:eastAsia="Calibri" w:hAnsi="Arial" w:cs="Arial"/>
          <w:bCs/>
          <w:color w:val="000000" w:themeColor="text1"/>
          <w:sz w:val="24"/>
          <w:szCs w:val="24"/>
        </w:rPr>
        <w:t>7.53 x 10</w:t>
      </w:r>
      <w:r w:rsidRPr="0071546E">
        <w:rPr>
          <w:rFonts w:ascii="Arial" w:eastAsia="Calibri" w:hAnsi="Arial" w:cs="Arial"/>
          <w:bCs/>
          <w:color w:val="000000" w:themeColor="text1"/>
          <w:sz w:val="24"/>
          <w:szCs w:val="24"/>
          <w:vertAlign w:val="superscript"/>
        </w:rPr>
        <w:t>-4</w:t>
      </w:r>
      <w:r w:rsidRPr="0071546E">
        <w:rPr>
          <w:rFonts w:ascii="Arial" w:eastAsia="Calibri" w:hAnsi="Arial" w:cs="Arial"/>
          <w:bCs/>
          <w:color w:val="000000" w:themeColor="text1"/>
          <w:sz w:val="24"/>
          <w:szCs w:val="24"/>
        </w:rPr>
        <w:t xml:space="preserve"> x 1000</w:t>
      </w:r>
    </w:p>
    <w:p w:rsidR="00E5461B" w:rsidRPr="0071546E" w:rsidRDefault="00C244E3" w:rsidP="00E5461B">
      <w:pPr>
        <w:spacing w:line="480" w:lineRule="auto"/>
        <w:ind w:left="1021" w:right="454"/>
        <w:jc w:val="both"/>
        <w:rPr>
          <w:rFonts w:ascii="Arial" w:eastAsia="Calibri" w:hAnsi="Arial" w:cs="Arial"/>
          <w:bCs/>
          <w:color w:val="000000" w:themeColor="text1"/>
          <w:sz w:val="24"/>
          <w:szCs w:val="24"/>
        </w:rPr>
      </w:pPr>
      <w:r w:rsidRPr="0071546E">
        <w:rPr>
          <w:rFonts w:ascii="Arial" w:eastAsia="Calibri" w:hAnsi="Arial" w:cs="Arial"/>
          <w:bCs/>
          <w:color w:val="000000" w:themeColor="text1"/>
          <w:sz w:val="24"/>
          <w:szCs w:val="24"/>
        </w:rPr>
        <w:t>= 0.75 mM ATP</w:t>
      </w:r>
    </w:p>
    <w:p w:rsidR="00D042B9" w:rsidRPr="0071546E" w:rsidRDefault="00D042B9" w:rsidP="00E5461B">
      <w:pPr>
        <w:spacing w:line="480" w:lineRule="auto"/>
        <w:ind w:left="1021" w:right="454"/>
        <w:jc w:val="both"/>
        <w:rPr>
          <w:rFonts w:ascii="Arial" w:eastAsia="Calibri" w:hAnsi="Arial" w:cs="Arial"/>
          <w:bCs/>
          <w:color w:val="000000" w:themeColor="text1"/>
          <w:sz w:val="24"/>
          <w:szCs w:val="24"/>
        </w:rPr>
      </w:pPr>
    </w:p>
    <w:p w:rsidR="00D042B9" w:rsidRPr="0071546E" w:rsidRDefault="00D042B9" w:rsidP="00E5461B">
      <w:pPr>
        <w:spacing w:line="480" w:lineRule="auto"/>
        <w:ind w:left="1021" w:right="454"/>
        <w:jc w:val="both"/>
        <w:rPr>
          <w:rFonts w:ascii="Arial" w:eastAsia="Calibri" w:hAnsi="Arial" w:cs="Arial"/>
          <w:bCs/>
          <w:color w:val="000000" w:themeColor="text1"/>
          <w:sz w:val="28"/>
          <w:szCs w:val="24"/>
        </w:rPr>
      </w:pPr>
    </w:p>
    <w:p w:rsidR="00D042B9" w:rsidRPr="0071546E" w:rsidRDefault="00D042B9" w:rsidP="00E5461B">
      <w:pPr>
        <w:spacing w:line="480" w:lineRule="auto"/>
        <w:ind w:left="1021" w:right="454"/>
        <w:jc w:val="both"/>
        <w:rPr>
          <w:rFonts w:ascii="Arial" w:eastAsia="Calibri" w:hAnsi="Arial" w:cs="Arial"/>
          <w:bCs/>
          <w:color w:val="000000" w:themeColor="text1"/>
          <w:sz w:val="28"/>
          <w:szCs w:val="24"/>
        </w:rPr>
      </w:pPr>
    </w:p>
    <w:p w:rsidR="00D43DAE" w:rsidRPr="0071546E" w:rsidRDefault="00D43DAE" w:rsidP="00E5461B">
      <w:pPr>
        <w:spacing w:line="480" w:lineRule="auto"/>
        <w:ind w:left="1021" w:right="454"/>
        <w:jc w:val="both"/>
        <w:rPr>
          <w:rFonts w:ascii="Arial" w:eastAsia="Calibri" w:hAnsi="Arial" w:cs="Arial"/>
          <w:bCs/>
          <w:color w:val="000000" w:themeColor="text1"/>
          <w:sz w:val="28"/>
          <w:szCs w:val="24"/>
        </w:rPr>
      </w:pPr>
    </w:p>
    <w:p w:rsidR="00F85C89" w:rsidRPr="0071546E" w:rsidRDefault="00F85C89" w:rsidP="00E5461B">
      <w:pPr>
        <w:spacing w:line="480" w:lineRule="auto"/>
        <w:ind w:left="1021" w:right="454"/>
        <w:jc w:val="both"/>
        <w:rPr>
          <w:rFonts w:ascii="Arial" w:eastAsia="Calibri" w:hAnsi="Arial" w:cs="Arial"/>
          <w:bCs/>
          <w:color w:val="000000" w:themeColor="text1"/>
          <w:sz w:val="28"/>
          <w:szCs w:val="24"/>
        </w:rPr>
      </w:pPr>
    </w:p>
    <w:p w:rsidR="00D43DAE" w:rsidRPr="0071546E" w:rsidRDefault="00D43DAE" w:rsidP="00E5461B">
      <w:pPr>
        <w:spacing w:line="480" w:lineRule="auto"/>
        <w:ind w:left="1021" w:right="454"/>
        <w:jc w:val="both"/>
        <w:rPr>
          <w:rFonts w:ascii="Arial" w:eastAsia="Calibri" w:hAnsi="Arial" w:cs="Arial"/>
          <w:bCs/>
          <w:color w:val="000000" w:themeColor="text1"/>
          <w:sz w:val="28"/>
          <w:szCs w:val="24"/>
        </w:rPr>
      </w:pPr>
    </w:p>
    <w:p w:rsidR="008F6501" w:rsidRPr="0071546E" w:rsidRDefault="008F6501" w:rsidP="009F2D79">
      <w:pPr>
        <w:shd w:val="clear" w:color="auto" w:fill="FFFFFF"/>
        <w:suppressAutoHyphens/>
        <w:autoSpaceDN w:val="0"/>
        <w:spacing w:after="180" w:line="360" w:lineRule="atLeast"/>
        <w:ind w:left="571" w:right="454"/>
        <w:jc w:val="both"/>
        <w:rPr>
          <w:rFonts w:ascii="Arial" w:hAnsi="Arial" w:cs="Arial"/>
          <w:b/>
          <w:sz w:val="28"/>
          <w:szCs w:val="24"/>
        </w:rPr>
      </w:pPr>
      <w:r w:rsidRPr="0071546E">
        <w:rPr>
          <w:rFonts w:ascii="Arial" w:hAnsi="Arial" w:cs="Arial"/>
          <w:b/>
          <w:sz w:val="28"/>
          <w:szCs w:val="24"/>
        </w:rPr>
        <w:t>One way anova statistical analysis of significant variation between acanthamoeba sample exposed to or protected from PDT.</w:t>
      </w: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i/>
          <w:sz w:val="24"/>
          <w:szCs w:val="24"/>
        </w:rPr>
      </w:pPr>
      <w:r w:rsidRPr="0071546E">
        <w:rPr>
          <w:rFonts w:ascii="Arial" w:hAnsi="Arial" w:cs="Arial"/>
          <w:b/>
          <w:sz w:val="24"/>
          <w:szCs w:val="24"/>
        </w:rPr>
        <w:t>5,10,15,20-Tetrakis(pentafluorophenyl)-21H,23H-porphyrin iron(III) chloride</w:t>
      </w: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i/>
          <w:sz w:val="28"/>
          <w:szCs w:val="24"/>
        </w:rPr>
      </w:pPr>
      <w:r w:rsidRPr="0071546E">
        <w:rPr>
          <w:rFonts w:ascii="Arial" w:hAnsi="Arial" w:cs="Arial"/>
          <w:b/>
          <w:noProof/>
          <w:sz w:val="28"/>
          <w:szCs w:val="24"/>
          <w:lang w:eastAsia="en-GB"/>
        </w:rPr>
        <w:drawing>
          <wp:inline distT="0" distB="0" distL="0" distR="0" wp14:anchorId="35B48FA8" wp14:editId="6AF80123">
            <wp:extent cx="4902200" cy="312321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13837" cy="3130624"/>
                    </a:xfrm>
                    <a:prstGeom prst="rect">
                      <a:avLst/>
                    </a:prstGeom>
                    <a:noFill/>
                    <a:ln>
                      <a:noFill/>
                    </a:ln>
                  </pic:spPr>
                </pic:pic>
              </a:graphicData>
            </a:graphic>
          </wp:inline>
        </w:drawing>
      </w:r>
    </w:p>
    <w:p w:rsidR="004E7B73" w:rsidRPr="0071546E" w:rsidRDefault="004E7B73" w:rsidP="008F6501">
      <w:pPr>
        <w:shd w:val="clear" w:color="auto" w:fill="FFFFFF"/>
        <w:suppressAutoHyphens/>
        <w:autoSpaceDN w:val="0"/>
        <w:spacing w:after="180" w:line="360" w:lineRule="atLeast"/>
        <w:ind w:right="454"/>
        <w:jc w:val="both"/>
        <w:rPr>
          <w:rFonts w:ascii="Arial" w:hAnsi="Arial" w:cs="Arial"/>
          <w:b/>
          <w:i/>
          <w:sz w:val="28"/>
          <w:szCs w:val="24"/>
        </w:rPr>
      </w:pP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i/>
          <w:sz w:val="28"/>
          <w:szCs w:val="24"/>
        </w:rPr>
      </w:pPr>
      <w:r w:rsidRPr="0071546E">
        <w:rPr>
          <w:rFonts w:ascii="Arial" w:hAnsi="Arial" w:cs="Arial"/>
          <w:b/>
          <w:noProof/>
          <w:sz w:val="28"/>
          <w:szCs w:val="24"/>
          <w:lang w:eastAsia="en-GB"/>
        </w:rPr>
        <w:drawing>
          <wp:inline distT="0" distB="0" distL="0" distR="0" wp14:anchorId="47508524" wp14:editId="77107F6E">
            <wp:extent cx="4886960" cy="32657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32150" cy="3295912"/>
                    </a:xfrm>
                    <a:prstGeom prst="rect">
                      <a:avLst/>
                    </a:prstGeom>
                    <a:noFill/>
                    <a:ln>
                      <a:noFill/>
                    </a:ln>
                  </pic:spPr>
                </pic:pic>
              </a:graphicData>
            </a:graphic>
          </wp:inline>
        </w:drawing>
      </w:r>
    </w:p>
    <w:p w:rsidR="004E7B73" w:rsidRPr="0071546E" w:rsidRDefault="004E7B73" w:rsidP="008F6501">
      <w:pPr>
        <w:shd w:val="clear" w:color="auto" w:fill="FFFFFF"/>
        <w:suppressAutoHyphens/>
        <w:autoSpaceDN w:val="0"/>
        <w:spacing w:after="180" w:line="360" w:lineRule="atLeast"/>
        <w:ind w:right="454"/>
        <w:jc w:val="both"/>
        <w:rPr>
          <w:rFonts w:ascii="Arial" w:hAnsi="Arial" w:cs="Arial"/>
          <w:b/>
          <w:sz w:val="28"/>
          <w:szCs w:val="24"/>
        </w:rPr>
      </w:pP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sz w:val="28"/>
          <w:szCs w:val="24"/>
        </w:rPr>
      </w:pPr>
      <w:r w:rsidRPr="0071546E">
        <w:rPr>
          <w:rFonts w:ascii="Arial" w:hAnsi="Arial" w:cs="Arial"/>
          <w:b/>
          <w:sz w:val="28"/>
          <w:szCs w:val="24"/>
        </w:rPr>
        <w:t>5, 10, 15, 20-tetrakis (1-methyl-4-pyridino) porphyrin tetra (P-toluene sulfonate).</w:t>
      </w: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i/>
          <w:sz w:val="28"/>
          <w:szCs w:val="24"/>
        </w:rPr>
      </w:pPr>
      <w:r w:rsidRPr="0071546E">
        <w:rPr>
          <w:rFonts w:ascii="Arial" w:hAnsi="Arial" w:cs="Arial"/>
          <w:b/>
          <w:noProof/>
          <w:sz w:val="28"/>
          <w:szCs w:val="24"/>
          <w:lang w:eastAsia="en-GB"/>
        </w:rPr>
        <w:drawing>
          <wp:inline distT="0" distB="0" distL="0" distR="0" wp14:anchorId="7E0328BE" wp14:editId="5A3EF8E8">
            <wp:extent cx="4795736" cy="2781788"/>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95736" cy="2781788"/>
                    </a:xfrm>
                    <a:prstGeom prst="rect">
                      <a:avLst/>
                    </a:prstGeom>
                    <a:noFill/>
                    <a:ln>
                      <a:noFill/>
                    </a:ln>
                  </pic:spPr>
                </pic:pic>
              </a:graphicData>
            </a:graphic>
          </wp:inline>
        </w:drawing>
      </w: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i/>
          <w:sz w:val="28"/>
          <w:szCs w:val="24"/>
        </w:rPr>
      </w:pP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i/>
          <w:sz w:val="28"/>
          <w:szCs w:val="24"/>
        </w:rPr>
      </w:pP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i/>
          <w:sz w:val="28"/>
          <w:szCs w:val="24"/>
        </w:rPr>
      </w:pPr>
      <w:r w:rsidRPr="0071546E">
        <w:rPr>
          <w:rFonts w:ascii="Arial" w:hAnsi="Arial" w:cs="Arial"/>
          <w:b/>
          <w:noProof/>
          <w:sz w:val="28"/>
          <w:szCs w:val="24"/>
          <w:lang w:eastAsia="en-GB"/>
        </w:rPr>
        <w:drawing>
          <wp:inline distT="0" distB="0" distL="0" distR="0" wp14:anchorId="3CDFCE19" wp14:editId="70F26B8C">
            <wp:extent cx="4824181" cy="333696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42016" cy="3349303"/>
                    </a:xfrm>
                    <a:prstGeom prst="rect">
                      <a:avLst/>
                    </a:prstGeom>
                    <a:noFill/>
                    <a:ln>
                      <a:noFill/>
                    </a:ln>
                  </pic:spPr>
                </pic:pic>
              </a:graphicData>
            </a:graphic>
          </wp:inline>
        </w:drawing>
      </w: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i/>
          <w:sz w:val="28"/>
          <w:szCs w:val="24"/>
        </w:rPr>
      </w:pP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i/>
          <w:sz w:val="28"/>
          <w:szCs w:val="24"/>
        </w:rPr>
      </w:pP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i/>
          <w:sz w:val="28"/>
          <w:szCs w:val="24"/>
        </w:rPr>
      </w:pP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i/>
          <w:sz w:val="28"/>
          <w:szCs w:val="24"/>
        </w:rPr>
      </w:pP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i/>
          <w:sz w:val="28"/>
          <w:szCs w:val="24"/>
        </w:rPr>
      </w:pPr>
      <w:r w:rsidRPr="0071546E">
        <w:rPr>
          <w:rFonts w:ascii="Arial" w:hAnsi="Arial" w:cs="Arial"/>
          <w:b/>
          <w:bCs/>
          <w:sz w:val="28"/>
          <w:szCs w:val="24"/>
        </w:rPr>
        <w:t>5,10,15,20-Tetrakis(4-methylphenyl)-21H23H porphine</w:t>
      </w: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i/>
          <w:sz w:val="28"/>
          <w:szCs w:val="24"/>
        </w:rPr>
      </w:pP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i/>
          <w:sz w:val="28"/>
          <w:szCs w:val="24"/>
        </w:rPr>
      </w:pPr>
      <w:r w:rsidRPr="0071546E">
        <w:rPr>
          <w:rFonts w:ascii="Arial" w:hAnsi="Arial" w:cs="Arial"/>
          <w:b/>
          <w:bCs/>
          <w:noProof/>
          <w:sz w:val="28"/>
          <w:szCs w:val="24"/>
          <w:lang w:eastAsia="en-GB"/>
        </w:rPr>
        <w:drawing>
          <wp:inline distT="0" distB="0" distL="0" distR="0" wp14:anchorId="7672AF3B" wp14:editId="28B9561B">
            <wp:extent cx="4901482" cy="292133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963678" cy="2958399"/>
                    </a:xfrm>
                    <a:prstGeom prst="rect">
                      <a:avLst/>
                    </a:prstGeom>
                    <a:noFill/>
                    <a:ln>
                      <a:noFill/>
                    </a:ln>
                  </pic:spPr>
                </pic:pic>
              </a:graphicData>
            </a:graphic>
          </wp:inline>
        </w:drawing>
      </w: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i/>
          <w:sz w:val="28"/>
          <w:szCs w:val="24"/>
        </w:rPr>
      </w:pP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i/>
          <w:sz w:val="28"/>
          <w:szCs w:val="24"/>
        </w:rPr>
      </w:pPr>
      <w:r w:rsidRPr="0071546E">
        <w:rPr>
          <w:rFonts w:ascii="Arial" w:hAnsi="Arial" w:cs="Arial"/>
          <w:b/>
          <w:bCs/>
          <w:noProof/>
          <w:sz w:val="28"/>
          <w:szCs w:val="24"/>
          <w:lang w:eastAsia="en-GB"/>
        </w:rPr>
        <w:drawing>
          <wp:inline distT="0" distB="0" distL="0" distR="0" wp14:anchorId="69292465" wp14:editId="6A6627AE">
            <wp:extent cx="4902200" cy="3004457"/>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14083" cy="3011740"/>
                    </a:xfrm>
                    <a:prstGeom prst="rect">
                      <a:avLst/>
                    </a:prstGeom>
                    <a:noFill/>
                    <a:ln>
                      <a:noFill/>
                    </a:ln>
                  </pic:spPr>
                </pic:pic>
              </a:graphicData>
            </a:graphic>
          </wp:inline>
        </w:drawing>
      </w: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i/>
          <w:sz w:val="28"/>
          <w:szCs w:val="24"/>
        </w:rPr>
      </w:pPr>
    </w:p>
    <w:p w:rsidR="004E7B73" w:rsidRPr="0071546E" w:rsidRDefault="004E7B73" w:rsidP="004E7B73">
      <w:pPr>
        <w:shd w:val="clear" w:color="auto" w:fill="FFFFFF"/>
        <w:suppressAutoHyphens/>
        <w:autoSpaceDN w:val="0"/>
        <w:spacing w:after="180" w:line="360" w:lineRule="atLeast"/>
        <w:ind w:left="1021" w:right="454" w:hanging="450"/>
        <w:jc w:val="both"/>
        <w:rPr>
          <w:rFonts w:ascii="Arial" w:hAnsi="Arial" w:cs="Arial"/>
          <w:b/>
          <w:bCs/>
          <w:sz w:val="28"/>
          <w:szCs w:val="24"/>
        </w:rPr>
      </w:pPr>
    </w:p>
    <w:p w:rsidR="004E7B73" w:rsidRPr="0071546E" w:rsidRDefault="004E7B73" w:rsidP="001731C5">
      <w:pPr>
        <w:shd w:val="clear" w:color="auto" w:fill="FFFFFF"/>
        <w:suppressAutoHyphens/>
        <w:autoSpaceDN w:val="0"/>
        <w:spacing w:after="180" w:line="360" w:lineRule="atLeast"/>
        <w:ind w:left="1021" w:right="454" w:hanging="450"/>
        <w:jc w:val="both"/>
        <w:rPr>
          <w:rFonts w:ascii="Arial" w:hAnsi="Arial" w:cs="Arial"/>
          <w:b/>
          <w:sz w:val="28"/>
          <w:szCs w:val="24"/>
        </w:rPr>
      </w:pPr>
    </w:p>
    <w:p w:rsidR="004E7B73" w:rsidRPr="0071546E" w:rsidRDefault="004E7B73" w:rsidP="001731C5">
      <w:pPr>
        <w:shd w:val="clear" w:color="auto" w:fill="FFFFFF"/>
        <w:suppressAutoHyphens/>
        <w:autoSpaceDN w:val="0"/>
        <w:spacing w:after="180" w:line="360" w:lineRule="atLeast"/>
        <w:ind w:left="1021" w:right="454" w:hanging="450"/>
        <w:jc w:val="both"/>
        <w:rPr>
          <w:rFonts w:ascii="Arial" w:hAnsi="Arial" w:cs="Arial"/>
          <w:b/>
          <w:sz w:val="28"/>
          <w:szCs w:val="24"/>
        </w:rPr>
      </w:pPr>
    </w:p>
    <w:p w:rsidR="004E7B73" w:rsidRPr="0071546E" w:rsidRDefault="004E7B73" w:rsidP="001731C5">
      <w:pPr>
        <w:shd w:val="clear" w:color="auto" w:fill="FFFFFF"/>
        <w:suppressAutoHyphens/>
        <w:autoSpaceDN w:val="0"/>
        <w:spacing w:after="180" w:line="360" w:lineRule="atLeast"/>
        <w:ind w:left="1021" w:right="454" w:hanging="450"/>
        <w:jc w:val="both"/>
        <w:rPr>
          <w:rFonts w:ascii="Arial" w:hAnsi="Arial" w:cs="Arial"/>
          <w:b/>
          <w:sz w:val="28"/>
          <w:szCs w:val="24"/>
        </w:rPr>
      </w:pPr>
    </w:p>
    <w:p w:rsidR="00BF1B6B" w:rsidRPr="0071546E" w:rsidRDefault="00BF1B6B" w:rsidP="00BF1B6B">
      <w:pPr>
        <w:shd w:val="clear" w:color="auto" w:fill="FFFFFF"/>
        <w:suppressAutoHyphens/>
        <w:autoSpaceDN w:val="0"/>
        <w:spacing w:after="180" w:line="360" w:lineRule="atLeast"/>
        <w:ind w:left="1021" w:right="454" w:hanging="450"/>
        <w:jc w:val="both"/>
        <w:rPr>
          <w:rFonts w:ascii="Arial" w:hAnsi="Arial" w:cs="Arial"/>
          <w:b/>
          <w:sz w:val="28"/>
          <w:szCs w:val="24"/>
        </w:rPr>
      </w:pPr>
      <w:r w:rsidRPr="0071546E">
        <w:rPr>
          <w:rFonts w:ascii="Arial" w:hAnsi="Arial" w:cs="Arial"/>
          <w:b/>
          <w:sz w:val="28"/>
          <w:szCs w:val="24"/>
        </w:rPr>
        <w:t>4, 4′, 4′′, 4′′′-(porphine-5, 10, 15, 20-tetrayl) tetrakis (benzene sulfonic acid) tetrasodium salt hydrate</w:t>
      </w:r>
    </w:p>
    <w:p w:rsidR="00BF1B6B" w:rsidRPr="0071546E" w:rsidRDefault="00BF1B6B" w:rsidP="00BF1B6B">
      <w:pPr>
        <w:shd w:val="clear" w:color="auto" w:fill="FFFFFF"/>
        <w:suppressAutoHyphens/>
        <w:autoSpaceDN w:val="0"/>
        <w:spacing w:after="180" w:line="360" w:lineRule="atLeast"/>
        <w:ind w:left="1021" w:right="454" w:hanging="450"/>
        <w:jc w:val="both"/>
        <w:rPr>
          <w:rFonts w:ascii="Arial" w:hAnsi="Arial" w:cs="Arial"/>
          <w:b/>
          <w:sz w:val="28"/>
          <w:szCs w:val="24"/>
        </w:rPr>
      </w:pPr>
      <w:r w:rsidRPr="0071546E">
        <w:rPr>
          <w:rFonts w:ascii="Arial" w:hAnsi="Arial" w:cs="Arial"/>
          <w:b/>
          <w:noProof/>
          <w:sz w:val="28"/>
          <w:szCs w:val="24"/>
          <w:lang w:eastAsia="en-GB"/>
        </w:rPr>
        <w:drawing>
          <wp:inline distT="0" distB="0" distL="0" distR="0" wp14:anchorId="5702C837" wp14:editId="20C7D673">
            <wp:extent cx="4970521" cy="2992581"/>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997909" cy="3009071"/>
                    </a:xfrm>
                    <a:prstGeom prst="rect">
                      <a:avLst/>
                    </a:prstGeom>
                    <a:noFill/>
                    <a:ln>
                      <a:noFill/>
                    </a:ln>
                  </pic:spPr>
                </pic:pic>
              </a:graphicData>
            </a:graphic>
          </wp:inline>
        </w:drawing>
      </w:r>
    </w:p>
    <w:p w:rsidR="00BF1B6B" w:rsidRPr="0071546E" w:rsidRDefault="00BF1B6B" w:rsidP="00BF1B6B">
      <w:pPr>
        <w:shd w:val="clear" w:color="auto" w:fill="FFFFFF"/>
        <w:suppressAutoHyphens/>
        <w:autoSpaceDN w:val="0"/>
        <w:spacing w:after="180" w:line="360" w:lineRule="atLeast"/>
        <w:ind w:left="1021" w:right="454" w:hanging="450"/>
        <w:jc w:val="both"/>
        <w:rPr>
          <w:rFonts w:ascii="Arial" w:hAnsi="Arial" w:cs="Arial"/>
          <w:b/>
          <w:sz w:val="28"/>
          <w:szCs w:val="24"/>
        </w:rPr>
      </w:pPr>
    </w:p>
    <w:p w:rsidR="00BF1B6B" w:rsidRPr="0071546E" w:rsidRDefault="00BF1B6B" w:rsidP="00BF1B6B">
      <w:pPr>
        <w:shd w:val="clear" w:color="auto" w:fill="FFFFFF"/>
        <w:suppressAutoHyphens/>
        <w:autoSpaceDN w:val="0"/>
        <w:spacing w:after="180" w:line="360" w:lineRule="atLeast"/>
        <w:ind w:left="1021" w:right="454" w:hanging="450"/>
        <w:jc w:val="both"/>
        <w:rPr>
          <w:rFonts w:ascii="Arial" w:hAnsi="Arial" w:cs="Arial"/>
          <w:b/>
          <w:sz w:val="28"/>
          <w:szCs w:val="24"/>
        </w:rPr>
      </w:pPr>
      <w:r w:rsidRPr="0071546E">
        <w:rPr>
          <w:rFonts w:ascii="Arial" w:hAnsi="Arial" w:cs="Arial"/>
          <w:b/>
          <w:noProof/>
          <w:sz w:val="28"/>
          <w:szCs w:val="24"/>
          <w:lang w:eastAsia="en-GB"/>
        </w:rPr>
        <w:drawing>
          <wp:inline distT="0" distB="0" distL="0" distR="0" wp14:anchorId="2D7AC5E8" wp14:editId="5A071DBC">
            <wp:extent cx="4949825" cy="2992582"/>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974403" cy="3007441"/>
                    </a:xfrm>
                    <a:prstGeom prst="rect">
                      <a:avLst/>
                    </a:prstGeom>
                    <a:noFill/>
                    <a:ln>
                      <a:noFill/>
                    </a:ln>
                  </pic:spPr>
                </pic:pic>
              </a:graphicData>
            </a:graphic>
          </wp:inline>
        </w:drawing>
      </w:r>
    </w:p>
    <w:p w:rsidR="004E7B73" w:rsidRPr="0071546E" w:rsidRDefault="004E7B73" w:rsidP="001731C5">
      <w:pPr>
        <w:shd w:val="clear" w:color="auto" w:fill="FFFFFF"/>
        <w:suppressAutoHyphens/>
        <w:autoSpaceDN w:val="0"/>
        <w:spacing w:after="180" w:line="360" w:lineRule="atLeast"/>
        <w:ind w:left="1021" w:right="454" w:hanging="450"/>
        <w:jc w:val="both"/>
        <w:rPr>
          <w:rFonts w:ascii="Arial" w:hAnsi="Arial" w:cs="Arial"/>
          <w:b/>
          <w:sz w:val="28"/>
          <w:szCs w:val="24"/>
        </w:rPr>
      </w:pPr>
    </w:p>
    <w:p w:rsidR="004E7B73" w:rsidRPr="0071546E" w:rsidRDefault="004E7B73" w:rsidP="001731C5">
      <w:pPr>
        <w:shd w:val="clear" w:color="auto" w:fill="FFFFFF"/>
        <w:suppressAutoHyphens/>
        <w:autoSpaceDN w:val="0"/>
        <w:spacing w:after="180" w:line="360" w:lineRule="atLeast"/>
        <w:ind w:left="1021" w:right="454" w:hanging="450"/>
        <w:jc w:val="both"/>
        <w:rPr>
          <w:rFonts w:ascii="Arial" w:hAnsi="Arial" w:cs="Arial"/>
          <w:b/>
          <w:sz w:val="28"/>
          <w:szCs w:val="24"/>
        </w:rPr>
      </w:pPr>
    </w:p>
    <w:p w:rsidR="004E7B73" w:rsidRPr="0071546E" w:rsidRDefault="004E7B73" w:rsidP="007D118F">
      <w:pPr>
        <w:shd w:val="clear" w:color="auto" w:fill="FFFFFF"/>
        <w:suppressAutoHyphens/>
        <w:autoSpaceDN w:val="0"/>
        <w:spacing w:after="180" w:line="360" w:lineRule="atLeast"/>
        <w:ind w:right="454"/>
        <w:jc w:val="both"/>
        <w:rPr>
          <w:rFonts w:ascii="Arial" w:hAnsi="Arial" w:cs="Arial"/>
          <w:b/>
          <w:sz w:val="28"/>
          <w:szCs w:val="24"/>
        </w:rPr>
      </w:pPr>
    </w:p>
    <w:p w:rsidR="007D118F" w:rsidRPr="0071546E" w:rsidRDefault="007D118F" w:rsidP="007D118F">
      <w:pPr>
        <w:shd w:val="clear" w:color="auto" w:fill="FFFFFF"/>
        <w:suppressAutoHyphens/>
        <w:autoSpaceDN w:val="0"/>
        <w:spacing w:after="180" w:line="360" w:lineRule="atLeast"/>
        <w:ind w:right="454"/>
        <w:jc w:val="both"/>
        <w:rPr>
          <w:rFonts w:ascii="Arial" w:hAnsi="Arial" w:cs="Arial"/>
          <w:b/>
          <w:sz w:val="28"/>
          <w:szCs w:val="24"/>
        </w:rPr>
      </w:pPr>
    </w:p>
    <w:p w:rsidR="004E7B73" w:rsidRPr="0071546E" w:rsidRDefault="004E7B73" w:rsidP="001731C5">
      <w:pPr>
        <w:shd w:val="clear" w:color="auto" w:fill="FFFFFF"/>
        <w:suppressAutoHyphens/>
        <w:autoSpaceDN w:val="0"/>
        <w:spacing w:after="180" w:line="360" w:lineRule="atLeast"/>
        <w:ind w:left="1021" w:right="454" w:hanging="450"/>
        <w:jc w:val="both"/>
        <w:rPr>
          <w:rFonts w:ascii="Arial" w:hAnsi="Arial" w:cs="Arial"/>
          <w:b/>
          <w:sz w:val="28"/>
          <w:szCs w:val="24"/>
        </w:rPr>
      </w:pPr>
    </w:p>
    <w:p w:rsidR="001731C5" w:rsidRPr="0071546E" w:rsidRDefault="0018262F" w:rsidP="001731C5">
      <w:pPr>
        <w:shd w:val="clear" w:color="auto" w:fill="FFFFFF"/>
        <w:suppressAutoHyphens/>
        <w:autoSpaceDN w:val="0"/>
        <w:spacing w:after="180" w:line="360" w:lineRule="atLeast"/>
        <w:ind w:left="1021" w:right="454" w:hanging="450"/>
        <w:jc w:val="both"/>
        <w:rPr>
          <w:rFonts w:ascii="Arial" w:hAnsi="Arial" w:cs="Arial"/>
          <w:b/>
          <w:sz w:val="28"/>
          <w:szCs w:val="24"/>
        </w:rPr>
      </w:pPr>
      <w:r w:rsidRPr="0071546E">
        <w:rPr>
          <w:rFonts w:ascii="Arial" w:hAnsi="Arial" w:cs="Arial"/>
          <w:b/>
          <w:sz w:val="28"/>
          <w:szCs w:val="24"/>
        </w:rPr>
        <w:t>References</w:t>
      </w:r>
    </w:p>
    <w:p w:rsidR="000C7C78" w:rsidRPr="0071546E" w:rsidRDefault="000C7C78" w:rsidP="00F85C89">
      <w:pPr>
        <w:suppressAutoHyphens/>
        <w:autoSpaceDN w:val="0"/>
        <w:spacing w:after="180" w:line="360" w:lineRule="atLeast"/>
        <w:ind w:right="454"/>
        <w:jc w:val="both"/>
        <w:rPr>
          <w:color w:val="000000"/>
        </w:rPr>
      </w:pPr>
      <w:r w:rsidRPr="0071546E">
        <w:rPr>
          <w:color w:val="000000"/>
        </w:rPr>
        <w:t xml:space="preserve">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eastAsia="Times New Roman" w:hAnsi="Arial" w:cs="Arial"/>
          <w:color w:val="000000"/>
          <w:sz w:val="24"/>
          <w:szCs w:val="24"/>
          <w:lang w:eastAsia="en-GB"/>
        </w:rPr>
      </w:pPr>
      <w:r w:rsidRPr="0071546E">
        <w:rPr>
          <w:rFonts w:ascii="Arial" w:hAnsi="Arial" w:cs="Arial"/>
          <w:sz w:val="24"/>
          <w:szCs w:val="24"/>
        </w:rPr>
        <w:t xml:space="preserve">Abdelkader, A. (2014). Cosmetic soft contact lens-associated ulcerative keratitis in Southern Saudi Arabia. </w:t>
      </w:r>
      <w:r w:rsidRPr="0071546E">
        <w:rPr>
          <w:rFonts w:ascii="Arial" w:hAnsi="Arial" w:cs="Arial"/>
          <w:i/>
          <w:iCs/>
          <w:sz w:val="24"/>
          <w:szCs w:val="24"/>
        </w:rPr>
        <w:t>Middle East African Journal of Ophthalmology</w:t>
      </w:r>
      <w:r w:rsidRPr="0071546E">
        <w:rPr>
          <w:rFonts w:ascii="Arial" w:hAnsi="Arial" w:cs="Arial"/>
          <w:sz w:val="24"/>
          <w:szCs w:val="24"/>
        </w:rPr>
        <w:t>, 21(3), p.232.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Abdel-Latif, M., El-Far, A., Elbestawy, A., Ghanem, R., Mousa, S. and Abd El-Hamid, H. (2017). Exogenous dietary lysozyme improves the growth performance and gut microbiota in broiler chickens targeting the antioxidant and non-specific immunity mRNA expression. </w:t>
      </w:r>
      <w:r w:rsidRPr="0071546E">
        <w:rPr>
          <w:rFonts w:ascii="Arial" w:hAnsi="Arial" w:cs="Arial"/>
          <w:i/>
          <w:iCs/>
          <w:sz w:val="24"/>
          <w:szCs w:val="24"/>
        </w:rPr>
        <w:t>PLOS ONE</w:t>
      </w:r>
      <w:r w:rsidRPr="0071546E">
        <w:rPr>
          <w:rFonts w:ascii="Arial" w:hAnsi="Arial" w:cs="Arial"/>
          <w:sz w:val="24"/>
          <w:szCs w:val="24"/>
        </w:rPr>
        <w:t>, 12(10), p.e0185153.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eastAsia="Times New Roman" w:hAnsi="Arial" w:cs="Arial"/>
          <w:color w:val="000000"/>
          <w:sz w:val="24"/>
          <w:szCs w:val="24"/>
          <w:lang w:eastAsia="en-GB"/>
        </w:rPr>
      </w:pPr>
      <w:r w:rsidRPr="0071546E">
        <w:rPr>
          <w:rFonts w:ascii="Arial" w:hAnsi="Arial" w:cs="Arial"/>
          <w:sz w:val="24"/>
          <w:szCs w:val="24"/>
        </w:rPr>
        <w:t xml:space="preserve">Abe, K. and Matsuki, N. (2000). Measurement of cellular 3-(4,5-dimethylthiazol-2-yl)-2,5-diphenyltetrazolium bromide (MTT) reduction activity and lactate dehydrogenase release using MTT. </w:t>
      </w:r>
      <w:r w:rsidRPr="0071546E">
        <w:rPr>
          <w:rFonts w:ascii="Arial" w:hAnsi="Arial" w:cs="Arial"/>
          <w:i/>
          <w:iCs/>
          <w:sz w:val="24"/>
          <w:szCs w:val="24"/>
        </w:rPr>
        <w:t>Neuroscience Research</w:t>
      </w:r>
      <w:r w:rsidRPr="0071546E">
        <w:rPr>
          <w:rFonts w:ascii="Arial" w:hAnsi="Arial" w:cs="Arial"/>
          <w:sz w:val="24"/>
          <w:szCs w:val="24"/>
        </w:rPr>
        <w:t>, 38(4), pp.325-329.</w:t>
      </w:r>
    </w:p>
    <w:p w:rsidR="000C7C78" w:rsidRPr="0071546E" w:rsidRDefault="000C7C78" w:rsidP="00C310F1">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Abrahamse, H. and Hamblin, M. (2016). New photosensitizers for photodynamic therapy. </w:t>
      </w:r>
      <w:r w:rsidRPr="0071546E">
        <w:rPr>
          <w:rFonts w:ascii="Arial" w:hAnsi="Arial" w:cs="Arial"/>
          <w:i/>
          <w:iCs/>
          <w:sz w:val="24"/>
          <w:szCs w:val="24"/>
        </w:rPr>
        <w:t>Biochemical Journal</w:t>
      </w:r>
      <w:r w:rsidRPr="0071546E">
        <w:rPr>
          <w:rFonts w:ascii="Arial" w:hAnsi="Arial" w:cs="Arial"/>
          <w:sz w:val="24"/>
          <w:szCs w:val="24"/>
        </w:rPr>
        <w:t>, 473(4), pp.347-364.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Aftab Khan, M., Aftab, S., Shams, N. and Ullah Khan, R. (2019). Efficacy of photodynamic therapy in the treatment of cutaneous leishmaniasis. </w:t>
      </w:r>
      <w:r w:rsidRPr="0071546E">
        <w:rPr>
          <w:rFonts w:ascii="Arial" w:hAnsi="Arial" w:cs="Arial"/>
          <w:i/>
          <w:iCs/>
          <w:sz w:val="24"/>
          <w:szCs w:val="24"/>
        </w:rPr>
        <w:t>The Professional Medical Journal</w:t>
      </w:r>
      <w:r w:rsidRPr="0071546E">
        <w:rPr>
          <w:rFonts w:ascii="Arial" w:hAnsi="Arial" w:cs="Arial"/>
          <w:sz w:val="24"/>
          <w:szCs w:val="24"/>
        </w:rPr>
        <w:t>, 26(06).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Aharon, D., Weitman, H. and Ehrenberg, B. (2011). The effect of liposomes’ surface electric potential on the uptake of hematoporphyrin. </w:t>
      </w:r>
      <w:r w:rsidRPr="0071546E">
        <w:rPr>
          <w:rFonts w:ascii="Arial" w:hAnsi="Arial" w:cs="Arial"/>
          <w:i/>
          <w:iCs/>
          <w:sz w:val="24"/>
          <w:szCs w:val="24"/>
        </w:rPr>
        <w:t>Biochimica et Biophysica Acta (BBA) - Biomembranes</w:t>
      </w:r>
      <w:r w:rsidRPr="0071546E">
        <w:rPr>
          <w:rFonts w:ascii="Arial" w:hAnsi="Arial" w:cs="Arial"/>
          <w:sz w:val="24"/>
          <w:szCs w:val="24"/>
        </w:rPr>
        <w:t>, 1808(8), pp.2031-2035.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eastAsia="Times New Roman" w:hAnsi="Arial" w:cs="Arial"/>
          <w:color w:val="000000"/>
          <w:sz w:val="24"/>
          <w:szCs w:val="24"/>
          <w:lang w:eastAsia="en-GB"/>
        </w:rPr>
      </w:pPr>
      <w:r w:rsidRPr="0071546E">
        <w:rPr>
          <w:rFonts w:ascii="Arial" w:hAnsi="Arial" w:cs="Arial"/>
          <w:sz w:val="24"/>
          <w:szCs w:val="24"/>
        </w:rPr>
        <w:t xml:space="preserve">Akimoto, J., Fukami, S., Ichikawa, M., Mohamed, A. and Kohno, M. (2019). Intraoperative Photo diagnosis for Malignant Glioma Using Photosensitizer Talaporfin Sodium. </w:t>
      </w:r>
      <w:r w:rsidRPr="0071546E">
        <w:rPr>
          <w:rFonts w:ascii="Arial" w:hAnsi="Arial" w:cs="Arial"/>
          <w:i/>
          <w:iCs/>
          <w:sz w:val="24"/>
          <w:szCs w:val="24"/>
        </w:rPr>
        <w:t>Frontiers in Surgery</w:t>
      </w:r>
      <w:r w:rsidRPr="0071546E">
        <w:rPr>
          <w:rFonts w:ascii="Arial" w:hAnsi="Arial" w:cs="Arial"/>
          <w:sz w:val="24"/>
          <w:szCs w:val="24"/>
        </w:rPr>
        <w:t>, 6, pp. 3 - 6.</w:t>
      </w:r>
    </w:p>
    <w:p w:rsidR="000C7C78" w:rsidRPr="0071546E" w:rsidRDefault="000C7C78" w:rsidP="00C80567">
      <w:pPr>
        <w:suppressAutoHyphens/>
        <w:autoSpaceDN w:val="0"/>
        <w:spacing w:after="180" w:line="360" w:lineRule="atLeast"/>
        <w:ind w:left="1021" w:right="454" w:hanging="450"/>
        <w:jc w:val="both"/>
        <w:rPr>
          <w:rFonts w:ascii="Arial" w:hAnsi="Arial" w:cs="Arial"/>
          <w:color w:val="000000"/>
          <w:sz w:val="24"/>
          <w:szCs w:val="24"/>
          <w:lang w:val="en"/>
        </w:rPr>
      </w:pPr>
      <w:r w:rsidRPr="0071546E">
        <w:rPr>
          <w:rFonts w:ascii="Arial" w:hAnsi="Arial" w:cs="Arial"/>
          <w:sz w:val="24"/>
          <w:szCs w:val="24"/>
          <w:lang w:val="en"/>
        </w:rPr>
        <w:t xml:space="preserve">Alcorlo, M., Martínez-Caballero, S., Molina, R. and Hermoso, J. (2017). Carbohydrate recognition and lysis by bacterial peptidoglycan hydrolases. </w:t>
      </w:r>
      <w:r w:rsidRPr="0071546E">
        <w:rPr>
          <w:rFonts w:ascii="Arial" w:hAnsi="Arial" w:cs="Arial"/>
          <w:i/>
          <w:iCs/>
          <w:sz w:val="24"/>
          <w:szCs w:val="24"/>
          <w:lang w:val="en"/>
        </w:rPr>
        <w:t>Current Opinion in Structural Biology</w:t>
      </w:r>
      <w:r w:rsidRPr="0071546E">
        <w:rPr>
          <w:rFonts w:ascii="Arial" w:hAnsi="Arial" w:cs="Arial"/>
          <w:sz w:val="24"/>
          <w:szCs w:val="24"/>
          <w:lang w:val="en"/>
        </w:rPr>
        <w:t>, 44, pp.87-100.</w:t>
      </w:r>
      <w:r w:rsidRPr="0071546E">
        <w:rPr>
          <w:rFonts w:ascii="Arial" w:hAnsi="Arial" w:cs="Arial"/>
          <w:color w:val="000000"/>
          <w:sz w:val="24"/>
          <w:szCs w:val="24"/>
          <w:lang w:val="en"/>
        </w:rPr>
        <w:t xml:space="preserve"> </w:t>
      </w:r>
    </w:p>
    <w:p w:rsidR="000C7C78" w:rsidRPr="0071546E" w:rsidRDefault="000C7C78" w:rsidP="001731C5">
      <w:pPr>
        <w:suppressAutoHyphens/>
        <w:autoSpaceDN w:val="0"/>
        <w:spacing w:after="180" w:line="360" w:lineRule="atLeast"/>
        <w:ind w:left="1021" w:right="454" w:hanging="450"/>
        <w:jc w:val="both"/>
        <w:rPr>
          <w:rFonts w:ascii="Arial" w:hAnsi="Arial" w:cs="Arial"/>
          <w:sz w:val="24"/>
          <w:szCs w:val="24"/>
          <w:lang w:val="en"/>
        </w:rPr>
      </w:pPr>
      <w:r w:rsidRPr="0071546E">
        <w:rPr>
          <w:rFonts w:ascii="Arial" w:hAnsi="Arial" w:cs="Arial"/>
          <w:sz w:val="24"/>
          <w:szCs w:val="24"/>
          <w:lang w:val="en"/>
        </w:rPr>
        <w:t xml:space="preserve">Alharbi, A., La Hood, D. and Swarbrick, H. (2005). Overnight Orthokeratology Lens Wear Can Inhibit the Central Stromal Edema Response. </w:t>
      </w:r>
      <w:r w:rsidRPr="0071546E">
        <w:rPr>
          <w:rFonts w:ascii="Arial" w:hAnsi="Arial" w:cs="Arial"/>
          <w:i/>
          <w:iCs/>
          <w:sz w:val="24"/>
          <w:szCs w:val="24"/>
          <w:lang w:val="en"/>
        </w:rPr>
        <w:t>Investigative Opthalmology &amp; Visual Science</w:t>
      </w:r>
      <w:r w:rsidRPr="0071546E">
        <w:rPr>
          <w:rFonts w:ascii="Arial" w:hAnsi="Arial" w:cs="Arial"/>
          <w:sz w:val="24"/>
          <w:szCs w:val="24"/>
          <w:lang w:val="en"/>
        </w:rPr>
        <w:t>, 46(7), p.2334.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eastAsia="Times New Roman" w:hAnsi="Arial" w:cs="Arial"/>
          <w:color w:val="000000"/>
          <w:sz w:val="24"/>
          <w:szCs w:val="24"/>
          <w:lang w:eastAsia="en-GB"/>
        </w:rPr>
      </w:pPr>
      <w:r w:rsidRPr="0071546E">
        <w:rPr>
          <w:rFonts w:ascii="Arial" w:hAnsi="Arial" w:cs="Arial"/>
          <w:sz w:val="24"/>
          <w:szCs w:val="24"/>
        </w:rPr>
        <w:t xml:space="preserve">Alizadeh, H., Tripathi, T., Abdi, M. and Smith, A. (2014). TLR4 and Initiated Inflammatory Responses in the Cornea recognize pathogenic Strains of Acanthamoeba. </w:t>
      </w:r>
      <w:r w:rsidRPr="0071546E">
        <w:rPr>
          <w:rFonts w:ascii="Arial" w:hAnsi="Arial" w:cs="Arial"/>
          <w:i/>
          <w:iCs/>
          <w:sz w:val="24"/>
          <w:szCs w:val="24"/>
        </w:rPr>
        <w:t>PLoS ONE</w:t>
      </w:r>
      <w:r w:rsidRPr="0071546E">
        <w:rPr>
          <w:rFonts w:ascii="Arial" w:hAnsi="Arial" w:cs="Arial"/>
          <w:sz w:val="24"/>
          <w:szCs w:val="24"/>
        </w:rPr>
        <w:t xml:space="preserve">, 9(3), p.e92375. Lakhundi, S., Siddiqui, R. and Khan, N. (2017). Pathogenesis of microbial keratitis. </w:t>
      </w:r>
      <w:r w:rsidRPr="0071546E">
        <w:rPr>
          <w:rFonts w:ascii="Arial" w:hAnsi="Arial" w:cs="Arial"/>
          <w:i/>
          <w:iCs/>
          <w:sz w:val="24"/>
          <w:szCs w:val="24"/>
        </w:rPr>
        <w:t>Microbial Pathogenesis</w:t>
      </w:r>
      <w:r w:rsidRPr="0071546E">
        <w:rPr>
          <w:rFonts w:ascii="Arial" w:hAnsi="Arial" w:cs="Arial"/>
          <w:sz w:val="24"/>
          <w:szCs w:val="24"/>
        </w:rPr>
        <w:t>, 104, pp.97-109.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eastAsia="Times New Roman" w:hAnsi="Arial" w:cs="Arial"/>
          <w:color w:val="000000"/>
          <w:sz w:val="24"/>
          <w:szCs w:val="24"/>
          <w:lang w:eastAsia="en-GB"/>
        </w:rPr>
      </w:pPr>
      <w:r w:rsidRPr="0071546E">
        <w:rPr>
          <w:rFonts w:ascii="Arial" w:hAnsi="Arial" w:cs="Arial"/>
          <w:sz w:val="24"/>
          <w:szCs w:val="24"/>
        </w:rPr>
        <w:t xml:space="preserve">Alkharashi, M., Lindsley, K., Law, H. and Sikder, S. (2015). Medical interventions for Acanthamoeba keratitis. </w:t>
      </w:r>
      <w:r w:rsidRPr="0071546E">
        <w:rPr>
          <w:rFonts w:ascii="Arial" w:hAnsi="Arial" w:cs="Arial"/>
          <w:i/>
          <w:iCs/>
          <w:sz w:val="24"/>
          <w:szCs w:val="24"/>
        </w:rPr>
        <w:t>Cochrane Database of Systematic Reviews</w:t>
      </w:r>
      <w:r w:rsidRPr="0071546E">
        <w:rPr>
          <w:rFonts w:ascii="Arial" w:hAnsi="Arial" w:cs="Arial"/>
          <w:sz w:val="24"/>
          <w:szCs w:val="24"/>
        </w:rPr>
        <w:t>, 9(2), pp.18-21.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eastAsia="Times New Roman" w:hAnsi="Arial" w:cs="Arial"/>
          <w:color w:val="000000"/>
          <w:sz w:val="24"/>
          <w:szCs w:val="24"/>
          <w:lang w:eastAsia="en-GB"/>
        </w:rPr>
      </w:pPr>
      <w:r w:rsidRPr="0071546E">
        <w:rPr>
          <w:rFonts w:ascii="Arial" w:hAnsi="Arial" w:cs="Arial"/>
          <w:sz w:val="24"/>
          <w:szCs w:val="24"/>
        </w:rPr>
        <w:t xml:space="preserve">Alves, E., Costa, L., Carvalho, C., Tomé, J., Faustino, M., Neves, M., Tomé, A., Cavaleiro, J., Cunha, Â. and Almeida, A. (2009). Charge effect on the photoinactivation of Gram-negative and Gram-positive bacteria by cationic meso-substituted porphyrins. </w:t>
      </w:r>
      <w:r w:rsidRPr="0071546E">
        <w:rPr>
          <w:rFonts w:ascii="Arial" w:hAnsi="Arial" w:cs="Arial"/>
          <w:i/>
          <w:iCs/>
          <w:sz w:val="24"/>
          <w:szCs w:val="24"/>
        </w:rPr>
        <w:t>BMC Microbiology</w:t>
      </w:r>
      <w:r w:rsidRPr="0071546E">
        <w:rPr>
          <w:rFonts w:ascii="Arial" w:hAnsi="Arial" w:cs="Arial"/>
          <w:sz w:val="24"/>
          <w:szCs w:val="24"/>
        </w:rPr>
        <w:t>, 9(1), p.70.</w:t>
      </w:r>
    </w:p>
    <w:p w:rsidR="000C7C78" w:rsidRPr="0071546E" w:rsidRDefault="000C7C78" w:rsidP="00E36A03">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Andrade, C., Figueiredo, R., Ribeiro, K., Souza, L., Sarmento-Neto, J., Rebouças, J., Santos, B., Ribeiro, M., Carvalho, L. and Fontes, A. (2018). Photodynamic effect of zinc porphyrin on the promastigote and amastigote forms of Leishmania braziliensis. </w:t>
      </w:r>
      <w:r w:rsidRPr="0071546E">
        <w:rPr>
          <w:rFonts w:ascii="Arial" w:hAnsi="Arial" w:cs="Arial"/>
          <w:i/>
          <w:iCs/>
          <w:sz w:val="24"/>
          <w:szCs w:val="24"/>
        </w:rPr>
        <w:t>Photochemical &amp; Photobiological Sciences</w:t>
      </w:r>
      <w:r w:rsidRPr="0071546E">
        <w:rPr>
          <w:rFonts w:ascii="Arial" w:hAnsi="Arial" w:cs="Arial"/>
          <w:sz w:val="24"/>
          <w:szCs w:val="24"/>
        </w:rPr>
        <w:t>, 17(4), pp.482-490.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eastAsia="Times New Roman" w:hAnsi="Arial" w:cs="Arial"/>
          <w:color w:val="000000"/>
          <w:sz w:val="24"/>
          <w:szCs w:val="24"/>
          <w:lang w:eastAsia="en-GB"/>
        </w:rPr>
      </w:pPr>
      <w:r w:rsidRPr="0071546E">
        <w:rPr>
          <w:rFonts w:ascii="Arial" w:hAnsi="Arial" w:cs="Arial"/>
          <w:sz w:val="24"/>
          <w:szCs w:val="24"/>
        </w:rPr>
        <w:t xml:space="preserve">Ansari, S., Battogtokh, G., Wen, L., Bae, S. and Ahn, W. (2011). Synthesis of the chlorin-based fatty acid conjugate as a photosensitizer for photodynamic therapy. </w:t>
      </w:r>
      <w:r w:rsidRPr="0071546E">
        <w:rPr>
          <w:rFonts w:ascii="Arial" w:hAnsi="Arial" w:cs="Arial"/>
          <w:i/>
          <w:iCs/>
          <w:sz w:val="24"/>
          <w:szCs w:val="24"/>
        </w:rPr>
        <w:t>Photodiagnosis and Photodynamic Therapy</w:t>
      </w:r>
      <w:r w:rsidRPr="0071546E">
        <w:rPr>
          <w:rFonts w:ascii="Arial" w:hAnsi="Arial" w:cs="Arial"/>
          <w:sz w:val="24"/>
          <w:szCs w:val="24"/>
        </w:rPr>
        <w:t>, 8(2), p.194.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eastAsia="Times New Roman" w:hAnsi="Arial" w:cs="Arial"/>
          <w:color w:val="000000"/>
          <w:sz w:val="24"/>
          <w:szCs w:val="24"/>
          <w:lang w:eastAsia="en-GB"/>
        </w:rPr>
      </w:pPr>
      <w:r w:rsidRPr="0071546E">
        <w:rPr>
          <w:rFonts w:ascii="Arial" w:hAnsi="Arial" w:cs="Arial"/>
          <w:sz w:val="24"/>
          <w:szCs w:val="24"/>
        </w:rPr>
        <w:t xml:space="preserve">Anwar, A., Khan, N. and Siddiqui, R. (2018). Combating Acanthamoeba spp. cysts: what are the options? </w:t>
      </w:r>
      <w:r w:rsidRPr="0071546E">
        <w:rPr>
          <w:rFonts w:ascii="Arial" w:hAnsi="Arial" w:cs="Arial"/>
          <w:i/>
          <w:iCs/>
          <w:sz w:val="24"/>
          <w:szCs w:val="24"/>
        </w:rPr>
        <w:t>Parasites &amp; Vectors</w:t>
      </w:r>
      <w:r w:rsidRPr="0071546E">
        <w:rPr>
          <w:rFonts w:ascii="Arial" w:hAnsi="Arial" w:cs="Arial"/>
          <w:sz w:val="24"/>
          <w:szCs w:val="24"/>
        </w:rPr>
        <w:t>, 11(1).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eastAsia="Times New Roman" w:hAnsi="Arial" w:cs="Arial"/>
          <w:color w:val="000000"/>
          <w:sz w:val="24"/>
          <w:szCs w:val="24"/>
          <w:lang w:eastAsia="en-GB"/>
        </w:rPr>
      </w:pPr>
      <w:r w:rsidRPr="0071546E">
        <w:rPr>
          <w:rFonts w:ascii="Arial" w:hAnsi="Arial" w:cs="Arial"/>
          <w:sz w:val="24"/>
          <w:szCs w:val="24"/>
        </w:rPr>
        <w:t xml:space="preserve">Anwar, A., Siddiqui, R., Hussain, M., Ahmed, D., Shah, M. and Khan, N. (2017). Silver nanoparticle conjugation affects antiacanthamoebic activities of amphotericin B, nystatin, and fluconazole. </w:t>
      </w:r>
      <w:r w:rsidRPr="0071546E">
        <w:rPr>
          <w:rFonts w:ascii="Arial" w:hAnsi="Arial" w:cs="Arial"/>
          <w:i/>
          <w:iCs/>
          <w:sz w:val="24"/>
          <w:szCs w:val="24"/>
        </w:rPr>
        <w:t>Parasitology Research</w:t>
      </w:r>
      <w:r w:rsidRPr="0071546E">
        <w:rPr>
          <w:rFonts w:ascii="Arial" w:hAnsi="Arial" w:cs="Arial"/>
          <w:sz w:val="24"/>
          <w:szCs w:val="24"/>
        </w:rPr>
        <w:t>, 117(1), pp.265-271.</w:t>
      </w:r>
    </w:p>
    <w:p w:rsidR="000C7C78" w:rsidRPr="0071546E" w:rsidRDefault="000C7C78" w:rsidP="00E36A03">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Aqeel, Y., Siddiqui, R., Anwar, A., Shah, M., Khoja, S. and Khan, N. (2015). Photochemotherapeutic Strategy against Acanthamoeba Infections. </w:t>
      </w:r>
      <w:r w:rsidRPr="0071546E">
        <w:rPr>
          <w:rFonts w:ascii="Arial" w:hAnsi="Arial" w:cs="Arial"/>
          <w:i/>
          <w:iCs/>
          <w:sz w:val="24"/>
          <w:szCs w:val="24"/>
        </w:rPr>
        <w:t>Antimicrobial Agents and Chemotherapy</w:t>
      </w:r>
      <w:r w:rsidRPr="0071546E">
        <w:rPr>
          <w:rFonts w:ascii="Arial" w:hAnsi="Arial" w:cs="Arial"/>
          <w:sz w:val="24"/>
          <w:szCs w:val="24"/>
        </w:rPr>
        <w:t>, 59(6), pp.3031-3041.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eastAsia="Times New Roman" w:hAnsi="Arial" w:cs="Arial"/>
          <w:color w:val="000000"/>
          <w:sz w:val="24"/>
          <w:szCs w:val="24"/>
          <w:lang w:eastAsia="en-GB"/>
        </w:rPr>
      </w:pPr>
      <w:r w:rsidRPr="0071546E">
        <w:rPr>
          <w:rFonts w:ascii="Arial" w:hAnsi="Arial" w:cs="Arial"/>
          <w:sz w:val="24"/>
          <w:szCs w:val="24"/>
        </w:rPr>
        <w:t xml:space="preserve">Arboleda, A., Miller, D., Cabot, F., Taneja, M., Aguilar, M., Alawa, K., Amescua, G., Yoo, S. and Parel, J. (2014). Assessment of Rose Bengal Versus Riboflavin Photodynamic Therapy for Inhibition of Fungal Keratitis Isolates. </w:t>
      </w:r>
      <w:r w:rsidRPr="0071546E">
        <w:rPr>
          <w:rFonts w:ascii="Arial" w:hAnsi="Arial" w:cs="Arial"/>
          <w:i/>
          <w:iCs/>
          <w:sz w:val="24"/>
          <w:szCs w:val="24"/>
        </w:rPr>
        <w:t>American Journal of Ophthalmology</w:t>
      </w:r>
      <w:r w:rsidRPr="0071546E">
        <w:rPr>
          <w:rFonts w:ascii="Arial" w:hAnsi="Arial" w:cs="Arial"/>
          <w:sz w:val="24"/>
          <w:szCs w:val="24"/>
        </w:rPr>
        <w:t>, 158(1), pp.64-70.</w:t>
      </w:r>
    </w:p>
    <w:p w:rsidR="000C7C78" w:rsidRPr="0071546E" w:rsidRDefault="000C7C78" w:rsidP="00E07B56">
      <w:pPr>
        <w:suppressAutoHyphens/>
        <w:autoSpaceDN w:val="0"/>
        <w:spacing w:after="180" w:line="360" w:lineRule="atLeast"/>
        <w:ind w:left="1021" w:right="454" w:hanging="450"/>
        <w:jc w:val="both"/>
        <w:rPr>
          <w:rFonts w:ascii="Arial" w:hAnsi="Arial" w:cs="Arial"/>
          <w:color w:val="000000"/>
          <w:sz w:val="24"/>
          <w:szCs w:val="24"/>
          <w:lang w:val="en"/>
        </w:rPr>
      </w:pPr>
      <w:r w:rsidRPr="0071546E">
        <w:rPr>
          <w:rFonts w:ascii="Arial" w:hAnsi="Arial" w:cs="Arial"/>
          <w:sz w:val="24"/>
          <w:szCs w:val="24"/>
          <w:lang w:val="en"/>
        </w:rPr>
        <w:t xml:space="preserve">Ardito, F., Giuliani, M., Perrone, D., Troiano, G. and Muzio, L. (2017). The crucial role of protein phosphorylation in cell signaling and its use as targeted therapy (Review). </w:t>
      </w:r>
      <w:r w:rsidRPr="0071546E">
        <w:rPr>
          <w:rFonts w:ascii="Arial" w:hAnsi="Arial" w:cs="Arial"/>
          <w:i/>
          <w:iCs/>
          <w:sz w:val="24"/>
          <w:szCs w:val="24"/>
          <w:lang w:val="en"/>
        </w:rPr>
        <w:t>International Journal of Molecular Medicine</w:t>
      </w:r>
      <w:r w:rsidRPr="0071546E">
        <w:rPr>
          <w:rFonts w:ascii="Arial" w:hAnsi="Arial" w:cs="Arial"/>
          <w:sz w:val="24"/>
          <w:szCs w:val="24"/>
          <w:lang w:val="en"/>
        </w:rPr>
        <w:t>, 40(2), pp.271-280.</w:t>
      </w:r>
      <w:r w:rsidRPr="0071546E">
        <w:rPr>
          <w:rFonts w:ascii="Arial" w:hAnsi="Arial" w:cs="Arial"/>
          <w:color w:val="000000"/>
          <w:sz w:val="24"/>
          <w:szCs w:val="24"/>
          <w:lang w:val="en"/>
        </w:rPr>
        <w:t xml:space="preserve">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Armour, A., Powell, H. and Boyce, S. (2008). Fluorescein Diacetate for Determination of Cell Viability in Tissue-Engineered Skin. </w:t>
      </w:r>
      <w:r w:rsidRPr="0071546E">
        <w:rPr>
          <w:rFonts w:ascii="Arial" w:hAnsi="Arial" w:cs="Arial"/>
          <w:i/>
          <w:iCs/>
          <w:sz w:val="24"/>
          <w:szCs w:val="24"/>
        </w:rPr>
        <w:t>Tissue Engineering Part C: Methods</w:t>
      </w:r>
      <w:r w:rsidRPr="0071546E">
        <w:rPr>
          <w:rFonts w:ascii="Arial" w:hAnsi="Arial" w:cs="Arial"/>
          <w:sz w:val="24"/>
          <w:szCs w:val="24"/>
        </w:rPr>
        <w:t>, 14(1), pp.89-96.</w:t>
      </w:r>
    </w:p>
    <w:p w:rsidR="000C7C78" w:rsidRPr="0071546E" w:rsidRDefault="000C7C78" w:rsidP="008714A8">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Arnalich-Montiel, F., Reyes-Batlle, M., López-Vélez, R. and Lorenzo-Morales, J. (2018). Treatment of intraocular spread of acanthamoeba after tectonic corneal graft in acanthamoeba keratitis. </w:t>
      </w:r>
      <w:r w:rsidRPr="0071546E">
        <w:rPr>
          <w:rFonts w:ascii="Arial" w:hAnsi="Arial" w:cs="Arial"/>
          <w:i/>
          <w:iCs/>
          <w:sz w:val="24"/>
          <w:szCs w:val="24"/>
        </w:rPr>
        <w:t>Eye</w:t>
      </w:r>
      <w:r w:rsidRPr="0071546E">
        <w:rPr>
          <w:rFonts w:ascii="Arial" w:hAnsi="Arial" w:cs="Arial"/>
          <w:sz w:val="24"/>
          <w:szCs w:val="24"/>
        </w:rPr>
        <w:t>, 32(7), pp.1286-1287.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eastAsia="Times New Roman" w:hAnsi="Arial" w:cs="Arial"/>
          <w:color w:val="000000"/>
          <w:sz w:val="24"/>
          <w:szCs w:val="24"/>
          <w:lang w:eastAsia="en-GB"/>
        </w:rPr>
      </w:pPr>
      <w:r w:rsidRPr="0071546E">
        <w:rPr>
          <w:rFonts w:ascii="Arial" w:hAnsi="Arial" w:cs="Arial"/>
          <w:sz w:val="24"/>
          <w:szCs w:val="24"/>
        </w:rPr>
        <w:t xml:space="preserve">Arne L. and Anders T. (1975). Comparison of methods for extraction of bacterial adenine nucleotides determined by firefly assay. </w:t>
      </w:r>
      <w:r w:rsidRPr="0071546E">
        <w:rPr>
          <w:rFonts w:ascii="Arial" w:hAnsi="Arial" w:cs="Arial"/>
          <w:i/>
          <w:sz w:val="24"/>
          <w:szCs w:val="24"/>
        </w:rPr>
        <w:t>Journal of applied microbiology</w:t>
      </w:r>
      <w:r w:rsidRPr="0071546E">
        <w:rPr>
          <w:rFonts w:ascii="Arial" w:hAnsi="Arial" w:cs="Arial"/>
          <w:sz w:val="24"/>
          <w:szCs w:val="24"/>
        </w:rPr>
        <w:t>, 30(5), pp 713-721.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Aslantürk, Ö. (2018). In Vitro Cytotoxicity and Cell Viability Assays: Principles, Advantages, and Disadvantages. </w:t>
      </w:r>
      <w:r w:rsidRPr="0071546E">
        <w:rPr>
          <w:rFonts w:ascii="Arial" w:hAnsi="Arial" w:cs="Arial"/>
          <w:i/>
          <w:iCs/>
          <w:sz w:val="24"/>
          <w:szCs w:val="24"/>
        </w:rPr>
        <w:t xml:space="preserve">Geno toxicity - A Predictable Risk to Our Actual </w:t>
      </w:r>
      <w:r w:rsidRPr="0071546E">
        <w:rPr>
          <w:rFonts w:ascii="Arial" w:hAnsi="Arial" w:cs="Arial"/>
          <w:iCs/>
          <w:sz w:val="24"/>
          <w:szCs w:val="24"/>
        </w:rPr>
        <w:t>World.</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Asoklis, R. (2017). Contact lens-related corneal infections. </w:t>
      </w:r>
      <w:r w:rsidRPr="0071546E">
        <w:rPr>
          <w:rFonts w:ascii="Arial" w:hAnsi="Arial" w:cs="Arial"/>
          <w:i/>
          <w:iCs/>
          <w:sz w:val="24"/>
          <w:szCs w:val="24"/>
        </w:rPr>
        <w:t>Acta Ophthalmologica</w:t>
      </w:r>
      <w:r w:rsidRPr="0071546E">
        <w:rPr>
          <w:rFonts w:ascii="Arial" w:hAnsi="Arial" w:cs="Arial"/>
          <w:sz w:val="24"/>
          <w:szCs w:val="24"/>
        </w:rPr>
        <w:t>, 95.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Asoklis, R. (2017). Contact lens-related corneal infections. </w:t>
      </w:r>
      <w:r w:rsidRPr="0071546E">
        <w:rPr>
          <w:rFonts w:ascii="Arial" w:hAnsi="Arial" w:cs="Arial"/>
          <w:i/>
          <w:iCs/>
          <w:sz w:val="24"/>
          <w:szCs w:val="24"/>
        </w:rPr>
        <w:t>Acta Ophthalmologica</w:t>
      </w:r>
      <w:r w:rsidRPr="0071546E">
        <w:rPr>
          <w:rFonts w:ascii="Arial" w:hAnsi="Arial" w:cs="Arial"/>
          <w:sz w:val="24"/>
          <w:szCs w:val="24"/>
        </w:rPr>
        <w:t xml:space="preserve">, 95. Augustyniak, E., Adam, A., Wojdyla, K., Rogowska-Wrzesinska, A., Willetts, R.,            Korkmaz, A., Atalay, M., Weber, D., Grune, T., Borsa, C., Gradinaru, D., Chand Bollineni, R., Fedorova, M. and Griffiths, H. (2015). Validation of protein carbonyl measurement: A multi-centre study. </w:t>
      </w:r>
      <w:r w:rsidRPr="0071546E">
        <w:rPr>
          <w:rFonts w:ascii="Arial" w:hAnsi="Arial" w:cs="Arial"/>
          <w:i/>
          <w:iCs/>
          <w:sz w:val="24"/>
          <w:szCs w:val="24"/>
        </w:rPr>
        <w:t>Redox Biology</w:t>
      </w:r>
      <w:r w:rsidRPr="0071546E">
        <w:rPr>
          <w:rFonts w:ascii="Arial" w:hAnsi="Arial" w:cs="Arial"/>
          <w:sz w:val="24"/>
          <w:szCs w:val="24"/>
        </w:rPr>
        <w:t xml:space="preserve">, 4, pp.149-157. </w:t>
      </w:r>
    </w:p>
    <w:p w:rsidR="000C7C78" w:rsidRPr="0071546E" w:rsidRDefault="000C7C78" w:rsidP="00E07B56">
      <w:pPr>
        <w:suppressAutoHyphens/>
        <w:autoSpaceDN w:val="0"/>
        <w:spacing w:after="180" w:line="360" w:lineRule="atLeast"/>
        <w:ind w:left="1021" w:right="454" w:hanging="450"/>
        <w:jc w:val="both"/>
        <w:rPr>
          <w:rFonts w:ascii="Arial" w:hAnsi="Arial" w:cs="Arial"/>
          <w:color w:val="000000"/>
          <w:sz w:val="24"/>
          <w:szCs w:val="24"/>
          <w:lang w:val="en"/>
        </w:rPr>
      </w:pPr>
      <w:r w:rsidRPr="0071546E">
        <w:rPr>
          <w:rFonts w:ascii="Arial" w:hAnsi="Arial" w:cs="Arial"/>
          <w:sz w:val="24"/>
          <w:szCs w:val="24"/>
          <w:lang w:val="en"/>
        </w:rPr>
        <w:t xml:space="preserve">Augustyniak, E., Adam, A., Wojdyla, K., Rogowska-Wrzesinska, A., Willetts, R., Korkmaz, A., Atalay, M., Weber, D., Grune, T., Borsa, C., Gradinaru, D., Chand Bollineni, R., Fedorova, M. and Griffiths, H. (2015). Validation of protein carbonyl measurement: A multi-centre study. </w:t>
      </w:r>
      <w:r w:rsidRPr="0071546E">
        <w:rPr>
          <w:rFonts w:ascii="Arial" w:hAnsi="Arial" w:cs="Arial"/>
          <w:i/>
          <w:iCs/>
          <w:sz w:val="24"/>
          <w:szCs w:val="24"/>
          <w:lang w:val="en"/>
        </w:rPr>
        <w:t>Redox Biology</w:t>
      </w:r>
      <w:r w:rsidRPr="0071546E">
        <w:rPr>
          <w:rFonts w:ascii="Arial" w:hAnsi="Arial" w:cs="Arial"/>
          <w:sz w:val="24"/>
          <w:szCs w:val="24"/>
          <w:lang w:val="en"/>
        </w:rPr>
        <w:t>, 4, pp.149-157.</w:t>
      </w:r>
      <w:r w:rsidRPr="0071546E">
        <w:rPr>
          <w:rFonts w:ascii="Arial" w:hAnsi="Arial" w:cs="Arial"/>
          <w:color w:val="000000"/>
          <w:sz w:val="24"/>
          <w:szCs w:val="24"/>
          <w:lang w:val="en"/>
        </w:rPr>
        <w:t xml:space="preserve"> </w:t>
      </w:r>
    </w:p>
    <w:p w:rsidR="000C7C78" w:rsidRPr="0071546E" w:rsidRDefault="000C7C78" w:rsidP="00C02EC6">
      <w:pPr>
        <w:suppressAutoHyphens/>
        <w:autoSpaceDN w:val="0"/>
        <w:spacing w:after="180" w:line="360" w:lineRule="atLeast"/>
        <w:ind w:left="1021" w:right="454" w:hanging="450"/>
        <w:jc w:val="both"/>
        <w:rPr>
          <w:rFonts w:ascii="Arial" w:hAnsi="Arial" w:cs="Arial"/>
          <w:color w:val="000000"/>
          <w:sz w:val="24"/>
          <w:szCs w:val="24"/>
          <w:lang w:val="en"/>
        </w:rPr>
      </w:pPr>
      <w:r w:rsidRPr="0071546E">
        <w:rPr>
          <w:rFonts w:ascii="Arial" w:hAnsi="Arial" w:cs="Arial"/>
          <w:sz w:val="24"/>
          <w:szCs w:val="24"/>
        </w:rPr>
        <w:t xml:space="preserve">Augustyniak, E., Adam, A., Wojdyla, K., Rogowska-Wrzesinska, A., Willetts, R., Korkmaz, A., Atalay, M., Weber, D., Grune, T., Borsa, C., Gradinaru, D., Chand Bollineni, R., Fedorova, M. and Griffiths, H. (2015). Validation of protein carbonyl measurement: A multi-centre study. </w:t>
      </w:r>
      <w:r w:rsidRPr="0071546E">
        <w:rPr>
          <w:rFonts w:ascii="Arial" w:hAnsi="Arial" w:cs="Arial"/>
          <w:i/>
          <w:iCs/>
          <w:sz w:val="24"/>
          <w:szCs w:val="24"/>
        </w:rPr>
        <w:t>Redox Biology</w:t>
      </w:r>
      <w:r w:rsidRPr="0071546E">
        <w:rPr>
          <w:rFonts w:ascii="Arial" w:hAnsi="Arial" w:cs="Arial"/>
          <w:sz w:val="24"/>
          <w:szCs w:val="24"/>
        </w:rPr>
        <w:t>, 4, pp.149-157.</w:t>
      </w:r>
      <w:r w:rsidRPr="0071546E">
        <w:rPr>
          <w:rFonts w:ascii="Arial" w:hAnsi="Arial" w:cs="Arial"/>
          <w:color w:val="000000"/>
          <w:sz w:val="24"/>
          <w:szCs w:val="24"/>
          <w:lang w:val="en"/>
        </w:rPr>
        <w:t xml:space="preserve">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Ayala, A., Muñoz, M. and Argüelles, S. (2014). Lipid Peroxidation: Production, Metabolism, and Signaling Mechanisms of Malondialdehyde and 4-Hydroxy-2-Nonenal. </w:t>
      </w:r>
      <w:r w:rsidRPr="0071546E">
        <w:rPr>
          <w:rFonts w:ascii="Arial" w:hAnsi="Arial" w:cs="Arial"/>
          <w:i/>
          <w:iCs/>
          <w:sz w:val="24"/>
          <w:szCs w:val="24"/>
        </w:rPr>
        <w:t>Oxidative Medicine and Cellular Longevity</w:t>
      </w:r>
      <w:r w:rsidRPr="0071546E">
        <w:rPr>
          <w:rFonts w:ascii="Arial" w:hAnsi="Arial" w:cs="Arial"/>
          <w:sz w:val="24"/>
          <w:szCs w:val="24"/>
        </w:rPr>
        <w:t>, 2014, pp.1-31.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Badenoch, P. (1991). The pathogenesis of Acanthamoeba keratitis. </w:t>
      </w:r>
      <w:r w:rsidRPr="0071546E">
        <w:rPr>
          <w:rFonts w:ascii="Arial" w:hAnsi="Arial" w:cs="Arial"/>
          <w:i/>
          <w:iCs/>
          <w:sz w:val="24"/>
          <w:szCs w:val="24"/>
        </w:rPr>
        <w:t>Australian and New Zealand Journal of Ophthalmology</w:t>
      </w:r>
      <w:r w:rsidRPr="0071546E">
        <w:rPr>
          <w:rFonts w:ascii="Arial" w:hAnsi="Arial" w:cs="Arial"/>
          <w:sz w:val="24"/>
          <w:szCs w:val="24"/>
        </w:rPr>
        <w:t>, 19(1), pp.9-20.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Bagga, B., Joseph, J., Garg, P., Chandran, K., Jayabhasker, P., Manjulatha, K. and Sharma, S. (2018). Efficacy of Topical Miltefosine in Patients with Acanthamoeba Keratitis: A Pilot Study. </w:t>
      </w:r>
      <w:r w:rsidRPr="0071546E">
        <w:rPr>
          <w:rFonts w:ascii="Arial" w:hAnsi="Arial" w:cs="Arial"/>
          <w:i/>
          <w:iCs/>
          <w:sz w:val="24"/>
          <w:szCs w:val="24"/>
        </w:rPr>
        <w:t>Ophthalmology</w:t>
      </w:r>
      <w:r w:rsidRPr="0071546E">
        <w:rPr>
          <w:rFonts w:ascii="Arial" w:hAnsi="Arial" w:cs="Arial"/>
          <w:sz w:val="24"/>
          <w:szCs w:val="24"/>
        </w:rPr>
        <w:t xml:space="preserve">. </w:t>
      </w:r>
    </w:p>
    <w:p w:rsidR="000C7C78" w:rsidRPr="0071546E" w:rsidRDefault="000C7C78" w:rsidP="00024C89">
      <w:pPr>
        <w:shd w:val="clear" w:color="auto" w:fill="FFFFFF"/>
        <w:suppressAutoHyphens/>
        <w:autoSpaceDN w:val="0"/>
        <w:spacing w:after="180" w:line="360" w:lineRule="atLeast"/>
        <w:ind w:left="1021" w:right="454" w:hanging="450"/>
        <w:jc w:val="both"/>
        <w:rPr>
          <w:rFonts w:ascii="Arial" w:hAnsi="Arial" w:cs="Arial"/>
          <w:color w:val="000000" w:themeColor="text1"/>
          <w:sz w:val="24"/>
          <w:szCs w:val="24"/>
        </w:rPr>
      </w:pPr>
      <w:r w:rsidRPr="0071546E">
        <w:rPr>
          <w:rFonts w:ascii="Arial" w:hAnsi="Arial" w:cs="Arial"/>
          <w:color w:val="000000"/>
          <w:sz w:val="24"/>
          <w:szCs w:val="24"/>
        </w:rPr>
        <w:t xml:space="preserve">Baig, A., Iqbal, J. and Khan, N. (2013). In VitroEfficacies of Clinically Available Drugs against Growth and Viability of an Acanthamoeba castellanii Keratitis Isolate Belonging to the T4 Genotype. </w:t>
      </w:r>
      <w:r w:rsidRPr="0071546E">
        <w:rPr>
          <w:rFonts w:ascii="Arial" w:hAnsi="Arial" w:cs="Arial"/>
          <w:i/>
          <w:iCs/>
          <w:color w:val="000000"/>
          <w:sz w:val="24"/>
          <w:szCs w:val="24"/>
        </w:rPr>
        <w:t>Antimicrobial Agents and Chemotherapy</w:t>
      </w:r>
      <w:r w:rsidRPr="0071546E">
        <w:rPr>
          <w:rFonts w:ascii="Arial" w:hAnsi="Arial" w:cs="Arial"/>
          <w:color w:val="000000"/>
          <w:sz w:val="24"/>
          <w:szCs w:val="24"/>
        </w:rPr>
        <w:t>, 57(8), pp.3561-3567.</w:t>
      </w:r>
      <w:r w:rsidRPr="0071546E">
        <w:rPr>
          <w:rFonts w:ascii="Arial" w:hAnsi="Arial" w:cs="Arial"/>
          <w:color w:val="000000" w:themeColor="text1"/>
          <w:sz w:val="24"/>
          <w:szCs w:val="24"/>
        </w:rPr>
        <w:t xml:space="preserve"> </w:t>
      </w:r>
    </w:p>
    <w:p w:rsidR="000C7C78" w:rsidRPr="0071546E" w:rsidRDefault="000C7C78" w:rsidP="001731C5">
      <w:pPr>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Bairagi, SH. (2017). Acanthamoeba Keratitis: Diagnosis and Treatment. J Rare Disord Diagn Ther. Vol. 3 No. pp 4-8.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Bajerski, F., Stock, J., Hanf, B., Darienko, T., Heine-Dobbernack, E., Lorenz, M., Naujox, L., Keller, E., Schumacher, H., Friedl, T., Eberth, S., Mock, H., Kniemeyer, O. and Overmann, J. (2018). ATP Content and Cell Viability as Indicators for Cryostasis across the Diversity of Life. </w:t>
      </w:r>
      <w:r w:rsidRPr="0071546E">
        <w:rPr>
          <w:rFonts w:ascii="Arial" w:hAnsi="Arial" w:cs="Arial"/>
          <w:i/>
          <w:iCs/>
          <w:sz w:val="24"/>
          <w:szCs w:val="24"/>
        </w:rPr>
        <w:t>Frontiers in Physiology</w:t>
      </w:r>
      <w:r w:rsidRPr="0071546E">
        <w:rPr>
          <w:rFonts w:ascii="Arial" w:hAnsi="Arial" w:cs="Arial"/>
          <w:sz w:val="24"/>
          <w:szCs w:val="24"/>
        </w:rPr>
        <w:t>, 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Balouiri, M., Sadiki, M. and Ibnsouda, S. (2016). Methods for in vitro evaluating Antimicrobial activity: A review. </w:t>
      </w:r>
      <w:r w:rsidRPr="0071546E">
        <w:rPr>
          <w:rFonts w:ascii="Arial" w:hAnsi="Arial" w:cs="Arial"/>
          <w:i/>
          <w:iCs/>
          <w:sz w:val="24"/>
          <w:szCs w:val="24"/>
        </w:rPr>
        <w:t>Journal of Pharmaceutical Analysis</w:t>
      </w:r>
      <w:r w:rsidRPr="0071546E">
        <w:rPr>
          <w:rFonts w:ascii="Arial" w:hAnsi="Arial" w:cs="Arial"/>
          <w:sz w:val="24"/>
          <w:szCs w:val="24"/>
        </w:rPr>
        <w:t>, 6(2), pp.71-79.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Bandyopadhyay, U., Das, D., &amp; Banerjee, R. (1999). Reactive oxygen species: Oxidative damage and pathogenesis. </w:t>
      </w:r>
      <w:r w:rsidRPr="0071546E">
        <w:rPr>
          <w:rFonts w:ascii="Arial" w:hAnsi="Arial" w:cs="Arial"/>
          <w:i/>
          <w:iCs/>
          <w:sz w:val="24"/>
          <w:szCs w:val="24"/>
        </w:rPr>
        <w:t>Current Science,</w:t>
      </w:r>
      <w:r w:rsidRPr="0071546E">
        <w:rPr>
          <w:rFonts w:ascii="Arial" w:hAnsi="Arial" w:cs="Arial"/>
          <w:sz w:val="24"/>
          <w:szCs w:val="24"/>
        </w:rPr>
        <w:t xml:space="preserve"> </w:t>
      </w:r>
      <w:r w:rsidRPr="0071546E">
        <w:rPr>
          <w:rFonts w:ascii="Arial" w:hAnsi="Arial" w:cs="Arial"/>
          <w:i/>
          <w:iCs/>
          <w:sz w:val="24"/>
          <w:szCs w:val="24"/>
        </w:rPr>
        <w:t>77</w:t>
      </w:r>
      <w:r w:rsidRPr="0071546E">
        <w:rPr>
          <w:rFonts w:ascii="Arial" w:hAnsi="Arial" w:cs="Arial"/>
          <w:sz w:val="24"/>
          <w:szCs w:val="24"/>
        </w:rPr>
        <w:t xml:space="preserve">(5), 658-666. Retrieved from http://www.jstor.org/stable/24102839 Amescua, G., Arboleda, A., Nikpoor, N., Durkee, H., Relhan, N., Aguilar, M., Flynn, H., Miller, D. and Parel, J. (2017). Rose Bengal Photodynamic Antimicrobial Therapy. </w:t>
      </w:r>
      <w:r w:rsidRPr="0071546E">
        <w:rPr>
          <w:rFonts w:ascii="Arial" w:hAnsi="Arial" w:cs="Arial"/>
          <w:i/>
          <w:iCs/>
          <w:sz w:val="24"/>
          <w:szCs w:val="24"/>
        </w:rPr>
        <w:t>Cornea</w:t>
      </w:r>
      <w:r w:rsidRPr="0071546E">
        <w:rPr>
          <w:rFonts w:ascii="Arial" w:hAnsi="Arial" w:cs="Arial"/>
          <w:sz w:val="24"/>
          <w:szCs w:val="24"/>
        </w:rPr>
        <w:t>, 36(9), pp.1141-1144.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Banfi, S., Caruso, E., Buccafurni, L., Battini, V., Zazzaron, S., Barbieri, P. and Orlandi, V. (2006). Antibacterial activity of tetraaryl-porphyrin photosensitizers: An in vitro study on Gram-negative and Gram-positive bacteria. </w:t>
      </w:r>
      <w:r w:rsidRPr="0071546E">
        <w:rPr>
          <w:rFonts w:ascii="Arial" w:hAnsi="Arial" w:cs="Arial"/>
          <w:i/>
          <w:iCs/>
          <w:sz w:val="24"/>
          <w:szCs w:val="24"/>
        </w:rPr>
        <w:t>Journal of Photochemistry and Photobiology B: Biology</w:t>
      </w:r>
      <w:r w:rsidRPr="0071546E">
        <w:rPr>
          <w:rFonts w:ascii="Arial" w:hAnsi="Arial" w:cs="Arial"/>
          <w:sz w:val="24"/>
          <w:szCs w:val="24"/>
        </w:rPr>
        <w:t>, 85(1), pp.28-38.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Baptista, M., Cadet, J., Di Mascio, P., Ghogare, A., Greer, A., Hamblin, M., Lorente, C., Nunez, S., Ribeiro, M., Thomas, A., Vignoni, M. and Yoshimura, T. (2017). Type I and Type II Photosensitized Oxidation Reactions: Guidelines and Mechanistic Pathways. </w:t>
      </w:r>
      <w:r w:rsidRPr="0071546E">
        <w:rPr>
          <w:rFonts w:ascii="Arial" w:hAnsi="Arial" w:cs="Arial"/>
          <w:i/>
          <w:iCs/>
          <w:sz w:val="24"/>
          <w:szCs w:val="24"/>
        </w:rPr>
        <w:t>Photochemistry and Photobiology</w:t>
      </w:r>
      <w:r w:rsidRPr="0071546E">
        <w:rPr>
          <w:rFonts w:ascii="Arial" w:hAnsi="Arial" w:cs="Arial"/>
          <w:sz w:val="24"/>
          <w:szCs w:val="24"/>
        </w:rPr>
        <w:t>, 93(4), pp.912-919.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Barolet, D. (2008). Light-Emitting Diodes (LEDs) in Dermatology. </w:t>
      </w:r>
      <w:r w:rsidRPr="0071546E">
        <w:rPr>
          <w:rFonts w:ascii="Arial" w:hAnsi="Arial" w:cs="Arial"/>
          <w:i/>
          <w:iCs/>
          <w:color w:val="000000"/>
          <w:sz w:val="24"/>
          <w:szCs w:val="24"/>
        </w:rPr>
        <w:t>Seminars in Cutaneous Medicine and Surgery</w:t>
      </w:r>
      <w:r w:rsidRPr="0071546E">
        <w:rPr>
          <w:rFonts w:ascii="Arial" w:hAnsi="Arial" w:cs="Arial"/>
          <w:color w:val="000000"/>
          <w:sz w:val="24"/>
          <w:szCs w:val="24"/>
        </w:rPr>
        <w:t>, 27(4), pp.227-238.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Barrera, G. (2012). Oxidative Stress and Lipid Peroxidation Products in Cancer Progression and Therapy. </w:t>
      </w:r>
      <w:r w:rsidRPr="0071546E">
        <w:rPr>
          <w:rFonts w:ascii="Arial" w:hAnsi="Arial" w:cs="Arial"/>
          <w:i/>
          <w:iCs/>
          <w:sz w:val="24"/>
          <w:szCs w:val="24"/>
        </w:rPr>
        <w:t>ISRN Oncology</w:t>
      </w:r>
      <w:r w:rsidRPr="0071546E">
        <w:rPr>
          <w:rFonts w:ascii="Arial" w:hAnsi="Arial" w:cs="Arial"/>
          <w:sz w:val="24"/>
          <w:szCs w:val="24"/>
        </w:rPr>
        <w:t>, 2012, pp.1-21.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Bellnier, D., Greco, W., Loewen, G., Nava, H., Oseroff, A. and Dougherty, T. (2006). Clinical Pharmacokinetics of the PDT Photosensitizers Porfimer Sodium (Photofrin), 2-[1-Hexyloxyethyl]-2-Devinyl Pyropheophorbide-a (Photochlor) and 5-ALA-Induced Protoporphyrin IX. </w:t>
      </w:r>
      <w:r w:rsidRPr="0071546E">
        <w:rPr>
          <w:rFonts w:ascii="Arial" w:hAnsi="Arial" w:cs="Arial"/>
          <w:i/>
          <w:iCs/>
          <w:sz w:val="24"/>
          <w:szCs w:val="24"/>
        </w:rPr>
        <w:t>Lasers in Surgery and Medicine</w:t>
      </w:r>
      <w:r w:rsidRPr="0071546E">
        <w:rPr>
          <w:rFonts w:ascii="Arial" w:hAnsi="Arial" w:cs="Arial"/>
          <w:sz w:val="24"/>
          <w:szCs w:val="24"/>
        </w:rPr>
        <w:t>, 38(5), pp.439-444.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Benov, L. (2015). Photodynamic Therapy: Status and Future Directions. </w:t>
      </w:r>
      <w:r w:rsidRPr="0071546E">
        <w:rPr>
          <w:rFonts w:ascii="Arial" w:hAnsi="Arial" w:cs="Arial"/>
          <w:i/>
          <w:iCs/>
          <w:sz w:val="24"/>
          <w:szCs w:val="24"/>
        </w:rPr>
        <w:t>Medical Principles and Practice</w:t>
      </w:r>
      <w:r w:rsidRPr="0071546E">
        <w:rPr>
          <w:rFonts w:ascii="Arial" w:hAnsi="Arial" w:cs="Arial"/>
          <w:sz w:val="24"/>
          <w:szCs w:val="24"/>
        </w:rPr>
        <w:t>, 24(s1), pp.14-28.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Berk, S. and Garduño, R. (2012). The Tetrahymena and Acanthamoeba Model Systems. </w:t>
      </w:r>
      <w:r w:rsidRPr="0071546E">
        <w:rPr>
          <w:rFonts w:ascii="Arial" w:hAnsi="Arial" w:cs="Arial"/>
          <w:i/>
          <w:iCs/>
          <w:sz w:val="24"/>
          <w:szCs w:val="24"/>
        </w:rPr>
        <w:t>Methods in Molecular Biology</w:t>
      </w:r>
      <w:r w:rsidRPr="0071546E">
        <w:rPr>
          <w:rFonts w:ascii="Arial" w:hAnsi="Arial" w:cs="Arial"/>
          <w:sz w:val="24"/>
          <w:szCs w:val="24"/>
        </w:rPr>
        <w:t>, pp.393-416.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Berridge, M., Herst, P. and Tan, A. (2005). Tetrazolium dyes as tools in cell biology: New insights into their cellular reduction. </w:t>
      </w:r>
      <w:r w:rsidRPr="0071546E">
        <w:rPr>
          <w:rFonts w:ascii="Arial" w:hAnsi="Arial" w:cs="Arial"/>
          <w:i/>
          <w:iCs/>
          <w:sz w:val="24"/>
          <w:szCs w:val="24"/>
        </w:rPr>
        <w:t>Biotechnology Annual Review</w:t>
      </w:r>
      <w:r w:rsidRPr="0071546E">
        <w:rPr>
          <w:rFonts w:ascii="Arial" w:hAnsi="Arial" w:cs="Arial"/>
          <w:sz w:val="24"/>
          <w:szCs w:val="24"/>
        </w:rPr>
        <w:t>, pp.127-152.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Bheri, M. and Pandey, G. (2018). Protein phosphatases meet reactive oxygen species in plant signalling networks. </w:t>
      </w:r>
      <w:r w:rsidRPr="0071546E">
        <w:rPr>
          <w:rFonts w:ascii="Arial" w:hAnsi="Arial" w:cs="Arial"/>
          <w:i/>
          <w:iCs/>
          <w:sz w:val="24"/>
          <w:szCs w:val="24"/>
        </w:rPr>
        <w:t>Environmental and Experimental Botany</w:t>
      </w:r>
      <w:r w:rsidRPr="0071546E">
        <w:rPr>
          <w:rFonts w:ascii="Arial" w:hAnsi="Arial" w:cs="Arial"/>
          <w:sz w:val="24"/>
          <w:szCs w:val="24"/>
        </w:rPr>
        <w:t>.</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Birsoy, K., Wang, T., Chen, W., Freinkman, E., Abu-Remaileh, M. and Sabatini, D. (2015). An Essential Role of the Mitochondrial Electron Transport Chain in Cell Proliferation Is to Enable Aspartate Synthesis. </w:t>
      </w:r>
      <w:r w:rsidRPr="0071546E">
        <w:rPr>
          <w:rFonts w:ascii="Arial" w:hAnsi="Arial" w:cs="Arial"/>
          <w:i/>
          <w:iCs/>
          <w:color w:val="000000"/>
          <w:sz w:val="24"/>
          <w:szCs w:val="24"/>
        </w:rPr>
        <w:t>Cell</w:t>
      </w:r>
      <w:r w:rsidRPr="0071546E">
        <w:rPr>
          <w:rFonts w:ascii="Arial" w:hAnsi="Arial" w:cs="Arial"/>
          <w:color w:val="000000"/>
          <w:sz w:val="24"/>
          <w:szCs w:val="24"/>
        </w:rPr>
        <w:t xml:space="preserve">, 162(3), pp.540-551.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lang w:val="en-US"/>
        </w:rPr>
        <w:t xml:space="preserve">Bliss, J., Bigelow, C., Foster, T. and Haidaris, C. (2004). Susceptibility of Candida Species to Photodynamic Effects of Photofrin. </w:t>
      </w:r>
      <w:r w:rsidRPr="0071546E">
        <w:rPr>
          <w:rFonts w:ascii="Arial" w:hAnsi="Arial" w:cs="Arial"/>
          <w:i/>
          <w:iCs/>
          <w:sz w:val="24"/>
          <w:szCs w:val="24"/>
          <w:lang w:val="en-US"/>
        </w:rPr>
        <w:t>Antimicrobial Agents and Chemotherapy</w:t>
      </w:r>
      <w:r w:rsidRPr="0071546E">
        <w:rPr>
          <w:rFonts w:ascii="Arial" w:hAnsi="Arial" w:cs="Arial"/>
          <w:sz w:val="24"/>
          <w:szCs w:val="24"/>
          <w:lang w:val="en-US"/>
        </w:rPr>
        <w:t>, 48(6), pp.2000-2006.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Bonnier, F., Keating, M., Wróbel, T., Majzner, K., Baranska, M., Garcia-Munoz, A., Blanco, A. and Byrne, H. (2015). Cell viability assessment using the Alamar blue assay: A comparison of 2D and 3D cell culture models. </w:t>
      </w:r>
      <w:r w:rsidRPr="0071546E">
        <w:rPr>
          <w:rFonts w:ascii="Arial" w:hAnsi="Arial" w:cs="Arial"/>
          <w:i/>
          <w:iCs/>
          <w:sz w:val="24"/>
          <w:szCs w:val="24"/>
        </w:rPr>
        <w:t>Toxicology in Vitro</w:t>
      </w:r>
      <w:r w:rsidRPr="0071546E">
        <w:rPr>
          <w:rFonts w:ascii="Arial" w:hAnsi="Arial" w:cs="Arial"/>
          <w:sz w:val="24"/>
          <w:szCs w:val="24"/>
        </w:rPr>
        <w:t>, 29(1), pp.124-131.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Bouyer, S., Imbert, C., Daniault, G., Cateau, E. and Rodier, M. (2006). Effect of caspofungin on trophozoites and cysts of three species of Acanthamoeba. </w:t>
      </w:r>
      <w:r w:rsidRPr="0071546E">
        <w:rPr>
          <w:rFonts w:ascii="Arial" w:hAnsi="Arial" w:cs="Arial"/>
          <w:i/>
          <w:iCs/>
          <w:sz w:val="24"/>
          <w:szCs w:val="24"/>
        </w:rPr>
        <w:t>Journal of Antimicrobial Chemotherapy</w:t>
      </w:r>
      <w:r w:rsidRPr="0071546E">
        <w:rPr>
          <w:rFonts w:ascii="Arial" w:hAnsi="Arial" w:cs="Arial"/>
          <w:sz w:val="24"/>
          <w:szCs w:val="24"/>
        </w:rPr>
        <w:t>, 59(1), pp.122-124.</w:t>
      </w:r>
    </w:p>
    <w:p w:rsidR="000C7C78" w:rsidRPr="0071546E" w:rsidRDefault="000C7C78" w:rsidP="001731C5">
      <w:pPr>
        <w:suppressAutoHyphens/>
        <w:autoSpaceDN w:val="0"/>
        <w:spacing w:after="180" w:line="360" w:lineRule="atLeast"/>
        <w:ind w:left="1021" w:right="454" w:hanging="450"/>
        <w:jc w:val="both"/>
        <w:rPr>
          <w:rFonts w:ascii="Arial" w:hAnsi="Arial" w:cs="Arial"/>
          <w:sz w:val="24"/>
          <w:szCs w:val="24"/>
          <w:lang w:val="en"/>
        </w:rPr>
      </w:pPr>
      <w:r w:rsidRPr="0071546E">
        <w:rPr>
          <w:rFonts w:ascii="Arial" w:hAnsi="Arial" w:cs="Arial"/>
          <w:sz w:val="24"/>
          <w:szCs w:val="24"/>
          <w:lang w:val="en"/>
        </w:rPr>
        <w:t xml:space="preserve">Brasseur, G., Favennec, L., Perrine, D., Chenu, J. and Brasseur, P. (1994). Successful Treatment of Acanthamoeba Keratitis by Hexamidine. </w:t>
      </w:r>
      <w:r w:rsidRPr="0071546E">
        <w:rPr>
          <w:rFonts w:ascii="Arial" w:hAnsi="Arial" w:cs="Arial"/>
          <w:i/>
          <w:iCs/>
          <w:sz w:val="24"/>
          <w:szCs w:val="24"/>
          <w:lang w:val="en"/>
        </w:rPr>
        <w:t>Cornea</w:t>
      </w:r>
      <w:r w:rsidRPr="0071546E">
        <w:rPr>
          <w:rFonts w:ascii="Arial" w:hAnsi="Arial" w:cs="Arial"/>
          <w:sz w:val="24"/>
          <w:szCs w:val="24"/>
          <w:lang w:val="en"/>
        </w:rPr>
        <w:t>, 13(5), pp.459-462.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Brehm-Stecher, B. and Johnson, E. (2004). Single-Cell Microbiology: Tools, Technologies, and Applications. </w:t>
      </w:r>
      <w:r w:rsidRPr="0071546E">
        <w:rPr>
          <w:rFonts w:ascii="Arial" w:hAnsi="Arial" w:cs="Arial"/>
          <w:i/>
          <w:iCs/>
          <w:sz w:val="24"/>
          <w:szCs w:val="24"/>
        </w:rPr>
        <w:t>Microbiology and Molecular Biology Reviews</w:t>
      </w:r>
      <w:r w:rsidRPr="0071546E">
        <w:rPr>
          <w:rFonts w:ascii="Arial" w:hAnsi="Arial" w:cs="Arial"/>
          <w:sz w:val="24"/>
          <w:szCs w:val="24"/>
        </w:rPr>
        <w:t>, 68(3), pp.538-559.</w:t>
      </w:r>
    </w:p>
    <w:p w:rsidR="000C7C78" w:rsidRPr="0071546E" w:rsidRDefault="000C7C78" w:rsidP="00E36A03">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Bristow, C., Hudson, R., Paget, T. and Boyle, R. (2006). Potential of cationic porphyrins for photodynamic treatment of cutaneous Leishmaniasis. </w:t>
      </w:r>
      <w:r w:rsidRPr="0071546E">
        <w:rPr>
          <w:rFonts w:ascii="Arial" w:hAnsi="Arial" w:cs="Arial"/>
          <w:i/>
          <w:iCs/>
          <w:sz w:val="24"/>
          <w:szCs w:val="24"/>
        </w:rPr>
        <w:t>Photodiagnosis and Photodynamic Therapy</w:t>
      </w:r>
      <w:r w:rsidRPr="0071546E">
        <w:rPr>
          <w:rFonts w:ascii="Arial" w:hAnsi="Arial" w:cs="Arial"/>
          <w:sz w:val="24"/>
          <w:szCs w:val="24"/>
        </w:rPr>
        <w:t>, 3(3), pp.162-167.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Brocious, J., Tarver, M., Hampton, D. and Eydelman, M. (2018). Acanthamoeba. </w:t>
      </w:r>
      <w:r w:rsidRPr="0071546E">
        <w:rPr>
          <w:rFonts w:ascii="Arial" w:hAnsi="Arial" w:cs="Arial"/>
          <w:i/>
          <w:iCs/>
          <w:sz w:val="24"/>
          <w:szCs w:val="24"/>
        </w:rPr>
        <w:t>Eye &amp; Contact Lens: Science &amp; Clinical Practice</w:t>
      </w:r>
      <w:r w:rsidRPr="0071546E">
        <w:rPr>
          <w:rFonts w:ascii="Arial" w:hAnsi="Arial" w:cs="Arial"/>
          <w:sz w:val="24"/>
          <w:szCs w:val="24"/>
        </w:rPr>
        <w:t>, 44(6), pp.351-354.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Brown, A., Ross, J., Jones, D., Collier, S., Ayers, T., Hoekstra, R., Backensen, B., Roy, S., Beach, M. and Yoder, J. (2017). Risk Factors for Acanthamoeba Keratitis—A Multistate Case-Control Study, 2008–2011. </w:t>
      </w:r>
      <w:r w:rsidRPr="0071546E">
        <w:rPr>
          <w:rFonts w:ascii="Arial" w:hAnsi="Arial" w:cs="Arial"/>
          <w:i/>
          <w:iCs/>
          <w:sz w:val="24"/>
          <w:szCs w:val="24"/>
        </w:rPr>
        <w:t>Eye &amp; Contact Lens: Science &amp; Clinical Practice</w:t>
      </w:r>
      <w:r w:rsidRPr="0071546E">
        <w:rPr>
          <w:rFonts w:ascii="Arial" w:hAnsi="Arial" w:cs="Arial"/>
          <w:sz w:val="24"/>
          <w:szCs w:val="24"/>
        </w:rPr>
        <w:t>, p.1.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Brown, R. and Audet, J. (2008). Current techniques for single-cell lysis. </w:t>
      </w:r>
      <w:r w:rsidRPr="0071546E">
        <w:rPr>
          <w:rFonts w:ascii="Arial" w:hAnsi="Arial" w:cs="Arial"/>
          <w:i/>
          <w:iCs/>
          <w:sz w:val="24"/>
          <w:szCs w:val="24"/>
        </w:rPr>
        <w:t>Journal of The Royal Society Interface</w:t>
      </w:r>
      <w:r w:rsidRPr="0071546E">
        <w:rPr>
          <w:rFonts w:ascii="Arial" w:hAnsi="Arial" w:cs="Arial"/>
          <w:sz w:val="24"/>
          <w:szCs w:val="24"/>
        </w:rPr>
        <w:t>, 5(suppl_2).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Cabello-Vílchez, A., Martín-Navarro, C., López-Arencibia, A., Reyes-Batlle, M., Sifaoui, I., Valladares, B., Piñero, J. and Lorenzo-Morales, J. (2013). Voriconazole as a first-line treatment against potentially pathogenic Acanthamoeba strains from Peru. Parasitology Research, 113(2), pp.755-759.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Cadet, J. and Wagner, J. (2013). DNA Base Damage by Reactive Oxygen Species, Oxidizing Agents, and UV Radiation. </w:t>
      </w:r>
      <w:r w:rsidRPr="0071546E">
        <w:rPr>
          <w:rFonts w:ascii="Arial" w:hAnsi="Arial" w:cs="Arial"/>
          <w:i/>
          <w:iCs/>
          <w:sz w:val="24"/>
          <w:szCs w:val="24"/>
        </w:rPr>
        <w:t>Cold Spring Harbor Perspectives in Biology</w:t>
      </w:r>
      <w:r w:rsidRPr="0071546E">
        <w:rPr>
          <w:rFonts w:ascii="Arial" w:hAnsi="Arial" w:cs="Arial"/>
          <w:sz w:val="24"/>
          <w:szCs w:val="24"/>
        </w:rPr>
        <w:t>, 5(2), pp.a012559-a012559.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Caldecott, K. (2003). DNA Single-Strand Break Repair and Spinocerebellar Ataxia. </w:t>
      </w:r>
      <w:r w:rsidRPr="0071546E">
        <w:rPr>
          <w:rFonts w:ascii="Arial" w:hAnsi="Arial" w:cs="Arial"/>
          <w:i/>
          <w:iCs/>
          <w:sz w:val="24"/>
          <w:szCs w:val="24"/>
        </w:rPr>
        <w:t>Cell</w:t>
      </w:r>
      <w:r w:rsidRPr="0071546E">
        <w:rPr>
          <w:rFonts w:ascii="Arial" w:hAnsi="Arial" w:cs="Arial"/>
          <w:sz w:val="24"/>
          <w:szCs w:val="24"/>
        </w:rPr>
        <w:t>, 112(1), pp.7-10.</w:t>
      </w:r>
    </w:p>
    <w:p w:rsidR="000C7C78" w:rsidRPr="0071546E" w:rsidRDefault="000C7C78" w:rsidP="007E5D69">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Callewaert, L. and Michiels, C. (2010). Lysozymes in the animal kingdom. </w:t>
      </w:r>
      <w:r w:rsidRPr="0071546E">
        <w:rPr>
          <w:rFonts w:ascii="Arial" w:hAnsi="Arial" w:cs="Arial"/>
          <w:i/>
          <w:iCs/>
          <w:color w:val="000000"/>
          <w:sz w:val="24"/>
          <w:szCs w:val="24"/>
        </w:rPr>
        <w:t>Journal of Biosciences</w:t>
      </w:r>
      <w:r w:rsidRPr="0071546E">
        <w:rPr>
          <w:rFonts w:ascii="Arial" w:hAnsi="Arial" w:cs="Arial"/>
          <w:color w:val="000000"/>
          <w:sz w:val="24"/>
          <w:szCs w:val="24"/>
        </w:rPr>
        <w:t>, 35(1), pp.127-160.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Canelas, A., ten Pierick, A., Ras, C., Seifar, R., van Dam, J., van Gulik, W. and Heijnen, J. (2009). Quantitative Evaluation of Intracellular Metabolite Extraction Techniques for Yeast Metabolomics. </w:t>
      </w:r>
      <w:r w:rsidRPr="0071546E">
        <w:rPr>
          <w:rFonts w:ascii="Arial" w:hAnsi="Arial" w:cs="Arial"/>
          <w:i/>
          <w:iCs/>
          <w:sz w:val="24"/>
          <w:szCs w:val="24"/>
        </w:rPr>
        <w:t>Analytical Chemistry</w:t>
      </w:r>
      <w:r w:rsidRPr="0071546E">
        <w:rPr>
          <w:rFonts w:ascii="Arial" w:hAnsi="Arial" w:cs="Arial"/>
          <w:sz w:val="24"/>
          <w:szCs w:val="24"/>
        </w:rPr>
        <w:t>, 81(17), pp.7379-7389.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Cao, Z., Jefferson, D. and Panjwani, N. (1998). Role of Carbohydrate-mediated Adherence in Cytopathogenic Mechanisms acanthamoeba. </w:t>
      </w:r>
      <w:r w:rsidRPr="0071546E">
        <w:rPr>
          <w:rFonts w:ascii="Arial" w:hAnsi="Arial" w:cs="Arial"/>
          <w:i/>
          <w:iCs/>
          <w:sz w:val="24"/>
          <w:szCs w:val="24"/>
        </w:rPr>
        <w:t>Journal of Biological Chemistry</w:t>
      </w:r>
      <w:r w:rsidRPr="0071546E">
        <w:rPr>
          <w:rFonts w:ascii="Arial" w:hAnsi="Arial" w:cs="Arial"/>
          <w:sz w:val="24"/>
          <w:szCs w:val="24"/>
        </w:rPr>
        <w:t xml:space="preserve">, 273(25), pp.15838-15845.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Carnt, N., Hoffman, J., Verma, S., Hau, S., Radford, C., Minassian, D. and Dart, J. (2018). </w:t>
      </w:r>
      <w:r w:rsidRPr="0071546E">
        <w:rPr>
          <w:rFonts w:ascii="Arial" w:hAnsi="Arial" w:cs="Arial"/>
          <w:i/>
          <w:sz w:val="24"/>
          <w:szCs w:val="24"/>
        </w:rPr>
        <w:t>Acanthamoeba</w:t>
      </w:r>
      <w:r w:rsidRPr="0071546E">
        <w:rPr>
          <w:rFonts w:ascii="Arial" w:hAnsi="Arial" w:cs="Arial"/>
          <w:sz w:val="24"/>
          <w:szCs w:val="24"/>
        </w:rPr>
        <w:t xml:space="preserve"> keratitis: confirmation of the UK outbreak and a prospective case-control study identifying contributing risk factors. </w:t>
      </w:r>
      <w:r w:rsidRPr="0071546E">
        <w:rPr>
          <w:rFonts w:ascii="Arial" w:hAnsi="Arial" w:cs="Arial"/>
          <w:i/>
          <w:iCs/>
          <w:sz w:val="24"/>
          <w:szCs w:val="24"/>
        </w:rPr>
        <w:t>British Journal of Ophthalmology</w:t>
      </w:r>
      <w:r w:rsidRPr="0071546E">
        <w:rPr>
          <w:rFonts w:ascii="Arial" w:hAnsi="Arial" w:cs="Arial"/>
          <w:sz w:val="24"/>
          <w:szCs w:val="24"/>
        </w:rPr>
        <w:t>, 102(12), pp.1621-1628.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Carnt, N., Robaei, D., Watson, S., Minassian, D. and Dart, J. (2016). The Impact of Topical Corticosteroids Used in Conjunction with Antiamoebic Therapy on the Outcome of Acanthamoeba Keratitis. Ophthalmology, 123(5), pp.984-990.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Carpinteyro Sanchez, A., Scott, F., Suckling, C. and Roberts, C. (2019). Development of antimicrobials against Acanthamoeba. </w:t>
      </w:r>
      <w:r w:rsidRPr="0071546E">
        <w:rPr>
          <w:rFonts w:ascii="Arial" w:hAnsi="Arial" w:cs="Arial"/>
          <w:i/>
          <w:iCs/>
          <w:sz w:val="24"/>
          <w:szCs w:val="24"/>
        </w:rPr>
        <w:t>Access Microbiology</w:t>
      </w:r>
      <w:r w:rsidRPr="0071546E">
        <w:rPr>
          <w:rFonts w:ascii="Arial" w:hAnsi="Arial" w:cs="Arial"/>
          <w:sz w:val="24"/>
          <w:szCs w:val="24"/>
        </w:rPr>
        <w:t xml:space="preserve">, 1(1A), pp 1.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Carrijo-Carvalho, L., Sant'ana, V., Foronda, A., de Freitas, D. and de Souza Carvalho, F. (2017). Therapeutic agents and biocides for ocular infections by free-living amoebae of Acanthamoeba genus. </w:t>
      </w:r>
      <w:r w:rsidRPr="0071546E">
        <w:rPr>
          <w:rFonts w:ascii="Arial" w:hAnsi="Arial" w:cs="Arial"/>
          <w:i/>
          <w:iCs/>
          <w:sz w:val="24"/>
          <w:szCs w:val="24"/>
        </w:rPr>
        <w:t>Survey of Ophthalmology</w:t>
      </w:r>
      <w:r w:rsidRPr="0071546E">
        <w:rPr>
          <w:rFonts w:ascii="Arial" w:hAnsi="Arial" w:cs="Arial"/>
          <w:sz w:val="24"/>
          <w:szCs w:val="24"/>
        </w:rPr>
        <w:t>, 62(2), pp.203-218.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Castano, A., Demidova, T. and Hamblin, M. (2004). Mechanisms in photodynamic therapy: part one-photosensitizers, photochemistry and cellular localization. </w:t>
      </w:r>
      <w:r w:rsidRPr="0071546E">
        <w:rPr>
          <w:rFonts w:ascii="Arial" w:hAnsi="Arial" w:cs="Arial"/>
          <w:i/>
          <w:iCs/>
          <w:sz w:val="24"/>
          <w:szCs w:val="24"/>
        </w:rPr>
        <w:t>Photodiagnosis and Photodynamic Therapy</w:t>
      </w:r>
      <w:r w:rsidRPr="0071546E">
        <w:rPr>
          <w:rFonts w:ascii="Arial" w:hAnsi="Arial" w:cs="Arial"/>
          <w:sz w:val="24"/>
          <w:szCs w:val="24"/>
        </w:rPr>
        <w:t>, 1(4), pp.279-293.</w:t>
      </w:r>
    </w:p>
    <w:p w:rsidR="000C7C78" w:rsidRPr="0071546E" w:rsidRDefault="000C7C78" w:rsidP="00024C89">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Castellani, A. (1930). Amoeba found in culture of yeast. </w:t>
      </w:r>
      <w:r w:rsidRPr="0071546E">
        <w:rPr>
          <w:rFonts w:ascii="Arial" w:hAnsi="Arial" w:cs="Arial"/>
          <w:i/>
          <w:color w:val="000000"/>
          <w:sz w:val="24"/>
          <w:szCs w:val="24"/>
        </w:rPr>
        <w:t xml:space="preserve">Journal of Tropical Medicine and hygiene, </w:t>
      </w:r>
      <w:r w:rsidRPr="0071546E">
        <w:rPr>
          <w:rFonts w:ascii="Arial" w:hAnsi="Arial" w:cs="Arial"/>
          <w:color w:val="000000"/>
          <w:sz w:val="24"/>
          <w:szCs w:val="24"/>
        </w:rPr>
        <w:t>33 (11), pp. 188-191.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Celik, A. and Saydan, N. (2011). Polymeric nanoparticles as an efficient delivery system for phthalocyanine-based photosensitizers in photodynamic therapy (PDT). </w:t>
      </w:r>
      <w:r w:rsidRPr="0071546E">
        <w:rPr>
          <w:rFonts w:ascii="Arial" w:hAnsi="Arial" w:cs="Arial"/>
          <w:i/>
          <w:iCs/>
          <w:sz w:val="24"/>
          <w:szCs w:val="24"/>
        </w:rPr>
        <w:t>Photodiagnosis and Photodynamic Therapy</w:t>
      </w:r>
      <w:r w:rsidRPr="0071546E">
        <w:rPr>
          <w:rFonts w:ascii="Arial" w:hAnsi="Arial" w:cs="Arial"/>
          <w:sz w:val="24"/>
          <w:szCs w:val="24"/>
        </w:rPr>
        <w:t>, 8(2), p.206.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Chaidaroon, W. and Supalaset, S. (2016). Corneal Ring Infiltrates Caused by </w:t>
      </w:r>
      <w:r w:rsidRPr="0071546E">
        <w:rPr>
          <w:rFonts w:ascii="Arial" w:hAnsi="Arial" w:cs="Arial"/>
          <w:i/>
          <w:sz w:val="24"/>
          <w:szCs w:val="24"/>
        </w:rPr>
        <w:t>Serratia marcescensin</w:t>
      </w:r>
      <w:r w:rsidRPr="0071546E">
        <w:rPr>
          <w:rFonts w:ascii="Arial" w:hAnsi="Arial" w:cs="Arial"/>
          <w:sz w:val="24"/>
          <w:szCs w:val="24"/>
        </w:rPr>
        <w:t xml:space="preserve"> a Patient with Human Immunodeficiency Virus. </w:t>
      </w:r>
      <w:r w:rsidRPr="0071546E">
        <w:rPr>
          <w:rFonts w:ascii="Arial" w:hAnsi="Arial" w:cs="Arial"/>
          <w:i/>
          <w:iCs/>
          <w:sz w:val="24"/>
          <w:szCs w:val="24"/>
        </w:rPr>
        <w:t>Case Reports in Ophthalmology</w:t>
      </w:r>
      <w:r w:rsidRPr="0071546E">
        <w:rPr>
          <w:rFonts w:ascii="Arial" w:hAnsi="Arial" w:cs="Arial"/>
          <w:sz w:val="24"/>
          <w:szCs w:val="24"/>
        </w:rPr>
        <w:t xml:space="preserve">, 7(2), pp.359-363.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Chan, G., Kleinheinz, T., Peterson, D. and Moffat, J. (2013). A Simple High-Content Cell Cycle Assay Reveals Frequent Discrepancies between Cell Number and ATP and MTS Proliferation Assays. </w:t>
      </w:r>
      <w:r w:rsidRPr="0071546E">
        <w:rPr>
          <w:rFonts w:ascii="Arial" w:hAnsi="Arial" w:cs="Arial"/>
          <w:i/>
          <w:iCs/>
          <w:sz w:val="24"/>
          <w:szCs w:val="24"/>
        </w:rPr>
        <w:t>PLoS ONE</w:t>
      </w:r>
      <w:r w:rsidRPr="0071546E">
        <w:rPr>
          <w:rFonts w:ascii="Arial" w:hAnsi="Arial" w:cs="Arial"/>
          <w:sz w:val="24"/>
          <w:szCs w:val="24"/>
        </w:rPr>
        <w:t>, 8(5), p.e63583.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Chatterjee S R, Posse l H, Srivatsava T S, Kamal J P, Wolf G &amp; Devasagayam T P A.,  (1999). Photodynamic effects induced by meso-tetrakis(4-(carboxymethyleneoxy)pheny l) porphyrin on isolated sarcoma-I 80 ascites mitochondria, J Photo-chem Photobiol B Biol, 50 79.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Chelkha, N., Colson, P., Levasseur, A. and La Scola, B. (2018). Deciphering the genomes of 16 Acanthamoeba species does not provide evidence of integration of known giant virus-associated mobile genetic elements. </w:t>
      </w:r>
      <w:r w:rsidRPr="0071546E">
        <w:rPr>
          <w:rFonts w:ascii="Arial" w:hAnsi="Arial" w:cs="Arial"/>
          <w:i/>
          <w:iCs/>
          <w:sz w:val="24"/>
          <w:szCs w:val="24"/>
        </w:rPr>
        <w:t>Virus Research</w:t>
      </w:r>
      <w:r w:rsidRPr="0071546E">
        <w:rPr>
          <w:rFonts w:ascii="Arial" w:hAnsi="Arial" w:cs="Arial"/>
          <w:sz w:val="24"/>
          <w:szCs w:val="24"/>
        </w:rPr>
        <w:t>, 251, pp.14-16.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Chen, Y. and Xia, X. (2016). Comparison of the Orbscan II topographer and the iTrace aberrometer for the measurements of keratometry and corneal diameter in myopic patients. </w:t>
      </w:r>
      <w:r w:rsidRPr="0071546E">
        <w:rPr>
          <w:rFonts w:ascii="Arial" w:hAnsi="Arial" w:cs="Arial"/>
          <w:i/>
          <w:iCs/>
          <w:sz w:val="24"/>
          <w:szCs w:val="24"/>
        </w:rPr>
        <w:t>BMC Ophthalmology</w:t>
      </w:r>
      <w:r w:rsidRPr="0071546E">
        <w:rPr>
          <w:rFonts w:ascii="Arial" w:hAnsi="Arial" w:cs="Arial"/>
          <w:sz w:val="24"/>
          <w:szCs w:val="24"/>
        </w:rPr>
        <w:t>, 16(1).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Chida, J. and Kido, H. (2013). Extraction and Quantification of Adenosine Triphosphate in Mammalian Tissues and Cells. </w:t>
      </w:r>
      <w:r w:rsidRPr="0071546E">
        <w:rPr>
          <w:rFonts w:ascii="Arial" w:hAnsi="Arial" w:cs="Arial"/>
          <w:i/>
          <w:iCs/>
          <w:sz w:val="24"/>
          <w:szCs w:val="24"/>
        </w:rPr>
        <w:t>Methods in Molecular Biology</w:t>
      </w:r>
      <w:r w:rsidRPr="0071546E">
        <w:rPr>
          <w:rFonts w:ascii="Arial" w:hAnsi="Arial" w:cs="Arial"/>
          <w:sz w:val="24"/>
          <w:szCs w:val="24"/>
        </w:rPr>
        <w:t>, pp.21-32.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Chida, J., Yamane, K., Takei, T. and Kido, H. (2012). An efficient extraction method for the quantitation of adenosine triphosphate in mammalian tissues and cells. </w:t>
      </w:r>
      <w:r w:rsidRPr="0071546E">
        <w:rPr>
          <w:rFonts w:ascii="Arial" w:hAnsi="Arial" w:cs="Arial"/>
          <w:i/>
          <w:iCs/>
          <w:sz w:val="24"/>
          <w:szCs w:val="24"/>
        </w:rPr>
        <w:t>Analytica Chimica Acta</w:t>
      </w:r>
      <w:r w:rsidRPr="0071546E">
        <w:rPr>
          <w:rFonts w:ascii="Arial" w:hAnsi="Arial" w:cs="Arial"/>
          <w:sz w:val="24"/>
          <w:szCs w:val="24"/>
        </w:rPr>
        <w:t>, 727, pp.8-12.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Chomicz, L., Szaflik, J., Padzik, M. and Izdebska, J. (2016). Acanthamoeba Keratitis: The Emerging Vision-Threatening Corneal Disease. Advances in Common Eye Infections.</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Chrisman, C., Alvarez, M. and Casadevall, A. (2010). Phagocytosis of Cryptococcus neoformans by, and Nonlytic Exocytosis from, Acanthamoeba castellanii. </w:t>
      </w:r>
      <w:r w:rsidRPr="0071546E">
        <w:rPr>
          <w:rFonts w:ascii="Arial" w:hAnsi="Arial" w:cs="Arial"/>
          <w:i/>
          <w:iCs/>
          <w:sz w:val="24"/>
          <w:szCs w:val="24"/>
        </w:rPr>
        <w:t>Applied and Environmental Microbiology</w:t>
      </w:r>
      <w:r w:rsidRPr="0071546E">
        <w:rPr>
          <w:rFonts w:ascii="Arial" w:hAnsi="Arial" w:cs="Arial"/>
          <w:sz w:val="24"/>
          <w:szCs w:val="24"/>
        </w:rPr>
        <w:t>, 76(18), pp.6056-6062.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Cieplik, F., Deng, D., Crielaard, W., Buchalla, W., Hellwig, E., Al-Ahmad, A. and Maisch, T. (2018). Antimicrobial photodynamic therapy – what we know and what we do not. </w:t>
      </w:r>
      <w:r w:rsidRPr="0071546E">
        <w:rPr>
          <w:rFonts w:ascii="Arial" w:hAnsi="Arial" w:cs="Arial"/>
          <w:i/>
          <w:iCs/>
          <w:sz w:val="24"/>
          <w:szCs w:val="24"/>
        </w:rPr>
        <w:t>Critical Reviews in Microbiology</w:t>
      </w:r>
      <w:r w:rsidRPr="0071546E">
        <w:rPr>
          <w:rFonts w:ascii="Arial" w:hAnsi="Arial" w:cs="Arial"/>
          <w:sz w:val="24"/>
          <w:szCs w:val="24"/>
        </w:rPr>
        <w:t>, 44(5), pp.571-589.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Cieplik, F., Späth, A., Regensburger, J., Gollmer, A., Tabenski, L., Hiller, K.- A., et al. (2013b). Photodynamic biofilm inactivation by SAPYR-An exclusive singlet oxygen photosensitizer. Free Radic. Biol. Med. 65, 477–487. </w:t>
      </w:r>
    </w:p>
    <w:p w:rsidR="000C7C78" w:rsidRPr="0071546E" w:rsidRDefault="000C7C78" w:rsidP="008714A8">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Clarke, B., Sinha, A., Parmar, D. and Sykakis, E. (2012). Advances in the Diagnosis and Treatment of Acanthamoeba Keratitis. </w:t>
      </w:r>
      <w:r w:rsidRPr="0071546E">
        <w:rPr>
          <w:rFonts w:ascii="Arial" w:hAnsi="Arial" w:cs="Arial"/>
          <w:i/>
          <w:iCs/>
          <w:sz w:val="24"/>
          <w:szCs w:val="24"/>
        </w:rPr>
        <w:t>Journal of Ophthalmology</w:t>
      </w:r>
      <w:r w:rsidRPr="0071546E">
        <w:rPr>
          <w:rFonts w:ascii="Arial" w:hAnsi="Arial" w:cs="Arial"/>
          <w:sz w:val="24"/>
          <w:szCs w:val="24"/>
        </w:rPr>
        <w:t>, 2012, pp.1-6.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Clarke, J., Gillings, M., Altavilla, N. and Beattie, A. (2001). Potential problems with fluorescein diacetate assays of cell viability when testing natural products for antimicrobial activity. </w:t>
      </w:r>
      <w:r w:rsidRPr="0071546E">
        <w:rPr>
          <w:rFonts w:ascii="Arial" w:hAnsi="Arial" w:cs="Arial"/>
          <w:i/>
          <w:iCs/>
          <w:sz w:val="24"/>
          <w:szCs w:val="24"/>
        </w:rPr>
        <w:t>Journal of Microbiological Methods</w:t>
      </w:r>
      <w:r w:rsidRPr="0071546E">
        <w:rPr>
          <w:rFonts w:ascii="Arial" w:hAnsi="Arial" w:cs="Arial"/>
          <w:sz w:val="24"/>
          <w:szCs w:val="24"/>
        </w:rPr>
        <w:t>, 46(3), pp.261-267.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Collins, T. L., Markus, E. A., Hassett, D. J., and Robinson, J. B. (2010). The effect of a cationic porphyrin on Pseudomonas aeruginosa biofilms.Curr. Microbiol. 61,411–416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Corrêa, T., Geralde, M., Carvalho, M., Bagnato, V., Kurachi, C. and de Souza, C. (2016). Photodynamic inactivation ofAcanthamoeba polyphagia with curcuminoids: anin Vitro study. </w:t>
      </w:r>
      <w:r w:rsidRPr="0071546E">
        <w:rPr>
          <w:rFonts w:ascii="Arial" w:hAnsi="Arial" w:cs="Arial"/>
          <w:i/>
          <w:iCs/>
          <w:sz w:val="24"/>
          <w:szCs w:val="24"/>
        </w:rPr>
        <w:t>Optical Methods for Tumor Treatment and Detection: Mechanisms and Techniques in Photodynamic Therapy XXV</w:t>
      </w:r>
      <w:r w:rsidRPr="0071546E">
        <w:rPr>
          <w:rFonts w:ascii="Arial" w:hAnsi="Arial" w:cs="Arial"/>
          <w:sz w:val="24"/>
          <w:szCs w:val="24"/>
        </w:rPr>
        <w:t>.</w:t>
      </w:r>
    </w:p>
    <w:p w:rsidR="000C7C78" w:rsidRPr="0071546E" w:rsidRDefault="000C7C78" w:rsidP="00024C89">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Culbertson, C., Smith, J. and Minner, J. (1958). </w:t>
      </w:r>
      <w:r w:rsidRPr="0071546E">
        <w:rPr>
          <w:rFonts w:ascii="Arial" w:hAnsi="Arial" w:cs="Arial"/>
          <w:i/>
          <w:color w:val="000000"/>
          <w:sz w:val="24"/>
          <w:szCs w:val="24"/>
        </w:rPr>
        <w:t>Acanthamoeba</w:t>
      </w:r>
      <w:r w:rsidRPr="0071546E">
        <w:rPr>
          <w:rFonts w:ascii="Arial" w:hAnsi="Arial" w:cs="Arial"/>
          <w:color w:val="000000"/>
          <w:sz w:val="24"/>
          <w:szCs w:val="24"/>
        </w:rPr>
        <w:t>: Observation on animal Pathogenicity. Science, 127(3313), pp. 1506-1506.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Cury, E., Chang, M. and Pontes, E. (2018). Non-viral microbial keratitis in adults: clinical and laboratory aspects. </w:t>
      </w:r>
      <w:r w:rsidRPr="0071546E">
        <w:rPr>
          <w:rFonts w:ascii="Arial" w:hAnsi="Arial" w:cs="Arial"/>
          <w:i/>
          <w:iCs/>
          <w:sz w:val="24"/>
          <w:szCs w:val="24"/>
        </w:rPr>
        <w:t>Brazilian Journal of Microbiology</w:t>
      </w:r>
      <w:r w:rsidRPr="0071546E">
        <w:rPr>
          <w:rFonts w:ascii="Arial" w:hAnsi="Arial" w:cs="Arial"/>
          <w:sz w:val="24"/>
          <w:szCs w:val="24"/>
        </w:rPr>
        <w:t>, 49, pp.205-212.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Czekanska, E. (2011). Assessment of Cell Proliferation with Resazurin-Based Fluorescent Dye. </w:t>
      </w:r>
      <w:r w:rsidRPr="0071546E">
        <w:rPr>
          <w:rFonts w:ascii="Arial" w:hAnsi="Arial" w:cs="Arial"/>
          <w:i/>
          <w:iCs/>
          <w:sz w:val="24"/>
          <w:szCs w:val="24"/>
        </w:rPr>
        <w:t>Methods in Molecular Biology</w:t>
      </w:r>
      <w:r w:rsidRPr="0071546E">
        <w:rPr>
          <w:rFonts w:ascii="Arial" w:hAnsi="Arial" w:cs="Arial"/>
          <w:sz w:val="24"/>
          <w:szCs w:val="24"/>
        </w:rPr>
        <w:t>, pp.27-32.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Dai, Z., Tian, L., Xiao, Y., Ye, Z., Zhang, R. and Yuan, J. (2013). A cell-membrane-permeable europium complex as an efficient luminescent probe for singlet oxygen. </w:t>
      </w:r>
      <w:r w:rsidRPr="0071546E">
        <w:rPr>
          <w:rFonts w:ascii="Arial" w:hAnsi="Arial" w:cs="Arial"/>
          <w:i/>
          <w:iCs/>
          <w:sz w:val="24"/>
          <w:szCs w:val="24"/>
        </w:rPr>
        <w:t>Journal of Materials Chemistry B</w:t>
      </w:r>
      <w:r w:rsidRPr="0071546E">
        <w:rPr>
          <w:rFonts w:ascii="Arial" w:hAnsi="Arial" w:cs="Arial"/>
          <w:sz w:val="24"/>
          <w:szCs w:val="24"/>
        </w:rPr>
        <w:t>, 1(7), p.924.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Dan Dunn, J., Alvarez, L., Zhang, X. and Soldati, T. (2015). Reactive oxygen species and mitochondria: A nexus of cellular homeostasis. </w:t>
      </w:r>
      <w:r w:rsidRPr="0071546E">
        <w:rPr>
          <w:rFonts w:ascii="Arial" w:hAnsi="Arial" w:cs="Arial"/>
          <w:i/>
          <w:iCs/>
          <w:sz w:val="24"/>
          <w:szCs w:val="24"/>
        </w:rPr>
        <w:t>Redox Biology</w:t>
      </w:r>
      <w:r w:rsidRPr="0071546E">
        <w:rPr>
          <w:rFonts w:ascii="Arial" w:hAnsi="Arial" w:cs="Arial"/>
          <w:sz w:val="24"/>
          <w:szCs w:val="24"/>
        </w:rPr>
        <w:t>, 6, pp.472-485.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Das, K. and Roychoudhury, A. (2014). Reactive oxygen species (ROS) and the response of antioxidants as ROS-scavengers during environmental stress in plants. </w:t>
      </w:r>
      <w:r w:rsidRPr="0071546E">
        <w:rPr>
          <w:rFonts w:ascii="Arial" w:hAnsi="Arial" w:cs="Arial"/>
          <w:i/>
          <w:iCs/>
          <w:sz w:val="24"/>
          <w:szCs w:val="24"/>
        </w:rPr>
        <w:t>Frontiers in Environmental Science</w:t>
      </w:r>
      <w:r w:rsidRPr="0071546E">
        <w:rPr>
          <w:rFonts w:ascii="Arial" w:hAnsi="Arial" w:cs="Arial"/>
          <w:sz w:val="24"/>
          <w:szCs w:val="24"/>
        </w:rPr>
        <w:t>, 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De Craene, S., Knoeri, J., Georgeon, C., Kestelyn, P. and Borderie, V. (2018). Assessment of Confocal Microscopy for the Diagnosis of Polymerase Chain Reaction–Positive Acanthamoeba Keratitis. </w:t>
      </w:r>
      <w:r w:rsidRPr="0071546E">
        <w:rPr>
          <w:rFonts w:ascii="Arial" w:hAnsi="Arial" w:cs="Arial"/>
          <w:i/>
          <w:iCs/>
          <w:sz w:val="24"/>
          <w:szCs w:val="24"/>
        </w:rPr>
        <w:t>Ophthalmology</w:t>
      </w:r>
      <w:r w:rsidRPr="0071546E">
        <w:rPr>
          <w:rFonts w:ascii="Arial" w:hAnsi="Arial" w:cs="Arial"/>
          <w:sz w:val="24"/>
          <w:szCs w:val="24"/>
        </w:rPr>
        <w:t>, 125(2), pp.161-168.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De Moraes, J. and Alfieri, S. (2008). Growth, encystment and survival of Acanthamoeba castellanii grazing on different bacteria. FEMS Microbiology Ecology, 66(2), pp.221-229.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Dekina, S. (2015). ISOLATION AND PURIFICATION OF LYSOZYME FROM THE HEN EGG WHITE. </w:t>
      </w:r>
      <w:r w:rsidRPr="0071546E">
        <w:rPr>
          <w:rFonts w:ascii="Arial" w:hAnsi="Arial" w:cs="Arial"/>
          <w:i/>
          <w:iCs/>
          <w:sz w:val="24"/>
          <w:szCs w:val="24"/>
        </w:rPr>
        <w:t>Biotechnologia Acta</w:t>
      </w:r>
      <w:r w:rsidRPr="0071546E">
        <w:rPr>
          <w:rFonts w:ascii="Arial" w:hAnsi="Arial" w:cs="Arial"/>
          <w:sz w:val="24"/>
          <w:szCs w:val="24"/>
        </w:rPr>
        <w:t>, 8(6), pp.41-47.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Di Poto, A., Sbarra, M. S., Provenza, G., Visai, L., and Speziale, P. (2009). The effect of photodynamic treatment combined with antibiotic action or host defence mechanisms on Staphylococcus aureus biofilms. Biomaterials 30, 3158–3166.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Ding, H., Yu, H., Dong, Y., Tian, R., Huang, G., Boothman, D., Sumer, B. and Gao, J. (2011). Photoactivation switch from type II to type I reactions by electron-rich micelles for improved photodynamic therapy of cancer cells under hypoxia. </w:t>
      </w:r>
      <w:r w:rsidRPr="0071546E">
        <w:rPr>
          <w:rFonts w:ascii="Arial" w:hAnsi="Arial" w:cs="Arial"/>
          <w:i/>
          <w:iCs/>
          <w:sz w:val="24"/>
          <w:szCs w:val="24"/>
        </w:rPr>
        <w:t>Journal of Controlled Release</w:t>
      </w:r>
      <w:r w:rsidRPr="0071546E">
        <w:rPr>
          <w:rFonts w:ascii="Arial" w:hAnsi="Arial" w:cs="Arial"/>
          <w:sz w:val="24"/>
          <w:szCs w:val="24"/>
        </w:rPr>
        <w:t>, 156(3), pp.276-280.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Dos Santos, A., Terra, L., Wailemann, R., Oliveira, T., Gomes, V., Mineiro, M., Meotti, F., Bruni-Cardoso, A., Baptista, M. and Labriola, L. (2017). Methylene blue photodynamic therapy induces selective and massive cell death in human breast cancer cells. </w:t>
      </w:r>
      <w:r w:rsidRPr="0071546E">
        <w:rPr>
          <w:rFonts w:ascii="Arial" w:hAnsi="Arial" w:cs="Arial"/>
          <w:i/>
          <w:iCs/>
          <w:sz w:val="24"/>
          <w:szCs w:val="24"/>
        </w:rPr>
        <w:t>BMC Cancer</w:t>
      </w:r>
      <w:r w:rsidRPr="0071546E">
        <w:rPr>
          <w:rFonts w:ascii="Arial" w:hAnsi="Arial" w:cs="Arial"/>
          <w:sz w:val="24"/>
          <w:szCs w:val="24"/>
        </w:rPr>
        <w:t>, 17(1).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Dougherty, T., Gomer, C., Henderson, B., Jori, G., Kessel, D., Korbelik, M., Moan, J. and Peng, Q. (1998). Photodynamic Therapy. </w:t>
      </w:r>
      <w:r w:rsidRPr="0071546E">
        <w:rPr>
          <w:rFonts w:ascii="Arial" w:hAnsi="Arial" w:cs="Arial"/>
          <w:i/>
          <w:iCs/>
          <w:sz w:val="24"/>
          <w:szCs w:val="24"/>
        </w:rPr>
        <w:t>JNCI Journal of the National Cancer Institute</w:t>
      </w:r>
      <w:r w:rsidRPr="0071546E">
        <w:rPr>
          <w:rFonts w:ascii="Arial" w:hAnsi="Arial" w:cs="Arial"/>
          <w:sz w:val="24"/>
          <w:szCs w:val="24"/>
        </w:rPr>
        <w:t>, 90(12), pp.889-905.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Doughty, M. and Jonuscheit, S. (2018). Corneal structure, transparency, thickness and optical density (densitometry), especially as relevant to contact lens wear—a review. </w:t>
      </w:r>
      <w:r w:rsidRPr="0071546E">
        <w:rPr>
          <w:rFonts w:ascii="Arial" w:hAnsi="Arial" w:cs="Arial"/>
          <w:i/>
          <w:iCs/>
          <w:sz w:val="24"/>
          <w:szCs w:val="24"/>
        </w:rPr>
        <w:t>Contact Lens and Anterior Eye</w:t>
      </w:r>
      <w:r w:rsidRPr="0071546E">
        <w:rPr>
          <w:rFonts w:ascii="Arial" w:hAnsi="Arial" w:cs="Arial"/>
          <w:sz w:val="24"/>
          <w:szCs w:val="24"/>
        </w:rPr>
        <w:t xml:space="preserve">. </w:t>
      </w:r>
    </w:p>
    <w:p w:rsidR="000C7C78" w:rsidRPr="0071546E" w:rsidRDefault="000C7C78" w:rsidP="00024C89">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Douglas, M.  (1930). Notes on the classification of the amoeba found by </w:t>
      </w:r>
      <w:r w:rsidRPr="0071546E">
        <w:rPr>
          <w:rFonts w:ascii="Arial" w:hAnsi="Arial" w:cs="Arial"/>
          <w:i/>
          <w:iCs/>
          <w:color w:val="000000"/>
          <w:sz w:val="24"/>
          <w:szCs w:val="24"/>
        </w:rPr>
        <w:t>Castellani</w:t>
      </w:r>
      <w:r w:rsidRPr="0071546E">
        <w:rPr>
          <w:rFonts w:ascii="Arial" w:hAnsi="Arial" w:cs="Arial"/>
          <w:color w:val="000000"/>
          <w:sz w:val="24"/>
          <w:szCs w:val="24"/>
        </w:rPr>
        <w:t xml:space="preserve"> on culture of a yeast-like fungus. J Trop Med Hyg, 33 pp.258–59.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Du, J., Daniels, D., Asbury, C., Venkataraman, S., Liu, J., Spitz, D., Oberley, L. and Cullen, J. (2006). Mitochondrial Production of Reactive Oxygen Species Mediate Dicumarol-induced Cytotoxicity in Cancer Cells. </w:t>
      </w:r>
      <w:r w:rsidRPr="0071546E">
        <w:rPr>
          <w:rFonts w:ascii="Arial" w:hAnsi="Arial" w:cs="Arial"/>
          <w:i/>
          <w:iCs/>
          <w:sz w:val="24"/>
          <w:szCs w:val="24"/>
        </w:rPr>
        <w:t>Journal of Biological Chemistry</w:t>
      </w:r>
      <w:r w:rsidRPr="0071546E">
        <w:rPr>
          <w:rFonts w:ascii="Arial" w:hAnsi="Arial" w:cs="Arial"/>
          <w:sz w:val="24"/>
          <w:szCs w:val="24"/>
        </w:rPr>
        <w:t>, 281(49), pp.37416-37426.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Duarte, J., Furst, C., Klisiowicz, D., Klassen, G. and Costa, A. (2013). Morphological, genotypic, and physiological characterization of Acanthamoeba isolates from keratitis patients and the domestic environment in Vitoria, Espírito Santo, Brazil. </w:t>
      </w:r>
      <w:r w:rsidRPr="0071546E">
        <w:rPr>
          <w:rFonts w:ascii="Arial" w:hAnsi="Arial" w:cs="Arial"/>
          <w:i/>
          <w:iCs/>
          <w:sz w:val="24"/>
          <w:szCs w:val="24"/>
        </w:rPr>
        <w:t>Experimental Parasitology</w:t>
      </w:r>
      <w:r w:rsidRPr="0071546E">
        <w:rPr>
          <w:rFonts w:ascii="Arial" w:hAnsi="Arial" w:cs="Arial"/>
          <w:sz w:val="24"/>
          <w:szCs w:val="24"/>
        </w:rPr>
        <w:t>, 135(1), pp.9-14.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Dudley, R., Alsam, S. and Khan, N. (2007). Cellulose biosynthesis pathway is a potential target in the improved treatment of Acanthamoeba keratitis. </w:t>
      </w:r>
      <w:r w:rsidRPr="0071546E">
        <w:rPr>
          <w:rFonts w:ascii="Arial" w:hAnsi="Arial" w:cs="Arial"/>
          <w:i/>
          <w:iCs/>
          <w:sz w:val="24"/>
          <w:szCs w:val="24"/>
        </w:rPr>
        <w:t>Applied Microbiology and Biotechnology</w:t>
      </w:r>
      <w:r w:rsidRPr="0071546E">
        <w:rPr>
          <w:rFonts w:ascii="Arial" w:hAnsi="Arial" w:cs="Arial"/>
          <w:sz w:val="24"/>
          <w:szCs w:val="24"/>
        </w:rPr>
        <w:t>, 75(1), pp.133-140.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Dupuy, M., Berne, F., Herbelin, P., Binet, M., Berthelot, N., Rodier, M., Soreau, S. and Héchard, Y. (2014). The sensitivity of free-living amoeba trophozoites and cysts to water disinfectants. </w:t>
      </w:r>
      <w:r w:rsidRPr="0071546E">
        <w:rPr>
          <w:rFonts w:ascii="Arial" w:hAnsi="Arial" w:cs="Arial"/>
          <w:i/>
          <w:iCs/>
          <w:sz w:val="24"/>
          <w:szCs w:val="24"/>
        </w:rPr>
        <w:t>International Journal of Hygiene and Environmental Health</w:t>
      </w:r>
      <w:r w:rsidRPr="0071546E">
        <w:rPr>
          <w:rFonts w:ascii="Arial" w:hAnsi="Arial" w:cs="Arial"/>
          <w:sz w:val="24"/>
          <w:szCs w:val="24"/>
        </w:rPr>
        <w:t>, 217(2-3), pp.335-339.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Elson, A. (2018). Stepping out of the shadows: Oncogenic and tumour-promoting protein tyrosine phosphatases. </w:t>
      </w:r>
      <w:r w:rsidRPr="0071546E">
        <w:rPr>
          <w:rFonts w:ascii="Arial" w:hAnsi="Arial" w:cs="Arial"/>
          <w:i/>
          <w:iCs/>
          <w:sz w:val="24"/>
          <w:szCs w:val="24"/>
        </w:rPr>
        <w:t>The International Journal of Biochemistry &amp; Cell Biology</w:t>
      </w:r>
      <w:r w:rsidRPr="0071546E">
        <w:rPr>
          <w:rFonts w:ascii="Arial" w:hAnsi="Arial" w:cs="Arial"/>
          <w:sz w:val="24"/>
          <w:szCs w:val="24"/>
        </w:rPr>
        <w:t>, 96, pp.135-147.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Evans, M., Dizdaroglu, M. and Cooke, M. (2004). Oxidative DNA damage and disease: induction, repair and significance. </w:t>
      </w:r>
      <w:r w:rsidRPr="0071546E">
        <w:rPr>
          <w:rFonts w:ascii="Arial" w:hAnsi="Arial" w:cs="Arial"/>
          <w:i/>
          <w:iCs/>
          <w:sz w:val="24"/>
          <w:szCs w:val="24"/>
        </w:rPr>
        <w:t>Mutation Research/Reviews in Mutation Research</w:t>
      </w:r>
      <w:r w:rsidRPr="0071546E">
        <w:rPr>
          <w:rFonts w:ascii="Arial" w:hAnsi="Arial" w:cs="Arial"/>
          <w:sz w:val="24"/>
          <w:szCs w:val="24"/>
        </w:rPr>
        <w:t>, 567(1), pp.1-61.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Ezzeddine, R., Al-Banaw, A., Tovmasyan, A., Craik, J., Batinic-Haberle, I. and Benov, L. (2013). Effect of Molecular Characteristics on Cellular Uptake, Subcellular Localization, and Phototoxicity of Zn (II) N-Alkylpyridylporphyrins. </w:t>
      </w:r>
      <w:r w:rsidRPr="0071546E">
        <w:rPr>
          <w:rFonts w:ascii="Arial" w:hAnsi="Arial" w:cs="Arial"/>
          <w:i/>
          <w:iCs/>
          <w:sz w:val="24"/>
          <w:szCs w:val="24"/>
        </w:rPr>
        <w:t>Journal of Biological Chemistry</w:t>
      </w:r>
      <w:r w:rsidRPr="0071546E">
        <w:rPr>
          <w:rFonts w:ascii="Arial" w:hAnsi="Arial" w:cs="Arial"/>
          <w:sz w:val="24"/>
          <w:szCs w:val="24"/>
        </w:rPr>
        <w:t>, 288(51), pp.36579-36588.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Fasciani, R., Brocca, D., Agresta, A., Grimaldi, G. and Caporossi, A. (2018). Acanthamoeba Ocular Infection: Anomalous Presentation of a Potentially Vision-Threatening Condition. </w:t>
      </w:r>
      <w:r w:rsidRPr="0071546E">
        <w:rPr>
          <w:rFonts w:ascii="Arial" w:hAnsi="Arial" w:cs="Arial"/>
          <w:i/>
          <w:iCs/>
          <w:sz w:val="24"/>
          <w:szCs w:val="24"/>
        </w:rPr>
        <w:t>SN Comprehensive Clinical Medicine</w:t>
      </w:r>
      <w:r w:rsidRPr="0071546E">
        <w:rPr>
          <w:rFonts w:ascii="Arial" w:hAnsi="Arial" w:cs="Arial"/>
          <w:sz w:val="24"/>
          <w:szCs w:val="24"/>
        </w:rPr>
        <w:t>, 1(2), pp.113-117.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Ferrari, G., Matuska, S. and Rama, P. (2011). Double-Biguanide Therapy for Resistant &lt;i&gt;Acanthamoeba &lt;/i&gt;Keratitis. Case Reports in Ophthalmology, 2(3), pp.338-342.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Fitzgibbons, P., Bradley, L., Fatheree, L., Alsabeh, R., Fulton, R., Goldsmith, J., Haas, T., Karabakhtsian, R., Loykasek, P., Marolt, M., Shen, S., Smith, A. and Swanson, P. (2014). Principles of Analytic Validation of Immunohistochemical Assays: Guideline from the College of American Pathologists Pathology and Laboratory Quality Center. </w:t>
      </w:r>
      <w:r w:rsidRPr="0071546E">
        <w:rPr>
          <w:rFonts w:ascii="Arial" w:hAnsi="Arial" w:cs="Arial"/>
          <w:i/>
          <w:iCs/>
          <w:sz w:val="24"/>
          <w:szCs w:val="24"/>
        </w:rPr>
        <w:t>Archives of Pathology &amp; Laboratory Medicine</w:t>
      </w:r>
      <w:r w:rsidRPr="0071546E">
        <w:rPr>
          <w:rFonts w:ascii="Arial" w:hAnsi="Arial" w:cs="Arial"/>
          <w:sz w:val="24"/>
          <w:szCs w:val="24"/>
        </w:rPr>
        <w:t>, 138(11), pp.1432-1443.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Foster, S. (2015). Bacterial Cell Wall Peptidoglycan Architecture and Dynamics. </w:t>
      </w:r>
      <w:r w:rsidRPr="0071546E">
        <w:rPr>
          <w:rFonts w:ascii="Arial" w:hAnsi="Arial" w:cs="Arial"/>
          <w:i/>
          <w:iCs/>
          <w:sz w:val="24"/>
          <w:szCs w:val="24"/>
        </w:rPr>
        <w:t>Biophysical Journal</w:t>
      </w:r>
      <w:r w:rsidRPr="0071546E">
        <w:rPr>
          <w:rFonts w:ascii="Arial" w:hAnsi="Arial" w:cs="Arial"/>
          <w:sz w:val="24"/>
          <w:szCs w:val="24"/>
        </w:rPr>
        <w:t>, 108(2), pp.198a-199a.</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Fouque, E., Trouilhé, M., Thomas, V., Hartemann, P., Rodier, M. and Héchard, Y. (2012). Cellular, Biochemical, and Molecular Changes during Encystment of Free-Living Amoebae. </w:t>
      </w:r>
      <w:r w:rsidRPr="0071546E">
        <w:rPr>
          <w:rFonts w:ascii="Arial" w:hAnsi="Arial" w:cs="Arial"/>
          <w:i/>
          <w:iCs/>
          <w:sz w:val="24"/>
          <w:szCs w:val="24"/>
        </w:rPr>
        <w:t>Eukaryotic Cell</w:t>
      </w:r>
      <w:r w:rsidRPr="0071546E">
        <w:rPr>
          <w:rFonts w:ascii="Arial" w:hAnsi="Arial" w:cs="Arial"/>
          <w:sz w:val="24"/>
          <w:szCs w:val="24"/>
        </w:rPr>
        <w:t>, 11(4), pp.382-387.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Fukai, T. and Ushio-Fukai, M. (2011). Superoxide Dismutases: Role in Redox Signaling, Vascular Function, and Diseases. </w:t>
      </w:r>
      <w:r w:rsidRPr="0071546E">
        <w:rPr>
          <w:rFonts w:ascii="Arial" w:hAnsi="Arial" w:cs="Arial"/>
          <w:i/>
          <w:iCs/>
          <w:sz w:val="24"/>
          <w:szCs w:val="24"/>
        </w:rPr>
        <w:t>Antioxidants &amp; Redox Signaling</w:t>
      </w:r>
      <w:r w:rsidRPr="0071546E">
        <w:rPr>
          <w:rFonts w:ascii="Arial" w:hAnsi="Arial" w:cs="Arial"/>
          <w:sz w:val="24"/>
          <w:szCs w:val="24"/>
        </w:rPr>
        <w:t>, 15(6), pp.1583-1606.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Garajová, M., Mrva, M., Vaškovicová, N., Martinka, M., Melicherová, J. and Valigurová, A. (2019). Cellulose fibrils formation and organisation of cytoskeleton during encystment are essential for Acanthamoeba cyst wall architecture. </w:t>
      </w:r>
      <w:r w:rsidRPr="0071546E">
        <w:rPr>
          <w:rFonts w:ascii="Arial" w:hAnsi="Arial" w:cs="Arial"/>
          <w:i/>
          <w:iCs/>
          <w:sz w:val="24"/>
          <w:szCs w:val="24"/>
        </w:rPr>
        <w:t>Scientific Reports</w:t>
      </w:r>
      <w:r w:rsidRPr="0071546E">
        <w:rPr>
          <w:rFonts w:ascii="Arial" w:hAnsi="Arial" w:cs="Arial"/>
          <w:sz w:val="24"/>
          <w:szCs w:val="24"/>
        </w:rPr>
        <w:t>, 9(1).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Garg, P., Kalra, P. and Joseph, J. (2017). Non-contact lens related Acanthamoeba keratitis. </w:t>
      </w:r>
      <w:r w:rsidRPr="0071546E">
        <w:rPr>
          <w:rFonts w:ascii="Arial" w:hAnsi="Arial" w:cs="Arial"/>
          <w:i/>
          <w:iCs/>
          <w:sz w:val="24"/>
          <w:szCs w:val="24"/>
        </w:rPr>
        <w:t>Indian Journal of Ophthalmology</w:t>
      </w:r>
      <w:r w:rsidRPr="0071546E">
        <w:rPr>
          <w:rFonts w:ascii="Arial" w:hAnsi="Arial" w:cs="Arial"/>
          <w:sz w:val="24"/>
          <w:szCs w:val="24"/>
        </w:rPr>
        <w:t>, 65(11), p.1079.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Garland, M., Cassidy, C., Woolfson, D. and Donnelly, R. (2009). Designing photosensitizers for photodynamic therapy: strategies, challenges and promising developments. </w:t>
      </w:r>
      <w:r w:rsidRPr="0071546E">
        <w:rPr>
          <w:rFonts w:ascii="Arial" w:hAnsi="Arial" w:cs="Arial"/>
          <w:i/>
          <w:iCs/>
          <w:sz w:val="24"/>
          <w:szCs w:val="24"/>
        </w:rPr>
        <w:t>Future Medicinal Chemistry</w:t>
      </w:r>
      <w:r w:rsidRPr="0071546E">
        <w:rPr>
          <w:rFonts w:ascii="Arial" w:hAnsi="Arial" w:cs="Arial"/>
          <w:sz w:val="24"/>
          <w:szCs w:val="24"/>
        </w:rPr>
        <w:t>, 1(4), pp.667-691.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Gatti, S., Cevini, C., Bruno, A., Penso, G., Rama, P. and Scaglia, M. (1998). In Vitro Effectiveness of Povidone-Iodine onAcanthamoeba Isolates from Human Cornea. </w:t>
      </w:r>
      <w:r w:rsidRPr="0071546E">
        <w:rPr>
          <w:rFonts w:ascii="Arial" w:hAnsi="Arial" w:cs="Arial"/>
          <w:i/>
          <w:iCs/>
          <w:sz w:val="24"/>
          <w:szCs w:val="24"/>
        </w:rPr>
        <w:t>Antimicrobial Agents and Chemotherapy</w:t>
      </w:r>
      <w:r w:rsidRPr="0071546E">
        <w:rPr>
          <w:rFonts w:ascii="Arial" w:hAnsi="Arial" w:cs="Arial"/>
          <w:sz w:val="24"/>
          <w:szCs w:val="24"/>
        </w:rPr>
        <w:t xml:space="preserve">, 42(9), pp.2232-2234.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Gilquin, B., Guilbert, C. and Perahia, D. (2000). Unfolding of hen egg lysozyme by molecular dynamics simulations at 300K: Insight into the role of the interdomain interface. </w:t>
      </w:r>
      <w:r w:rsidRPr="0071546E">
        <w:rPr>
          <w:rFonts w:ascii="Arial" w:hAnsi="Arial" w:cs="Arial"/>
          <w:i/>
          <w:iCs/>
          <w:sz w:val="24"/>
          <w:szCs w:val="24"/>
        </w:rPr>
        <w:t>Proteins: Structure, Function, and Genetics</w:t>
      </w:r>
      <w:r w:rsidRPr="0071546E">
        <w:rPr>
          <w:rFonts w:ascii="Arial" w:hAnsi="Arial" w:cs="Arial"/>
          <w:sz w:val="24"/>
          <w:szCs w:val="24"/>
        </w:rPr>
        <w:t xml:space="preserve">, 41(1), pp.58-74. </w:t>
      </w:r>
    </w:p>
    <w:p w:rsidR="000C7C78" w:rsidRPr="0071546E" w:rsidRDefault="000C7C78" w:rsidP="007E5D69">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Goldschmidt, P., Degorge, S., Saint-Jean, C., Year, H., Zekhnini, F., Batellier, L., Laroche, L. and Chaumeil, C. (2007). Resistance of Acanthamoeba to classic DNA extraction methods used for the diagnosis of corneal infections. </w:t>
      </w:r>
      <w:r w:rsidRPr="0071546E">
        <w:rPr>
          <w:rFonts w:ascii="Arial" w:hAnsi="Arial" w:cs="Arial"/>
          <w:i/>
          <w:iCs/>
          <w:color w:val="000000"/>
          <w:sz w:val="24"/>
          <w:szCs w:val="24"/>
        </w:rPr>
        <w:t>British Journal of Ophthalmology</w:t>
      </w:r>
      <w:r w:rsidRPr="0071546E">
        <w:rPr>
          <w:rFonts w:ascii="Arial" w:hAnsi="Arial" w:cs="Arial"/>
          <w:color w:val="000000"/>
          <w:sz w:val="24"/>
          <w:szCs w:val="24"/>
        </w:rPr>
        <w:t>, 92(1), pp.112-115.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Gonçalves, D., Ferreira, M. and Guimarães, A. (2019). Extracellular Vesicles from the Protozoa Acanthamoeba castellanii: Their Role in Pathogenesis, Environmental Adaptation and Potential Applications. </w:t>
      </w:r>
      <w:r w:rsidRPr="0071546E">
        <w:rPr>
          <w:rFonts w:ascii="Arial" w:hAnsi="Arial" w:cs="Arial"/>
          <w:i/>
          <w:iCs/>
          <w:sz w:val="24"/>
          <w:szCs w:val="24"/>
        </w:rPr>
        <w:t>Bioengineering</w:t>
      </w:r>
      <w:r w:rsidRPr="0071546E">
        <w:rPr>
          <w:rFonts w:ascii="Arial" w:hAnsi="Arial" w:cs="Arial"/>
          <w:sz w:val="24"/>
          <w:szCs w:val="24"/>
        </w:rPr>
        <w:t>, 6(1), p.13.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Gonzales, F. P., Felgenträger, A., Bäumler, W., and Maisch, T. (2013). Fungicidal photodynamic effect of a twofold positively charged porphyrin against Candida albicans planktonic cells and biofilms. Future Microbiol. 8, 785–797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Griendling, K., Touyz, R., Zweier, J., Dikalov, S., Chilian, W., Chen, Y., Harrison, D. and Bhatnagar, A. (2016). Measurement of Reactive Oxygen Species, Reactive Nitrogen Species, and Redox-Dependent Signaling in the Cardiovascular System. </w:t>
      </w:r>
      <w:r w:rsidRPr="0071546E">
        <w:rPr>
          <w:rFonts w:ascii="Arial" w:hAnsi="Arial" w:cs="Arial"/>
          <w:i/>
          <w:iCs/>
          <w:sz w:val="24"/>
          <w:szCs w:val="24"/>
        </w:rPr>
        <w:t>Circulation Research</w:t>
      </w:r>
      <w:r w:rsidRPr="0071546E">
        <w:rPr>
          <w:rFonts w:ascii="Arial" w:hAnsi="Arial" w:cs="Arial"/>
          <w:sz w:val="24"/>
          <w:szCs w:val="24"/>
        </w:rPr>
        <w:t>, 119(5).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Grimm, S., Hoehn, A., Davies, K. and Grune, T. (2010). Protein oxidative modifications in the ageing brain: Consequence for the onset of neurodegenerative disease. </w:t>
      </w:r>
      <w:r w:rsidRPr="0071546E">
        <w:rPr>
          <w:rFonts w:ascii="Arial" w:hAnsi="Arial" w:cs="Arial"/>
          <w:i/>
          <w:iCs/>
          <w:sz w:val="24"/>
          <w:szCs w:val="24"/>
        </w:rPr>
        <w:t>Free Radical Research</w:t>
      </w:r>
      <w:r w:rsidRPr="0071546E">
        <w:rPr>
          <w:rFonts w:ascii="Arial" w:hAnsi="Arial" w:cs="Arial"/>
          <w:sz w:val="24"/>
          <w:szCs w:val="24"/>
        </w:rPr>
        <w:t xml:space="preserve">, 45(1), pp.73-88.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Grover, N. (2010). Echinocandins: A ray of hope in antifungal drug therapy. </w:t>
      </w:r>
      <w:r w:rsidRPr="0071546E">
        <w:rPr>
          <w:rFonts w:ascii="Arial" w:hAnsi="Arial" w:cs="Arial"/>
          <w:i/>
          <w:iCs/>
          <w:sz w:val="24"/>
          <w:szCs w:val="24"/>
        </w:rPr>
        <w:t>Indian Journal of Pharmacology</w:t>
      </w:r>
      <w:r w:rsidRPr="0071546E">
        <w:rPr>
          <w:rFonts w:ascii="Arial" w:hAnsi="Arial" w:cs="Arial"/>
          <w:sz w:val="24"/>
          <w:szCs w:val="24"/>
        </w:rPr>
        <w:t>, 42(1), p.9.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Gueudry, J., Le Goff, L., Compagnon, P., Lefevre, S., Colasse, E., Aknine, C., Duval, F., François, A., Razakandrainibe, R., Ballet, J., Muraine, M. and Favennec, L. (2018). Evaluation of voriconazole anti-Acanthamoeba polyphaga in vitro activity, rat cornea penetration and efficacy against experimental rat Acanthamoeba keratitis. Journal of Antimicrobial Chemotherapy, 73(7), pp.1895-1898.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Guimaraes, A., Gomes, K., Cortines, J., Peralta, J. and Peralta, R. (2016). Acanthamoeba spp. as a universal host for pathogenic microorganisms: One bridge from the environment to host virulence. </w:t>
      </w:r>
      <w:r w:rsidRPr="0071546E">
        <w:rPr>
          <w:rFonts w:ascii="Arial" w:hAnsi="Arial" w:cs="Arial"/>
          <w:i/>
          <w:iCs/>
          <w:sz w:val="24"/>
          <w:szCs w:val="24"/>
        </w:rPr>
        <w:t>Microbiological Research</w:t>
      </w:r>
      <w:r w:rsidRPr="0071546E">
        <w:rPr>
          <w:rFonts w:ascii="Arial" w:hAnsi="Arial" w:cs="Arial"/>
          <w:sz w:val="24"/>
          <w:szCs w:val="24"/>
        </w:rPr>
        <w:t xml:space="preserve">, 193, pp.30-38.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Guo, R., Gu, J., Zong, S., Wu, M. and Yang, M. (2018). Structure and mechanism of mitochondrial electron transport chain. </w:t>
      </w:r>
      <w:r w:rsidRPr="0071546E">
        <w:rPr>
          <w:rFonts w:ascii="Arial" w:hAnsi="Arial" w:cs="Arial"/>
          <w:i/>
          <w:iCs/>
          <w:sz w:val="24"/>
          <w:szCs w:val="24"/>
        </w:rPr>
        <w:t>Biomedical Journal</w:t>
      </w:r>
      <w:r w:rsidRPr="0071546E">
        <w:rPr>
          <w:rFonts w:ascii="Arial" w:hAnsi="Arial" w:cs="Arial"/>
          <w:sz w:val="24"/>
          <w:szCs w:val="24"/>
        </w:rPr>
        <w:t>, 41(1), pp.9-20.</w:t>
      </w:r>
    </w:p>
    <w:p w:rsidR="000C7C78" w:rsidRPr="0071546E" w:rsidRDefault="000C7C78" w:rsidP="00C310F1">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Hamblin, M. (2016). Antimicrobial photodynamic inactivation: a bright new technique to kill resistant microbes. </w:t>
      </w:r>
      <w:r w:rsidRPr="0071546E">
        <w:rPr>
          <w:rFonts w:ascii="Arial" w:hAnsi="Arial" w:cs="Arial"/>
          <w:i/>
          <w:iCs/>
          <w:sz w:val="24"/>
          <w:szCs w:val="24"/>
        </w:rPr>
        <w:t>Current Opinion in Microbiology</w:t>
      </w:r>
      <w:r w:rsidRPr="0071546E">
        <w:rPr>
          <w:rFonts w:ascii="Arial" w:hAnsi="Arial" w:cs="Arial"/>
          <w:sz w:val="24"/>
          <w:szCs w:val="24"/>
        </w:rPr>
        <w:t>, 33, pp.67-73.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Hamblin, M. and Juri, G. (2016). </w:t>
      </w:r>
      <w:r w:rsidRPr="0071546E">
        <w:rPr>
          <w:rFonts w:ascii="Arial" w:hAnsi="Arial" w:cs="Arial"/>
          <w:i/>
          <w:iCs/>
          <w:sz w:val="24"/>
          <w:szCs w:val="24"/>
        </w:rPr>
        <w:t>Photodynamic inactivation of microbial pathogens: medical and environmental applications</w:t>
      </w:r>
      <w:r w:rsidRPr="0071546E">
        <w:rPr>
          <w:rFonts w:ascii="Arial" w:hAnsi="Arial" w:cs="Arial"/>
          <w:sz w:val="24"/>
          <w:szCs w:val="24"/>
        </w:rPr>
        <w:t>. 1st ed. Cambridge: Royal society of chemistry, pp.65, 162, 197, 204.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Hanakova, A., Bogdanova, K., Tomankova, K., Pizova, K., Malohlava, J., Binder, S., Bajgar, R., Langova, K., Kolar, M., Mosinger, J. and Kolarova, H. (2014). The application of antimicrobial photodynamic therapy on S. aureus and E. coli using porphyrin photosensitizers bound to cyclodextrin. </w:t>
      </w:r>
      <w:r w:rsidRPr="0071546E">
        <w:rPr>
          <w:rFonts w:ascii="Arial" w:hAnsi="Arial" w:cs="Arial"/>
          <w:i/>
          <w:iCs/>
          <w:sz w:val="24"/>
          <w:szCs w:val="24"/>
        </w:rPr>
        <w:t>Microbiological Research</w:t>
      </w:r>
      <w:r w:rsidRPr="0071546E">
        <w:rPr>
          <w:rFonts w:ascii="Arial" w:hAnsi="Arial" w:cs="Arial"/>
          <w:sz w:val="24"/>
          <w:szCs w:val="24"/>
        </w:rPr>
        <w:t xml:space="preserve">, 169(2-3), pp.163-170.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Henderson, C. (2018). </w:t>
      </w:r>
      <w:r w:rsidRPr="0071546E">
        <w:rPr>
          <w:rFonts w:ascii="Arial" w:hAnsi="Arial" w:cs="Arial"/>
          <w:i/>
          <w:iCs/>
          <w:sz w:val="24"/>
          <w:szCs w:val="24"/>
        </w:rPr>
        <w:t>Physical Methods for Microorganisms Detection</w:t>
      </w:r>
      <w:r w:rsidRPr="0071546E">
        <w:rPr>
          <w:rFonts w:ascii="Arial" w:hAnsi="Arial" w:cs="Arial"/>
          <w:sz w:val="24"/>
          <w:szCs w:val="24"/>
        </w:rPr>
        <w:t>. US: Tritech Digital Media.</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lang w:val="en-US"/>
        </w:rPr>
        <w:t xml:space="preserve">Heredero-Bermejo, I., Copa-PatiÃ±o, J., Soliveri, J., GÃ³mez, R., de la Mata, F. and PÃ©rez-Serrano, J. (2013). In vitro comparative assessment of different viability assays in Acanthamoeba castellanii and Acanthamoeba polyphaga trophozoites. </w:t>
      </w:r>
      <w:r w:rsidRPr="0071546E">
        <w:rPr>
          <w:rFonts w:ascii="Arial" w:hAnsi="Arial" w:cs="Arial"/>
          <w:i/>
          <w:iCs/>
          <w:sz w:val="24"/>
          <w:szCs w:val="24"/>
          <w:lang w:val="en-US"/>
        </w:rPr>
        <w:t>Parasitology Research</w:t>
      </w:r>
      <w:r w:rsidRPr="0071546E">
        <w:rPr>
          <w:rFonts w:ascii="Arial" w:hAnsi="Arial" w:cs="Arial"/>
          <w:sz w:val="24"/>
          <w:szCs w:val="24"/>
          <w:lang w:val="en-US"/>
        </w:rPr>
        <w:t>, 112(12), pp.4087-4095.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Heredero-Bermejo, I., Copa-Patiño, J., Soliveri, J., Gómez, R., de la Mata, F. and Pérez-Serrano, J. (2013). In vitro comparative assessment of different viability assays in Acanthamoeba castellanii and Acanthamoeba polyphaga trophozoites. Parasitology Research, 112(12), pp.4087-4095.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Heredero-Bermejo, I., Copa-Patiño, J., Soliveri, J., Gómez, R., de la Mata, F. and Pérez-Serrano, J. (2013). In vitro comparative assessment of different viability assays in Acanthamoeba castellanii and Acanthamoeba polyphaga trophozoites. </w:t>
      </w:r>
      <w:r w:rsidRPr="0071546E">
        <w:rPr>
          <w:rFonts w:ascii="Arial" w:hAnsi="Arial" w:cs="Arial"/>
          <w:i/>
          <w:iCs/>
          <w:sz w:val="24"/>
          <w:szCs w:val="24"/>
        </w:rPr>
        <w:t>Parasitology Research</w:t>
      </w:r>
      <w:r w:rsidRPr="0071546E">
        <w:rPr>
          <w:rFonts w:ascii="Arial" w:hAnsi="Arial" w:cs="Arial"/>
          <w:sz w:val="24"/>
          <w:szCs w:val="24"/>
        </w:rPr>
        <w:t>, 112(12), pp.4087-4095.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Hishikawa, K., Oemar, B., Yang, Z. and Lüscher, T. (1997). Pulsatile Stretch Stimulates Superoxide Production and Activates Nuclear Factor-κB in Human Coronary Smooth Muscle. </w:t>
      </w:r>
      <w:r w:rsidRPr="0071546E">
        <w:rPr>
          <w:rFonts w:ascii="Arial" w:hAnsi="Arial" w:cs="Arial"/>
          <w:i/>
          <w:iCs/>
          <w:sz w:val="24"/>
          <w:szCs w:val="24"/>
        </w:rPr>
        <w:t>Circulation Research</w:t>
      </w:r>
      <w:r w:rsidRPr="0071546E">
        <w:rPr>
          <w:rFonts w:ascii="Arial" w:hAnsi="Arial" w:cs="Arial"/>
          <w:sz w:val="24"/>
          <w:szCs w:val="24"/>
        </w:rPr>
        <w:t>, 81(5), pp.797-803.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Hosseinzadeh, R. and Khorsandi, K. (2017). Methylene blue, curcumin and ion pairing nanoparticles effects on photodynamic therapy of MDA-MB-231 breast cancer cell. </w:t>
      </w:r>
      <w:r w:rsidRPr="0071546E">
        <w:rPr>
          <w:rFonts w:ascii="Arial" w:hAnsi="Arial" w:cs="Arial"/>
          <w:i/>
          <w:iCs/>
          <w:color w:val="000000"/>
          <w:sz w:val="24"/>
          <w:szCs w:val="24"/>
        </w:rPr>
        <w:t>Photodiagnosis and Photodynamic Therapy</w:t>
      </w:r>
      <w:r w:rsidRPr="0071546E">
        <w:rPr>
          <w:rFonts w:ascii="Arial" w:hAnsi="Arial" w:cs="Arial"/>
          <w:color w:val="000000"/>
          <w:sz w:val="24"/>
          <w:szCs w:val="24"/>
        </w:rPr>
        <w:t xml:space="preserve">, 18, pp.284-294.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Huang, F., Shih, M., Chang, K., Huang, J., Shin, J. and Lin, W. (2017). Characterizing clinical isolates of Acanthamoeba castellanii with high resistance to polyhexamethylene biguanide in Taiwan. </w:t>
      </w:r>
      <w:r w:rsidRPr="0071546E">
        <w:rPr>
          <w:rFonts w:ascii="Arial" w:hAnsi="Arial" w:cs="Arial"/>
          <w:i/>
          <w:iCs/>
          <w:sz w:val="24"/>
          <w:szCs w:val="24"/>
        </w:rPr>
        <w:t>Journal of Microbiology, Immunology and Infection</w:t>
      </w:r>
      <w:r w:rsidRPr="0071546E">
        <w:rPr>
          <w:rFonts w:ascii="Arial" w:hAnsi="Arial" w:cs="Arial"/>
          <w:sz w:val="24"/>
          <w:szCs w:val="24"/>
        </w:rPr>
        <w:t xml:space="preserve">, 50(5), pp.570-577.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Huang, L., Xuan, Y., Koide, Y., Zhiyentayev, T., Tanaka, M. and Hamblin, M. (2012). Type I and Type II mechanisms of antimicrobial photodynamic therapy: An in vitro study on gram-negative and gram-positive bacteria. </w:t>
      </w:r>
      <w:r w:rsidRPr="0071546E">
        <w:rPr>
          <w:rFonts w:ascii="Arial" w:hAnsi="Arial" w:cs="Arial"/>
          <w:i/>
          <w:iCs/>
          <w:sz w:val="24"/>
          <w:szCs w:val="24"/>
        </w:rPr>
        <w:t>Lasers in Surgery and Medicine</w:t>
      </w:r>
      <w:r w:rsidRPr="0071546E">
        <w:rPr>
          <w:rFonts w:ascii="Arial" w:hAnsi="Arial" w:cs="Arial"/>
          <w:sz w:val="24"/>
          <w:szCs w:val="24"/>
        </w:rPr>
        <w:t>, 44(6), pp.490-499.</w:t>
      </w:r>
    </w:p>
    <w:p w:rsidR="000C7C78" w:rsidRPr="0071546E" w:rsidRDefault="000C7C78" w:rsidP="008714A8">
      <w:pPr>
        <w:shd w:val="clear" w:color="auto" w:fill="FFFFFF"/>
        <w:suppressAutoHyphens/>
        <w:autoSpaceDN w:val="0"/>
        <w:spacing w:after="180" w:line="360" w:lineRule="atLeast"/>
        <w:ind w:left="1021" w:right="454" w:hanging="450"/>
        <w:rPr>
          <w:rFonts w:ascii="Arial" w:hAnsi="Arial" w:cs="Arial"/>
          <w:b/>
          <w:bCs/>
          <w:sz w:val="24"/>
          <w:szCs w:val="24"/>
        </w:rPr>
      </w:pPr>
      <w:r w:rsidRPr="0071546E">
        <w:rPr>
          <w:rFonts w:ascii="Arial" w:hAnsi="Arial" w:cs="Arial"/>
          <w:sz w:val="24"/>
          <w:szCs w:val="24"/>
        </w:rPr>
        <w:t>Hughes, R., and Kilvington, S. (2004). Studies on the efficacy of novel disinfectants and therapeutic agents against Acanthamoeba. Pro|Quest LLC 2789 East Eisenhower Parkway USA.</w:t>
      </w:r>
      <w:r w:rsidRPr="0071546E">
        <w:rPr>
          <w:rFonts w:ascii="Arial" w:hAnsi="Arial" w:cs="Arial"/>
          <w:bCs/>
          <w:sz w:val="24"/>
          <w:szCs w:val="24"/>
        </w:rPr>
        <w:t xml:space="preserve">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Huhtala, A., Salminen, L., Tähti, H., Uusitalo, H., (2008). Corneal models for the toxicity testing of drugs and drug releasing materials. In: Ashammakhi, N. (Ed.), Topics in Multifunctional Biomaterials and Devices. Biomaterials and Tissue Engineering Group. http://www.oulu.fi/spareparts/ ebook_topics_multifunctional/index.html.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Hurst, A., Scarbrough, B., Saleh, R., Hovey, J., Ari, F., Goyal, S., Chi, R., Troutman, J. and Vivero-Escoto, J. (2019). Influence of Cationic meso-Substituted Porphyrins on the Antimicrobial Photodynamic Efficacy and Cell Membrane Interaction in Escherichia coli. </w:t>
      </w:r>
      <w:r w:rsidRPr="0071546E">
        <w:rPr>
          <w:rFonts w:ascii="Arial" w:hAnsi="Arial" w:cs="Arial"/>
          <w:i/>
          <w:iCs/>
          <w:sz w:val="24"/>
          <w:szCs w:val="24"/>
        </w:rPr>
        <w:t>International Journal of Molecular Sciences</w:t>
      </w:r>
      <w:r w:rsidRPr="0071546E">
        <w:rPr>
          <w:rFonts w:ascii="Arial" w:hAnsi="Arial" w:cs="Arial"/>
          <w:sz w:val="24"/>
          <w:szCs w:val="24"/>
        </w:rPr>
        <w:t xml:space="preserve">, 20(1), p.134.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Hurt, M., Neelam, S., Niederkorn, J. and Alizadeh, H. (2003). Pathogenic Acanthamoeba spp. Secrete a Mannose-Induced Cytolytic Protein That Correlates with the Ability To Cause Disease. </w:t>
      </w:r>
      <w:r w:rsidRPr="0071546E">
        <w:rPr>
          <w:rFonts w:ascii="Arial" w:hAnsi="Arial" w:cs="Arial"/>
          <w:i/>
          <w:iCs/>
          <w:sz w:val="24"/>
          <w:szCs w:val="24"/>
        </w:rPr>
        <w:t>Infection and Immunity</w:t>
      </w:r>
      <w:r w:rsidRPr="0071546E">
        <w:rPr>
          <w:rFonts w:ascii="Arial" w:hAnsi="Arial" w:cs="Arial"/>
          <w:sz w:val="24"/>
          <w:szCs w:val="24"/>
        </w:rPr>
        <w:t>, 71(11), pp.6243-6255.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Huth, S., Reverey, J., Leippe, M. and Selhuber-Unkel, C. (2017). Adhesion forces and mechanics in mannose-mediated Acanthamoeba interactions. </w:t>
      </w:r>
      <w:r w:rsidRPr="0071546E">
        <w:rPr>
          <w:rFonts w:ascii="Arial" w:hAnsi="Arial" w:cs="Arial"/>
          <w:i/>
          <w:iCs/>
          <w:sz w:val="24"/>
          <w:szCs w:val="24"/>
        </w:rPr>
        <w:t>PLOS ONE</w:t>
      </w:r>
      <w:r w:rsidRPr="0071546E">
        <w:rPr>
          <w:rFonts w:ascii="Arial" w:hAnsi="Arial" w:cs="Arial"/>
          <w:sz w:val="24"/>
          <w:szCs w:val="24"/>
        </w:rPr>
        <w:t xml:space="preserve">, 12(5), p.e0176207. Sharma, S., Sankaridurg, P., Venkata, N., Potluri, S., Athmanathan, S., Reddy, S., Holden, B. and Rao, G. (1999). Adherence of Acanthamoeba to human corneal epithelial cells recovered from normal non-lens wearers and asymptomatic contact lens wearers. </w:t>
      </w:r>
      <w:r w:rsidRPr="0071546E">
        <w:rPr>
          <w:rFonts w:ascii="Arial" w:hAnsi="Arial" w:cs="Arial"/>
          <w:i/>
          <w:iCs/>
          <w:sz w:val="24"/>
          <w:szCs w:val="24"/>
        </w:rPr>
        <w:t>Contact Lens and Anterior Eye</w:t>
      </w:r>
      <w:r w:rsidRPr="0071546E">
        <w:rPr>
          <w:rFonts w:ascii="Arial" w:hAnsi="Arial" w:cs="Arial"/>
          <w:sz w:val="24"/>
          <w:szCs w:val="24"/>
        </w:rPr>
        <w:t xml:space="preserve">, 22(4), pp.110-115. </w:t>
      </w:r>
    </w:p>
    <w:p w:rsidR="000C7C78" w:rsidRPr="0071546E" w:rsidRDefault="000C7C78" w:rsidP="009D064D">
      <w:pPr>
        <w:shd w:val="clear" w:color="auto" w:fill="FFFFFF"/>
        <w:suppressAutoHyphens/>
        <w:autoSpaceDN w:val="0"/>
        <w:spacing w:after="180" w:line="360" w:lineRule="atLeast"/>
        <w:ind w:left="1021" w:right="454" w:hanging="450"/>
        <w:jc w:val="both"/>
        <w:rPr>
          <w:rFonts w:ascii="Arial" w:hAnsi="Arial" w:cs="Arial"/>
          <w:sz w:val="24"/>
          <w:szCs w:val="24"/>
          <w:lang w:val="en"/>
        </w:rPr>
      </w:pPr>
      <w:r w:rsidRPr="0071546E">
        <w:rPr>
          <w:rFonts w:ascii="Arial" w:hAnsi="Arial" w:cs="Arial"/>
          <w:sz w:val="24"/>
          <w:szCs w:val="24"/>
          <w:lang w:val="en"/>
        </w:rPr>
        <w:t xml:space="preserve">Hynek, J., Jurík, S., Koncošová, M., Zelenka, J., Křížová, I., Ruml, T., Kirakci, K., Jakubec, I., Kovanda, F., Lang, K. and Demel, J. (2018). The nanoscaled metal-organic framework ICR-2 as a carrier of porphyrins for photodynamic therapy. </w:t>
      </w:r>
      <w:r w:rsidRPr="0071546E">
        <w:rPr>
          <w:rFonts w:ascii="Arial" w:hAnsi="Arial" w:cs="Arial"/>
          <w:i/>
          <w:iCs/>
          <w:sz w:val="24"/>
          <w:szCs w:val="24"/>
          <w:lang w:val="en"/>
        </w:rPr>
        <w:t>Beilstein Journal of Nanotechnology</w:t>
      </w:r>
      <w:r w:rsidRPr="0071546E">
        <w:rPr>
          <w:rFonts w:ascii="Arial" w:hAnsi="Arial" w:cs="Arial"/>
          <w:sz w:val="24"/>
          <w:szCs w:val="24"/>
          <w:lang w:val="en"/>
        </w:rPr>
        <w:t>, 9, pp.2960-2967.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Ibrahim, Y., Boase, D. and Cree, I. (2009). How Could Contact Lens Wearers Be at Risk of Acanthamoeba Infection? A Review. </w:t>
      </w:r>
      <w:r w:rsidRPr="0071546E">
        <w:rPr>
          <w:rFonts w:ascii="Arial" w:hAnsi="Arial" w:cs="Arial"/>
          <w:i/>
          <w:iCs/>
          <w:sz w:val="24"/>
          <w:szCs w:val="24"/>
        </w:rPr>
        <w:t>Journal of Optometry</w:t>
      </w:r>
      <w:r w:rsidRPr="0071546E">
        <w:rPr>
          <w:rFonts w:ascii="Arial" w:hAnsi="Arial" w:cs="Arial"/>
          <w:sz w:val="24"/>
          <w:szCs w:val="24"/>
        </w:rPr>
        <w:t>, 2(2), pp.60-66.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Ighodaro, O. and Akinloye, O. (2018). First line defence antioxidants-superoxide dismutase (SOD), catalase (CAT) and glutathione peroxidase (GPX): Their fundamental role in the entire antioxidant defence grid. </w:t>
      </w:r>
      <w:r w:rsidRPr="0071546E">
        <w:rPr>
          <w:rFonts w:ascii="Arial" w:hAnsi="Arial" w:cs="Arial"/>
          <w:i/>
          <w:iCs/>
          <w:sz w:val="24"/>
          <w:szCs w:val="24"/>
        </w:rPr>
        <w:t>Alexandria Journal of Medicine</w:t>
      </w:r>
      <w:r w:rsidRPr="0071546E">
        <w:rPr>
          <w:rFonts w:ascii="Arial" w:hAnsi="Arial" w:cs="Arial"/>
          <w:sz w:val="24"/>
          <w:szCs w:val="24"/>
        </w:rPr>
        <w:t>, 54(4), pp.287-293.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Imayasu, M., Tchedre, K. and Cavanagh, H. (2013). Effects of Multipurpose Solutions on the Viability and Encystment of Acanthamoeba Determined by Flow Cytometry. </w:t>
      </w:r>
      <w:r w:rsidRPr="0071546E">
        <w:rPr>
          <w:rFonts w:ascii="Arial" w:hAnsi="Arial" w:cs="Arial"/>
          <w:i/>
          <w:iCs/>
          <w:sz w:val="24"/>
          <w:szCs w:val="24"/>
        </w:rPr>
        <w:t>Eye &amp; Contact Lens: Science &amp; Clinical Practice</w:t>
      </w:r>
      <w:r w:rsidRPr="0071546E">
        <w:rPr>
          <w:rFonts w:ascii="Arial" w:hAnsi="Arial" w:cs="Arial"/>
          <w:sz w:val="24"/>
          <w:szCs w:val="24"/>
        </w:rPr>
        <w:t>, 39(3), pp.228-233.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Iqbal, I., Bajeli, S., Akela, A. and Kumar, A. (2018). Bioenergetics of Mycobacterium: An Emerging Landscape for Drug Discovery. </w:t>
      </w:r>
      <w:r w:rsidRPr="0071546E">
        <w:rPr>
          <w:rFonts w:ascii="Arial" w:hAnsi="Arial" w:cs="Arial"/>
          <w:i/>
          <w:iCs/>
          <w:sz w:val="24"/>
          <w:szCs w:val="24"/>
        </w:rPr>
        <w:t>Pathogens</w:t>
      </w:r>
      <w:r w:rsidRPr="0071546E">
        <w:rPr>
          <w:rFonts w:ascii="Arial" w:hAnsi="Arial" w:cs="Arial"/>
          <w:sz w:val="24"/>
          <w:szCs w:val="24"/>
        </w:rPr>
        <w:t>, 7(1), p.24.</w:t>
      </w:r>
    </w:p>
    <w:p w:rsidR="000C7C78" w:rsidRPr="0071546E" w:rsidRDefault="000C7C78" w:rsidP="001731C5">
      <w:pPr>
        <w:suppressAutoHyphens/>
        <w:autoSpaceDN w:val="0"/>
        <w:spacing w:after="180" w:line="360" w:lineRule="atLeast"/>
        <w:ind w:left="1021" w:right="454" w:hanging="450"/>
        <w:rPr>
          <w:rFonts w:ascii="Arial" w:hAnsi="Arial" w:cs="Arial"/>
          <w:b/>
          <w:bCs/>
          <w:sz w:val="24"/>
          <w:szCs w:val="24"/>
          <w:lang w:val="en"/>
        </w:rPr>
      </w:pPr>
      <w:r w:rsidRPr="0071546E">
        <w:rPr>
          <w:rFonts w:ascii="Arial" w:hAnsi="Arial" w:cs="Arial"/>
          <w:sz w:val="24"/>
          <w:szCs w:val="24"/>
        </w:rPr>
        <w:t>Isenberg, S., Apt, L., Valenton, M., Sharma, S., Garg, P., Thomas, P., Parmar, P., Kaliamurthy, J., Reyes, J., Ong, D., Christenson, P., Del Signore, M. and Holland, G. (2017). Prospective, Randomized Clinical Trial of Povidone-Iodine 1.25% Solution Versus Topical Antibiotics for Treatment of Bacterial Keratitis. American Journal of Ophthalmology, 176, pp.244-253.</w:t>
      </w:r>
      <w:r w:rsidRPr="0071546E">
        <w:rPr>
          <w:rFonts w:ascii="Arial" w:hAnsi="Arial" w:cs="Arial"/>
          <w:bCs/>
          <w:color w:val="000000"/>
          <w:sz w:val="24"/>
          <w:szCs w:val="24"/>
          <w:lang w:val="en"/>
        </w:rPr>
        <w:t xml:space="preserve">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Islam, S., Rahman, F., Munshi, S., Ahmed, J., Kamal, S. and Noor, R. (2012). Use of fluorescein diacetate (FDA) staining to detect viable Mycobacterium tuberculosis. </w:t>
      </w:r>
      <w:r w:rsidRPr="0071546E">
        <w:rPr>
          <w:rFonts w:ascii="Arial" w:hAnsi="Arial" w:cs="Arial"/>
          <w:i/>
          <w:iCs/>
          <w:sz w:val="24"/>
          <w:szCs w:val="24"/>
        </w:rPr>
        <w:t>Bangladesh Journal of Medical Science</w:t>
      </w:r>
      <w:r w:rsidRPr="0071546E">
        <w:rPr>
          <w:rFonts w:ascii="Arial" w:hAnsi="Arial" w:cs="Arial"/>
          <w:sz w:val="24"/>
          <w:szCs w:val="24"/>
        </w:rPr>
        <w:t>, 11(4), pp.322-330.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Issons, J., Alsam, S., Goldsworthy, G., Lightfoot, M., Jarroll, E. and Khan, N. (2006). </w:t>
      </w:r>
      <w:r w:rsidRPr="0071546E">
        <w:rPr>
          <w:rFonts w:ascii="Arial" w:hAnsi="Arial" w:cs="Arial"/>
          <w:i/>
          <w:iCs/>
          <w:sz w:val="24"/>
          <w:szCs w:val="24"/>
        </w:rPr>
        <w:t>BMC Microbiology</w:t>
      </w:r>
      <w:r w:rsidRPr="0071546E">
        <w:rPr>
          <w:rFonts w:ascii="Arial" w:hAnsi="Arial" w:cs="Arial"/>
          <w:sz w:val="24"/>
          <w:szCs w:val="24"/>
        </w:rPr>
        <w:t>, 6(1), p.42.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Jafari, M. and Mehrnejad, F. (2016). Molecular Insight into Human Lysozyme and Its Ability to Form Amyloid Fibrils in High Concentrations of Sodium Dodecyl Sulfate: A View from Molecular Dynamics Simulations. </w:t>
      </w:r>
      <w:r w:rsidRPr="0071546E">
        <w:rPr>
          <w:rFonts w:ascii="Arial" w:hAnsi="Arial" w:cs="Arial"/>
          <w:i/>
          <w:iCs/>
          <w:color w:val="000000"/>
          <w:sz w:val="24"/>
          <w:szCs w:val="24"/>
        </w:rPr>
        <w:t>PLOS ONE</w:t>
      </w:r>
      <w:r w:rsidRPr="0071546E">
        <w:rPr>
          <w:rFonts w:ascii="Arial" w:hAnsi="Arial" w:cs="Arial"/>
          <w:color w:val="000000"/>
          <w:sz w:val="24"/>
          <w:szCs w:val="24"/>
        </w:rPr>
        <w:t xml:space="preserve">, 11(10), pp.165-213. </w:t>
      </w:r>
    </w:p>
    <w:p w:rsidR="000C7C78" w:rsidRPr="0071546E" w:rsidRDefault="000C7C78" w:rsidP="00024C89">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Jager, B. and Stamm, W. (1972). Brain abscesses caused by free-living amoeba probably of the genus hartmannella in a patient with Hodgkins disease. The Lancet, 300 (7791), pp. 1343-1345.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James, S. and McManus, J. (2012). Thermal and Solution Stability of Lysozyme in the Presence of Sucrose, Glucose, and Trehalose. </w:t>
      </w:r>
      <w:r w:rsidRPr="0071546E">
        <w:rPr>
          <w:rFonts w:ascii="Arial" w:hAnsi="Arial" w:cs="Arial"/>
          <w:i/>
          <w:iCs/>
          <w:color w:val="000000"/>
          <w:sz w:val="24"/>
          <w:szCs w:val="24"/>
        </w:rPr>
        <w:t>The Journal of Physical Chemistry B</w:t>
      </w:r>
      <w:r w:rsidRPr="0071546E">
        <w:rPr>
          <w:rFonts w:ascii="Arial" w:hAnsi="Arial" w:cs="Arial"/>
          <w:color w:val="000000"/>
          <w:sz w:val="24"/>
          <w:szCs w:val="24"/>
        </w:rPr>
        <w:t xml:space="preserve">, 116(34), pp.10182-10188.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Jarlier, V. (1994). Mycobacterial cell wall: Structure and role in natural resistance to antibiotics. </w:t>
      </w:r>
      <w:r w:rsidRPr="0071546E">
        <w:rPr>
          <w:rFonts w:ascii="Arial" w:hAnsi="Arial" w:cs="Arial"/>
          <w:i/>
          <w:iCs/>
          <w:sz w:val="24"/>
          <w:szCs w:val="24"/>
        </w:rPr>
        <w:t>FEMS Microbiology Letters</w:t>
      </w:r>
      <w:r w:rsidRPr="0071546E">
        <w:rPr>
          <w:rFonts w:ascii="Arial" w:hAnsi="Arial" w:cs="Arial"/>
          <w:sz w:val="24"/>
          <w:szCs w:val="24"/>
        </w:rPr>
        <w:t>, 123(1-2), pp.11-18.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Jester, J., Murphy, C., Winkler, M., Bergmanson, J., Brown, D., Steinert, R. and Mannis, M. (2013). Lessons in Corneal Structure and Mechanics to Guide the Corneal Surgeon. </w:t>
      </w:r>
      <w:r w:rsidRPr="0071546E">
        <w:rPr>
          <w:rFonts w:ascii="Arial" w:hAnsi="Arial" w:cs="Arial"/>
          <w:i/>
          <w:iCs/>
          <w:sz w:val="24"/>
          <w:szCs w:val="24"/>
        </w:rPr>
        <w:t>Ophthalmology</w:t>
      </w:r>
      <w:r w:rsidRPr="0071546E">
        <w:rPr>
          <w:rFonts w:ascii="Arial" w:hAnsi="Arial" w:cs="Arial"/>
          <w:sz w:val="24"/>
          <w:szCs w:val="24"/>
        </w:rPr>
        <w:t>, 120(9), pp.1715-1717.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Jo, H., Kim, Y., Park, H., Moon, H., Bae, S., Kim, J., Kim, D. and Paek, S. (2015). The Unreliability of MTT Assay in the Cytotoxic Test of Primary Cultured Glioblastoma Cells. </w:t>
      </w:r>
      <w:r w:rsidRPr="0071546E">
        <w:rPr>
          <w:rFonts w:ascii="Arial" w:hAnsi="Arial" w:cs="Arial"/>
          <w:i/>
          <w:iCs/>
          <w:sz w:val="24"/>
          <w:szCs w:val="24"/>
        </w:rPr>
        <w:t>Experimental Neurobiology</w:t>
      </w:r>
      <w:r w:rsidRPr="0071546E">
        <w:rPr>
          <w:rFonts w:ascii="Arial" w:hAnsi="Arial" w:cs="Arial"/>
          <w:sz w:val="24"/>
          <w:szCs w:val="24"/>
        </w:rPr>
        <w:t>, 24(3), p.235.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Johno, H., Takahashi, S. and Kitamura, M. (2010). Influences of Acidic Conditions on Formazan Assay: A Cautionary Note. </w:t>
      </w:r>
      <w:r w:rsidRPr="0071546E">
        <w:rPr>
          <w:rFonts w:ascii="Arial" w:hAnsi="Arial" w:cs="Arial"/>
          <w:i/>
          <w:iCs/>
          <w:sz w:val="24"/>
          <w:szCs w:val="24"/>
        </w:rPr>
        <w:t>Applied Biochemistry and Biotechnology</w:t>
      </w:r>
      <w:r w:rsidRPr="0071546E">
        <w:rPr>
          <w:rFonts w:ascii="Arial" w:hAnsi="Arial" w:cs="Arial"/>
          <w:sz w:val="24"/>
          <w:szCs w:val="24"/>
        </w:rPr>
        <w:t>, 162(6), pp.1529-1535.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Johnston, S., Sriram, R., Qvarnstrom, Y., Roy, S., Verani, J., Yoder, J., Lorick, S., Roberts, J., Beach, M. and Visvesvara, G. (2009). The resistance of Acanthamoeba Cysts to Disinfection in Multiple Contact Lens Solutions. </w:t>
      </w:r>
      <w:r w:rsidRPr="0071546E">
        <w:rPr>
          <w:rFonts w:ascii="Arial" w:hAnsi="Arial" w:cs="Arial"/>
          <w:i/>
          <w:iCs/>
          <w:sz w:val="24"/>
          <w:szCs w:val="24"/>
        </w:rPr>
        <w:t>Journal of Clinical Microbiology</w:t>
      </w:r>
      <w:r w:rsidRPr="0071546E">
        <w:rPr>
          <w:rFonts w:ascii="Arial" w:hAnsi="Arial" w:cs="Arial"/>
          <w:sz w:val="24"/>
          <w:szCs w:val="24"/>
        </w:rPr>
        <w:t>, 47(7), pp.2040-2045.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Jones, H., Vernon, D. and Brown, S. (2003). Photodynamic therapy effect of m-THPC (Foscan®) in vivo: correlation with pharmacokinetics. </w:t>
      </w:r>
      <w:r w:rsidRPr="0071546E">
        <w:rPr>
          <w:rFonts w:ascii="Arial" w:hAnsi="Arial" w:cs="Arial"/>
          <w:i/>
          <w:iCs/>
          <w:sz w:val="24"/>
          <w:szCs w:val="24"/>
        </w:rPr>
        <w:t>British Journal of Cancer</w:t>
      </w:r>
      <w:r w:rsidRPr="0071546E">
        <w:rPr>
          <w:rFonts w:ascii="Arial" w:hAnsi="Arial" w:cs="Arial"/>
          <w:sz w:val="24"/>
          <w:szCs w:val="24"/>
        </w:rPr>
        <w:t>, 89(2), pp.398-404.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Kalogeris, T., Bao, Y. and Korthuis, R. (2014). Mitochondrial reactive oxygen species: A double-edged sword in ischemia/reperfusion vs preconditioning. </w:t>
      </w:r>
      <w:r w:rsidRPr="0071546E">
        <w:rPr>
          <w:rFonts w:ascii="Arial" w:hAnsi="Arial" w:cs="Arial"/>
          <w:i/>
          <w:iCs/>
          <w:sz w:val="24"/>
          <w:szCs w:val="24"/>
        </w:rPr>
        <w:t>Redox Biology</w:t>
      </w:r>
      <w:r w:rsidRPr="0071546E">
        <w:rPr>
          <w:rFonts w:ascii="Arial" w:hAnsi="Arial" w:cs="Arial"/>
          <w:sz w:val="24"/>
          <w:szCs w:val="24"/>
        </w:rPr>
        <w:t>, 2, pp.702-714.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Kashef, N., Ravaei Sharif Abadi, G. and Djavid, G. (2012). Photodynamic inactivation of primary human fibroblasts by methylene blue and toluidine blue O. </w:t>
      </w:r>
      <w:r w:rsidRPr="0071546E">
        <w:rPr>
          <w:rFonts w:ascii="Arial" w:hAnsi="Arial" w:cs="Arial"/>
          <w:i/>
          <w:iCs/>
          <w:sz w:val="24"/>
          <w:szCs w:val="24"/>
        </w:rPr>
        <w:t>Photodiagnosis and Photodynamic Therapy</w:t>
      </w:r>
      <w:r w:rsidRPr="0071546E">
        <w:rPr>
          <w:rFonts w:ascii="Arial" w:hAnsi="Arial" w:cs="Arial"/>
          <w:sz w:val="24"/>
          <w:szCs w:val="24"/>
        </w:rPr>
        <w:t>, 9(4), pp.355-358.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Kato, M., Chiba, T., Li, M. and Hanyu, Y. (2011). Bioluminescence Assay for Detecting Cell Surface Membrane Protein Expression. </w:t>
      </w:r>
      <w:r w:rsidRPr="0071546E">
        <w:rPr>
          <w:rFonts w:ascii="Arial" w:hAnsi="Arial" w:cs="Arial"/>
          <w:i/>
          <w:iCs/>
          <w:sz w:val="24"/>
          <w:szCs w:val="24"/>
        </w:rPr>
        <w:t>ASSAY and Drug Development Technologies</w:t>
      </w:r>
      <w:r w:rsidRPr="0071546E">
        <w:rPr>
          <w:rFonts w:ascii="Arial" w:hAnsi="Arial" w:cs="Arial"/>
          <w:sz w:val="24"/>
          <w:szCs w:val="24"/>
        </w:rPr>
        <w:t>, 9(1), pp.31-39.</w:t>
      </w:r>
    </w:p>
    <w:p w:rsidR="000C7C78" w:rsidRPr="0071546E" w:rsidRDefault="000C7C78" w:rsidP="008714A8">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Kaya, Y., Baldemir, A., Karaman, Ü., Ildız, N., Arıcı, Y., Kaçmaz, G., Kolören, Z. and Konca, Y. (2019). Amebicidal effects of fenugreek (Trigonella foenum</w:t>
      </w:r>
      <w:r w:rsidRPr="0071546E">
        <w:rPr>
          <w:rFonts w:ascii="Cambria Math" w:hAnsi="Cambria Math" w:cs="Cambria Math"/>
          <w:sz w:val="24"/>
          <w:szCs w:val="24"/>
        </w:rPr>
        <w:t>‐</w:t>
      </w:r>
      <w:r w:rsidRPr="0071546E">
        <w:rPr>
          <w:rFonts w:ascii="Arial" w:hAnsi="Arial" w:cs="Arial"/>
          <w:sz w:val="24"/>
          <w:szCs w:val="24"/>
        </w:rPr>
        <w:t xml:space="preserve">graecum) against Acanthamoeba cysts. </w:t>
      </w:r>
      <w:r w:rsidRPr="0071546E">
        <w:rPr>
          <w:rFonts w:ascii="Arial" w:hAnsi="Arial" w:cs="Arial"/>
          <w:i/>
          <w:iCs/>
          <w:sz w:val="24"/>
          <w:szCs w:val="24"/>
        </w:rPr>
        <w:t>Food Science &amp; Nutrition</w:t>
      </w:r>
      <w:r w:rsidRPr="0071546E">
        <w:rPr>
          <w:rFonts w:ascii="Arial" w:hAnsi="Arial" w:cs="Arial"/>
          <w:sz w:val="24"/>
          <w:szCs w:val="24"/>
        </w:rPr>
        <w:t>, 7(2), pp.563-571.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Kays, M. (2010). Book Review: Mandell, Douglas, and Bennett's Principles and Practice of Infectious Diseases, 7th Edition. </w:t>
      </w:r>
      <w:r w:rsidRPr="0071546E">
        <w:rPr>
          <w:rFonts w:ascii="Arial" w:hAnsi="Arial" w:cs="Arial"/>
          <w:i/>
          <w:iCs/>
          <w:sz w:val="24"/>
          <w:szCs w:val="24"/>
        </w:rPr>
        <w:t>Annals of Pharmacotherapy</w:t>
      </w:r>
      <w:r w:rsidRPr="0071546E">
        <w:rPr>
          <w:rFonts w:ascii="Arial" w:hAnsi="Arial" w:cs="Arial"/>
          <w:sz w:val="24"/>
          <w:szCs w:val="24"/>
        </w:rPr>
        <w:t>, 44(9), pp.1510-1511.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Khan, N. (2006). Acanthamoeba: biology and increasing importance in human health. FEMS Microbiology Reviews, 30(4), pp.564-595.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Khan, N. (2015). </w:t>
      </w:r>
      <w:r w:rsidRPr="0071546E">
        <w:rPr>
          <w:rFonts w:ascii="Arial" w:hAnsi="Arial" w:cs="Arial"/>
          <w:i/>
          <w:iCs/>
          <w:sz w:val="24"/>
          <w:szCs w:val="24"/>
        </w:rPr>
        <w:t>Acanthamoeba</w:t>
      </w:r>
      <w:r w:rsidRPr="0071546E">
        <w:rPr>
          <w:rFonts w:ascii="Arial" w:hAnsi="Arial" w:cs="Arial"/>
          <w:sz w:val="24"/>
          <w:szCs w:val="24"/>
        </w:rPr>
        <w:t>. Norfolk: Caister Academic Press.</w:t>
      </w:r>
    </w:p>
    <w:p w:rsidR="000C7C78" w:rsidRPr="0071546E" w:rsidRDefault="000C7C78" w:rsidP="008714A8">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Khan, N., Anwar, A. and Siddiqui, R. (2018). Acanthamoeba keratitis: current status and urgent research priorities. </w:t>
      </w:r>
      <w:r w:rsidRPr="0071546E">
        <w:rPr>
          <w:rFonts w:ascii="Arial" w:hAnsi="Arial" w:cs="Arial"/>
          <w:i/>
          <w:iCs/>
          <w:sz w:val="24"/>
          <w:szCs w:val="24"/>
        </w:rPr>
        <w:t>Current Medicinal Chemistry</w:t>
      </w:r>
      <w:r w:rsidRPr="0071546E">
        <w:rPr>
          <w:rFonts w:ascii="Arial" w:hAnsi="Arial" w:cs="Arial"/>
          <w:sz w:val="24"/>
          <w:szCs w:val="24"/>
        </w:rPr>
        <w:t>, 25.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Khan, N., Jarroll, E. and Paget, T. (2002). Molecular and Physiological Differentiation between Pathogenic and Nonpathogenic Acanthamoeba. </w:t>
      </w:r>
      <w:r w:rsidRPr="0071546E">
        <w:rPr>
          <w:rFonts w:ascii="Arial" w:hAnsi="Arial" w:cs="Arial"/>
          <w:i/>
          <w:iCs/>
          <w:sz w:val="24"/>
          <w:szCs w:val="24"/>
        </w:rPr>
        <w:t>Current Microbiology</w:t>
      </w:r>
      <w:r w:rsidRPr="0071546E">
        <w:rPr>
          <w:rFonts w:ascii="Arial" w:hAnsi="Arial" w:cs="Arial"/>
          <w:sz w:val="24"/>
          <w:szCs w:val="24"/>
        </w:rPr>
        <w:t>, 45(3), pp.197-202.</w:t>
      </w:r>
    </w:p>
    <w:p w:rsidR="000C7C78" w:rsidRPr="0071546E" w:rsidRDefault="000C7C78" w:rsidP="00F53976">
      <w:pPr>
        <w:shd w:val="clear" w:color="auto" w:fill="FFFFFF"/>
        <w:suppressAutoHyphens/>
        <w:autoSpaceDN w:val="0"/>
        <w:spacing w:after="180" w:line="360" w:lineRule="atLeast"/>
        <w:ind w:left="1021" w:right="454" w:hanging="450"/>
        <w:jc w:val="both"/>
        <w:rPr>
          <w:rFonts w:ascii="Arial" w:hAnsi="Arial" w:cs="Arial"/>
          <w:b/>
          <w:bCs/>
          <w:color w:val="000000"/>
          <w:sz w:val="24"/>
          <w:szCs w:val="24"/>
        </w:rPr>
      </w:pPr>
      <w:r w:rsidRPr="0071546E">
        <w:rPr>
          <w:rFonts w:ascii="Arial" w:hAnsi="Arial" w:cs="Arial"/>
          <w:color w:val="000000"/>
          <w:sz w:val="24"/>
          <w:szCs w:val="24"/>
          <w:lang w:val="en"/>
        </w:rPr>
        <w:t xml:space="preserve">Khdair, A., Handa, H., Mao, G. and Panyam, J. (2009). Nanoparticle-mediated combination chemotherapy and photodynamic therapy overcome tumour drug resistance in vitro. </w:t>
      </w:r>
      <w:r w:rsidRPr="0071546E">
        <w:rPr>
          <w:rFonts w:ascii="Arial" w:hAnsi="Arial" w:cs="Arial"/>
          <w:i/>
          <w:iCs/>
          <w:color w:val="000000"/>
          <w:sz w:val="24"/>
          <w:szCs w:val="24"/>
          <w:lang w:val="en"/>
        </w:rPr>
        <w:t>European Journal of Pharmaceutics and Biopharmaceutics</w:t>
      </w:r>
      <w:r w:rsidRPr="0071546E">
        <w:rPr>
          <w:rFonts w:ascii="Arial" w:hAnsi="Arial" w:cs="Arial"/>
          <w:color w:val="000000"/>
          <w:sz w:val="24"/>
          <w:szCs w:val="24"/>
          <w:lang w:val="en"/>
        </w:rPr>
        <w:t>, 71(2), pp.214-222.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lang w:val="en-US"/>
        </w:rPr>
        <w:t xml:space="preserve">Khunkitti, W. (1997). Effects of biocides on Acanthamoeba castellanii as measured by flow cytometry and plaque assay. </w:t>
      </w:r>
      <w:r w:rsidRPr="0071546E">
        <w:rPr>
          <w:rFonts w:ascii="Arial" w:hAnsi="Arial" w:cs="Arial"/>
          <w:i/>
          <w:iCs/>
          <w:sz w:val="24"/>
          <w:szCs w:val="24"/>
          <w:lang w:val="en-US"/>
        </w:rPr>
        <w:t>Journal of Antimicrobial Chemotherapy</w:t>
      </w:r>
      <w:r w:rsidRPr="0071546E">
        <w:rPr>
          <w:rFonts w:ascii="Arial" w:hAnsi="Arial" w:cs="Arial"/>
          <w:sz w:val="24"/>
          <w:szCs w:val="24"/>
          <w:lang w:val="en-US"/>
        </w:rPr>
        <w:t>, 40(2), pp.227-233.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Kilvington, S. (2001). A comparison of cyst age and assay method of the efficacy of contact lens disinfectants against Acanthamoeba. </w:t>
      </w:r>
      <w:r w:rsidRPr="0071546E">
        <w:rPr>
          <w:rFonts w:ascii="Arial" w:hAnsi="Arial" w:cs="Arial"/>
          <w:i/>
          <w:iCs/>
          <w:sz w:val="24"/>
          <w:szCs w:val="24"/>
        </w:rPr>
        <w:t>British Journal of Ophthalmology</w:t>
      </w:r>
      <w:r w:rsidRPr="0071546E">
        <w:rPr>
          <w:rFonts w:ascii="Arial" w:hAnsi="Arial" w:cs="Arial"/>
          <w:sz w:val="24"/>
          <w:szCs w:val="24"/>
        </w:rPr>
        <w:t>, 85(3), pp.336-340.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Kleanthous, C. and Armitage, J. (2015). The bacterial cell envelope. </w:t>
      </w:r>
      <w:r w:rsidRPr="0071546E">
        <w:rPr>
          <w:rFonts w:ascii="Arial" w:hAnsi="Arial" w:cs="Arial"/>
          <w:i/>
          <w:iCs/>
          <w:sz w:val="24"/>
          <w:szCs w:val="24"/>
        </w:rPr>
        <w:t>Philosophical Transactions of the Royal Society B: Biological Sciences</w:t>
      </w:r>
      <w:r w:rsidRPr="0071546E">
        <w:rPr>
          <w:rFonts w:ascii="Arial" w:hAnsi="Arial" w:cs="Arial"/>
          <w:sz w:val="24"/>
          <w:szCs w:val="24"/>
        </w:rPr>
        <w:t>, 370(1679), p.20150019.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Klotz, L., Kröncke, K. and Sies, H. (2003). Singlet oxygen-induced signalling effects in mammalian cells. </w:t>
      </w:r>
      <w:r w:rsidRPr="0071546E">
        <w:rPr>
          <w:rFonts w:ascii="Arial" w:hAnsi="Arial" w:cs="Arial"/>
          <w:i/>
          <w:iCs/>
          <w:sz w:val="24"/>
          <w:szCs w:val="24"/>
        </w:rPr>
        <w:t>Photochem. Photobiol. Sci.</w:t>
      </w:r>
      <w:r w:rsidRPr="0071546E">
        <w:rPr>
          <w:rFonts w:ascii="Arial" w:hAnsi="Arial" w:cs="Arial"/>
          <w:sz w:val="24"/>
          <w:szCs w:val="24"/>
        </w:rPr>
        <w:t xml:space="preserve">, 2(2), pp.88-94.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Koh, E. and Fluhr, R. (2016). Singlet oxygen detection in biological systems: Uses and limitations. </w:t>
      </w:r>
      <w:r w:rsidRPr="0071546E">
        <w:rPr>
          <w:rFonts w:ascii="Arial" w:hAnsi="Arial" w:cs="Arial"/>
          <w:i/>
          <w:iCs/>
          <w:sz w:val="24"/>
          <w:szCs w:val="24"/>
        </w:rPr>
        <w:t>Plant Signaling &amp; Behavior</w:t>
      </w:r>
      <w:r w:rsidRPr="0071546E">
        <w:rPr>
          <w:rFonts w:ascii="Arial" w:hAnsi="Arial" w:cs="Arial"/>
          <w:sz w:val="24"/>
          <w:szCs w:val="24"/>
        </w:rPr>
        <w:t xml:space="preserve">, 11(7), p.e1192742.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Koh, E., Carmieli, R., Mor, A. and Fluhr, R. (2016). Singlet Oxygen-Induced Membrane Disruption and Serpin-Protease Balance in Vacuolar-Driven Cell Death. </w:t>
      </w:r>
      <w:r w:rsidRPr="0071546E">
        <w:rPr>
          <w:rFonts w:ascii="Arial" w:hAnsi="Arial" w:cs="Arial"/>
          <w:i/>
          <w:iCs/>
          <w:sz w:val="24"/>
          <w:szCs w:val="24"/>
        </w:rPr>
        <w:t>Plant Physiology</w:t>
      </w:r>
      <w:r w:rsidRPr="0071546E">
        <w:rPr>
          <w:rFonts w:ascii="Arial" w:hAnsi="Arial" w:cs="Arial"/>
          <w:sz w:val="24"/>
          <w:szCs w:val="24"/>
        </w:rPr>
        <w:t>, 171(3), pp.1616-1625.</w:t>
      </w:r>
    </w:p>
    <w:p w:rsidR="000C7C78" w:rsidRPr="0071546E" w:rsidRDefault="000C7C78" w:rsidP="000C7C78">
      <w:pPr>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Kostrzewa, M. and Nagy, E. (2016). How MALDI-TOF mass spectrometry can aid diagnosis of hard-to-identify pathogenic bacteria. </w:t>
      </w:r>
      <w:r w:rsidRPr="0071546E">
        <w:rPr>
          <w:rFonts w:ascii="Arial" w:hAnsi="Arial" w:cs="Arial"/>
          <w:i/>
          <w:iCs/>
          <w:sz w:val="24"/>
          <w:szCs w:val="24"/>
        </w:rPr>
        <w:t>Expert Review of Molecular Diagnostics</w:t>
      </w:r>
      <w:r w:rsidRPr="0071546E">
        <w:rPr>
          <w:rFonts w:ascii="Arial" w:hAnsi="Arial" w:cs="Arial"/>
          <w:sz w:val="24"/>
          <w:szCs w:val="24"/>
        </w:rPr>
        <w:t>, 16(5), pp.509-511.</w:t>
      </w:r>
    </w:p>
    <w:p w:rsidR="000C7C78" w:rsidRPr="0071546E" w:rsidRDefault="000C7C78" w:rsidP="00C310F1">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Kou, J., Dou, D. and Yang, L. (2017). Porphyrin photosensitizers in photodynamic therapy and its applications. </w:t>
      </w:r>
      <w:r w:rsidRPr="0071546E">
        <w:rPr>
          <w:rFonts w:ascii="Arial" w:hAnsi="Arial" w:cs="Arial"/>
          <w:i/>
          <w:iCs/>
          <w:sz w:val="24"/>
          <w:szCs w:val="24"/>
        </w:rPr>
        <w:t>Oncotarget</w:t>
      </w:r>
      <w:r w:rsidRPr="0071546E">
        <w:rPr>
          <w:rFonts w:ascii="Arial" w:hAnsi="Arial" w:cs="Arial"/>
          <w:sz w:val="24"/>
          <w:szCs w:val="24"/>
        </w:rPr>
        <w:t>, 8(46).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Kwiatkowski, S., Knap, B., Przystupski, D., Saczko, J., Kędzierska, E., Knap-Czop, K., Kotlińska, J., Michel, O., Kotowski, K. and Kulbacka, J. (2018). Photodynamic therapy – mechanisms, photosensitizers and combinations. </w:t>
      </w:r>
      <w:r w:rsidRPr="0071546E">
        <w:rPr>
          <w:rFonts w:ascii="Arial" w:hAnsi="Arial" w:cs="Arial"/>
          <w:i/>
          <w:iCs/>
          <w:sz w:val="24"/>
          <w:szCs w:val="24"/>
        </w:rPr>
        <w:t>Biomedicine &amp; Pharmacotherapy</w:t>
      </w:r>
      <w:r w:rsidRPr="0071546E">
        <w:rPr>
          <w:rFonts w:ascii="Arial" w:hAnsi="Arial" w:cs="Arial"/>
          <w:sz w:val="24"/>
          <w:szCs w:val="24"/>
        </w:rPr>
        <w:t>, 106, pp.1098-1107.</w:t>
      </w:r>
    </w:p>
    <w:p w:rsidR="000C7C78" w:rsidRPr="0071546E" w:rsidRDefault="000C7C78" w:rsidP="007E5D69">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Lakhundi, S., Siddiqui, R. and Khan, N. (2015). Cellulose degradation: a therapeutic strategy in the improved treatment of Acanthamoeba infections. </w:t>
      </w:r>
      <w:r w:rsidRPr="0071546E">
        <w:rPr>
          <w:rFonts w:ascii="Arial" w:hAnsi="Arial" w:cs="Arial"/>
          <w:i/>
          <w:iCs/>
          <w:color w:val="000000"/>
          <w:sz w:val="24"/>
          <w:szCs w:val="24"/>
        </w:rPr>
        <w:t>Parasites &amp; Vectors</w:t>
      </w:r>
      <w:r w:rsidRPr="0071546E">
        <w:rPr>
          <w:rFonts w:ascii="Arial" w:hAnsi="Arial" w:cs="Arial"/>
          <w:color w:val="000000"/>
          <w:sz w:val="24"/>
          <w:szCs w:val="24"/>
        </w:rPr>
        <w:t>, 8(1), p.23.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Lamb, D., Warrilow, A., Rolley, N., Parker, J., Nes, W., Smith, S., Kelly, D. and Kelly, S. (2015). Azole Antifungal Agents to Treat the Human Pathogens Acanthamoeba castellanii and Acanthamoeba polyphaga through Inhibition of Sterol 14α-Demethylase (CYP51). </w:t>
      </w:r>
      <w:r w:rsidRPr="0071546E">
        <w:rPr>
          <w:rFonts w:ascii="Arial" w:hAnsi="Arial" w:cs="Arial"/>
          <w:i/>
          <w:iCs/>
          <w:sz w:val="24"/>
          <w:szCs w:val="24"/>
        </w:rPr>
        <w:t>Antimicrobial Agents and Chemotherapy</w:t>
      </w:r>
      <w:r w:rsidRPr="0071546E">
        <w:rPr>
          <w:rFonts w:ascii="Arial" w:hAnsi="Arial" w:cs="Arial"/>
          <w:sz w:val="24"/>
          <w:szCs w:val="24"/>
        </w:rPr>
        <w:t>, 59(8), pp.4707-4713.</w:t>
      </w:r>
    </w:p>
    <w:p w:rsidR="000C7C78" w:rsidRPr="0071546E" w:rsidRDefault="000C7C78" w:rsidP="00C310F1">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Lammer, A., Cook, M. and Sessler, J. (2015). Synthesis and anti-cancer activities of a water-soluble gold (III) porphyrin. </w:t>
      </w:r>
      <w:r w:rsidRPr="0071546E">
        <w:rPr>
          <w:rFonts w:ascii="Arial" w:hAnsi="Arial" w:cs="Arial"/>
          <w:i/>
          <w:iCs/>
          <w:sz w:val="24"/>
          <w:szCs w:val="24"/>
        </w:rPr>
        <w:t>Journal of Porphyrins and Phthalocyanines</w:t>
      </w:r>
      <w:r w:rsidRPr="0071546E">
        <w:rPr>
          <w:rFonts w:ascii="Arial" w:hAnsi="Arial" w:cs="Arial"/>
          <w:sz w:val="24"/>
          <w:szCs w:val="24"/>
        </w:rPr>
        <w:t>, 19(01-03), pp.398-403.</w:t>
      </w:r>
    </w:p>
    <w:p w:rsidR="000C7C78" w:rsidRPr="0071546E" w:rsidRDefault="000C7C78" w:rsidP="001731C5">
      <w:pPr>
        <w:suppressAutoHyphens/>
        <w:autoSpaceDN w:val="0"/>
        <w:spacing w:after="180" w:line="360" w:lineRule="atLeast"/>
        <w:ind w:left="1021" w:right="454" w:hanging="450"/>
        <w:jc w:val="both"/>
        <w:rPr>
          <w:rFonts w:ascii="Arial" w:hAnsi="Arial" w:cs="Arial"/>
          <w:sz w:val="24"/>
          <w:szCs w:val="24"/>
          <w:lang w:val="en"/>
        </w:rPr>
      </w:pPr>
      <w:r w:rsidRPr="0071546E">
        <w:rPr>
          <w:rFonts w:ascii="Arial" w:hAnsi="Arial" w:cs="Arial"/>
          <w:sz w:val="24"/>
          <w:szCs w:val="24"/>
          <w:lang w:val="en"/>
        </w:rPr>
        <w:t xml:space="preserve">Larkin, D., Kilvington, S. and Dart, J. (1992). Treatment of Acanthamoeba Keratitis with Polyhexamethylene Biguanide. </w:t>
      </w:r>
      <w:r w:rsidRPr="0071546E">
        <w:rPr>
          <w:rFonts w:ascii="Arial" w:hAnsi="Arial" w:cs="Arial"/>
          <w:i/>
          <w:iCs/>
          <w:sz w:val="24"/>
          <w:szCs w:val="24"/>
          <w:lang w:val="en"/>
        </w:rPr>
        <w:t>Ophthalmology</w:t>
      </w:r>
      <w:r w:rsidRPr="0071546E">
        <w:rPr>
          <w:rFonts w:ascii="Arial" w:hAnsi="Arial" w:cs="Arial"/>
          <w:sz w:val="24"/>
          <w:szCs w:val="24"/>
          <w:lang w:val="en"/>
        </w:rPr>
        <w:t>, 99(2), pp.185-191.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Lee-Huang, S., Huang, P., Sun, Y., Huang, P., Kung, H., Blithe, D. and Chen, H. (1999). Lysozyme and RNases as anti-HIV components in -core preparations of human chorionic gonadotropin. </w:t>
      </w:r>
      <w:r w:rsidRPr="0071546E">
        <w:rPr>
          <w:rFonts w:ascii="Arial" w:hAnsi="Arial" w:cs="Arial"/>
          <w:i/>
          <w:iCs/>
          <w:sz w:val="24"/>
          <w:szCs w:val="24"/>
        </w:rPr>
        <w:t>Proceedings of the National Academy of Sciences</w:t>
      </w:r>
      <w:r w:rsidRPr="0071546E">
        <w:rPr>
          <w:rFonts w:ascii="Arial" w:hAnsi="Arial" w:cs="Arial"/>
          <w:sz w:val="24"/>
          <w:szCs w:val="24"/>
        </w:rPr>
        <w:t>, 96(6), pp.2678-2681.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Legarreta, J., Nau, A. and Dhaliwal, D. (2013). Acanthamoeba Keratitis Associated With Tap Water Use During Contact Lens Cleaning. </w:t>
      </w:r>
      <w:r w:rsidRPr="0071546E">
        <w:rPr>
          <w:rFonts w:ascii="Arial" w:hAnsi="Arial" w:cs="Arial"/>
          <w:i/>
          <w:iCs/>
          <w:sz w:val="24"/>
          <w:szCs w:val="24"/>
        </w:rPr>
        <w:t>Eye &amp; Contact Lens: Science &amp; Clinical Practice</w:t>
      </w:r>
      <w:r w:rsidRPr="0071546E">
        <w:rPr>
          <w:rFonts w:ascii="Arial" w:hAnsi="Arial" w:cs="Arial"/>
          <w:sz w:val="24"/>
          <w:szCs w:val="24"/>
        </w:rPr>
        <w:t>, 39(2), pp.158-161.</w:t>
      </w:r>
    </w:p>
    <w:p w:rsidR="000C7C78" w:rsidRPr="0071546E" w:rsidRDefault="000C7C78" w:rsidP="00C02EC6">
      <w:pPr>
        <w:suppressAutoHyphens/>
        <w:autoSpaceDN w:val="0"/>
        <w:spacing w:after="180" w:line="360" w:lineRule="atLeast"/>
        <w:ind w:left="1021" w:right="454" w:hanging="450"/>
        <w:jc w:val="both"/>
        <w:rPr>
          <w:color w:val="000000"/>
        </w:rPr>
      </w:pPr>
      <w:r w:rsidRPr="0071546E">
        <w:rPr>
          <w:rFonts w:ascii="Arial" w:hAnsi="Arial" w:cs="Arial"/>
          <w:sz w:val="24"/>
          <w:szCs w:val="24"/>
        </w:rPr>
        <w:t xml:space="preserve">Lerche, C., Heerfordt, I., Heydenreich, J. and Wulf, H. (2016). Alternatives to Outdoor Daylight Illumination for Photodynamic Therapy—Use of Greenhouses and Artificial Light Sources. </w:t>
      </w:r>
      <w:r w:rsidRPr="0071546E">
        <w:rPr>
          <w:rFonts w:ascii="Arial" w:hAnsi="Arial" w:cs="Arial"/>
          <w:i/>
          <w:iCs/>
          <w:sz w:val="24"/>
          <w:szCs w:val="24"/>
        </w:rPr>
        <w:t>International Journal of Molecular Sciences</w:t>
      </w:r>
      <w:r w:rsidRPr="0071546E">
        <w:rPr>
          <w:rFonts w:ascii="Arial" w:hAnsi="Arial" w:cs="Arial"/>
          <w:sz w:val="24"/>
          <w:szCs w:val="24"/>
        </w:rPr>
        <w:t>, 17(3), p.309.</w:t>
      </w:r>
      <w:r w:rsidRPr="0071546E">
        <w:rPr>
          <w:color w:val="000000"/>
        </w:rPr>
        <w:t xml:space="preserve">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Levashov, P., Matolygina, D., Ovchinnikova, E., Adamova, I., Gasanova, D., Smirnov, S., Nelyub, V., Belogurova, N., Tishkov, V., Eremeev, N. and Levashov, A. (2019). The bacteriolytic activity of native and covalently immobilized lysozyme against Gram-positive and Gram-negative bacteria is differentially affected by charged amino acids and glycine. </w:t>
      </w:r>
      <w:r w:rsidRPr="0071546E">
        <w:rPr>
          <w:rFonts w:ascii="Arial" w:hAnsi="Arial" w:cs="Arial"/>
          <w:i/>
          <w:iCs/>
          <w:sz w:val="24"/>
          <w:szCs w:val="24"/>
        </w:rPr>
        <w:t>FEBS Open Bio</w:t>
      </w:r>
      <w:r w:rsidRPr="0071546E">
        <w:rPr>
          <w:rFonts w:ascii="Arial" w:hAnsi="Arial" w:cs="Arial"/>
          <w:sz w:val="24"/>
          <w:szCs w:val="24"/>
        </w:rPr>
        <w:t>, 9(3), pp.510-518.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Liang, Y., Lu, L., Chen, Y. and Lin, Y. (2016). Photodynamic therapy as an antifungal treatment. </w:t>
      </w:r>
      <w:r w:rsidRPr="0071546E">
        <w:rPr>
          <w:rFonts w:ascii="Arial" w:hAnsi="Arial" w:cs="Arial"/>
          <w:i/>
          <w:iCs/>
          <w:sz w:val="24"/>
          <w:szCs w:val="24"/>
        </w:rPr>
        <w:t>Experimental and Therapeutic Medicine</w:t>
      </w:r>
      <w:r w:rsidRPr="0071546E">
        <w:rPr>
          <w:rFonts w:ascii="Arial" w:hAnsi="Arial" w:cs="Arial"/>
          <w:sz w:val="24"/>
          <w:szCs w:val="24"/>
        </w:rPr>
        <w:t>, 12(1), pp.23-27.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Liesegang, T. (2002). Effect of steroids on Acanthamoeba cysts and trophozoites. American Journal of Ophthalmology, 133(5), p.737.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Lin, J., Bi, L., Zhang, Z., Fu, Y. and Dong, T. (2009). Toluidine blue-mediated photodynamic therapy of oral wound infections in rats. </w:t>
      </w:r>
      <w:r w:rsidRPr="0071546E">
        <w:rPr>
          <w:rFonts w:ascii="Arial" w:hAnsi="Arial" w:cs="Arial"/>
          <w:i/>
          <w:iCs/>
          <w:sz w:val="24"/>
          <w:szCs w:val="24"/>
        </w:rPr>
        <w:t>Lasers in Medical Science</w:t>
      </w:r>
      <w:r w:rsidRPr="0071546E">
        <w:rPr>
          <w:rFonts w:ascii="Arial" w:hAnsi="Arial" w:cs="Arial"/>
          <w:sz w:val="24"/>
          <w:szCs w:val="24"/>
        </w:rPr>
        <w:t>, 25(2), pp.233-238.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Lindsay, S., Oates, A. and Bourdillon, K. (2017). The detrimental impact of extracellular bacterial proteases on wound healing. </w:t>
      </w:r>
      <w:r w:rsidRPr="0071546E">
        <w:rPr>
          <w:rFonts w:ascii="Arial" w:hAnsi="Arial" w:cs="Arial"/>
          <w:i/>
          <w:iCs/>
          <w:sz w:val="24"/>
          <w:szCs w:val="24"/>
        </w:rPr>
        <w:t>International Wound Journal</w:t>
      </w:r>
      <w:r w:rsidRPr="0071546E">
        <w:rPr>
          <w:rFonts w:ascii="Arial" w:hAnsi="Arial" w:cs="Arial"/>
          <w:sz w:val="24"/>
          <w:szCs w:val="24"/>
        </w:rPr>
        <w:t>, 14(6), pp.1237-1247.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Lis, M., Wizert, A., Przybylo, M., Langner, M., Swiatek, J., Jungwirth, P. and Cwiklik, L. (2011). The effect of lipid oxidation on the water permeability of phospholipids bilayers. </w:t>
      </w:r>
      <w:r w:rsidRPr="0071546E">
        <w:rPr>
          <w:rFonts w:ascii="Arial" w:hAnsi="Arial" w:cs="Arial"/>
          <w:i/>
          <w:iCs/>
          <w:sz w:val="24"/>
          <w:szCs w:val="24"/>
        </w:rPr>
        <w:t>Physical Chemistry Chemical Physics</w:t>
      </w:r>
      <w:r w:rsidRPr="0071546E">
        <w:rPr>
          <w:rFonts w:ascii="Arial" w:hAnsi="Arial" w:cs="Arial"/>
          <w:sz w:val="24"/>
          <w:szCs w:val="24"/>
        </w:rPr>
        <w:t>, 13(39), p.17555.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Liu, B., Xue, Q., Tang, Y., Cao, J., Guengerich, F. and Zhang, H. (2016). Mechanisms of mutagenesis: DNA replication in the presence of DNA damage. </w:t>
      </w:r>
      <w:r w:rsidRPr="0071546E">
        <w:rPr>
          <w:rFonts w:ascii="Arial" w:hAnsi="Arial" w:cs="Arial"/>
          <w:i/>
          <w:iCs/>
          <w:color w:val="000000"/>
          <w:sz w:val="24"/>
          <w:szCs w:val="24"/>
        </w:rPr>
        <w:t>Mutation Research/Reviews in Mutation Research</w:t>
      </w:r>
      <w:r w:rsidRPr="0071546E">
        <w:rPr>
          <w:rFonts w:ascii="Arial" w:hAnsi="Arial" w:cs="Arial"/>
          <w:color w:val="000000"/>
          <w:sz w:val="24"/>
          <w:szCs w:val="24"/>
        </w:rPr>
        <w:t xml:space="preserve">, 768, pp.53-67.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Liu, J., Shi, S., Ji, L. and Mei, W. (2005). Investigation on DNA Binding and Photo-Cleavage Properties of Water-Soluble Porphyrin and Metalloporphyrins. </w:t>
      </w:r>
      <w:r w:rsidRPr="0071546E">
        <w:rPr>
          <w:rFonts w:ascii="Arial" w:hAnsi="Arial" w:cs="Arial"/>
          <w:i/>
          <w:iCs/>
          <w:sz w:val="24"/>
          <w:szCs w:val="24"/>
        </w:rPr>
        <w:t>Transition Metal Chemistry</w:t>
      </w:r>
      <w:r w:rsidRPr="0071546E">
        <w:rPr>
          <w:rFonts w:ascii="Arial" w:hAnsi="Arial" w:cs="Arial"/>
          <w:sz w:val="24"/>
          <w:szCs w:val="24"/>
        </w:rPr>
        <w:t>, 30(6), pp.684-690.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Lobo, V., Patil, A., Phatak, A. and Chandra, N. (2010). Free radicals, antioxidants and functional foods: Impact on human health. </w:t>
      </w:r>
      <w:r w:rsidRPr="0071546E">
        <w:rPr>
          <w:rFonts w:ascii="Arial" w:hAnsi="Arial" w:cs="Arial"/>
          <w:i/>
          <w:iCs/>
          <w:sz w:val="24"/>
          <w:szCs w:val="24"/>
        </w:rPr>
        <w:t>Pharmacognosy Reviews</w:t>
      </w:r>
      <w:r w:rsidRPr="0071546E">
        <w:rPr>
          <w:rFonts w:ascii="Arial" w:hAnsi="Arial" w:cs="Arial"/>
          <w:sz w:val="24"/>
          <w:szCs w:val="24"/>
        </w:rPr>
        <w:t>, 4(8), p.118.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Lomakina, G., Modestova, Y. and Ugarova, N. (2015). Bioluminescence assay for cell viability. </w:t>
      </w:r>
      <w:r w:rsidRPr="0071546E">
        <w:rPr>
          <w:rFonts w:ascii="Arial" w:hAnsi="Arial" w:cs="Arial"/>
          <w:i/>
          <w:iCs/>
          <w:sz w:val="24"/>
          <w:szCs w:val="24"/>
        </w:rPr>
        <w:t>Biochemistry (Moscow)</w:t>
      </w:r>
      <w:r w:rsidRPr="0071546E">
        <w:rPr>
          <w:rFonts w:ascii="Arial" w:hAnsi="Arial" w:cs="Arial"/>
          <w:sz w:val="24"/>
          <w:szCs w:val="24"/>
        </w:rPr>
        <w:t>, 80(6), pp.701-713.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Lorenzo-Morales, J., Khan, N. and Walochnik, J. (2015). An update onAcanthamoebakeratitis: diagnosis, pathogenesis and treatment. </w:t>
      </w:r>
      <w:r w:rsidRPr="0071546E">
        <w:rPr>
          <w:rFonts w:ascii="Arial" w:hAnsi="Arial" w:cs="Arial"/>
          <w:i/>
          <w:iCs/>
          <w:sz w:val="24"/>
          <w:szCs w:val="24"/>
        </w:rPr>
        <w:t>Parasite</w:t>
      </w:r>
      <w:r w:rsidRPr="0071546E">
        <w:rPr>
          <w:rFonts w:ascii="Arial" w:hAnsi="Arial" w:cs="Arial"/>
          <w:sz w:val="24"/>
          <w:szCs w:val="24"/>
        </w:rPr>
        <w:t>, 22, p.10.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Lorenzo-Morales, J., Kliescikova, J., Martinez-Carretero, E., De Pablos, L., Profotova, B., Nohynkova, E., Osuna, A. and Valladares, B. (2008). Glycogen Phosphorylase in </w:t>
      </w:r>
      <w:r w:rsidRPr="0071546E">
        <w:rPr>
          <w:rFonts w:ascii="Arial" w:hAnsi="Arial" w:cs="Arial"/>
          <w:i/>
          <w:sz w:val="24"/>
          <w:szCs w:val="24"/>
        </w:rPr>
        <w:t>Acanthamoeba spp</w:t>
      </w:r>
      <w:r w:rsidRPr="0071546E">
        <w:rPr>
          <w:rFonts w:ascii="Arial" w:hAnsi="Arial" w:cs="Arial"/>
          <w:sz w:val="24"/>
          <w:szCs w:val="24"/>
        </w:rPr>
        <w:t xml:space="preserve">: Determining the Role of the Enzyme during the Encystment Process Using RNA Interference. </w:t>
      </w:r>
      <w:r w:rsidRPr="0071546E">
        <w:rPr>
          <w:rFonts w:ascii="Arial" w:hAnsi="Arial" w:cs="Arial"/>
          <w:i/>
          <w:iCs/>
          <w:sz w:val="24"/>
          <w:szCs w:val="24"/>
        </w:rPr>
        <w:t>Eukaryotic Cell</w:t>
      </w:r>
      <w:r w:rsidRPr="0071546E">
        <w:rPr>
          <w:rFonts w:ascii="Arial" w:hAnsi="Arial" w:cs="Arial"/>
          <w:sz w:val="24"/>
          <w:szCs w:val="24"/>
        </w:rPr>
        <w:t>, 7(3), pp.509-517.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Lorenzo-Morales, J., Martín-Navarro, C., López-Arencibia, A., Arnalich-Montiel, F., Piñero, J. and Valladares, B. (2013). Acanthamoeba keratitis: an emerging disease gathering importance worldwide? </w:t>
      </w:r>
      <w:r w:rsidRPr="0071546E">
        <w:rPr>
          <w:rFonts w:ascii="Arial" w:hAnsi="Arial" w:cs="Arial"/>
          <w:i/>
          <w:iCs/>
          <w:sz w:val="24"/>
          <w:szCs w:val="24"/>
        </w:rPr>
        <w:t>Trends in Parasitology</w:t>
      </w:r>
      <w:r w:rsidRPr="0071546E">
        <w:rPr>
          <w:rFonts w:ascii="Arial" w:hAnsi="Arial" w:cs="Arial"/>
          <w:sz w:val="24"/>
          <w:szCs w:val="24"/>
        </w:rPr>
        <w:t>, 29(4), pp.181-187.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Luke-Marshall, N., Mang, T., Hansen, L. and Campagnari, A. (2014). Moraxella catarrhalisis susceptible to antimicrobial photodynamic therapy with Photofrin. </w:t>
      </w:r>
      <w:r w:rsidRPr="0071546E">
        <w:rPr>
          <w:rFonts w:ascii="Arial" w:hAnsi="Arial" w:cs="Arial"/>
          <w:i/>
          <w:iCs/>
          <w:sz w:val="24"/>
          <w:szCs w:val="24"/>
        </w:rPr>
        <w:t>Lasers in Surgery and Medicine</w:t>
      </w:r>
      <w:r w:rsidRPr="0071546E">
        <w:rPr>
          <w:rFonts w:ascii="Arial" w:hAnsi="Arial" w:cs="Arial"/>
          <w:sz w:val="24"/>
          <w:szCs w:val="24"/>
        </w:rPr>
        <w:t xml:space="preserve">, 46(9), pp.712-717.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Luo, X., Li, J., Chen, C., Tseng, S. and Liang, L. (2017). Ocular Demodicosis as a Potential Cause of Ocular Surface Inflammation. </w:t>
      </w:r>
      <w:r w:rsidRPr="0071546E">
        <w:rPr>
          <w:rFonts w:ascii="Arial" w:hAnsi="Arial" w:cs="Arial"/>
          <w:i/>
          <w:iCs/>
          <w:sz w:val="24"/>
          <w:szCs w:val="24"/>
        </w:rPr>
        <w:t>Cornea</w:t>
      </w:r>
      <w:r w:rsidRPr="0071546E">
        <w:rPr>
          <w:rFonts w:ascii="Arial" w:hAnsi="Arial" w:cs="Arial"/>
          <w:sz w:val="24"/>
          <w:szCs w:val="24"/>
        </w:rPr>
        <w:t xml:space="preserve">, 36, pp.S9-S14. </w:t>
      </w:r>
    </w:p>
    <w:p w:rsidR="000C7C78" w:rsidRPr="0071546E" w:rsidRDefault="000C7C78" w:rsidP="00C310F1">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Macdonald, I. and Dougherty,</w:t>
      </w:r>
      <w:r w:rsidRPr="0071546E">
        <w:rPr>
          <w:rFonts w:ascii="Arial" w:hAnsi="Arial" w:cs="Arial"/>
          <w:iCs/>
          <w:sz w:val="24"/>
          <w:szCs w:val="24"/>
        </w:rPr>
        <w:t xml:space="preserve"> T (2001). Basic principles</w:t>
      </w:r>
      <w:r w:rsidRPr="0071546E">
        <w:rPr>
          <w:rFonts w:ascii="Arial" w:hAnsi="Arial" w:cs="Arial"/>
          <w:i/>
          <w:iCs/>
          <w:sz w:val="24"/>
          <w:szCs w:val="24"/>
        </w:rPr>
        <w:t xml:space="preserve"> of Porphyrins and Phthalocyanines (JPP)</w:t>
      </w:r>
      <w:r w:rsidRPr="0071546E">
        <w:rPr>
          <w:rFonts w:ascii="Arial" w:hAnsi="Arial" w:cs="Arial"/>
          <w:sz w:val="24"/>
          <w:szCs w:val="24"/>
        </w:rPr>
        <w:t>, 05(02), pp.105-129.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Madesh, M &amp; Balasubramanian, Ka. (1998). Microliter plate assay for superoxide dismutase using MTT reduction by superoxide. Indian journal of biochemistry &amp; biophysics. 35. 184-8.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Mafra, C., Carrijo-Carvalho, L., Chudzinski-Tavassi, A., Taguchi, F., Foronda, A., Carvalho, F. and de Freitas, D. (2013). Antimicrobial Action of Biguanides on the Viability of Acanthamoeba Cysts and Assessment of Cell Toxicity. </w:t>
      </w:r>
      <w:r w:rsidRPr="0071546E">
        <w:rPr>
          <w:rFonts w:ascii="Arial" w:hAnsi="Arial" w:cs="Arial"/>
          <w:i/>
          <w:iCs/>
          <w:sz w:val="24"/>
          <w:szCs w:val="24"/>
        </w:rPr>
        <w:t>Investigative Ophthalmology &amp; Visual Science</w:t>
      </w:r>
      <w:r w:rsidRPr="0071546E">
        <w:rPr>
          <w:rFonts w:ascii="Arial" w:hAnsi="Arial" w:cs="Arial"/>
          <w:sz w:val="24"/>
          <w:szCs w:val="24"/>
        </w:rPr>
        <w:t>, 54(9), p.6363.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Mai-Prochnow, A., Clauson, M., Hong, J. and Murphy, A. (2016). Gram-positive and Gram-negative bacteria differ in their sensitivity to cold plasma. </w:t>
      </w:r>
      <w:r w:rsidRPr="0071546E">
        <w:rPr>
          <w:rFonts w:ascii="Arial" w:hAnsi="Arial" w:cs="Arial"/>
          <w:i/>
          <w:iCs/>
          <w:sz w:val="24"/>
          <w:szCs w:val="24"/>
        </w:rPr>
        <w:t>Scientific Reports</w:t>
      </w:r>
      <w:r w:rsidRPr="0071546E">
        <w:rPr>
          <w:rFonts w:ascii="Arial" w:hAnsi="Arial" w:cs="Arial"/>
          <w:sz w:val="24"/>
          <w:szCs w:val="24"/>
        </w:rPr>
        <w:t>, 6(1).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Malara, D., Hoj, L., Heimann, K., Citarrella, G. and Oelgemöller, M. (2017). The capacity of cationic and anionic porphyrins to inactivate the potential aquaculture pathogen Vibrio campbellii. </w:t>
      </w:r>
      <w:r w:rsidRPr="0071546E">
        <w:rPr>
          <w:rFonts w:ascii="Arial" w:hAnsi="Arial" w:cs="Arial"/>
          <w:i/>
          <w:iCs/>
          <w:sz w:val="24"/>
          <w:szCs w:val="24"/>
        </w:rPr>
        <w:t>Aquaculture</w:t>
      </w:r>
      <w:r w:rsidRPr="0071546E">
        <w:rPr>
          <w:rFonts w:ascii="Arial" w:hAnsi="Arial" w:cs="Arial"/>
          <w:sz w:val="24"/>
          <w:szCs w:val="24"/>
        </w:rPr>
        <w:t>, 473, pp.228-236.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Mamone, L., Ferreyra, D., Gándara, L., Di Venosa, G., Vallecorsa, P., Sáenz, D., Calvo, G., Batlle, A., Buzzola, F., Durantini, E. and Casas, A. (2016). Photodynamic inactivation of planktonic and biofilm growing bacteria mediated by a meso-substituted porphyrin bearing four basic amino groups. </w:t>
      </w:r>
      <w:r w:rsidRPr="0071546E">
        <w:rPr>
          <w:rFonts w:ascii="Arial" w:hAnsi="Arial" w:cs="Arial"/>
          <w:i/>
          <w:iCs/>
          <w:sz w:val="24"/>
          <w:szCs w:val="24"/>
        </w:rPr>
        <w:t>Journal of Photochemistry and Photobiology B: Biology</w:t>
      </w:r>
      <w:r w:rsidRPr="0071546E">
        <w:rPr>
          <w:rFonts w:ascii="Arial" w:hAnsi="Arial" w:cs="Arial"/>
          <w:sz w:val="24"/>
          <w:szCs w:val="24"/>
        </w:rPr>
        <w:t>, 161, pp.222-229.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Marcin, P., Wanda, B., David, B., Jacek, P., Lidia, C. (2018). Effect of povidone-iodine, chlorhexidine digluconate and toyocamycin on amphizoic amoebic strains, infectious agents of </w:t>
      </w:r>
      <w:r w:rsidRPr="0071546E">
        <w:rPr>
          <w:rFonts w:ascii="Arial" w:hAnsi="Arial" w:cs="Arial"/>
          <w:i/>
          <w:iCs/>
          <w:sz w:val="24"/>
          <w:szCs w:val="24"/>
        </w:rPr>
        <w:t>Acanthamoeba</w:t>
      </w:r>
      <w:r w:rsidRPr="0071546E">
        <w:rPr>
          <w:rFonts w:ascii="Arial" w:hAnsi="Arial" w:cs="Arial"/>
          <w:sz w:val="24"/>
          <w:szCs w:val="24"/>
        </w:rPr>
        <w:t xml:space="preserve"> keratitis – a growing threat to human health worldwide. </w:t>
      </w:r>
      <w:r w:rsidRPr="0071546E">
        <w:rPr>
          <w:rFonts w:ascii="Arial" w:hAnsi="Arial" w:cs="Arial"/>
          <w:i/>
          <w:sz w:val="24"/>
          <w:szCs w:val="24"/>
        </w:rPr>
        <w:t xml:space="preserve">Ann Agric Environ Med, </w:t>
      </w:r>
      <w:r w:rsidRPr="0071546E">
        <w:rPr>
          <w:rFonts w:ascii="Arial" w:hAnsi="Arial" w:cs="Arial"/>
          <w:sz w:val="24"/>
          <w:szCs w:val="24"/>
        </w:rPr>
        <w:t xml:space="preserve">25(4), pp.725–731.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Maritschnegg, P., Sovinz, P., Lackner, H., Benesch, M., Nebl, A., Schwinger, W., Walochnik, J. and Urban, C. (2010). Granulomatous Amebic Encephalitis in a Child with Acute Lymphoblastic Leukemia Successfully Treated with Multimodal Antimicrobial Therapy and Hyperbaric Oxygen. </w:t>
      </w:r>
      <w:r w:rsidRPr="0071546E">
        <w:rPr>
          <w:rFonts w:ascii="Arial" w:hAnsi="Arial" w:cs="Arial"/>
          <w:i/>
          <w:iCs/>
          <w:sz w:val="24"/>
          <w:szCs w:val="24"/>
        </w:rPr>
        <w:t>Journal of Clinical Microbiology</w:t>
      </w:r>
      <w:r w:rsidRPr="0071546E">
        <w:rPr>
          <w:rFonts w:ascii="Arial" w:hAnsi="Arial" w:cs="Arial"/>
          <w:sz w:val="24"/>
          <w:szCs w:val="24"/>
        </w:rPr>
        <w:t>, 49(1), pp.446-448.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Markkanen, E. (2017). Not breathing is not an option: How to deal with oxidative DNA damage. </w:t>
      </w:r>
      <w:r w:rsidRPr="0071546E">
        <w:rPr>
          <w:rFonts w:ascii="Arial" w:hAnsi="Arial" w:cs="Arial"/>
          <w:i/>
          <w:iCs/>
          <w:sz w:val="24"/>
          <w:szCs w:val="24"/>
        </w:rPr>
        <w:t>DNA Repair</w:t>
      </w:r>
      <w:r w:rsidRPr="0071546E">
        <w:rPr>
          <w:rFonts w:ascii="Arial" w:hAnsi="Arial" w:cs="Arial"/>
          <w:sz w:val="24"/>
          <w:szCs w:val="24"/>
        </w:rPr>
        <w:t>, 59, pp.82-105.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Martinez De Pinillos Bayona, A., Mroz, P., Thunshelle, C. and Hamblin, M. (2017). Design features for optimization of tetrapyrrole macrocycles as antimicrobial and anticancer photosensitizers. </w:t>
      </w:r>
      <w:r w:rsidRPr="0071546E">
        <w:rPr>
          <w:rFonts w:ascii="Arial" w:hAnsi="Arial" w:cs="Arial"/>
          <w:i/>
          <w:iCs/>
          <w:sz w:val="24"/>
          <w:szCs w:val="24"/>
        </w:rPr>
        <w:t>Chemical Biology &amp; Drug Design</w:t>
      </w:r>
      <w:r w:rsidRPr="0071546E">
        <w:rPr>
          <w:rFonts w:ascii="Arial" w:hAnsi="Arial" w:cs="Arial"/>
          <w:sz w:val="24"/>
          <w:szCs w:val="24"/>
        </w:rPr>
        <w:t>, 89(2), pp.192-206.</w:t>
      </w:r>
    </w:p>
    <w:p w:rsidR="000C7C78" w:rsidRPr="0071546E" w:rsidRDefault="000C7C78" w:rsidP="00024C89">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Martinez, A. (1980). </w:t>
      </w:r>
      <w:r w:rsidRPr="0071546E">
        <w:rPr>
          <w:rFonts w:ascii="Arial" w:hAnsi="Arial" w:cs="Arial"/>
          <w:i/>
          <w:iCs/>
          <w:color w:val="000000"/>
          <w:sz w:val="24"/>
          <w:szCs w:val="24"/>
        </w:rPr>
        <w:t>Is Acanthamoeba encephalitis an opportunistic infection</w:t>
      </w:r>
      <w:r w:rsidRPr="0071546E">
        <w:rPr>
          <w:rFonts w:ascii="Arial" w:hAnsi="Arial" w:cs="Arial"/>
          <w:i/>
          <w:iCs/>
          <w:color w:val="000000" w:themeColor="text1"/>
          <w:sz w:val="24"/>
          <w:szCs w:val="24"/>
        </w:rPr>
        <w:t xml:space="preserve">? </w:t>
      </w:r>
      <w:hyperlink r:id="rId157" w:tgtFrame="_blank" w:history="1">
        <w:r w:rsidRPr="0071546E">
          <w:rPr>
            <w:rStyle w:val="Hyperlink"/>
            <w:rFonts w:ascii="Arial" w:hAnsi="Arial" w:cs="Arial"/>
            <w:color w:val="000000" w:themeColor="text1"/>
            <w:sz w:val="24"/>
            <w:szCs w:val="24"/>
            <w:u w:val="none"/>
          </w:rPr>
          <w:t>Neurology</w:t>
        </w:r>
      </w:hyperlink>
      <w:r w:rsidRPr="0071546E">
        <w:rPr>
          <w:rFonts w:ascii="Arial" w:hAnsi="Arial" w:cs="Arial"/>
          <w:color w:val="000000"/>
          <w:sz w:val="24"/>
          <w:szCs w:val="24"/>
        </w:rPr>
        <w:t xml:space="preserve">, 30(6):567-74p. </w:t>
      </w:r>
    </w:p>
    <w:p w:rsidR="000C7C78" w:rsidRPr="0071546E" w:rsidRDefault="000C7C78" w:rsidP="00C80567">
      <w:pPr>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lang w:val="en"/>
        </w:rPr>
        <w:t xml:space="preserve">Martin-Navarro, C., Lorenzo-Morales, J., Cabrera-Serra, M., Rancel, F., Coronado-Alvarez, N., Pinero, J. and Valladares, B. (2008). The potential pathogenicity of chlorhexidine-sensitive Acanthamoeba strains isolated from contact lens cases from asymptomatic individuals in Tenerife, Canary Islands, Spain. </w:t>
      </w:r>
      <w:r w:rsidRPr="0071546E">
        <w:rPr>
          <w:rFonts w:ascii="Arial" w:hAnsi="Arial" w:cs="Arial"/>
          <w:i/>
          <w:iCs/>
          <w:sz w:val="24"/>
          <w:szCs w:val="24"/>
          <w:lang w:val="en"/>
        </w:rPr>
        <w:t>Journal of Medical Microbiology</w:t>
      </w:r>
      <w:r w:rsidRPr="0071546E">
        <w:rPr>
          <w:rFonts w:ascii="Arial" w:hAnsi="Arial" w:cs="Arial"/>
          <w:sz w:val="24"/>
          <w:szCs w:val="24"/>
          <w:lang w:val="en"/>
        </w:rPr>
        <w:t>, 57(11), pp.1399-1404.</w:t>
      </w:r>
      <w:r w:rsidRPr="0071546E">
        <w:rPr>
          <w:rFonts w:ascii="Arial" w:hAnsi="Arial" w:cs="Arial"/>
          <w:sz w:val="24"/>
          <w:szCs w:val="24"/>
        </w:rPr>
        <w:t xml:space="preserve">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Masiera, N., Bojarska, A., Gawryszewska, I., Sadowy, E., Hryniewicz, W. and Waluk, J. (2017). Antimicrobial photodynamic therapy by means of porphycene photosensitizers. </w:t>
      </w:r>
      <w:r w:rsidRPr="0071546E">
        <w:rPr>
          <w:rFonts w:ascii="Arial" w:hAnsi="Arial" w:cs="Arial"/>
          <w:i/>
          <w:iCs/>
          <w:sz w:val="24"/>
          <w:szCs w:val="24"/>
        </w:rPr>
        <w:t>Journal of Photochemistry and Photobiology B: Biology</w:t>
      </w:r>
      <w:r w:rsidRPr="0071546E">
        <w:rPr>
          <w:rFonts w:ascii="Arial" w:hAnsi="Arial" w:cs="Arial"/>
          <w:sz w:val="24"/>
          <w:szCs w:val="24"/>
        </w:rPr>
        <w:t>, 174, pp.84-89.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Maycock, N. and Jayaswal, R. (2016). Update on Acanthamoeba Keratitis. </w:t>
      </w:r>
      <w:r w:rsidRPr="0071546E">
        <w:rPr>
          <w:rFonts w:ascii="Arial" w:hAnsi="Arial" w:cs="Arial"/>
          <w:i/>
          <w:iCs/>
          <w:sz w:val="24"/>
          <w:szCs w:val="24"/>
        </w:rPr>
        <w:t>Cornea</w:t>
      </w:r>
      <w:r w:rsidRPr="0071546E">
        <w:rPr>
          <w:rFonts w:ascii="Arial" w:hAnsi="Arial" w:cs="Arial"/>
          <w:sz w:val="24"/>
          <w:szCs w:val="24"/>
        </w:rPr>
        <w:t>, 35(5), pp.713-720.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lang w:val="en-US"/>
        </w:rPr>
        <w:t xml:space="preserve">McBride, J., Ingram, P., Henriquez, F. and Roberts, C. (2005). Development of Colorimetric Microtiter Plate Assay for Assessment of Antimicrobials against Acanthamoeba. </w:t>
      </w:r>
      <w:r w:rsidRPr="0071546E">
        <w:rPr>
          <w:rFonts w:ascii="Arial" w:hAnsi="Arial" w:cs="Arial"/>
          <w:i/>
          <w:iCs/>
          <w:sz w:val="24"/>
          <w:szCs w:val="24"/>
          <w:lang w:val="en-US"/>
        </w:rPr>
        <w:t>Journal of Clinical Microbiology</w:t>
      </w:r>
      <w:r w:rsidRPr="0071546E">
        <w:rPr>
          <w:rFonts w:ascii="Arial" w:hAnsi="Arial" w:cs="Arial"/>
          <w:sz w:val="24"/>
          <w:szCs w:val="24"/>
          <w:lang w:val="en-US"/>
        </w:rPr>
        <w:t>, 43(2), pp.629-634.</w:t>
      </w:r>
    </w:p>
    <w:p w:rsidR="000C7C78" w:rsidRPr="0071546E" w:rsidRDefault="000C7C78" w:rsidP="00C310F1">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McCarthy, J., Bhaumik, J., Merbouh, N. and Weissleder, R. (2009). High-yielding syntheses of hydrophilic conjugatable chlorins and bacteriochlorins. </w:t>
      </w:r>
      <w:r w:rsidRPr="0071546E">
        <w:rPr>
          <w:rFonts w:ascii="Arial" w:hAnsi="Arial" w:cs="Arial"/>
          <w:i/>
          <w:iCs/>
          <w:sz w:val="24"/>
          <w:szCs w:val="24"/>
        </w:rPr>
        <w:t>Organic &amp; Biomolecular Chemistry</w:t>
      </w:r>
      <w:r w:rsidRPr="0071546E">
        <w:rPr>
          <w:rFonts w:ascii="Arial" w:hAnsi="Arial" w:cs="Arial"/>
          <w:sz w:val="24"/>
          <w:szCs w:val="24"/>
        </w:rPr>
        <w:t>, 7(17), p.3430.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McCormack, P. and Perry, C. (2005). Caspofungin. </w:t>
      </w:r>
      <w:r w:rsidRPr="0071546E">
        <w:rPr>
          <w:rFonts w:ascii="Arial" w:hAnsi="Arial" w:cs="Arial"/>
          <w:i/>
          <w:iCs/>
          <w:sz w:val="24"/>
          <w:szCs w:val="24"/>
        </w:rPr>
        <w:t>Drugs</w:t>
      </w:r>
      <w:r w:rsidRPr="0071546E">
        <w:rPr>
          <w:rFonts w:ascii="Arial" w:hAnsi="Arial" w:cs="Arial"/>
          <w:sz w:val="24"/>
          <w:szCs w:val="24"/>
        </w:rPr>
        <w:t>, 65(14), pp.2049-2068.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McDermott, A. (2013). Antimicrobial compounds in tears. </w:t>
      </w:r>
      <w:r w:rsidRPr="0071546E">
        <w:rPr>
          <w:rFonts w:ascii="Arial" w:hAnsi="Arial" w:cs="Arial"/>
          <w:i/>
          <w:iCs/>
          <w:sz w:val="24"/>
          <w:szCs w:val="24"/>
        </w:rPr>
        <w:t>Experimental Eye Research</w:t>
      </w:r>
      <w:r w:rsidRPr="0071546E">
        <w:rPr>
          <w:rFonts w:ascii="Arial" w:hAnsi="Arial" w:cs="Arial"/>
          <w:sz w:val="24"/>
          <w:szCs w:val="24"/>
        </w:rPr>
        <w:t>, 117, pp.53-61.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Meek, K. (2009). Corneal collagen—its role in maintaining corneal shape and transparency. </w:t>
      </w:r>
      <w:r w:rsidRPr="0071546E">
        <w:rPr>
          <w:rFonts w:ascii="Arial" w:hAnsi="Arial" w:cs="Arial"/>
          <w:i/>
          <w:iCs/>
          <w:sz w:val="24"/>
          <w:szCs w:val="24"/>
        </w:rPr>
        <w:t>Biophysical Reviews</w:t>
      </w:r>
      <w:r w:rsidRPr="0071546E">
        <w:rPr>
          <w:rFonts w:ascii="Arial" w:hAnsi="Arial" w:cs="Arial"/>
          <w:sz w:val="24"/>
          <w:szCs w:val="24"/>
        </w:rPr>
        <w:t xml:space="preserve">, 1(2), pp.83-93.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Megha, K., Sharma, M., Gupta, A., Sehgal, R. and Khurana, S. (2018). Protein profiling of Acanthamoeba species using MALDI-TOF MS for specific identification of </w:t>
      </w:r>
      <w:r w:rsidRPr="0071546E">
        <w:rPr>
          <w:rFonts w:ascii="Arial" w:hAnsi="Arial" w:cs="Arial"/>
          <w:i/>
          <w:sz w:val="24"/>
          <w:szCs w:val="24"/>
        </w:rPr>
        <w:t>Acanthamoeba</w:t>
      </w:r>
      <w:r w:rsidRPr="0071546E">
        <w:rPr>
          <w:rFonts w:ascii="Arial" w:hAnsi="Arial" w:cs="Arial"/>
          <w:sz w:val="24"/>
          <w:szCs w:val="24"/>
        </w:rPr>
        <w:t xml:space="preserve"> genotype. Parasitology Research, 117(3), pp.729-736.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Menyhárt, O., Harami-Papp, H., Sukumar, S., Schäfer, R., Magnani, L., de Barrios, O. and Győrffy, B. (2016). Guidelines for the selection of functional assays to evaluate the hallmarks of cancer. </w:t>
      </w:r>
      <w:r w:rsidRPr="0071546E">
        <w:rPr>
          <w:rFonts w:ascii="Arial" w:hAnsi="Arial" w:cs="Arial"/>
          <w:i/>
          <w:iCs/>
          <w:sz w:val="24"/>
          <w:szCs w:val="24"/>
        </w:rPr>
        <w:t>Biochimica et Biophysica Acta (BBA) - Reviews on Cancer</w:t>
      </w:r>
      <w:r w:rsidRPr="0071546E">
        <w:rPr>
          <w:rFonts w:ascii="Arial" w:hAnsi="Arial" w:cs="Arial"/>
          <w:sz w:val="24"/>
          <w:szCs w:val="24"/>
        </w:rPr>
        <w:t>, 1866(2), pp.300-319.</w:t>
      </w:r>
    </w:p>
    <w:p w:rsidR="000C7C78" w:rsidRPr="0071546E" w:rsidRDefault="000C7C78" w:rsidP="009D064D">
      <w:pPr>
        <w:shd w:val="clear" w:color="auto" w:fill="FFFFFF"/>
        <w:suppressAutoHyphens/>
        <w:autoSpaceDN w:val="0"/>
        <w:spacing w:after="180" w:line="360" w:lineRule="atLeast"/>
        <w:ind w:left="1021" w:right="454" w:hanging="450"/>
        <w:jc w:val="both"/>
        <w:rPr>
          <w:rFonts w:ascii="Arial" w:hAnsi="Arial" w:cs="Arial"/>
          <w:sz w:val="24"/>
          <w:szCs w:val="24"/>
          <w:lang w:val="en"/>
        </w:rPr>
      </w:pPr>
      <w:r w:rsidRPr="0071546E">
        <w:rPr>
          <w:rFonts w:ascii="Arial" w:hAnsi="Arial" w:cs="Arial"/>
          <w:sz w:val="24"/>
          <w:szCs w:val="24"/>
          <w:lang w:val="en"/>
        </w:rPr>
        <w:t xml:space="preserve">Mesquita, M., Dias, C., Gamelas, S., Fardilha, M., Neves, M. and Faustino, M. (2018). An insight on the role of photosensitizer nanocarriers for Photodynamic Therapy. </w:t>
      </w:r>
      <w:r w:rsidRPr="0071546E">
        <w:rPr>
          <w:rFonts w:ascii="Arial" w:hAnsi="Arial" w:cs="Arial"/>
          <w:i/>
          <w:iCs/>
          <w:sz w:val="24"/>
          <w:szCs w:val="24"/>
          <w:lang w:val="en"/>
        </w:rPr>
        <w:t>Anais da Academia Brasileira de Ciências</w:t>
      </w:r>
      <w:r w:rsidRPr="0071546E">
        <w:rPr>
          <w:rFonts w:ascii="Arial" w:hAnsi="Arial" w:cs="Arial"/>
          <w:sz w:val="24"/>
          <w:szCs w:val="24"/>
          <w:lang w:val="en"/>
        </w:rPr>
        <w:t>, 90(1 suppl 2), pp.1101-1130.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Miller, M. (2000). (CL-162) understanding ISO 14729: microbiological requirements and test methods for products and regimens for hygienic management of contact lenses. </w:t>
      </w:r>
      <w:r w:rsidRPr="0071546E">
        <w:rPr>
          <w:rFonts w:ascii="Arial" w:hAnsi="Arial" w:cs="Arial"/>
          <w:i/>
          <w:iCs/>
          <w:sz w:val="24"/>
          <w:szCs w:val="24"/>
        </w:rPr>
        <w:t>Optometry and Vision Science</w:t>
      </w:r>
      <w:r w:rsidRPr="0071546E">
        <w:rPr>
          <w:rFonts w:ascii="Arial" w:hAnsi="Arial" w:cs="Arial"/>
          <w:sz w:val="24"/>
          <w:szCs w:val="24"/>
        </w:rPr>
        <w:t>, 77(SUPPLEMENT), p.141.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Miller, S. and Salama, N. (2018). The gram-negative bacterial periplasm: Size matters. </w:t>
      </w:r>
      <w:r w:rsidRPr="0071546E">
        <w:rPr>
          <w:rFonts w:ascii="Arial" w:hAnsi="Arial" w:cs="Arial"/>
          <w:i/>
          <w:iCs/>
          <w:sz w:val="24"/>
          <w:szCs w:val="24"/>
        </w:rPr>
        <w:t>PLOS Biology</w:t>
      </w:r>
      <w:r w:rsidRPr="0071546E">
        <w:rPr>
          <w:rFonts w:ascii="Arial" w:hAnsi="Arial" w:cs="Arial"/>
          <w:sz w:val="24"/>
          <w:szCs w:val="24"/>
        </w:rPr>
        <w:t>, 16(1), p.e2004935.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Mito, T., Suzuki, T., Kobayashi, T., Zheng, X., Hayashi, Y., Shiraishi, A. and Ohashi, Y. (2012). Effect of Photodynamic Therapy with Methylene Blue onAcanthamoebaIn Vitro. </w:t>
      </w:r>
      <w:r w:rsidRPr="0071546E">
        <w:rPr>
          <w:rFonts w:ascii="Arial" w:hAnsi="Arial" w:cs="Arial"/>
          <w:i/>
          <w:iCs/>
          <w:sz w:val="24"/>
          <w:szCs w:val="24"/>
        </w:rPr>
        <w:t>Investigative Opthalmology &amp; Visual Science</w:t>
      </w:r>
      <w:r w:rsidRPr="0071546E">
        <w:rPr>
          <w:rFonts w:ascii="Arial" w:hAnsi="Arial" w:cs="Arial"/>
          <w:sz w:val="24"/>
          <w:szCs w:val="24"/>
        </w:rPr>
        <w:t>, 53(10), p.6305.</w:t>
      </w:r>
    </w:p>
    <w:p w:rsidR="000C7C78" w:rsidRPr="0071546E" w:rsidRDefault="000C7C78" w:rsidP="00E36A03">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Mito, T., Suzuki, T., Kobayashi, T., Zheng, X., Hayashi, Y., Shiraishi, A. and Ohashi, Y. (2012). Effect of Photodynamic Therapy with Methylene Blue onAcanthamoebaIn Vitro. </w:t>
      </w:r>
      <w:r w:rsidRPr="0071546E">
        <w:rPr>
          <w:rFonts w:ascii="Arial" w:hAnsi="Arial" w:cs="Arial"/>
          <w:i/>
          <w:iCs/>
          <w:sz w:val="24"/>
          <w:szCs w:val="24"/>
        </w:rPr>
        <w:t>Investigative Opthalmology &amp; Visual Science</w:t>
      </w:r>
      <w:r w:rsidRPr="0071546E">
        <w:rPr>
          <w:rFonts w:ascii="Arial" w:hAnsi="Arial" w:cs="Arial"/>
          <w:sz w:val="24"/>
          <w:szCs w:val="24"/>
        </w:rPr>
        <w:t>, 53(10), p.6305.</w:t>
      </w:r>
    </w:p>
    <w:p w:rsidR="000C7C78" w:rsidRPr="0071546E" w:rsidRDefault="000C7C78" w:rsidP="00C310F1">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Mondal, D. and Bera, S. (2014). Porphyrins and phthalocyanines: promising molecules for light-triggered antibacterial nanoparticles. </w:t>
      </w:r>
      <w:r w:rsidRPr="0071546E">
        <w:rPr>
          <w:rFonts w:ascii="Arial" w:hAnsi="Arial" w:cs="Arial"/>
          <w:i/>
          <w:iCs/>
          <w:sz w:val="24"/>
          <w:szCs w:val="24"/>
        </w:rPr>
        <w:t>Advances in Natural Sciences: Nanoscience and Nanotechnology</w:t>
      </w:r>
      <w:r w:rsidRPr="0071546E">
        <w:rPr>
          <w:rFonts w:ascii="Arial" w:hAnsi="Arial" w:cs="Arial"/>
          <w:sz w:val="24"/>
          <w:szCs w:val="24"/>
        </w:rPr>
        <w:t>, 5(3), p.033002.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Moon, E., Xuan, Y., Chung, D., Hong, Y. and Kong, H. (2011). Microarray Analysis of Differentially Expressed Genes between Cysts and Trophozoites ofAcanthamoeba castellanii. </w:t>
      </w:r>
      <w:r w:rsidRPr="0071546E">
        <w:rPr>
          <w:rFonts w:ascii="Arial" w:hAnsi="Arial" w:cs="Arial"/>
          <w:i/>
          <w:iCs/>
          <w:sz w:val="24"/>
          <w:szCs w:val="24"/>
        </w:rPr>
        <w:t>The Korean Journal of Parasitology</w:t>
      </w:r>
      <w:r w:rsidRPr="0071546E">
        <w:rPr>
          <w:rFonts w:ascii="Arial" w:hAnsi="Arial" w:cs="Arial"/>
          <w:sz w:val="24"/>
          <w:szCs w:val="24"/>
        </w:rPr>
        <w:t xml:space="preserve">, 49(4), p.341.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Moreno-Velásquez, S., Seidel, C., Juvvadi, P., Steinbach, W. and Read, N. (2017). Caspofungin-Mediated Growth Inhibition and Paradoxical Growth in Aspergillus fumigatus Involve Fungicidal Hyphal Tip Lysis Coupled with Regenerative Intrahyphal Growth and Dynamic Changes in β-1,3-Glucan Synthase Localization. </w:t>
      </w:r>
      <w:r w:rsidRPr="0071546E">
        <w:rPr>
          <w:rFonts w:ascii="Arial" w:hAnsi="Arial" w:cs="Arial"/>
          <w:i/>
          <w:iCs/>
          <w:sz w:val="24"/>
          <w:szCs w:val="24"/>
        </w:rPr>
        <w:t>Antimicrobial Agents and Chemotherapy</w:t>
      </w:r>
      <w:r w:rsidRPr="0071546E">
        <w:rPr>
          <w:rFonts w:ascii="Arial" w:hAnsi="Arial" w:cs="Arial"/>
          <w:sz w:val="24"/>
          <w:szCs w:val="24"/>
        </w:rPr>
        <w:t>, 61(10).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Morton, C. (2018). A synthesis of the world's guidelines on photodynamic therapy for non-melanoma skin cancer. </w:t>
      </w:r>
      <w:r w:rsidRPr="0071546E">
        <w:rPr>
          <w:rFonts w:ascii="Arial" w:hAnsi="Arial" w:cs="Arial"/>
          <w:i/>
          <w:iCs/>
          <w:color w:val="000000"/>
          <w:sz w:val="24"/>
          <w:szCs w:val="24"/>
        </w:rPr>
        <w:t>Giornale Italiano di Dermatologia e Venereologia</w:t>
      </w:r>
      <w:r w:rsidRPr="0071546E">
        <w:rPr>
          <w:rFonts w:ascii="Arial" w:hAnsi="Arial" w:cs="Arial"/>
          <w:color w:val="000000"/>
          <w:sz w:val="24"/>
          <w:szCs w:val="24"/>
        </w:rPr>
        <w:t xml:space="preserve">, 153(6).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Mosmann, T. (1983). Rapid colourimetric assay for cellular growth and survival: Application to proliferation and cytotoxicity assays. </w:t>
      </w:r>
      <w:r w:rsidRPr="0071546E">
        <w:rPr>
          <w:rFonts w:ascii="Arial" w:hAnsi="Arial" w:cs="Arial"/>
          <w:i/>
          <w:iCs/>
          <w:sz w:val="24"/>
          <w:szCs w:val="24"/>
        </w:rPr>
        <w:t>Journal of Immunological Methods</w:t>
      </w:r>
      <w:r w:rsidRPr="0071546E">
        <w:rPr>
          <w:rFonts w:ascii="Arial" w:hAnsi="Arial" w:cs="Arial"/>
          <w:sz w:val="24"/>
          <w:szCs w:val="24"/>
        </w:rPr>
        <w:t>, 65(1-2), pp.55-63.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Mrva, M., Garajová, M., Lukáč, M. and Ondriska, F. (2011). Weak Cytotoxic Activity of Miltefosine against Clinical Isolates of Acanthamoeba spp. </w:t>
      </w:r>
      <w:r w:rsidRPr="0071546E">
        <w:rPr>
          <w:rFonts w:ascii="Arial" w:hAnsi="Arial" w:cs="Arial"/>
          <w:i/>
          <w:iCs/>
          <w:sz w:val="24"/>
          <w:szCs w:val="24"/>
        </w:rPr>
        <w:t>Journal of Parasitology</w:t>
      </w:r>
      <w:r w:rsidRPr="0071546E">
        <w:rPr>
          <w:rFonts w:ascii="Arial" w:hAnsi="Arial" w:cs="Arial"/>
          <w:sz w:val="24"/>
          <w:szCs w:val="24"/>
        </w:rPr>
        <w:t xml:space="preserve">, 97(3), pp.538-540.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Mu, W. and Liu, L. (2017). Reactive Oxygen Species Signaling in Cancer Development. </w:t>
      </w:r>
      <w:r w:rsidRPr="0071546E">
        <w:rPr>
          <w:rFonts w:ascii="Arial" w:hAnsi="Arial" w:cs="Arial"/>
          <w:i/>
          <w:iCs/>
          <w:sz w:val="24"/>
          <w:szCs w:val="24"/>
        </w:rPr>
        <w:t>Reactive Oxygen Species</w:t>
      </w:r>
      <w:r w:rsidRPr="0071546E">
        <w:rPr>
          <w:rFonts w:ascii="Arial" w:hAnsi="Arial" w:cs="Arial"/>
          <w:sz w:val="24"/>
          <w:szCs w:val="24"/>
        </w:rPr>
        <w:t>.</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Murthy, S., Hawksworth, N. and Cree, I. (2002). Progressive Ulcerative Keratitis Related to the Use of Topical Chlorhexidine Gluconate (0.02%). Cornea, 21(2), pp.237-239.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Murti, C. (1973). Biochemistry of Amoebic Encystment. </w:t>
      </w:r>
      <w:r w:rsidRPr="0071546E">
        <w:rPr>
          <w:rFonts w:ascii="Arial" w:hAnsi="Arial" w:cs="Arial"/>
          <w:i/>
          <w:iCs/>
          <w:sz w:val="24"/>
          <w:szCs w:val="24"/>
        </w:rPr>
        <w:t>Biochemical Society Transactions</w:t>
      </w:r>
      <w:r w:rsidRPr="0071546E">
        <w:rPr>
          <w:rFonts w:ascii="Arial" w:hAnsi="Arial" w:cs="Arial"/>
          <w:sz w:val="24"/>
          <w:szCs w:val="24"/>
        </w:rPr>
        <w:t>, 1(5), pp.1104-1104.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Murti, C. (1973). Biochemistry of Amoebic Encystment. </w:t>
      </w:r>
      <w:r w:rsidRPr="0071546E">
        <w:rPr>
          <w:rFonts w:ascii="Arial" w:hAnsi="Arial" w:cs="Arial"/>
          <w:i/>
          <w:iCs/>
          <w:sz w:val="24"/>
          <w:szCs w:val="24"/>
        </w:rPr>
        <w:t>Biochemical Society Transactions</w:t>
      </w:r>
      <w:r w:rsidRPr="0071546E">
        <w:rPr>
          <w:rFonts w:ascii="Arial" w:hAnsi="Arial" w:cs="Arial"/>
          <w:sz w:val="24"/>
          <w:szCs w:val="24"/>
        </w:rPr>
        <w:t>, 1(5), pp.1104-1104.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Na, B., Cho, J., Song, C. and Kim, T. (2002). Degradation of immunoglobulins, protease inhibitors, and interleukin-1 by a secretory proteinase of Acanthamoeba castellanii. </w:t>
      </w:r>
      <w:r w:rsidRPr="0071546E">
        <w:rPr>
          <w:rFonts w:ascii="Arial" w:hAnsi="Arial" w:cs="Arial"/>
          <w:i/>
          <w:iCs/>
          <w:sz w:val="24"/>
          <w:szCs w:val="24"/>
        </w:rPr>
        <w:t>The Korean Journal of Parasitology</w:t>
      </w:r>
      <w:r w:rsidRPr="0071546E">
        <w:rPr>
          <w:rFonts w:ascii="Arial" w:hAnsi="Arial" w:cs="Arial"/>
          <w:sz w:val="24"/>
          <w:szCs w:val="24"/>
        </w:rPr>
        <w:t>, 40(2), p.93.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Neufeld, B., Tapia, J., Lutzke, A. and Reynolds, M. (2018). Small Molecule Interferences in Resazurin and MTT-Based Metabolic Assays in the Absence of Cells. </w:t>
      </w:r>
      <w:r w:rsidRPr="0071546E">
        <w:rPr>
          <w:rFonts w:ascii="Arial" w:hAnsi="Arial" w:cs="Arial"/>
          <w:i/>
          <w:iCs/>
          <w:sz w:val="24"/>
          <w:szCs w:val="24"/>
        </w:rPr>
        <w:t>Analytical Chemistry</w:t>
      </w:r>
      <w:r w:rsidRPr="0071546E">
        <w:rPr>
          <w:rFonts w:ascii="Arial" w:hAnsi="Arial" w:cs="Arial"/>
          <w:sz w:val="24"/>
          <w:szCs w:val="24"/>
        </w:rPr>
        <w:t>, 90(11), pp.6867-6876.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Ng, S., Nordin, A., Abd Ghafar, N., Suboh, Y., Ab Rahim, N. and Chua, K. (2017). Acanthamoeba-mediated cytopathic effect correlates with MBP and AhLBP mRNA expression. </w:t>
      </w:r>
      <w:r w:rsidRPr="0071546E">
        <w:rPr>
          <w:rFonts w:ascii="Arial" w:hAnsi="Arial" w:cs="Arial"/>
          <w:i/>
          <w:iCs/>
          <w:sz w:val="24"/>
          <w:szCs w:val="24"/>
        </w:rPr>
        <w:t>Parasites &amp; Vectors</w:t>
      </w:r>
      <w:r w:rsidRPr="0071546E">
        <w:rPr>
          <w:rFonts w:ascii="Arial" w:hAnsi="Arial" w:cs="Arial"/>
          <w:sz w:val="24"/>
          <w:szCs w:val="24"/>
        </w:rPr>
        <w:t>, 10(1).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Niikura, K., Nambara, K., Okajima, T., Matsuo, Y. and Ijiro, K. (2010). Influence of Hydrophobic Structures on the Plasma Membrane Permeability of Lipidlike Molecules. </w:t>
      </w:r>
      <w:r w:rsidRPr="0071546E">
        <w:rPr>
          <w:rFonts w:ascii="Arial" w:hAnsi="Arial" w:cs="Arial"/>
          <w:i/>
          <w:iCs/>
          <w:sz w:val="24"/>
          <w:szCs w:val="24"/>
        </w:rPr>
        <w:t>Langmuir</w:t>
      </w:r>
      <w:r w:rsidRPr="0071546E">
        <w:rPr>
          <w:rFonts w:ascii="Arial" w:hAnsi="Arial" w:cs="Arial"/>
          <w:sz w:val="24"/>
          <w:szCs w:val="24"/>
        </w:rPr>
        <w:t>, 26(12), pp.9170-9175.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Niki, E. (2008). Lipid peroxidation products as oxidative stress biomarkers. </w:t>
      </w:r>
      <w:r w:rsidRPr="0071546E">
        <w:rPr>
          <w:rFonts w:ascii="Arial" w:hAnsi="Arial" w:cs="Arial"/>
          <w:i/>
          <w:iCs/>
          <w:sz w:val="24"/>
          <w:szCs w:val="24"/>
        </w:rPr>
        <w:t>BioFactors</w:t>
      </w:r>
      <w:r w:rsidRPr="0071546E">
        <w:rPr>
          <w:rFonts w:ascii="Arial" w:hAnsi="Arial" w:cs="Arial"/>
          <w:sz w:val="24"/>
          <w:szCs w:val="24"/>
        </w:rPr>
        <w:t>, 34(2), pp.171-180.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Novak, B., Peteja, M., Brueck, T. and Luebbert, H. (2016). The potency of different red light sources in photodynamic induction of cell death in a squamous cell carcinoma cell line. </w:t>
      </w:r>
      <w:r w:rsidRPr="0071546E">
        <w:rPr>
          <w:rFonts w:ascii="Arial" w:hAnsi="Arial" w:cs="Arial"/>
          <w:i/>
          <w:iCs/>
          <w:sz w:val="24"/>
          <w:szCs w:val="24"/>
        </w:rPr>
        <w:t>Photodiagnosis and Photodynamic Therapy</w:t>
      </w:r>
      <w:r w:rsidRPr="0071546E">
        <w:rPr>
          <w:rFonts w:ascii="Arial" w:hAnsi="Arial" w:cs="Arial"/>
          <w:sz w:val="24"/>
          <w:szCs w:val="24"/>
        </w:rPr>
        <w:t>, 14, pp.128-130.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Nyman, E. and Hynninen, P. (2004). Research advances in the use of tetrapyrrolic photosensitizers for photodynamic therapy. </w:t>
      </w:r>
      <w:r w:rsidRPr="0071546E">
        <w:rPr>
          <w:rFonts w:ascii="Arial" w:hAnsi="Arial" w:cs="Arial"/>
          <w:i/>
          <w:iCs/>
          <w:sz w:val="24"/>
          <w:szCs w:val="24"/>
        </w:rPr>
        <w:t>Journal of Photochemistry and Photobiology B: Biology</w:t>
      </w:r>
      <w:r w:rsidRPr="0071546E">
        <w:rPr>
          <w:rFonts w:ascii="Arial" w:hAnsi="Arial" w:cs="Arial"/>
          <w:sz w:val="24"/>
          <w:szCs w:val="24"/>
        </w:rPr>
        <w:t xml:space="preserve">, 73(1-2), pp.1-28. </w:t>
      </w:r>
    </w:p>
    <w:p w:rsidR="000C7C78" w:rsidRPr="0071546E" w:rsidRDefault="000C7C78" w:rsidP="00C310F1">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Nyman, E. and Hynninen, P. (2004). Research advances in the use of tetrapyrrolic photosensitizers for photodynamic therapy. </w:t>
      </w:r>
      <w:r w:rsidRPr="0071546E">
        <w:rPr>
          <w:rFonts w:ascii="Arial" w:hAnsi="Arial" w:cs="Arial"/>
          <w:i/>
          <w:iCs/>
          <w:sz w:val="24"/>
          <w:szCs w:val="24"/>
        </w:rPr>
        <w:t>Journal of Photochemistry and Photobiology B: Biology</w:t>
      </w:r>
      <w:r w:rsidRPr="0071546E">
        <w:rPr>
          <w:rFonts w:ascii="Arial" w:hAnsi="Arial" w:cs="Arial"/>
          <w:sz w:val="24"/>
          <w:szCs w:val="24"/>
        </w:rPr>
        <w:t>, 73(1-2), pp.1-28.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O’Connor, A., Gallagher, W. and Byrne, A. (2009). Porphyrin and Nonporphyrin Photosensitizers in Oncology: Preclinical and Clinical Advances in Photodynamic Therapy. </w:t>
      </w:r>
      <w:r w:rsidRPr="0071546E">
        <w:rPr>
          <w:rFonts w:ascii="Arial" w:hAnsi="Arial" w:cs="Arial"/>
          <w:i/>
          <w:iCs/>
          <w:sz w:val="24"/>
          <w:szCs w:val="24"/>
        </w:rPr>
        <w:t>Photochemistry and Photobiology</w:t>
      </w:r>
      <w:r w:rsidRPr="0071546E">
        <w:rPr>
          <w:rFonts w:ascii="Arial" w:hAnsi="Arial" w:cs="Arial"/>
          <w:sz w:val="24"/>
          <w:szCs w:val="24"/>
        </w:rPr>
        <w:t>, 85(5), pp.1053-1074.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Oberkampf, M., Guillerey, C., Mouriès, J., Rosenbaum, P., Fayolle, C., Bobard, A., Savina, A., Ogier-Denis, E., Enninga, J., Amigorena, S., Leclerc, C. and Dadaglio, G. (2018). Mitochondrial reactive oxygen species regulate the induction of CD8+ T cells by plasmacytoid dendritic cells. </w:t>
      </w:r>
      <w:r w:rsidRPr="0071546E">
        <w:rPr>
          <w:rFonts w:ascii="Arial" w:hAnsi="Arial" w:cs="Arial"/>
          <w:i/>
          <w:iCs/>
          <w:sz w:val="24"/>
          <w:szCs w:val="24"/>
        </w:rPr>
        <w:t>Nature Communications</w:t>
      </w:r>
      <w:r w:rsidRPr="0071546E">
        <w:rPr>
          <w:rFonts w:ascii="Arial" w:hAnsi="Arial" w:cs="Arial"/>
          <w:sz w:val="24"/>
          <w:szCs w:val="24"/>
        </w:rPr>
        <w:t>, 9(1).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O'Brien, J., Wilson, I., Orton, T. and Pognan, F. (2000). Investigation of the Alamar Blue (resazurin) fluorescent dye for the assessment of mammalian cell cytotoxicity. </w:t>
      </w:r>
      <w:r w:rsidRPr="0071546E">
        <w:rPr>
          <w:rFonts w:ascii="Arial" w:hAnsi="Arial" w:cs="Arial"/>
          <w:i/>
          <w:iCs/>
          <w:sz w:val="24"/>
          <w:szCs w:val="24"/>
        </w:rPr>
        <w:t>European Journal of Biochemistry</w:t>
      </w:r>
      <w:r w:rsidRPr="0071546E">
        <w:rPr>
          <w:rFonts w:ascii="Arial" w:hAnsi="Arial" w:cs="Arial"/>
          <w:sz w:val="24"/>
          <w:szCs w:val="24"/>
        </w:rPr>
        <w:t>, 267(17), pp.5421-5426.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Omaña-Molina, M., González-Robles, A., Iliana Salazar-Villatoro, L., Lorenzo-Morales, J., Cristóbal-Ramos, A., Hernández-Ramírez, V., Talamás-Rohana, P., Méndez Cruz, A. and Martínez-Palomo, A. (2013). Reevaluating the Role ofAcanthamoebaProteases in Tissue Invasion: Observation of Cytopathogenic Mechanisms on MDCK Cell Monolayers and Hamster Corneal Cells. </w:t>
      </w:r>
      <w:r w:rsidRPr="0071546E">
        <w:rPr>
          <w:rFonts w:ascii="Arial" w:hAnsi="Arial" w:cs="Arial"/>
          <w:i/>
          <w:iCs/>
          <w:sz w:val="24"/>
          <w:szCs w:val="24"/>
        </w:rPr>
        <w:t>BioMed Research International</w:t>
      </w:r>
      <w:r w:rsidRPr="0071546E">
        <w:rPr>
          <w:rFonts w:ascii="Arial" w:hAnsi="Arial" w:cs="Arial"/>
          <w:sz w:val="24"/>
          <w:szCs w:val="24"/>
        </w:rPr>
        <w:t>, 2013, pp.1-13.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Omana-Molina, M., Navarro-Garcia, F., Gonzalez-Robles, A., Serrano-Luna, J., Campos-Rodriguez, R., Martinez-Palomo, A., Tsutsumi, V. and Shibayama, M. (2004). Induction of Morphological and Electrophysiological Changes in Hamster Cornea after In Vitro Interaction with Trophozoites of Acanthamoeba spp. </w:t>
      </w:r>
      <w:r w:rsidRPr="0071546E">
        <w:rPr>
          <w:rFonts w:ascii="Arial" w:hAnsi="Arial" w:cs="Arial"/>
          <w:i/>
          <w:iCs/>
          <w:sz w:val="24"/>
          <w:szCs w:val="24"/>
        </w:rPr>
        <w:t>Infection and Immunity</w:t>
      </w:r>
      <w:r w:rsidRPr="0071546E">
        <w:rPr>
          <w:rFonts w:ascii="Arial" w:hAnsi="Arial" w:cs="Arial"/>
          <w:sz w:val="24"/>
          <w:szCs w:val="24"/>
        </w:rPr>
        <w:t xml:space="preserve">, 72(6), pp.3245-3251.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Ormond, A. and Freeman, H. (2013). Dye Sensitizers for Photodynamic Therapy. </w:t>
      </w:r>
      <w:r w:rsidRPr="0071546E">
        <w:rPr>
          <w:rFonts w:ascii="Arial" w:hAnsi="Arial" w:cs="Arial"/>
          <w:i/>
          <w:iCs/>
          <w:sz w:val="24"/>
          <w:szCs w:val="24"/>
        </w:rPr>
        <w:t>Materials</w:t>
      </w:r>
      <w:r w:rsidRPr="0071546E">
        <w:rPr>
          <w:rFonts w:ascii="Arial" w:hAnsi="Arial" w:cs="Arial"/>
          <w:sz w:val="24"/>
          <w:szCs w:val="24"/>
        </w:rPr>
        <w:t>, 6(3), pp.817-840.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Ortega-Rivas, A., Padrón, J., Valladares, B. and Elsheikha, H. (2016). Acanthamoeba castellanii: A new high-throughput method for drug screening in vitro. </w:t>
      </w:r>
      <w:r w:rsidRPr="0071546E">
        <w:rPr>
          <w:rFonts w:ascii="Arial" w:hAnsi="Arial" w:cs="Arial"/>
          <w:i/>
          <w:iCs/>
          <w:sz w:val="24"/>
          <w:szCs w:val="24"/>
        </w:rPr>
        <w:t>Acta Tropica</w:t>
      </w:r>
      <w:r w:rsidRPr="0071546E">
        <w:rPr>
          <w:rFonts w:ascii="Arial" w:hAnsi="Arial" w:cs="Arial"/>
          <w:sz w:val="24"/>
          <w:szCs w:val="24"/>
        </w:rPr>
        <w:t>, 164, pp.95-99.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Ortillés, Á., Goñi, P., Rubio, E., Sierra, M., Gámez, E., Fernández, M., Benito, M., Cristóbal, J. and Calvo, B. (2017). A Rabbit Model of Acanthamoeba Keratitis: Use of Infected Soft Contact Lenses After Corneal Epithelium Debridement With a Diamond Burr. </w:t>
      </w:r>
      <w:r w:rsidRPr="0071546E">
        <w:rPr>
          <w:rFonts w:ascii="Arial" w:hAnsi="Arial" w:cs="Arial"/>
          <w:i/>
          <w:iCs/>
          <w:sz w:val="24"/>
          <w:szCs w:val="24"/>
        </w:rPr>
        <w:t>Investigative Opthalmology &amp; Visual Science</w:t>
      </w:r>
      <w:r w:rsidRPr="0071546E">
        <w:rPr>
          <w:rFonts w:ascii="Arial" w:hAnsi="Arial" w:cs="Arial"/>
          <w:sz w:val="24"/>
          <w:szCs w:val="24"/>
        </w:rPr>
        <w:t xml:space="preserve">, 58(2), p.1218.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Oruba, Z., Łabuz, P., Macyk, W. and Chomyszyn-Gajewska, M. (2017). Periopathogens differ in terms of the susceptibility to toluidine blue O-mediated photodynamic inactivation. </w:t>
      </w:r>
      <w:r w:rsidRPr="0071546E">
        <w:rPr>
          <w:rFonts w:ascii="Arial" w:hAnsi="Arial" w:cs="Arial"/>
          <w:i/>
          <w:iCs/>
          <w:sz w:val="24"/>
          <w:szCs w:val="24"/>
        </w:rPr>
        <w:t>Photodiagnosis and Photodynamic Therapy</w:t>
      </w:r>
      <w:r w:rsidRPr="0071546E">
        <w:rPr>
          <w:rFonts w:ascii="Arial" w:hAnsi="Arial" w:cs="Arial"/>
          <w:sz w:val="24"/>
          <w:szCs w:val="24"/>
        </w:rPr>
        <w:t>, 20, pp.28-34.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Padzik, M., Baltaza, W., Conn, D., Szaflik, J. and Chomicz, L. (2018). Effect of povidone-iodine, chlorhexidine digluconate and toyocamycin on amphizoic amoebic strains, infectious agents of Acanthamoeba keratitis – a growing threat to human health worldwide. </w:t>
      </w:r>
      <w:r w:rsidRPr="0071546E">
        <w:rPr>
          <w:rFonts w:ascii="Arial" w:hAnsi="Arial" w:cs="Arial"/>
          <w:i/>
          <w:iCs/>
          <w:sz w:val="24"/>
          <w:szCs w:val="24"/>
        </w:rPr>
        <w:t>Annals of Agricultural and Environmental Medicine</w:t>
      </w:r>
      <w:r w:rsidRPr="0071546E">
        <w:rPr>
          <w:rFonts w:ascii="Arial" w:hAnsi="Arial" w:cs="Arial"/>
          <w:sz w:val="24"/>
          <w:szCs w:val="24"/>
        </w:rPr>
        <w:t>, 25(4), pp.725-731.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Padzik, M., Baltaza, W., Conn, D., Szaflik, J. and Chomicz, L. (2018). Effect of povidone-iodine, chlorhexidine digluconate and toyocamycin on amphizoic amoebic strains, infectious agents of &lt;i&gt;Acanthamoeba&lt;/i&gt; keratitis – a growing threat to human health worldwide. </w:t>
      </w:r>
      <w:r w:rsidRPr="0071546E">
        <w:rPr>
          <w:rFonts w:ascii="Arial" w:hAnsi="Arial" w:cs="Arial"/>
          <w:i/>
          <w:iCs/>
          <w:sz w:val="24"/>
          <w:szCs w:val="24"/>
        </w:rPr>
        <w:t>Annals of Agricultural and Environmental Medicine</w:t>
      </w:r>
      <w:r w:rsidRPr="0071546E">
        <w:rPr>
          <w:rFonts w:ascii="Arial" w:hAnsi="Arial" w:cs="Arial"/>
          <w:sz w:val="24"/>
          <w:szCs w:val="24"/>
        </w:rPr>
        <w:t>, 25(4), pp.725-731.</w:t>
      </w:r>
    </w:p>
    <w:p w:rsidR="000C7C78" w:rsidRPr="0071546E" w:rsidRDefault="000C7C78" w:rsidP="00024C89">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Page, F. (1967). Re-Definition of the Genus </w:t>
      </w:r>
      <w:r w:rsidRPr="0071546E">
        <w:rPr>
          <w:rFonts w:ascii="Arial" w:hAnsi="Arial" w:cs="Arial"/>
          <w:i/>
          <w:color w:val="000000"/>
          <w:sz w:val="24"/>
          <w:szCs w:val="24"/>
        </w:rPr>
        <w:t>Acanthamoeba</w:t>
      </w:r>
      <w:r w:rsidRPr="0071546E">
        <w:rPr>
          <w:rFonts w:ascii="Arial" w:hAnsi="Arial" w:cs="Arial"/>
          <w:color w:val="000000"/>
          <w:sz w:val="24"/>
          <w:szCs w:val="24"/>
        </w:rPr>
        <w:t xml:space="preserve"> with Descriptions of Three Species. </w:t>
      </w:r>
      <w:r w:rsidRPr="0071546E">
        <w:rPr>
          <w:rFonts w:ascii="Arial" w:hAnsi="Arial" w:cs="Arial"/>
          <w:i/>
          <w:iCs/>
          <w:color w:val="000000"/>
          <w:sz w:val="24"/>
          <w:szCs w:val="24"/>
        </w:rPr>
        <w:t>The Journal of Protozoology</w:t>
      </w:r>
      <w:r w:rsidRPr="0071546E">
        <w:rPr>
          <w:rFonts w:ascii="Arial" w:hAnsi="Arial" w:cs="Arial"/>
          <w:color w:val="000000"/>
          <w:sz w:val="24"/>
          <w:szCs w:val="24"/>
        </w:rPr>
        <w:t xml:space="preserve">, 14(4), pp.709-724.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Page, M. and Mathers, W. (2013). Acanthamoeba Keratitis: A 12-Year Experience Covering a Wide Spectrum of Presentations, Diagnoses, and Outcomes. </w:t>
      </w:r>
      <w:r w:rsidRPr="0071546E">
        <w:rPr>
          <w:rFonts w:ascii="Arial" w:hAnsi="Arial" w:cs="Arial"/>
          <w:i/>
          <w:iCs/>
          <w:sz w:val="24"/>
          <w:szCs w:val="24"/>
        </w:rPr>
        <w:t>Journal of Ophthalmology</w:t>
      </w:r>
      <w:r w:rsidRPr="0071546E">
        <w:rPr>
          <w:rFonts w:ascii="Arial" w:hAnsi="Arial" w:cs="Arial"/>
          <w:sz w:val="24"/>
          <w:szCs w:val="24"/>
        </w:rPr>
        <w:t>, 2013, pp.1-6.</w:t>
      </w:r>
    </w:p>
    <w:p w:rsidR="000C7C78" w:rsidRPr="0071546E" w:rsidRDefault="000C7C78" w:rsidP="008714A8">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Paget, T. (2004). Menadione kills trophozoites and cysts of Giardia intestinalis. </w:t>
      </w:r>
      <w:r w:rsidRPr="0071546E">
        <w:rPr>
          <w:rFonts w:ascii="Arial" w:hAnsi="Arial" w:cs="Arial"/>
          <w:i/>
          <w:iCs/>
          <w:sz w:val="24"/>
          <w:szCs w:val="24"/>
        </w:rPr>
        <w:t>Microbiology</w:t>
      </w:r>
      <w:r w:rsidRPr="0071546E">
        <w:rPr>
          <w:rFonts w:ascii="Arial" w:hAnsi="Arial" w:cs="Arial"/>
          <w:sz w:val="24"/>
          <w:szCs w:val="24"/>
        </w:rPr>
        <w:t>, 150(5), pp.1231-1236.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Panjwani, N. (2010). Pathogenesis of Acanthamoeba Keratitis. </w:t>
      </w:r>
      <w:r w:rsidRPr="0071546E">
        <w:rPr>
          <w:rFonts w:ascii="Arial" w:hAnsi="Arial" w:cs="Arial"/>
          <w:i/>
          <w:iCs/>
          <w:sz w:val="24"/>
          <w:szCs w:val="24"/>
        </w:rPr>
        <w:t>The Ocular Surface</w:t>
      </w:r>
      <w:r w:rsidRPr="0071546E">
        <w:rPr>
          <w:rFonts w:ascii="Arial" w:hAnsi="Arial" w:cs="Arial"/>
          <w:sz w:val="24"/>
          <w:szCs w:val="24"/>
        </w:rPr>
        <w:t>, 8(2), pp.70-79</w:t>
      </w:r>
    </w:p>
    <w:p w:rsidR="000C7C78" w:rsidRPr="0071546E" w:rsidRDefault="000C7C78" w:rsidP="008714A8">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Parija, S., Venugopal, H. and KP, D. (2015). Management of granulomatous amebic encephalitis: Laboratory diagnosis and treatment. </w:t>
      </w:r>
      <w:r w:rsidRPr="0071546E">
        <w:rPr>
          <w:rFonts w:ascii="Arial" w:hAnsi="Arial" w:cs="Arial"/>
          <w:i/>
          <w:iCs/>
          <w:sz w:val="24"/>
          <w:szCs w:val="24"/>
        </w:rPr>
        <w:t>Tropical Parasitology</w:t>
      </w:r>
      <w:r w:rsidRPr="0071546E">
        <w:rPr>
          <w:rFonts w:ascii="Arial" w:hAnsi="Arial" w:cs="Arial"/>
          <w:sz w:val="24"/>
          <w:szCs w:val="24"/>
        </w:rPr>
        <w:t>, 5(1), p.23.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Parmar, D., Awwad, S., Petroll, W., Bowman, R., McCulley, J. and Cavanagh, H. (2006). Tandem Scanning Confocal Corneal Microscopy in the Diagnosis of Suspected Acanthamoeba Keratitis. </w:t>
      </w:r>
      <w:r w:rsidRPr="0071546E">
        <w:rPr>
          <w:rFonts w:ascii="Arial" w:hAnsi="Arial" w:cs="Arial"/>
          <w:i/>
          <w:iCs/>
          <w:color w:val="000000"/>
          <w:sz w:val="24"/>
          <w:szCs w:val="24"/>
        </w:rPr>
        <w:t>Ophthalmology</w:t>
      </w:r>
      <w:r w:rsidRPr="0071546E">
        <w:rPr>
          <w:rFonts w:ascii="Arial" w:hAnsi="Arial" w:cs="Arial"/>
          <w:color w:val="000000"/>
          <w:sz w:val="24"/>
          <w:szCs w:val="24"/>
        </w:rPr>
        <w:t xml:space="preserve">, 113(4), pp.538-547. </w:t>
      </w:r>
    </w:p>
    <w:p w:rsidR="000C7C78" w:rsidRPr="0071546E" w:rsidRDefault="000C7C78" w:rsidP="000C7C78">
      <w:pPr>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Patel, R. (2019). A Moldy Application of MALDI: MALDI-ToF Mass Spectrometry for Fungal Identification. </w:t>
      </w:r>
      <w:r w:rsidRPr="0071546E">
        <w:rPr>
          <w:rFonts w:ascii="Arial" w:hAnsi="Arial" w:cs="Arial"/>
          <w:i/>
          <w:iCs/>
          <w:sz w:val="24"/>
          <w:szCs w:val="24"/>
        </w:rPr>
        <w:t>Journal of Fungi</w:t>
      </w:r>
      <w:r w:rsidRPr="0071546E">
        <w:rPr>
          <w:rFonts w:ascii="Arial" w:hAnsi="Arial" w:cs="Arial"/>
          <w:sz w:val="24"/>
          <w:szCs w:val="24"/>
        </w:rPr>
        <w:t>, 5(1), p.4.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Patel, R., Rinker, L., Peng, J. and Chilian, W. (2018). Reactive Oxygen Species: The Good and the Bad. </w:t>
      </w:r>
      <w:r w:rsidRPr="0071546E">
        <w:rPr>
          <w:rFonts w:ascii="Arial" w:hAnsi="Arial" w:cs="Arial"/>
          <w:i/>
          <w:iCs/>
          <w:sz w:val="24"/>
          <w:szCs w:val="24"/>
        </w:rPr>
        <w:t>Reactive Oxygen Species (ROS) in Living Cells</w:t>
      </w:r>
      <w:r w:rsidRPr="0071546E">
        <w:rPr>
          <w:rFonts w:ascii="Arial" w:hAnsi="Arial" w:cs="Arial"/>
          <w:sz w:val="24"/>
          <w:szCs w:val="24"/>
        </w:rPr>
        <w:t>. DOI: 10.5772/intechopen.71547.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Pavani, C., Uchoa, A., Oliveira, C., Iamamoto, Y. and Baptista, M. (2009). Effect of zinc insertion and hydrophobicity on the membrane interactions and PDT activity of porphyrin photosensitizers. </w:t>
      </w:r>
      <w:r w:rsidRPr="0071546E">
        <w:rPr>
          <w:rFonts w:ascii="Arial" w:hAnsi="Arial" w:cs="Arial"/>
          <w:i/>
          <w:iCs/>
          <w:sz w:val="24"/>
          <w:szCs w:val="24"/>
        </w:rPr>
        <w:t>Photochem. Photobiol. Sci.</w:t>
      </w:r>
      <w:r w:rsidRPr="0071546E">
        <w:rPr>
          <w:rFonts w:ascii="Arial" w:hAnsi="Arial" w:cs="Arial"/>
          <w:sz w:val="24"/>
          <w:szCs w:val="24"/>
        </w:rPr>
        <w:t>, 8(2), pp.233-240.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Pérez-Laguna, V., Pérez-Artiaga, L., Lampaya-Pérez, V., García-Luque, I., Ballesta, S., Nonell, S., Paz-Cristobal, M., Gilaberte, Y. and Rezusta, A. (2017). Bactericidal Effect of Photodynamic Therapy, Alone or in Combination with Mupirocin or Linezolid, on Staphylococcus aureus. </w:t>
      </w:r>
      <w:r w:rsidRPr="0071546E">
        <w:rPr>
          <w:rFonts w:ascii="Arial" w:hAnsi="Arial" w:cs="Arial"/>
          <w:i/>
          <w:iCs/>
          <w:sz w:val="24"/>
          <w:szCs w:val="24"/>
        </w:rPr>
        <w:t>Frontiers in Microbiology</w:t>
      </w:r>
      <w:r w:rsidRPr="0071546E">
        <w:rPr>
          <w:rFonts w:ascii="Arial" w:hAnsi="Arial" w:cs="Arial"/>
          <w:sz w:val="24"/>
          <w:szCs w:val="24"/>
        </w:rPr>
        <w:t>, 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Petrou, A., Petrou, P., Ntanos, T. and Liapis, A. (2018). A Possible Role for Singlet Oxygen in the Degradation of Various Antioxidants. A Meta-Analysis and Review of Literature Data. </w:t>
      </w:r>
      <w:r w:rsidRPr="0071546E">
        <w:rPr>
          <w:rFonts w:ascii="Arial" w:hAnsi="Arial" w:cs="Arial"/>
          <w:i/>
          <w:iCs/>
          <w:sz w:val="24"/>
          <w:szCs w:val="24"/>
        </w:rPr>
        <w:t>Antioxidants</w:t>
      </w:r>
      <w:r w:rsidRPr="0071546E">
        <w:rPr>
          <w:rFonts w:ascii="Arial" w:hAnsi="Arial" w:cs="Arial"/>
          <w:sz w:val="24"/>
          <w:szCs w:val="24"/>
        </w:rPr>
        <w:t>, 7(3), p.35.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Pizzimenti, S., Ciamporcero, E., Daga, M., Pettazzoni, P., Arcaro, A., Cetrangolo, G., Minelli, R., Dianzani, C., Lepore, A., Gentile, F. and Barrera, G. (2013). Interaction of aldehydes derived from lipid peroxidation and membrane proteins. </w:t>
      </w:r>
      <w:r w:rsidRPr="0071546E">
        <w:rPr>
          <w:rFonts w:ascii="Arial" w:hAnsi="Arial" w:cs="Arial"/>
          <w:i/>
          <w:iCs/>
          <w:color w:val="000000"/>
          <w:sz w:val="24"/>
          <w:szCs w:val="24"/>
        </w:rPr>
        <w:t>Frontiers in Physiology</w:t>
      </w:r>
      <w:r w:rsidRPr="0071546E">
        <w:rPr>
          <w:rFonts w:ascii="Arial" w:hAnsi="Arial" w:cs="Arial"/>
          <w:color w:val="000000"/>
          <w:sz w:val="24"/>
          <w:szCs w:val="24"/>
        </w:rPr>
        <w:t xml:space="preserve">, 4. </w:t>
      </w:r>
    </w:p>
    <w:p w:rsidR="000C7C78" w:rsidRPr="0071546E" w:rsidRDefault="000C7C78" w:rsidP="00024C89">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Pushkarew, B.M. (1913). </w:t>
      </w:r>
      <w:r w:rsidRPr="0071546E">
        <w:rPr>
          <w:rFonts w:ascii="Arial" w:hAnsi="Arial" w:cs="Arial"/>
          <w:color w:val="000000"/>
          <w:sz w:val="24"/>
          <w:szCs w:val="24"/>
          <w:lang w:val="en"/>
        </w:rPr>
        <w:t xml:space="preserve">About the spread of freshwater protozoa through the air. Arch Protistant, </w:t>
      </w:r>
      <w:r w:rsidRPr="0071546E">
        <w:rPr>
          <w:rFonts w:ascii="Arial" w:hAnsi="Arial" w:cs="Arial"/>
          <w:color w:val="000000"/>
          <w:sz w:val="24"/>
          <w:szCs w:val="24"/>
        </w:rPr>
        <w:t xml:space="preserve">23 (9), pp.323–362.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lang w:val="en-US"/>
        </w:rPr>
        <w:t xml:space="preserve">Quiroga, E., Alvarez, M. and Durantini, E. (2010). Susceptibility of Candida albicans to photodynamic action of 5, 10, 15, 20-tetra (4-N-methylpyridyl) porphyrin in different media. </w:t>
      </w:r>
      <w:r w:rsidRPr="0071546E">
        <w:rPr>
          <w:rFonts w:ascii="Arial" w:hAnsi="Arial" w:cs="Arial"/>
          <w:i/>
          <w:iCs/>
          <w:sz w:val="24"/>
          <w:szCs w:val="24"/>
          <w:lang w:val="en-US"/>
        </w:rPr>
        <w:t>FEMS Immunology &amp; Medical Microbiology</w:t>
      </w:r>
      <w:r w:rsidRPr="0071546E">
        <w:rPr>
          <w:rFonts w:ascii="Arial" w:hAnsi="Arial" w:cs="Arial"/>
          <w:sz w:val="24"/>
          <w:szCs w:val="24"/>
          <w:lang w:val="en-US"/>
        </w:rPr>
        <w:t>, 60(2), pp.123-131.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Rai, Y., Pathak, R., Kumari, N., Sah, D., Pandey, S., Kalra, N., Soni, R., Dwarakanath, B. and Bhatt, A. (2018). Mitochondrial biogenesis and metabolic hyperactivation limit the application of MTT assay in the estimation of radiation-induced growth inhibition. </w:t>
      </w:r>
      <w:r w:rsidRPr="0071546E">
        <w:rPr>
          <w:rFonts w:ascii="Arial" w:hAnsi="Arial" w:cs="Arial"/>
          <w:i/>
          <w:iCs/>
          <w:sz w:val="24"/>
          <w:szCs w:val="24"/>
        </w:rPr>
        <w:t>Scientific Reports</w:t>
      </w:r>
      <w:r w:rsidRPr="0071546E">
        <w:rPr>
          <w:rFonts w:ascii="Arial" w:hAnsi="Arial" w:cs="Arial"/>
          <w:sz w:val="24"/>
          <w:szCs w:val="24"/>
        </w:rPr>
        <w:t>, 8(1).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Rajendran, M., Dane, E., Conley, J. and Tantama, M. (2016). Imaging Adenosine Triphosphate (ATP). </w:t>
      </w:r>
      <w:r w:rsidRPr="0071546E">
        <w:rPr>
          <w:rFonts w:ascii="Arial" w:hAnsi="Arial" w:cs="Arial"/>
          <w:i/>
          <w:iCs/>
          <w:sz w:val="24"/>
          <w:szCs w:val="24"/>
        </w:rPr>
        <w:t>The Biological Bulletin</w:t>
      </w:r>
      <w:r w:rsidRPr="0071546E">
        <w:rPr>
          <w:rFonts w:ascii="Arial" w:hAnsi="Arial" w:cs="Arial"/>
          <w:sz w:val="24"/>
          <w:szCs w:val="24"/>
        </w:rPr>
        <w:t>, 231(1), pp.73-84.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Ray, P., Huang, B. and Tsuji, Y. (2012). Reactive oxygen species (ROS) homeostasis and redox regulation in cellular signalling. </w:t>
      </w:r>
      <w:r w:rsidRPr="0071546E">
        <w:rPr>
          <w:rFonts w:ascii="Arial" w:hAnsi="Arial" w:cs="Arial"/>
          <w:i/>
          <w:iCs/>
          <w:sz w:val="24"/>
          <w:szCs w:val="24"/>
        </w:rPr>
        <w:t>Cellular Signalling</w:t>
      </w:r>
      <w:r w:rsidRPr="0071546E">
        <w:rPr>
          <w:rFonts w:ascii="Arial" w:hAnsi="Arial" w:cs="Arial"/>
          <w:sz w:val="24"/>
          <w:szCs w:val="24"/>
        </w:rPr>
        <w:t>, 24(5), pp.981-990.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Rea, I., Gibson, D., McGilligan, V., McNerlan, S., Alexander, H. and Ross, O. (2018). Age and Age-Related Diseases: Role of Inflammation Triggers and Cytokines. </w:t>
      </w:r>
      <w:r w:rsidRPr="0071546E">
        <w:rPr>
          <w:rFonts w:ascii="Arial" w:hAnsi="Arial" w:cs="Arial"/>
          <w:i/>
          <w:iCs/>
          <w:sz w:val="24"/>
          <w:szCs w:val="24"/>
        </w:rPr>
        <w:t>Frontiers in Immunology</w:t>
      </w:r>
      <w:r w:rsidRPr="0071546E">
        <w:rPr>
          <w:rFonts w:ascii="Arial" w:hAnsi="Arial" w:cs="Arial"/>
          <w:sz w:val="24"/>
          <w:szCs w:val="24"/>
        </w:rPr>
        <w:t>, 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Reeg, S. and Grune, T. (2015). Protein Oxidation in Aging: Does It Play a Role in Aging Progression? </w:t>
      </w:r>
      <w:r w:rsidRPr="0071546E">
        <w:rPr>
          <w:rFonts w:ascii="Arial" w:hAnsi="Arial" w:cs="Arial"/>
          <w:i/>
          <w:iCs/>
          <w:sz w:val="24"/>
          <w:szCs w:val="24"/>
        </w:rPr>
        <w:t>Antioxidants &amp; Redox Signaling</w:t>
      </w:r>
      <w:r w:rsidRPr="0071546E">
        <w:rPr>
          <w:rFonts w:ascii="Arial" w:hAnsi="Arial" w:cs="Arial"/>
          <w:sz w:val="24"/>
          <w:szCs w:val="24"/>
        </w:rPr>
        <w:t xml:space="preserve">, 23(3), pp.239-255.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Reis, V., Navasconi, T., Oyama, J., Lera-Nosone, D., Silveira, T. and Lonardoni, M. (2018). In vivo study of the effects of photodynamic therapy mediated by phthalocyanine hydrogels and led light on Leishmania amazonensis. </w:t>
      </w:r>
      <w:r w:rsidRPr="0071546E">
        <w:rPr>
          <w:rFonts w:ascii="Arial" w:hAnsi="Arial" w:cs="Arial"/>
          <w:i/>
          <w:iCs/>
          <w:sz w:val="24"/>
          <w:szCs w:val="24"/>
        </w:rPr>
        <w:t>International Journal of Infectious Diseases</w:t>
      </w:r>
      <w:r w:rsidRPr="0071546E">
        <w:rPr>
          <w:rFonts w:ascii="Arial" w:hAnsi="Arial" w:cs="Arial"/>
          <w:sz w:val="24"/>
          <w:szCs w:val="24"/>
        </w:rPr>
        <w:t>, 73, pp.300-301.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Remmerie, A. and Scott, C. (2018). Macrophages and lipid metabolism. </w:t>
      </w:r>
      <w:r w:rsidRPr="0071546E">
        <w:rPr>
          <w:rFonts w:ascii="Arial" w:hAnsi="Arial" w:cs="Arial"/>
          <w:i/>
          <w:iCs/>
          <w:sz w:val="24"/>
          <w:szCs w:val="24"/>
        </w:rPr>
        <w:t>Cellular Immunology</w:t>
      </w:r>
      <w:r w:rsidRPr="0071546E">
        <w:rPr>
          <w:rFonts w:ascii="Arial" w:hAnsi="Arial" w:cs="Arial"/>
          <w:sz w:val="24"/>
          <w:szCs w:val="24"/>
        </w:rPr>
        <w:t>, 330, pp.27-42.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Ren, X., Tapias, L., Jank, B., Mathisen, D., Lanuti, M. and Ott, H. (2015). Ex-vivo non-invasive assessment of cell viability and proliferation in bio-engineered whole organ constructs. </w:t>
      </w:r>
      <w:r w:rsidRPr="0071546E">
        <w:rPr>
          <w:rFonts w:ascii="Arial" w:hAnsi="Arial" w:cs="Arial"/>
          <w:i/>
          <w:iCs/>
          <w:sz w:val="24"/>
          <w:szCs w:val="24"/>
        </w:rPr>
        <w:t>Biomaterials</w:t>
      </w:r>
      <w:r w:rsidRPr="0071546E">
        <w:rPr>
          <w:rFonts w:ascii="Arial" w:hAnsi="Arial" w:cs="Arial"/>
          <w:sz w:val="24"/>
          <w:szCs w:val="24"/>
        </w:rPr>
        <w:t>, 52, pp.103-112.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Ricchelli, F., Šileikytė, J. and Bernardi, P. (2011). Shedding light on the mitochondrial permeability transition. </w:t>
      </w:r>
      <w:r w:rsidRPr="0071546E">
        <w:rPr>
          <w:rFonts w:ascii="Arial" w:hAnsi="Arial" w:cs="Arial"/>
          <w:i/>
          <w:iCs/>
          <w:sz w:val="24"/>
          <w:szCs w:val="24"/>
        </w:rPr>
        <w:t>Biochimica et Biophysica Acta (BBA) - Bioenergetics</w:t>
      </w:r>
      <w:r w:rsidRPr="0071546E">
        <w:rPr>
          <w:rFonts w:ascii="Arial" w:hAnsi="Arial" w:cs="Arial"/>
          <w:sz w:val="24"/>
          <w:szCs w:val="24"/>
        </w:rPr>
        <w:t xml:space="preserve">, 1807(5), pp.482-490. </w:t>
      </w:r>
    </w:p>
    <w:p w:rsidR="000C7C78" w:rsidRPr="0071546E" w:rsidRDefault="000C7C78" w:rsidP="00CF13FE">
      <w:pPr>
        <w:shd w:val="clear" w:color="auto" w:fill="FFFFFF"/>
        <w:suppressAutoHyphens/>
        <w:autoSpaceDN w:val="0"/>
        <w:spacing w:after="180" w:line="360" w:lineRule="atLeast"/>
        <w:ind w:left="1021" w:right="454" w:hanging="450"/>
        <w:rPr>
          <w:rFonts w:ascii="Arial" w:hAnsi="Arial" w:cs="Arial"/>
          <w:b/>
          <w:bCs/>
          <w:sz w:val="24"/>
          <w:szCs w:val="24"/>
        </w:rPr>
      </w:pPr>
      <w:r w:rsidRPr="0071546E">
        <w:rPr>
          <w:rFonts w:ascii="Arial" w:hAnsi="Arial" w:cs="Arial"/>
          <w:sz w:val="24"/>
          <w:szCs w:val="24"/>
        </w:rPr>
        <w:t xml:space="preserve">Richards, A., Stewart, C., Karthik, H. and Petsoglou, C. (2015). Microbial keratitis in indigenous Australians. </w:t>
      </w:r>
      <w:r w:rsidRPr="0071546E">
        <w:rPr>
          <w:rFonts w:ascii="Arial" w:hAnsi="Arial" w:cs="Arial"/>
          <w:i/>
          <w:iCs/>
          <w:sz w:val="24"/>
          <w:szCs w:val="24"/>
        </w:rPr>
        <w:t>Clinical &amp; Experimental Ophthalmology</w:t>
      </w:r>
      <w:r w:rsidRPr="0071546E">
        <w:rPr>
          <w:rFonts w:ascii="Arial" w:hAnsi="Arial" w:cs="Arial"/>
          <w:sz w:val="24"/>
          <w:szCs w:val="24"/>
        </w:rPr>
        <w:t>, 44(3), pp.205-207.</w:t>
      </w:r>
      <w:r w:rsidRPr="0071546E">
        <w:rPr>
          <w:rFonts w:ascii="Arial" w:hAnsi="Arial" w:cs="Arial"/>
          <w:bCs/>
          <w:sz w:val="24"/>
          <w:szCs w:val="24"/>
        </w:rPr>
        <w:t xml:space="preserve">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Robertson, C., Evans, D. and Abrahamse, H. (2009). Photodynamic therapy (PDT): A short review of cellular mechanisms and cancer research applications for PDT. </w:t>
      </w:r>
      <w:r w:rsidRPr="0071546E">
        <w:rPr>
          <w:rFonts w:ascii="Arial" w:hAnsi="Arial" w:cs="Arial"/>
          <w:i/>
          <w:iCs/>
          <w:sz w:val="24"/>
          <w:szCs w:val="24"/>
        </w:rPr>
        <w:t>Journal of Photochemistry and Photobiology B: Biology</w:t>
      </w:r>
      <w:r w:rsidRPr="0071546E">
        <w:rPr>
          <w:rFonts w:ascii="Arial" w:hAnsi="Arial" w:cs="Arial"/>
          <w:sz w:val="24"/>
          <w:szCs w:val="24"/>
        </w:rPr>
        <w:t>, 96(1), pp.1-8.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Rovaldi, C., Pievsky, A., Sole, N., Friden, P., Rothstein, D. and Spacciapoli, P. (2000). Photoactive Porphyrin Derivative with Broad-Spectrum Activity against Oral Pathogens In-Vitro. </w:t>
      </w:r>
      <w:r w:rsidRPr="0071546E">
        <w:rPr>
          <w:rFonts w:ascii="Arial" w:hAnsi="Arial" w:cs="Arial"/>
          <w:i/>
          <w:iCs/>
          <w:sz w:val="24"/>
          <w:szCs w:val="24"/>
        </w:rPr>
        <w:t>Antimicrobial Agents and Chemotherapy</w:t>
      </w:r>
      <w:r w:rsidRPr="0071546E">
        <w:rPr>
          <w:rFonts w:ascii="Arial" w:hAnsi="Arial" w:cs="Arial"/>
          <w:sz w:val="24"/>
          <w:szCs w:val="24"/>
        </w:rPr>
        <w:t>, 44(12), pp.3364-3367.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Ruiter, G., Zerp, S., Bartelink, H., van Blitterswijk, W. and Verheij, M. (2003). Anti-cancer alkyl-lysophospholipids inhibit the phosphatidylinositol 3-kinase–Akt/PKB survival pathway. </w:t>
      </w:r>
      <w:r w:rsidRPr="0071546E">
        <w:rPr>
          <w:rFonts w:ascii="Arial" w:hAnsi="Arial" w:cs="Arial"/>
          <w:i/>
          <w:iCs/>
          <w:sz w:val="24"/>
          <w:szCs w:val="24"/>
        </w:rPr>
        <w:t>Anti-Cancer Drugs</w:t>
      </w:r>
      <w:r w:rsidRPr="0071546E">
        <w:rPr>
          <w:rFonts w:ascii="Arial" w:hAnsi="Arial" w:cs="Arial"/>
          <w:sz w:val="24"/>
          <w:szCs w:val="24"/>
        </w:rPr>
        <w:t>, 14(2), pp.167-173.</w:t>
      </w:r>
    </w:p>
    <w:p w:rsidR="000C7C78" w:rsidRPr="0071546E" w:rsidRDefault="000C7C78" w:rsidP="001731C5">
      <w:pPr>
        <w:suppressAutoHyphens/>
        <w:autoSpaceDN w:val="0"/>
        <w:spacing w:after="180" w:line="360" w:lineRule="atLeast"/>
        <w:ind w:left="1021" w:right="454" w:hanging="450"/>
        <w:jc w:val="both"/>
        <w:rPr>
          <w:rFonts w:ascii="Arial" w:hAnsi="Arial" w:cs="Arial"/>
          <w:sz w:val="24"/>
          <w:szCs w:val="24"/>
          <w:lang w:val="en"/>
        </w:rPr>
      </w:pPr>
      <w:r w:rsidRPr="0071546E">
        <w:rPr>
          <w:rFonts w:ascii="Arial" w:hAnsi="Arial" w:cs="Arial"/>
          <w:sz w:val="24"/>
          <w:szCs w:val="24"/>
          <w:lang w:val="en"/>
        </w:rPr>
        <w:t xml:space="preserve">Sacher, B., Wagoner, M., Goins, K., Sutphin, J., Greiner, M. and Kitzmann, A. (2015). Treatment of Acanthamoeba Keratitis With Intravenous Pentamidine Before Therapeutic Keratoplasty. </w:t>
      </w:r>
      <w:r w:rsidRPr="0071546E">
        <w:rPr>
          <w:rFonts w:ascii="Arial" w:hAnsi="Arial" w:cs="Arial"/>
          <w:i/>
          <w:iCs/>
          <w:sz w:val="24"/>
          <w:szCs w:val="24"/>
          <w:lang w:val="en"/>
        </w:rPr>
        <w:t>Cornea</w:t>
      </w:r>
      <w:r w:rsidRPr="0071546E">
        <w:rPr>
          <w:rFonts w:ascii="Arial" w:hAnsi="Arial" w:cs="Arial"/>
          <w:sz w:val="24"/>
          <w:szCs w:val="24"/>
          <w:lang w:val="en"/>
        </w:rPr>
        <w:t>, 34(1), pp.49-53.</w:t>
      </w:r>
    </w:p>
    <w:p w:rsidR="000C7C78" w:rsidRPr="0071546E" w:rsidRDefault="000C7C78" w:rsidP="000C7C78">
      <w:pPr>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Saeedi, B. (2018). Rapid Identification of Bacterial Species Directly from Enrichment Broth By MALDI-TOF Mass Spectrometry. </w:t>
      </w:r>
      <w:r w:rsidRPr="0071546E">
        <w:rPr>
          <w:rFonts w:ascii="Arial" w:hAnsi="Arial" w:cs="Arial"/>
          <w:i/>
          <w:iCs/>
          <w:sz w:val="24"/>
          <w:szCs w:val="24"/>
        </w:rPr>
        <w:t>Biomedical Journal of Scientific &amp; Technical Research</w:t>
      </w:r>
      <w:r w:rsidRPr="0071546E">
        <w:rPr>
          <w:rFonts w:ascii="Arial" w:hAnsi="Arial" w:cs="Arial"/>
          <w:sz w:val="24"/>
          <w:szCs w:val="24"/>
        </w:rPr>
        <w:t>, 10(1).</w:t>
      </w:r>
    </w:p>
    <w:p w:rsidR="000C7C78" w:rsidRPr="0071546E" w:rsidRDefault="000C7C78" w:rsidP="00E07B56">
      <w:pPr>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lang w:val="en"/>
        </w:rPr>
        <w:t xml:space="preserve">Salazar, O. and Asenjo, J. (2019). </w:t>
      </w:r>
      <w:r w:rsidRPr="0071546E">
        <w:rPr>
          <w:rFonts w:ascii="Arial" w:hAnsi="Arial" w:cs="Arial"/>
          <w:i/>
          <w:iCs/>
          <w:sz w:val="24"/>
          <w:szCs w:val="24"/>
          <w:lang w:val="en"/>
        </w:rPr>
        <w:t>Enzymatic lysis of microbial cells</w:t>
      </w:r>
      <w:r w:rsidRPr="0071546E">
        <w:rPr>
          <w:rFonts w:ascii="Arial" w:hAnsi="Arial" w:cs="Arial"/>
          <w:sz w:val="24"/>
          <w:szCs w:val="24"/>
          <w:lang w:val="en"/>
        </w:rPr>
        <w:t>. Biotechnology letters 29(7), pp 885-994.</w:t>
      </w:r>
      <w:r w:rsidRPr="0071546E">
        <w:rPr>
          <w:rFonts w:ascii="Arial" w:hAnsi="Arial" w:cs="Arial"/>
          <w:sz w:val="24"/>
          <w:szCs w:val="24"/>
        </w:rPr>
        <w:t xml:space="preserve">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Samajdar, R., Manogaran, D., Yashonath, S. and Bhattacharyya, A. (2018). Using porphyrin–amino acid pairs to model the electrochemistry of heme proteins: experimental and theoretical investigations. </w:t>
      </w:r>
      <w:r w:rsidRPr="0071546E">
        <w:rPr>
          <w:rFonts w:ascii="Arial" w:hAnsi="Arial" w:cs="Arial"/>
          <w:i/>
          <w:iCs/>
          <w:sz w:val="24"/>
          <w:szCs w:val="24"/>
        </w:rPr>
        <w:t>Physical Chemistry Chemical Physics</w:t>
      </w:r>
      <w:r w:rsidRPr="0071546E">
        <w:rPr>
          <w:rFonts w:ascii="Arial" w:hAnsi="Arial" w:cs="Arial"/>
          <w:sz w:val="24"/>
          <w:szCs w:val="24"/>
        </w:rPr>
        <w:t>, 20(15), pp.10018-10029.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Saravanakumar, G., Kim, J. and Kim, W. (2016). Reactive-Oxygen-Species-Responsive Drug Delivery Systems: Promises and Challenges. </w:t>
      </w:r>
      <w:r w:rsidRPr="0071546E">
        <w:rPr>
          <w:rFonts w:ascii="Arial" w:hAnsi="Arial" w:cs="Arial"/>
          <w:i/>
          <w:iCs/>
          <w:sz w:val="24"/>
          <w:szCs w:val="24"/>
        </w:rPr>
        <w:t>Advanced Science</w:t>
      </w:r>
      <w:r w:rsidRPr="0071546E">
        <w:rPr>
          <w:rFonts w:ascii="Arial" w:hAnsi="Arial" w:cs="Arial"/>
          <w:sz w:val="24"/>
          <w:szCs w:val="24"/>
        </w:rPr>
        <w:t>, 4(1), p.1600124.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Schaefer, H., Stahn, R. and Schtmidt, W. (1980). ChemInform Abstract: solvent effects on the fluorescence quantum yields of thionine and methylene blue. </w:t>
      </w:r>
      <w:r w:rsidRPr="0071546E">
        <w:rPr>
          <w:rFonts w:ascii="Arial" w:hAnsi="Arial" w:cs="Arial"/>
          <w:i/>
          <w:iCs/>
          <w:sz w:val="24"/>
          <w:szCs w:val="24"/>
        </w:rPr>
        <w:t>Chemischer Informationsdienst</w:t>
      </w:r>
      <w:r w:rsidRPr="0071546E">
        <w:rPr>
          <w:rFonts w:ascii="Arial" w:hAnsi="Arial" w:cs="Arial"/>
          <w:sz w:val="24"/>
          <w:szCs w:val="24"/>
        </w:rPr>
        <w:t xml:space="preserve">, 11(7).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Schastak, S., Ziganshyna, S., Gitter, B., Wiedemann, P. and Claudepierre, T. (2010). Efficient Photodynamic Therapy against Gram-Positive and Gram-Negative Bacteria Using THPTS, a Cationic Photosensitizer Excited by Infrared Wavelength. </w:t>
      </w:r>
      <w:r w:rsidRPr="0071546E">
        <w:rPr>
          <w:rFonts w:ascii="Arial" w:hAnsi="Arial" w:cs="Arial"/>
          <w:i/>
          <w:iCs/>
          <w:sz w:val="24"/>
          <w:szCs w:val="24"/>
        </w:rPr>
        <w:t>PLoS ONE</w:t>
      </w:r>
      <w:r w:rsidRPr="0071546E">
        <w:rPr>
          <w:rFonts w:ascii="Arial" w:hAnsi="Arial" w:cs="Arial"/>
          <w:sz w:val="24"/>
          <w:szCs w:val="24"/>
        </w:rPr>
        <w:t>, 5(7), p.e11674.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Schuster, F., Guglielmo, B. and Visvesvara, G. (2006). In-Vitro Activity of Miltefosine and Voriconazole on Clinical Isolates of Free-Living Amebas: Balamuthia mandrillaris, Acanthamoeba spp., and Naegleria fowleri. </w:t>
      </w:r>
      <w:r w:rsidRPr="0071546E">
        <w:rPr>
          <w:rFonts w:ascii="Arial" w:hAnsi="Arial" w:cs="Arial"/>
          <w:i/>
          <w:iCs/>
          <w:sz w:val="24"/>
          <w:szCs w:val="24"/>
        </w:rPr>
        <w:t>The Journal of Eukaryotic Microbiology</w:t>
      </w:r>
      <w:r w:rsidRPr="0071546E">
        <w:rPr>
          <w:rFonts w:ascii="Arial" w:hAnsi="Arial" w:cs="Arial"/>
          <w:sz w:val="24"/>
          <w:szCs w:val="24"/>
        </w:rPr>
        <w:t>, 53(2), pp.121-126.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Seifert, K., Duchene, M., Wernsdorfer, W., Kollaritsch, H., Scheiner, O., Wiedermann, G., Hottkowitz, T. and Eibl, H. (2001). Effects of Miltefosine and Other Alkyl phosphocholines on Human Intestinal Parasite Entamoeba histolytica. </w:t>
      </w:r>
      <w:r w:rsidRPr="0071546E">
        <w:rPr>
          <w:rFonts w:ascii="Arial" w:hAnsi="Arial" w:cs="Arial"/>
          <w:i/>
          <w:iCs/>
          <w:sz w:val="24"/>
          <w:szCs w:val="24"/>
        </w:rPr>
        <w:t>Antimicrobial Agents and Chemotherapy</w:t>
      </w:r>
      <w:r w:rsidRPr="0071546E">
        <w:rPr>
          <w:rFonts w:ascii="Arial" w:hAnsi="Arial" w:cs="Arial"/>
          <w:sz w:val="24"/>
          <w:szCs w:val="24"/>
        </w:rPr>
        <w:t>, 45(5), pp.1505-1510.</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Sen, D. and Sarin, G. (1982). Immunoassay of tear lysozyme in conjunctival diseases. </w:t>
      </w:r>
      <w:r w:rsidRPr="0071546E">
        <w:rPr>
          <w:rFonts w:ascii="Arial" w:hAnsi="Arial" w:cs="Arial"/>
          <w:i/>
          <w:iCs/>
          <w:sz w:val="24"/>
          <w:szCs w:val="24"/>
        </w:rPr>
        <w:t>British Journal of Ophthalmology</w:t>
      </w:r>
      <w:r w:rsidRPr="0071546E">
        <w:rPr>
          <w:rFonts w:ascii="Arial" w:hAnsi="Arial" w:cs="Arial"/>
          <w:sz w:val="24"/>
          <w:szCs w:val="24"/>
        </w:rPr>
        <w:t>, 66(11), pp.732-735.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Serrano-Luna, J., Piña-Vázquez, C., Reyes-López, M., Ortiz-Estrada, G. and de la Garza, M. (2013). Proteases from Entamoeba spp. and Pathogenic Free-Living Amoebae as Virulence Factors. </w:t>
      </w:r>
      <w:r w:rsidRPr="0071546E">
        <w:rPr>
          <w:rFonts w:ascii="Arial" w:hAnsi="Arial" w:cs="Arial"/>
          <w:i/>
          <w:iCs/>
          <w:sz w:val="24"/>
          <w:szCs w:val="24"/>
        </w:rPr>
        <w:t>Journal of Tropical Medicine</w:t>
      </w:r>
      <w:r w:rsidRPr="0071546E">
        <w:rPr>
          <w:rFonts w:ascii="Arial" w:hAnsi="Arial" w:cs="Arial"/>
          <w:sz w:val="24"/>
          <w:szCs w:val="24"/>
        </w:rPr>
        <w:t>, 2013, pp.1-32.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Shafirstein, G., Battoo, A., Harris, K., Baumann, H., Gollnick, S., Lindenmann, J. and Nwogu, C. (2015). Photodynamic Therapy of Non-Small Cell Lung Cancer: Narrative Review and Future Directions. </w:t>
      </w:r>
      <w:r w:rsidRPr="0071546E">
        <w:rPr>
          <w:rFonts w:ascii="Arial" w:hAnsi="Arial" w:cs="Arial"/>
          <w:i/>
          <w:iCs/>
          <w:sz w:val="24"/>
          <w:szCs w:val="24"/>
        </w:rPr>
        <w:t>Annals of the American Thoracic Society</w:t>
      </w:r>
      <w:r w:rsidRPr="0071546E">
        <w:rPr>
          <w:rFonts w:ascii="Arial" w:hAnsi="Arial" w:cs="Arial"/>
          <w:sz w:val="24"/>
          <w:szCs w:val="24"/>
        </w:rPr>
        <w:t xml:space="preserve">.Sharma, P., Jha, A., Dubey, R. and Pessarakli, M. (2012). Reactive Oxygen Species, Oxidative Damage, and Ant-oxidative Defence Mechanism in Plants under Stressful Conditions. </w:t>
      </w:r>
      <w:r w:rsidRPr="0071546E">
        <w:rPr>
          <w:rFonts w:ascii="Arial" w:hAnsi="Arial" w:cs="Arial"/>
          <w:i/>
          <w:iCs/>
          <w:sz w:val="24"/>
          <w:szCs w:val="24"/>
        </w:rPr>
        <w:t>Journal of Botany</w:t>
      </w:r>
      <w:r w:rsidRPr="0071546E">
        <w:rPr>
          <w:rFonts w:ascii="Arial" w:hAnsi="Arial" w:cs="Arial"/>
          <w:sz w:val="24"/>
          <w:szCs w:val="24"/>
        </w:rPr>
        <w:t>, 2012, pp.1-26.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Shehadul Islam, M., Aryasomayajula, A. and Selvaganapathy, P. (2017). A Review on Macroscale and Microscale Cell Lysis Methods. </w:t>
      </w:r>
      <w:r w:rsidRPr="0071546E">
        <w:rPr>
          <w:rFonts w:ascii="Arial" w:hAnsi="Arial" w:cs="Arial"/>
          <w:i/>
          <w:iCs/>
          <w:sz w:val="24"/>
          <w:szCs w:val="24"/>
        </w:rPr>
        <w:t>Micromachines</w:t>
      </w:r>
      <w:r w:rsidRPr="0071546E">
        <w:rPr>
          <w:rFonts w:ascii="Arial" w:hAnsi="Arial" w:cs="Arial"/>
          <w:sz w:val="24"/>
          <w:szCs w:val="24"/>
        </w:rPr>
        <w:t>, 8(3), p.83.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Siddiqui, R. and Khan, N. (2012). Photochemotherapeutic strategies against Acanthamoeba keratitis. </w:t>
      </w:r>
      <w:r w:rsidRPr="0071546E">
        <w:rPr>
          <w:rFonts w:ascii="Arial" w:hAnsi="Arial" w:cs="Arial"/>
          <w:i/>
          <w:iCs/>
          <w:sz w:val="24"/>
          <w:szCs w:val="24"/>
        </w:rPr>
        <w:t>AMB Express</w:t>
      </w:r>
      <w:r w:rsidRPr="0071546E">
        <w:rPr>
          <w:rFonts w:ascii="Arial" w:hAnsi="Arial" w:cs="Arial"/>
          <w:sz w:val="24"/>
          <w:szCs w:val="24"/>
        </w:rPr>
        <w:t>, 2(1), p.47.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Siddiqui, R., Aqeel, Y. and Khan, N. (2016). The Development of Drugs against Acanthamoeba Infections. </w:t>
      </w:r>
      <w:r w:rsidRPr="0071546E">
        <w:rPr>
          <w:rFonts w:ascii="Arial" w:hAnsi="Arial" w:cs="Arial"/>
          <w:i/>
          <w:iCs/>
          <w:sz w:val="24"/>
          <w:szCs w:val="24"/>
        </w:rPr>
        <w:t>Antimicrobial Agents and Chemotherapy</w:t>
      </w:r>
      <w:r w:rsidRPr="0071546E">
        <w:rPr>
          <w:rFonts w:ascii="Arial" w:hAnsi="Arial" w:cs="Arial"/>
          <w:sz w:val="24"/>
          <w:szCs w:val="24"/>
        </w:rPr>
        <w:t xml:space="preserve">, 60(11), pp.6441-6450.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Siddiqui, R., Dudley, R. and Khan, N. (2012). Acanthamoeba differentiation: a two-faced drama of Dr Jekyll and Mr Hyde. </w:t>
      </w:r>
      <w:r w:rsidRPr="0071546E">
        <w:rPr>
          <w:rFonts w:ascii="Arial" w:hAnsi="Arial" w:cs="Arial"/>
          <w:i/>
          <w:iCs/>
          <w:sz w:val="24"/>
          <w:szCs w:val="24"/>
        </w:rPr>
        <w:t>Parasitology</w:t>
      </w:r>
      <w:r w:rsidRPr="0071546E">
        <w:rPr>
          <w:rFonts w:ascii="Arial" w:hAnsi="Arial" w:cs="Arial"/>
          <w:sz w:val="24"/>
          <w:szCs w:val="24"/>
        </w:rPr>
        <w:t>, 139(07), pp.826-834.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Sifaoui, I., López-Arencibia, A., Martín-Navarro, C., Reyes-Batlle, M., Wagner, C., Chiboub, O., Mejri, M., Valladares, B., Abderrabba, M., Piñero, J. and Lorenzo-Morales, J. (2017). Programmed cell death in Acanthamoeba castellanii Neff induced by several molecules present in olive leaf extracts. </w:t>
      </w:r>
      <w:r w:rsidRPr="0071546E">
        <w:rPr>
          <w:rFonts w:ascii="Arial" w:hAnsi="Arial" w:cs="Arial"/>
          <w:i/>
          <w:iCs/>
          <w:sz w:val="24"/>
          <w:szCs w:val="24"/>
        </w:rPr>
        <w:t>PLOS ONE</w:t>
      </w:r>
      <w:r w:rsidRPr="0071546E">
        <w:rPr>
          <w:rFonts w:ascii="Arial" w:hAnsi="Arial" w:cs="Arial"/>
          <w:sz w:val="24"/>
          <w:szCs w:val="24"/>
        </w:rPr>
        <w:t>, 12(8), p.e0183795.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Simões, C., Gomes, M., Neves, M., Cunha, Â., Tomé, J., Tomé, A., Cavaleiro, J., Almeida, A. and Faustino, M. (2016). Photodynamic inactivation of Escherichia coli with cationic meso -tetraarylporphyrins – The charge number and charge distribution effects. </w:t>
      </w:r>
      <w:r w:rsidRPr="0071546E">
        <w:rPr>
          <w:rFonts w:ascii="Arial" w:hAnsi="Arial" w:cs="Arial"/>
          <w:i/>
          <w:iCs/>
          <w:sz w:val="24"/>
          <w:szCs w:val="24"/>
        </w:rPr>
        <w:t>Catalysis Today</w:t>
      </w:r>
      <w:r w:rsidRPr="0071546E">
        <w:rPr>
          <w:rFonts w:ascii="Arial" w:hAnsi="Arial" w:cs="Arial"/>
          <w:sz w:val="24"/>
          <w:szCs w:val="24"/>
        </w:rPr>
        <w:t>, 266, pp.197-204.</w:t>
      </w:r>
    </w:p>
    <w:p w:rsidR="000C7C78" w:rsidRPr="0071546E" w:rsidRDefault="000C7C78" w:rsidP="00C310F1">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Singh, S., Aggarwal, A., Bhupathiraju, N., Arianna, G., Tiwari, K. and Drain, C. (2015). Glycosylated Porphyrins, Phthalocyanines, and Other Porphyrinoids for Diagnostics and Therapeutics. </w:t>
      </w:r>
      <w:r w:rsidRPr="0071546E">
        <w:rPr>
          <w:rFonts w:ascii="Arial" w:hAnsi="Arial" w:cs="Arial"/>
          <w:i/>
          <w:iCs/>
          <w:sz w:val="24"/>
          <w:szCs w:val="24"/>
        </w:rPr>
        <w:t>Chemical Reviews</w:t>
      </w:r>
      <w:r w:rsidRPr="0071546E">
        <w:rPr>
          <w:rFonts w:ascii="Arial" w:hAnsi="Arial" w:cs="Arial"/>
          <w:sz w:val="24"/>
          <w:szCs w:val="24"/>
        </w:rPr>
        <w:t>, 115(18), pp.10261-10306.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Skidan, I., Dholakia, P. and Torchilin, V. (2008). Photodynamic therapy of experimental B-16 melanoma in mice with tumour-targeted 5, 10, 15, 20-tetraphenylporphin-loaded PEG-PE micelles. </w:t>
      </w:r>
      <w:r w:rsidRPr="0071546E">
        <w:rPr>
          <w:rFonts w:ascii="Arial" w:hAnsi="Arial" w:cs="Arial"/>
          <w:i/>
          <w:iCs/>
          <w:sz w:val="24"/>
          <w:szCs w:val="24"/>
        </w:rPr>
        <w:t>Journal of Drug Targeting</w:t>
      </w:r>
      <w:r w:rsidRPr="0071546E">
        <w:rPr>
          <w:rFonts w:ascii="Arial" w:hAnsi="Arial" w:cs="Arial"/>
          <w:sz w:val="24"/>
          <w:szCs w:val="24"/>
        </w:rPr>
        <w:t>, 16(6), pp.486-493.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Śliwka, L., Wiktorska, K., Suchocki, P., Milczarek, M., Mielczarek, S., Lubelska, K., Cierpiał, T., Łyżwa, P., Kiełbasiński, P., Jaromin, A., Flis, A. and Chilmonczyk, Z. (2016). The Comparison of MTT and CVS Assays for the Assessment of Anticancer Agent Interactions. </w:t>
      </w:r>
      <w:r w:rsidRPr="0071546E">
        <w:rPr>
          <w:rFonts w:ascii="Arial" w:hAnsi="Arial" w:cs="Arial"/>
          <w:i/>
          <w:iCs/>
          <w:sz w:val="24"/>
          <w:szCs w:val="24"/>
        </w:rPr>
        <w:t>PLOS ONE</w:t>
      </w:r>
      <w:r w:rsidRPr="0071546E">
        <w:rPr>
          <w:rFonts w:ascii="Arial" w:hAnsi="Arial" w:cs="Arial"/>
          <w:sz w:val="24"/>
          <w:szCs w:val="24"/>
        </w:rPr>
        <w:t>, 11(5), p.e0155772.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Smith, H. and Evans, R. (2009). Parasites: Cryptosporidium, Giardia, Cyclospora, Entamoeba histolytica, Toxoplasma gondii and pathogenic free-living amoebae </w:t>
      </w:r>
      <w:r w:rsidRPr="0071546E">
        <w:rPr>
          <w:rFonts w:ascii="Arial" w:hAnsi="Arial" w:cs="Arial"/>
          <w:i/>
          <w:sz w:val="24"/>
          <w:szCs w:val="24"/>
        </w:rPr>
        <w:t>Acanthamoeba</w:t>
      </w:r>
      <w:r w:rsidRPr="0071546E">
        <w:rPr>
          <w:rFonts w:ascii="Arial" w:hAnsi="Arial" w:cs="Arial"/>
          <w:sz w:val="24"/>
          <w:szCs w:val="24"/>
        </w:rPr>
        <w:t xml:space="preserve"> spp. and Naegleria fowleri) as foodborne pathogens. </w:t>
      </w:r>
      <w:r w:rsidRPr="0071546E">
        <w:rPr>
          <w:rFonts w:ascii="Arial" w:hAnsi="Arial" w:cs="Arial"/>
          <w:i/>
          <w:iCs/>
          <w:sz w:val="24"/>
          <w:szCs w:val="24"/>
        </w:rPr>
        <w:t>Foodborne Pathogens</w:t>
      </w:r>
      <w:r w:rsidRPr="0071546E">
        <w:rPr>
          <w:rFonts w:ascii="Arial" w:hAnsi="Arial" w:cs="Arial"/>
          <w:sz w:val="24"/>
          <w:szCs w:val="24"/>
        </w:rPr>
        <w:t>, pp.930-1008.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Soccio, M., Laus, M., Trono, D. and Pastore, D. (2013). A new simple fluorimetric method to assay cytosolic ATP content: application to durum wheat seedlings to assess modulation of mitochondrial potassium channel and uncoupling protein activity under hyperosmotic stress. </w:t>
      </w:r>
      <w:r w:rsidRPr="0071546E">
        <w:rPr>
          <w:rFonts w:ascii="Arial" w:hAnsi="Arial" w:cs="Arial"/>
          <w:i/>
          <w:iCs/>
          <w:sz w:val="24"/>
          <w:szCs w:val="24"/>
        </w:rPr>
        <w:t>Biologia</w:t>
      </w:r>
      <w:r w:rsidRPr="0071546E">
        <w:rPr>
          <w:rFonts w:ascii="Arial" w:hAnsi="Arial" w:cs="Arial"/>
          <w:sz w:val="24"/>
          <w:szCs w:val="24"/>
        </w:rPr>
        <w:t>, 68(3).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Sorbellini, E., Rucco, M. and Rinaldi, F. (2018). Photodynamic and photobiological effects of light-emitting diode (LED) therapy in dermatological disease: an update. </w:t>
      </w:r>
      <w:r w:rsidRPr="0071546E">
        <w:rPr>
          <w:rFonts w:ascii="Arial" w:hAnsi="Arial" w:cs="Arial"/>
          <w:i/>
          <w:iCs/>
          <w:sz w:val="24"/>
          <w:szCs w:val="24"/>
        </w:rPr>
        <w:t>Lasers in Medical Science</w:t>
      </w:r>
      <w:r w:rsidRPr="0071546E">
        <w:rPr>
          <w:rFonts w:ascii="Arial" w:hAnsi="Arial" w:cs="Arial"/>
          <w:sz w:val="24"/>
          <w:szCs w:val="24"/>
        </w:rPr>
        <w:t>, 33(7), pp.1431-1439.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Soukos, N., Ximenez-Fyvie, L., Hamblin, M., Socransky, S. and Hasan, T. (1998). Targeted Antimicrobial Photochemotherapy. </w:t>
      </w:r>
      <w:r w:rsidRPr="0071546E">
        <w:rPr>
          <w:rFonts w:ascii="Arial" w:hAnsi="Arial" w:cs="Arial"/>
          <w:i/>
          <w:iCs/>
          <w:sz w:val="24"/>
          <w:szCs w:val="24"/>
        </w:rPr>
        <w:t>Antimicrobial Agents and Chemotherapy</w:t>
      </w:r>
      <w:r w:rsidRPr="0071546E">
        <w:rPr>
          <w:rFonts w:ascii="Arial" w:hAnsi="Arial" w:cs="Arial"/>
          <w:sz w:val="24"/>
          <w:szCs w:val="24"/>
        </w:rPr>
        <w:t>, 42(10), pp.2595-2601.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Srinivas, U., Tan, B., Vellayappan, B. and Jeyasekharan, A. (2018). ROS and the DNA damage response in cancer. </w:t>
      </w:r>
      <w:r w:rsidRPr="0071546E">
        <w:rPr>
          <w:rFonts w:ascii="Arial" w:hAnsi="Arial" w:cs="Arial"/>
          <w:i/>
          <w:iCs/>
          <w:sz w:val="24"/>
          <w:szCs w:val="24"/>
        </w:rPr>
        <w:t>Redox Biology</w:t>
      </w:r>
      <w:r w:rsidRPr="0071546E">
        <w:rPr>
          <w:rFonts w:ascii="Arial" w:hAnsi="Arial" w:cs="Arial"/>
          <w:sz w:val="24"/>
          <w:szCs w:val="24"/>
        </w:rPr>
        <w:t>, p.101084.</w:t>
      </w:r>
    </w:p>
    <w:p w:rsidR="000C7C78" w:rsidRPr="0071546E" w:rsidRDefault="000C7C78" w:rsidP="001731C5">
      <w:pPr>
        <w:suppressAutoHyphens/>
        <w:autoSpaceDN w:val="0"/>
        <w:spacing w:after="180" w:line="360" w:lineRule="atLeast"/>
        <w:ind w:left="1021" w:right="454" w:hanging="450"/>
        <w:jc w:val="both"/>
        <w:rPr>
          <w:rFonts w:ascii="Arial" w:hAnsi="Arial" w:cs="Arial"/>
          <w:sz w:val="24"/>
          <w:szCs w:val="24"/>
          <w:lang w:val="en"/>
        </w:rPr>
      </w:pPr>
      <w:r w:rsidRPr="0071546E">
        <w:rPr>
          <w:rFonts w:ascii="Arial" w:hAnsi="Arial" w:cs="Arial"/>
          <w:sz w:val="24"/>
          <w:szCs w:val="24"/>
          <w:lang w:val="en"/>
        </w:rPr>
        <w:t xml:space="preserve">Sunada, A., Kimura, K., Nishi, I., Toyokawa, M., Ueda, A., Sakata, T., Suzuki, T., Inoue, Y., Ohashi, Y., Asari, S. and Iwatani, Y. (2014). In Vitro Evaluations of Topical Agents to Treat Acanthamoeba Keratitis. </w:t>
      </w:r>
      <w:r w:rsidRPr="0071546E">
        <w:rPr>
          <w:rFonts w:ascii="Arial" w:hAnsi="Arial" w:cs="Arial"/>
          <w:i/>
          <w:iCs/>
          <w:sz w:val="24"/>
          <w:szCs w:val="24"/>
          <w:lang w:val="en"/>
        </w:rPr>
        <w:t>Ophthalmology</w:t>
      </w:r>
      <w:r w:rsidRPr="0071546E">
        <w:rPr>
          <w:rFonts w:ascii="Arial" w:hAnsi="Arial" w:cs="Arial"/>
          <w:sz w:val="24"/>
          <w:szCs w:val="24"/>
          <w:lang w:val="en"/>
        </w:rPr>
        <w:t>, 121(10), pp.2059-2065.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Suryawanshi, A., Cao, Z., Sampson, J. and Panjwani, N. (2014). IL-17A–Mediated Protection against Acanthamoeba Keratitis. </w:t>
      </w:r>
      <w:r w:rsidRPr="0071546E">
        <w:rPr>
          <w:rFonts w:ascii="Arial" w:hAnsi="Arial" w:cs="Arial"/>
          <w:i/>
          <w:iCs/>
          <w:sz w:val="24"/>
          <w:szCs w:val="24"/>
        </w:rPr>
        <w:t>The Journal of Immunology</w:t>
      </w:r>
      <w:r w:rsidRPr="0071546E">
        <w:rPr>
          <w:rFonts w:ascii="Arial" w:hAnsi="Arial" w:cs="Arial"/>
          <w:sz w:val="24"/>
          <w:szCs w:val="24"/>
        </w:rPr>
        <w:t>, 194(2), pp.650-663.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Szentmáry, N., Daas, L., Shi, L., Laurik, K., Lepper, S., Milioti, G. and Seitz, B. (2018). Acanthamoeba keratitis – Clinical signs, differential diagnosis and treatment. </w:t>
      </w:r>
      <w:r w:rsidRPr="0071546E">
        <w:rPr>
          <w:rFonts w:ascii="Arial" w:hAnsi="Arial" w:cs="Arial"/>
          <w:i/>
          <w:iCs/>
          <w:sz w:val="24"/>
          <w:szCs w:val="24"/>
        </w:rPr>
        <w:t>Journal of Current Ophthalmology</w:t>
      </w:r>
      <w:r w:rsidRPr="0071546E">
        <w:rPr>
          <w:rFonts w:ascii="Arial" w:hAnsi="Arial" w:cs="Arial"/>
          <w:sz w:val="24"/>
          <w:szCs w:val="24"/>
        </w:rPr>
        <w:t>.</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Szymański, P., Markowicz, M. and Mikiciuk-Olasik, E. (2011). Adaptation of High-Throughput Screening in Drug Discovery—Toxicological Screening Tests. </w:t>
      </w:r>
      <w:r w:rsidRPr="0071546E">
        <w:rPr>
          <w:rFonts w:ascii="Arial" w:hAnsi="Arial" w:cs="Arial"/>
          <w:i/>
          <w:iCs/>
          <w:sz w:val="24"/>
          <w:szCs w:val="24"/>
        </w:rPr>
        <w:t>International Journal of Molecular Sciences</w:t>
      </w:r>
      <w:r w:rsidRPr="0071546E">
        <w:rPr>
          <w:rFonts w:ascii="Arial" w:hAnsi="Arial" w:cs="Arial"/>
          <w:sz w:val="24"/>
          <w:szCs w:val="24"/>
        </w:rPr>
        <w:t>, 13(1), pp.427-452. References</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Tachon, S., Michelon, D., Chambellon, E., Cantonnet, M., Mezange, C., Henno, L., Cachon, R. and Yvon, M. (2009). Experimental conditions affect the site of tetrazolium violet reduction in the electron transport chain of Lactococcus lactis. </w:t>
      </w:r>
      <w:r w:rsidRPr="0071546E">
        <w:rPr>
          <w:rFonts w:ascii="Arial" w:hAnsi="Arial" w:cs="Arial"/>
          <w:i/>
          <w:iCs/>
          <w:sz w:val="24"/>
          <w:szCs w:val="24"/>
        </w:rPr>
        <w:t>Microbiology</w:t>
      </w:r>
      <w:r w:rsidRPr="0071546E">
        <w:rPr>
          <w:rFonts w:ascii="Arial" w:hAnsi="Arial" w:cs="Arial"/>
          <w:sz w:val="24"/>
          <w:szCs w:val="24"/>
        </w:rPr>
        <w:t>, 155(9), pp.2941-2948.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Tampa, M., Sarbu, M., Matei, C., Mitran, C., Mitran, M., Caruntu, C., Constantin, C., Neagu, M. and Georgescu, S. (2019). Photodynamic therapy: A hot topic in dermato-oncology (Review). </w:t>
      </w:r>
      <w:r w:rsidRPr="0071546E">
        <w:rPr>
          <w:rFonts w:ascii="Arial" w:hAnsi="Arial" w:cs="Arial"/>
          <w:i/>
          <w:iCs/>
          <w:color w:val="000000"/>
          <w:sz w:val="24"/>
          <w:szCs w:val="24"/>
        </w:rPr>
        <w:t>Oncology Letters</w:t>
      </w:r>
      <w:r w:rsidRPr="0071546E">
        <w:rPr>
          <w:rFonts w:ascii="Arial" w:hAnsi="Arial" w:cs="Arial"/>
          <w:color w:val="000000"/>
          <w:sz w:val="24"/>
          <w:szCs w:val="24"/>
        </w:rPr>
        <w:t xml:space="preserve">. </w:t>
      </w:r>
    </w:p>
    <w:p w:rsidR="000C7C78" w:rsidRPr="0071546E" w:rsidRDefault="000C7C78" w:rsidP="00E36A03">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Taslı, H., Akbıyık, A., Topaloğlu, N., Alptüzün, V. and Parlar, S. (2018). Photodynamic antimicrobial activity of new porphyrin derivatives against methicillin resistant Staphylococcus aureus. </w:t>
      </w:r>
      <w:r w:rsidRPr="0071546E">
        <w:rPr>
          <w:rFonts w:ascii="Arial" w:hAnsi="Arial" w:cs="Arial"/>
          <w:i/>
          <w:iCs/>
          <w:sz w:val="24"/>
          <w:szCs w:val="24"/>
        </w:rPr>
        <w:t>Journal of Microbiology</w:t>
      </w:r>
      <w:r w:rsidRPr="0071546E">
        <w:rPr>
          <w:rFonts w:ascii="Arial" w:hAnsi="Arial" w:cs="Arial"/>
          <w:sz w:val="24"/>
          <w:szCs w:val="24"/>
        </w:rPr>
        <w:t>, 56(11), pp.828-837.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Tavassoli, S., Buckle, M., Tole, D., Chiodini, P. and Darcy, K. (2018). The use of miltefosine in the management of refractory Acanthamoeba keratitis. </w:t>
      </w:r>
      <w:r w:rsidRPr="0071546E">
        <w:rPr>
          <w:rFonts w:ascii="Arial" w:hAnsi="Arial" w:cs="Arial"/>
          <w:i/>
          <w:iCs/>
          <w:sz w:val="24"/>
          <w:szCs w:val="24"/>
        </w:rPr>
        <w:t>Contact Lens and Anterior Eye</w:t>
      </w:r>
      <w:r w:rsidRPr="0071546E">
        <w:rPr>
          <w:rFonts w:ascii="Arial" w:hAnsi="Arial" w:cs="Arial"/>
          <w:sz w:val="24"/>
          <w:szCs w:val="24"/>
        </w:rPr>
        <w:t xml:space="preserve">, 41(4), pp.400-402.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Teng, T., Ji, A., Ji, X. and Li, Y. (2017). Neutrophils and Immunity: From Bactericidal Action to Being Conquered. </w:t>
      </w:r>
      <w:r w:rsidRPr="0071546E">
        <w:rPr>
          <w:rFonts w:ascii="Arial" w:hAnsi="Arial" w:cs="Arial"/>
          <w:i/>
          <w:iCs/>
          <w:sz w:val="24"/>
          <w:szCs w:val="24"/>
        </w:rPr>
        <w:t>Journal of Immunology Research</w:t>
      </w:r>
      <w:r w:rsidRPr="0071546E">
        <w:rPr>
          <w:rFonts w:ascii="Arial" w:hAnsi="Arial" w:cs="Arial"/>
          <w:sz w:val="24"/>
          <w:szCs w:val="24"/>
        </w:rPr>
        <w:t>, 2017, pp.1-14.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Terzidis, M., Prisecaru, A., Molphy, Z., Barron, N., Randazzo, A., Dumont, E., Krokidis, M., Kellett, A. and Chatgilialoglu, C. (2016). Radical-induced purine lesion formation is dependent on DNA helical topology. </w:t>
      </w:r>
      <w:r w:rsidRPr="0071546E">
        <w:rPr>
          <w:rFonts w:ascii="Arial" w:hAnsi="Arial" w:cs="Arial"/>
          <w:i/>
          <w:iCs/>
          <w:sz w:val="24"/>
          <w:szCs w:val="24"/>
        </w:rPr>
        <w:t>Free Radical Research</w:t>
      </w:r>
      <w:r w:rsidRPr="0071546E">
        <w:rPr>
          <w:rFonts w:ascii="Arial" w:hAnsi="Arial" w:cs="Arial"/>
          <w:sz w:val="24"/>
          <w:szCs w:val="24"/>
        </w:rPr>
        <w:t>, 50(sup1), pp.S91-S101.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Thomson, S., Rice, C., Zhang, T., Edrada-Ebel, R., Henriquez, F. and Roberts, C. (2017). Characterisation of sterol biosynthesis and validation of 14α-demethylase as a drug target in Acanthamoeba. </w:t>
      </w:r>
      <w:r w:rsidRPr="0071546E">
        <w:rPr>
          <w:rFonts w:ascii="Arial" w:hAnsi="Arial" w:cs="Arial"/>
          <w:i/>
          <w:iCs/>
          <w:sz w:val="24"/>
          <w:szCs w:val="24"/>
        </w:rPr>
        <w:t>Scientific Reports</w:t>
      </w:r>
      <w:r w:rsidRPr="0071546E">
        <w:rPr>
          <w:rFonts w:ascii="Arial" w:hAnsi="Arial" w:cs="Arial"/>
          <w:sz w:val="24"/>
          <w:szCs w:val="24"/>
        </w:rPr>
        <w:t xml:space="preserve">, 7(1).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Tomlinson, G. and Jones, E. (1962). Isolation of cellulose from the cyst wall of a soil amoeba. </w:t>
      </w:r>
      <w:r w:rsidRPr="0071546E">
        <w:rPr>
          <w:rFonts w:ascii="Arial" w:hAnsi="Arial" w:cs="Arial"/>
          <w:i/>
          <w:iCs/>
          <w:sz w:val="24"/>
          <w:szCs w:val="24"/>
        </w:rPr>
        <w:t>Biochimica et Biophysica Acta</w:t>
      </w:r>
      <w:r w:rsidRPr="0071546E">
        <w:rPr>
          <w:rFonts w:ascii="Arial" w:hAnsi="Arial" w:cs="Arial"/>
          <w:sz w:val="24"/>
          <w:szCs w:val="24"/>
        </w:rPr>
        <w:t>, 63(1), pp.194-200.</w:t>
      </w:r>
    </w:p>
    <w:p w:rsidR="000C7C78" w:rsidRPr="0071546E" w:rsidRDefault="000C7C78" w:rsidP="00CF13FE">
      <w:pPr>
        <w:shd w:val="clear" w:color="auto" w:fill="FFFFFF"/>
        <w:suppressAutoHyphens/>
        <w:autoSpaceDN w:val="0"/>
        <w:spacing w:after="180" w:line="360" w:lineRule="atLeast"/>
        <w:ind w:left="1021" w:right="454" w:hanging="450"/>
        <w:rPr>
          <w:rFonts w:ascii="Arial" w:hAnsi="Arial" w:cs="Arial"/>
          <w:b/>
          <w:bCs/>
          <w:sz w:val="24"/>
          <w:szCs w:val="24"/>
        </w:rPr>
      </w:pPr>
      <w:r w:rsidRPr="0071546E">
        <w:rPr>
          <w:rFonts w:ascii="Arial" w:hAnsi="Arial" w:cs="Arial"/>
          <w:sz w:val="24"/>
          <w:szCs w:val="24"/>
        </w:rPr>
        <w:t xml:space="preserve">Torrado, J., Espada, R., Ballesteros, M. and Torrado-Santiago, S. (2008). Amphotericin B Formulations and Drug Targeting. </w:t>
      </w:r>
      <w:r w:rsidRPr="0071546E">
        <w:rPr>
          <w:rFonts w:ascii="Arial" w:hAnsi="Arial" w:cs="Arial"/>
          <w:i/>
          <w:iCs/>
          <w:sz w:val="24"/>
          <w:szCs w:val="24"/>
        </w:rPr>
        <w:t>Journal of Pharmaceutical Sciences</w:t>
      </w:r>
      <w:r w:rsidRPr="0071546E">
        <w:rPr>
          <w:rFonts w:ascii="Arial" w:hAnsi="Arial" w:cs="Arial"/>
          <w:sz w:val="24"/>
          <w:szCs w:val="24"/>
        </w:rPr>
        <w:t>, 97(7), pp.2405-2425.</w:t>
      </w:r>
      <w:r w:rsidRPr="0071546E">
        <w:rPr>
          <w:rFonts w:ascii="Arial" w:hAnsi="Arial" w:cs="Arial"/>
          <w:bCs/>
          <w:sz w:val="24"/>
          <w:szCs w:val="24"/>
        </w:rPr>
        <w:t xml:space="preserve">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Trabelsi, H., Dendana, F., Sellami, A., Sellami, H., Cheikhrouhou, F., Neji, S., Makni, F. and Ayadi, A. (2012). Pathogenic free-living amoebae: Epidemiology and clinical review. </w:t>
      </w:r>
      <w:r w:rsidRPr="0071546E">
        <w:rPr>
          <w:rFonts w:ascii="Arial" w:hAnsi="Arial" w:cs="Arial"/>
          <w:i/>
          <w:iCs/>
          <w:sz w:val="24"/>
          <w:szCs w:val="24"/>
        </w:rPr>
        <w:t>Pathologie Biologie</w:t>
      </w:r>
      <w:r w:rsidRPr="0071546E">
        <w:rPr>
          <w:rFonts w:ascii="Arial" w:hAnsi="Arial" w:cs="Arial"/>
          <w:sz w:val="24"/>
          <w:szCs w:val="24"/>
        </w:rPr>
        <w:t xml:space="preserve">, 60(6), pp.399-405.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Trajkovska, S., Tosheska, K., Aaron, J., Spirovski, F. and Zdravkovski, Z. (2005). Bioluminescence determination of enzyme activity of firefly luciferase in the presence of pesticides. </w:t>
      </w:r>
      <w:r w:rsidRPr="0071546E">
        <w:rPr>
          <w:rFonts w:ascii="Arial" w:hAnsi="Arial" w:cs="Arial"/>
          <w:i/>
          <w:iCs/>
          <w:sz w:val="24"/>
          <w:szCs w:val="24"/>
        </w:rPr>
        <w:t>Luminescence</w:t>
      </w:r>
      <w:r w:rsidRPr="0071546E">
        <w:rPr>
          <w:rFonts w:ascii="Arial" w:hAnsi="Arial" w:cs="Arial"/>
          <w:sz w:val="24"/>
          <w:szCs w:val="24"/>
        </w:rPr>
        <w:t>, 20(3), pp.192-196.</w:t>
      </w:r>
      <w:r w:rsidRPr="0071546E">
        <w:rPr>
          <w:rFonts w:ascii="Arial" w:hAnsi="Arial" w:cs="Arial"/>
          <w:color w:val="000000"/>
          <w:sz w:val="24"/>
          <w:szCs w:val="24"/>
        </w:rPr>
        <w:t xml:space="preserve">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Tseng, S., Hung, W., Chen, H., Lin, Y., Jiang, H., Chiu, H., Hsueh, P., Teng, L. and Tsai, J. (2017). Effects of toluidine blue O (TBO)-photodynamic inactivation on community-associated methicillin-resistant Staphylococcus aureus isolates. </w:t>
      </w:r>
      <w:r w:rsidRPr="0071546E">
        <w:rPr>
          <w:rFonts w:ascii="Arial" w:hAnsi="Arial" w:cs="Arial"/>
          <w:i/>
          <w:iCs/>
          <w:sz w:val="24"/>
          <w:szCs w:val="24"/>
        </w:rPr>
        <w:t>Journal of Microbiology, Immunology and Infection</w:t>
      </w:r>
      <w:r w:rsidRPr="0071546E">
        <w:rPr>
          <w:rFonts w:ascii="Arial" w:hAnsi="Arial" w:cs="Arial"/>
          <w:sz w:val="24"/>
          <w:szCs w:val="24"/>
        </w:rPr>
        <w:t>, 50(1), pp.46-54.</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Tu, E., Joslin, C., Sugar, J., Booton, G., Shoff, M. and Fuerst, P. (2008). The Relative Value of Confocal Microscopy and Superficial Corneal Scrapings in the Diagnosis of Acanthamoeba Keratitis. Cornea, 27(7), pp.764-772.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Tung, J., Berglund, K., Gutekunst, C., Hochgeschwender, U. and Gross, R. (2016). Bioluminescence imaging in live cells and animals. </w:t>
      </w:r>
      <w:r w:rsidRPr="0071546E">
        <w:rPr>
          <w:rFonts w:ascii="Arial" w:hAnsi="Arial" w:cs="Arial"/>
          <w:i/>
          <w:iCs/>
          <w:sz w:val="24"/>
          <w:szCs w:val="24"/>
        </w:rPr>
        <w:t>Neurophotonics</w:t>
      </w:r>
      <w:r w:rsidRPr="0071546E">
        <w:rPr>
          <w:rFonts w:ascii="Arial" w:hAnsi="Arial" w:cs="Arial"/>
          <w:sz w:val="24"/>
          <w:szCs w:val="24"/>
        </w:rPr>
        <w:t>, 3(2), p.025001.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uárez, M., Tártara, L., Cid, A., Real, J., Bermúdez, J., Rajal, V. and Palma, S. (2018). Acanthamoeba in the eye, can the parasite hide even more? Latest developments on the disease. </w:t>
      </w:r>
      <w:r w:rsidRPr="0071546E">
        <w:rPr>
          <w:rFonts w:ascii="Arial" w:hAnsi="Arial" w:cs="Arial"/>
          <w:i/>
          <w:iCs/>
          <w:sz w:val="24"/>
          <w:szCs w:val="24"/>
        </w:rPr>
        <w:t>Contact Lens and Anterior Eye</w:t>
      </w:r>
      <w:r w:rsidRPr="0071546E">
        <w:rPr>
          <w:rFonts w:ascii="Arial" w:hAnsi="Arial" w:cs="Arial"/>
          <w:sz w:val="24"/>
          <w:szCs w:val="24"/>
        </w:rPr>
        <w:t>, 41(3), pp.245-251.</w:t>
      </w:r>
    </w:p>
    <w:p w:rsidR="000C7C78" w:rsidRPr="0071546E" w:rsidRDefault="000C7C78" w:rsidP="00CF13FE">
      <w:pPr>
        <w:shd w:val="clear" w:color="auto" w:fill="FFFFFF"/>
        <w:suppressAutoHyphens/>
        <w:autoSpaceDN w:val="0"/>
        <w:spacing w:after="180" w:line="360" w:lineRule="atLeast"/>
        <w:ind w:left="1021" w:right="454" w:hanging="450"/>
        <w:rPr>
          <w:rFonts w:ascii="Arial" w:hAnsi="Arial" w:cs="Arial"/>
          <w:b/>
          <w:bCs/>
          <w:sz w:val="24"/>
          <w:szCs w:val="24"/>
        </w:rPr>
      </w:pPr>
      <w:r w:rsidRPr="0071546E">
        <w:rPr>
          <w:rFonts w:ascii="Arial" w:hAnsi="Arial" w:cs="Arial"/>
          <w:sz w:val="24"/>
          <w:szCs w:val="24"/>
        </w:rPr>
        <w:t xml:space="preserve">Uzarski, J., DiVito, M., Wertheim, J. and Miller, W. (2017). Essential design considerations for the resazurin reduction assay to non-invasively quantify cell expansion within perfused extracellular matrix scaffolds. </w:t>
      </w:r>
      <w:r w:rsidRPr="0071546E">
        <w:rPr>
          <w:rFonts w:ascii="Arial" w:hAnsi="Arial" w:cs="Arial"/>
          <w:i/>
          <w:iCs/>
          <w:sz w:val="24"/>
          <w:szCs w:val="24"/>
        </w:rPr>
        <w:t>Biomaterials</w:t>
      </w:r>
      <w:r w:rsidRPr="0071546E">
        <w:rPr>
          <w:rFonts w:ascii="Arial" w:hAnsi="Arial" w:cs="Arial"/>
          <w:sz w:val="24"/>
          <w:szCs w:val="24"/>
        </w:rPr>
        <w:t>, 129, pp.163-175.</w:t>
      </w:r>
      <w:r w:rsidRPr="0071546E">
        <w:rPr>
          <w:rFonts w:ascii="Arial" w:hAnsi="Arial" w:cs="Arial"/>
          <w:bCs/>
          <w:sz w:val="24"/>
          <w:szCs w:val="24"/>
        </w:rPr>
        <w:t xml:space="preserve">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Van-Straten, D., Mashayekhi, V., de Bruijn, H., Oliveira, S. and Robinson, D. (2017). Oncologic Photodynamic Therapy: Basic Principles, Current Clinical Status and Future Directions. </w:t>
      </w:r>
      <w:r w:rsidRPr="0071546E">
        <w:rPr>
          <w:rFonts w:ascii="Arial" w:hAnsi="Arial" w:cs="Arial"/>
          <w:i/>
          <w:iCs/>
          <w:sz w:val="24"/>
          <w:szCs w:val="24"/>
        </w:rPr>
        <w:t>Cancers</w:t>
      </w:r>
      <w:r w:rsidRPr="0071546E">
        <w:rPr>
          <w:rFonts w:ascii="Arial" w:hAnsi="Arial" w:cs="Arial"/>
          <w:sz w:val="24"/>
          <w:szCs w:val="24"/>
        </w:rPr>
        <w:t>, 9(12), p.19.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Vazquez, J., Lynch, M., Boikov, D. and Sobel, J. (1997). In vitro activity of a new pneumocandin antifungal, L-743,872, against azole-susceptible and -resistant Candida species. </w:t>
      </w:r>
      <w:r w:rsidRPr="0071546E">
        <w:rPr>
          <w:rFonts w:ascii="Arial" w:hAnsi="Arial" w:cs="Arial"/>
          <w:i/>
          <w:iCs/>
          <w:sz w:val="24"/>
          <w:szCs w:val="24"/>
        </w:rPr>
        <w:t>Antimicrobial Agents and Chemotherapy</w:t>
      </w:r>
      <w:r w:rsidRPr="0071546E">
        <w:rPr>
          <w:rFonts w:ascii="Arial" w:hAnsi="Arial" w:cs="Arial"/>
          <w:sz w:val="24"/>
          <w:szCs w:val="24"/>
        </w:rPr>
        <w:t xml:space="preserve">, 41(7), pp.1612-1614. </w:t>
      </w:r>
    </w:p>
    <w:p w:rsidR="000C7C78" w:rsidRPr="0071546E" w:rsidRDefault="000C7C78" w:rsidP="00C310F1">
      <w:pPr>
        <w:shd w:val="clear" w:color="auto" w:fill="FFFFFF"/>
        <w:suppressAutoHyphens/>
        <w:autoSpaceDN w:val="0"/>
        <w:spacing w:after="180" w:line="360" w:lineRule="atLeast"/>
        <w:ind w:left="1021" w:right="454" w:hanging="450"/>
        <w:rPr>
          <w:rFonts w:ascii="Arial" w:hAnsi="Arial" w:cs="Arial"/>
          <w:b/>
          <w:bCs/>
          <w:sz w:val="24"/>
          <w:szCs w:val="24"/>
        </w:rPr>
      </w:pPr>
      <w:r w:rsidRPr="0071546E">
        <w:rPr>
          <w:rFonts w:ascii="Arial" w:hAnsi="Arial" w:cs="Arial"/>
          <w:sz w:val="24"/>
          <w:szCs w:val="24"/>
        </w:rPr>
        <w:t xml:space="preserve">Velos, P., Cherry, P. and Miller, D. (1985). An Improved Method for Measuring Human Tear Lysozyme Concentration. </w:t>
      </w:r>
      <w:r w:rsidRPr="0071546E">
        <w:rPr>
          <w:rFonts w:ascii="Arial" w:hAnsi="Arial" w:cs="Arial"/>
          <w:i/>
          <w:iCs/>
          <w:sz w:val="24"/>
          <w:szCs w:val="24"/>
        </w:rPr>
        <w:t>Archives of Ophthalmology</w:t>
      </w:r>
      <w:r w:rsidRPr="0071546E">
        <w:rPr>
          <w:rFonts w:ascii="Arial" w:hAnsi="Arial" w:cs="Arial"/>
          <w:sz w:val="24"/>
          <w:szCs w:val="24"/>
        </w:rPr>
        <w:t>, 103(1), pp.31-33.</w:t>
      </w:r>
      <w:r w:rsidRPr="0071546E">
        <w:rPr>
          <w:rFonts w:ascii="Arial" w:hAnsi="Arial" w:cs="Arial"/>
          <w:bCs/>
          <w:sz w:val="24"/>
          <w:szCs w:val="24"/>
        </w:rPr>
        <w:t xml:space="preserve">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Venkataramani, S., Truntzer, J. and Coleman, D. (2013). Thermal stability of high concentration lysozyme across varying pH: A Fourier Transform Infrared study. </w:t>
      </w:r>
      <w:r w:rsidRPr="0071546E">
        <w:rPr>
          <w:rFonts w:ascii="Arial" w:hAnsi="Arial" w:cs="Arial"/>
          <w:i/>
          <w:iCs/>
          <w:sz w:val="24"/>
          <w:szCs w:val="24"/>
        </w:rPr>
        <w:t>Journal of Pharmacy and Bioallied Sciences</w:t>
      </w:r>
      <w:r w:rsidRPr="0071546E">
        <w:rPr>
          <w:rFonts w:ascii="Arial" w:hAnsi="Arial" w:cs="Arial"/>
          <w:sz w:val="24"/>
          <w:szCs w:val="24"/>
        </w:rPr>
        <w:t>, 5(2), p.148.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Verrax, J., Dejeans, N., Sid, B., Glorieux, C. and Calderon, P. (2011). Intracellular ATP levels determine cell death fate of cancer cells exposed to both standard and redox chemotherapeutic agents. </w:t>
      </w:r>
      <w:r w:rsidRPr="0071546E">
        <w:rPr>
          <w:rFonts w:ascii="Arial" w:hAnsi="Arial" w:cs="Arial"/>
          <w:i/>
          <w:iCs/>
          <w:sz w:val="24"/>
          <w:szCs w:val="24"/>
        </w:rPr>
        <w:t>Biochemical Pharmacology</w:t>
      </w:r>
      <w:r w:rsidRPr="0071546E">
        <w:rPr>
          <w:rFonts w:ascii="Arial" w:hAnsi="Arial" w:cs="Arial"/>
          <w:sz w:val="24"/>
          <w:szCs w:val="24"/>
        </w:rPr>
        <w:t>, 82(11), pp.1540-1548.</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Vicente, M. and Smith, K. (2014). Syntheses and Functionalization of Porphyrin Macrocycles. </w:t>
      </w:r>
      <w:r w:rsidRPr="0071546E">
        <w:rPr>
          <w:rFonts w:ascii="Arial" w:hAnsi="Arial" w:cs="Arial"/>
          <w:i/>
          <w:iCs/>
          <w:sz w:val="24"/>
          <w:szCs w:val="24"/>
        </w:rPr>
        <w:t>Current Organic Synthesis</w:t>
      </w:r>
      <w:r w:rsidRPr="0071546E">
        <w:rPr>
          <w:rFonts w:ascii="Arial" w:hAnsi="Arial" w:cs="Arial"/>
          <w:sz w:val="24"/>
          <w:szCs w:val="24"/>
        </w:rPr>
        <w:t>, 11(1), pp.3-28.</w:t>
      </w:r>
    </w:p>
    <w:p w:rsidR="000C7C78" w:rsidRPr="0071546E" w:rsidRDefault="000C7C78" w:rsidP="00F53976">
      <w:pPr>
        <w:shd w:val="clear" w:color="auto" w:fill="FFFFFF"/>
        <w:suppressAutoHyphens/>
        <w:autoSpaceDN w:val="0"/>
        <w:spacing w:after="180" w:line="360" w:lineRule="atLeast"/>
        <w:ind w:left="1021" w:right="454" w:hanging="450"/>
        <w:jc w:val="both"/>
        <w:rPr>
          <w:rFonts w:ascii="Arial" w:hAnsi="Arial" w:cs="Arial"/>
          <w:color w:val="000000"/>
          <w:sz w:val="24"/>
          <w:szCs w:val="24"/>
          <w:lang w:val="en"/>
        </w:rPr>
      </w:pPr>
      <w:r w:rsidRPr="0071546E">
        <w:rPr>
          <w:rFonts w:ascii="Arial" w:hAnsi="Arial" w:cs="Arial"/>
          <w:color w:val="000000"/>
          <w:sz w:val="24"/>
          <w:szCs w:val="24"/>
          <w:lang w:val="en"/>
        </w:rPr>
        <w:t xml:space="preserve">Villacorta, R., Roque, K., Tapang, G. and Jacinto, S. (2017). Plant extracts as natural photosensitizers in photodynamic therapy: in vitro activity against human mammary adenocarcinoma MCF-7 cells. </w:t>
      </w:r>
      <w:r w:rsidRPr="0071546E">
        <w:rPr>
          <w:rFonts w:ascii="Arial" w:hAnsi="Arial" w:cs="Arial"/>
          <w:i/>
          <w:iCs/>
          <w:color w:val="000000"/>
          <w:sz w:val="24"/>
          <w:szCs w:val="24"/>
          <w:lang w:val="en"/>
        </w:rPr>
        <w:t>Asian Pacific Journal of Tropical Biomedicine</w:t>
      </w:r>
      <w:r w:rsidRPr="0071546E">
        <w:rPr>
          <w:rFonts w:ascii="Arial" w:hAnsi="Arial" w:cs="Arial"/>
          <w:color w:val="000000"/>
          <w:sz w:val="24"/>
          <w:szCs w:val="24"/>
          <w:lang w:val="en"/>
        </w:rPr>
        <w:t xml:space="preserve">, 7(4), pp.358-366. </w:t>
      </w:r>
    </w:p>
    <w:p w:rsidR="000C7C78" w:rsidRPr="0071546E" w:rsidRDefault="000C7C78" w:rsidP="00024C89">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Volkonsky, M. Hartmannella, A., castellanii A Douglas. (1931). The classification of Hartmanella. </w:t>
      </w:r>
      <w:r w:rsidRPr="0071546E">
        <w:rPr>
          <w:rFonts w:ascii="Arial" w:hAnsi="Arial" w:cs="Arial"/>
          <w:i/>
          <w:color w:val="000000"/>
          <w:sz w:val="24"/>
          <w:szCs w:val="24"/>
          <w:lang w:val="en"/>
        </w:rPr>
        <w:t>Archives of Experimental and General Zoology</w:t>
      </w:r>
      <w:r w:rsidRPr="0071546E">
        <w:rPr>
          <w:rFonts w:ascii="Arial" w:hAnsi="Arial" w:cs="Arial"/>
          <w:color w:val="000000"/>
          <w:sz w:val="24"/>
          <w:szCs w:val="24"/>
        </w:rPr>
        <w:t>, 72, pp 317-339.</w:t>
      </w:r>
      <w:r w:rsidRPr="0071546E">
        <w:rPr>
          <w:rFonts w:ascii="Arial" w:hAnsi="Arial" w:cs="Arial"/>
          <w:color w:val="000000"/>
          <w:sz w:val="24"/>
          <w:szCs w:val="24"/>
          <w:lang w:val="en"/>
        </w:rPr>
        <w:t xml:space="preserve">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Wainwright, M. (2007). Phenothiazinium photosensitiser: V. Photo bactericidal activities of chromophore-methylated phenothiazinium salts. </w:t>
      </w:r>
      <w:r w:rsidRPr="0071546E">
        <w:rPr>
          <w:rFonts w:ascii="Arial" w:hAnsi="Arial" w:cs="Arial"/>
          <w:i/>
          <w:iCs/>
          <w:sz w:val="24"/>
          <w:szCs w:val="24"/>
        </w:rPr>
        <w:t>Dyes and Pigments</w:t>
      </w:r>
      <w:r w:rsidRPr="0071546E">
        <w:rPr>
          <w:rFonts w:ascii="Arial" w:hAnsi="Arial" w:cs="Arial"/>
          <w:sz w:val="24"/>
          <w:szCs w:val="24"/>
        </w:rPr>
        <w:t>, 73(1), pp.7-12.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Wall, S., Oh, J., Diers, A. and Landar, A. (2012). Oxidative Modification of Proteins: An Emerging Mechanism of Cell Signaling. </w:t>
      </w:r>
      <w:r w:rsidRPr="0071546E">
        <w:rPr>
          <w:rFonts w:ascii="Arial" w:hAnsi="Arial" w:cs="Arial"/>
          <w:i/>
          <w:iCs/>
          <w:color w:val="000000"/>
          <w:sz w:val="24"/>
          <w:szCs w:val="24"/>
        </w:rPr>
        <w:t>Frontiers in Physiology</w:t>
      </w:r>
      <w:r w:rsidRPr="0071546E">
        <w:rPr>
          <w:rFonts w:ascii="Arial" w:hAnsi="Arial" w:cs="Arial"/>
          <w:color w:val="000000"/>
          <w:sz w:val="24"/>
          <w:szCs w:val="24"/>
        </w:rPr>
        <w:t xml:space="preserve">, 3.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Walochnik, J., Duchene, M., Seifert, K., Obwaller, A., Hottkowitz, T., Wiedermann, G., Eibl, H. and Aspock, H. (2002). Cytotoxic Activities of Alkylphosphocholines against Clinical Isolates of Acanthamoeba spp. </w:t>
      </w:r>
      <w:r w:rsidRPr="0071546E">
        <w:rPr>
          <w:rFonts w:ascii="Arial" w:hAnsi="Arial" w:cs="Arial"/>
          <w:i/>
          <w:iCs/>
          <w:sz w:val="24"/>
          <w:szCs w:val="24"/>
        </w:rPr>
        <w:t>Antimicrobial Agents and Chemotherapy</w:t>
      </w:r>
      <w:r w:rsidRPr="0071546E">
        <w:rPr>
          <w:rFonts w:ascii="Arial" w:hAnsi="Arial" w:cs="Arial"/>
          <w:sz w:val="24"/>
          <w:szCs w:val="24"/>
        </w:rPr>
        <w:t xml:space="preserve">, 46(3), pp.695-701.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color w:val="000000"/>
          <w:sz w:val="24"/>
          <w:szCs w:val="24"/>
        </w:rPr>
        <w:t xml:space="preserve">Walochnik, J., Scheikl, U. and Haller-Schober, E. (2014). Twenty Years ofAcanthamoebaDiagnostics in Austria. </w:t>
      </w:r>
      <w:r w:rsidRPr="0071546E">
        <w:rPr>
          <w:rFonts w:ascii="Arial" w:hAnsi="Arial" w:cs="Arial"/>
          <w:i/>
          <w:iCs/>
          <w:color w:val="000000"/>
          <w:sz w:val="24"/>
          <w:szCs w:val="24"/>
        </w:rPr>
        <w:t>Journal of Eukaryotic Microbiology</w:t>
      </w:r>
      <w:r w:rsidRPr="0071546E">
        <w:rPr>
          <w:rFonts w:ascii="Arial" w:hAnsi="Arial" w:cs="Arial"/>
          <w:color w:val="000000"/>
          <w:sz w:val="24"/>
          <w:szCs w:val="24"/>
        </w:rPr>
        <w:t xml:space="preserve">, 62(1), pp.3-11. </w:t>
      </w:r>
    </w:p>
    <w:p w:rsidR="00532C01"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Wanders, R., van den Berg, G. and Tager, J. (1984). A re-evaluation of conditions required for an accurate estimation of the extra-mitochondrial ATPADP ratio in isolated rat-liver mitochondria. Biochimica et Biophysica Acta (BBA) - Bioenergetics, 767(1), pp.113-119.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Wang, G., Nguyen, H., Chen, H., Cox, P., Wang, L., Nagata, K., Hao, Z., Wang, A., Li, Z. and Xie, J. (2016). X-Ray Induced Photodynamic Therapy: A Combination of Radiotherapy and Photodynamic Therapy. </w:t>
      </w:r>
      <w:r w:rsidRPr="0071546E">
        <w:rPr>
          <w:rFonts w:ascii="Arial" w:hAnsi="Arial" w:cs="Arial"/>
          <w:i/>
          <w:iCs/>
          <w:sz w:val="24"/>
          <w:szCs w:val="24"/>
        </w:rPr>
        <w:t>Theranostics</w:t>
      </w:r>
      <w:r w:rsidRPr="0071546E">
        <w:rPr>
          <w:rFonts w:ascii="Arial" w:hAnsi="Arial" w:cs="Arial"/>
          <w:sz w:val="24"/>
          <w:szCs w:val="24"/>
        </w:rPr>
        <w:t>, 6(13), pp.2295-2305.</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Wang, S., Yu, H. and Wickliffe, J. (2011). Limitation of the MTT and XTT assays for measuring cell viability due to superoxide formation induced by nano-scale TiO2. </w:t>
      </w:r>
      <w:r w:rsidRPr="0071546E">
        <w:rPr>
          <w:rFonts w:ascii="Arial" w:hAnsi="Arial" w:cs="Arial"/>
          <w:i/>
          <w:iCs/>
          <w:sz w:val="24"/>
          <w:szCs w:val="24"/>
        </w:rPr>
        <w:t>Toxicology in Vitro</w:t>
      </w:r>
      <w:r w:rsidRPr="0071546E">
        <w:rPr>
          <w:rFonts w:ascii="Arial" w:hAnsi="Arial" w:cs="Arial"/>
          <w:sz w:val="24"/>
          <w:szCs w:val="24"/>
        </w:rPr>
        <w:t>, 25(8), pp.2147-2151.</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color w:val="000000"/>
          <w:sz w:val="24"/>
          <w:szCs w:val="24"/>
        </w:rPr>
      </w:pPr>
      <w:r w:rsidRPr="0071546E">
        <w:rPr>
          <w:rFonts w:ascii="Arial" w:hAnsi="Arial" w:cs="Arial"/>
          <w:sz w:val="24"/>
          <w:szCs w:val="24"/>
        </w:rPr>
        <w:t xml:space="preserve">Wang, W., Yi, X., Ren, Y. and Xie, Q. (2016). Effects of Adenosine Triphosphate on Proliferation and Odontoblastic Differentiation of Human Dental Pulp Cells. </w:t>
      </w:r>
      <w:r w:rsidRPr="0071546E">
        <w:rPr>
          <w:rFonts w:ascii="Arial" w:hAnsi="Arial" w:cs="Arial"/>
          <w:i/>
          <w:iCs/>
          <w:sz w:val="24"/>
          <w:szCs w:val="24"/>
        </w:rPr>
        <w:t>Journal of Endodontics</w:t>
      </w:r>
      <w:r w:rsidRPr="0071546E">
        <w:rPr>
          <w:rFonts w:ascii="Arial" w:hAnsi="Arial" w:cs="Arial"/>
          <w:sz w:val="24"/>
          <w:szCs w:val="24"/>
        </w:rPr>
        <w:t>, 42(10), pp.1483-1489.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Winchester, K., Mathers, W., Sutphin, J. and Daley, T. (1995). Diagnosis of Acanthamoeba Keratitis In-Vivo with Confocal Microscopy. </w:t>
      </w:r>
      <w:r w:rsidRPr="0071546E">
        <w:rPr>
          <w:rFonts w:ascii="Arial" w:hAnsi="Arial" w:cs="Arial"/>
          <w:i/>
          <w:iCs/>
          <w:sz w:val="24"/>
          <w:szCs w:val="24"/>
        </w:rPr>
        <w:t>Cornea</w:t>
      </w:r>
      <w:r w:rsidRPr="0071546E">
        <w:rPr>
          <w:rFonts w:ascii="Arial" w:hAnsi="Arial" w:cs="Arial"/>
          <w:sz w:val="24"/>
          <w:szCs w:val="24"/>
        </w:rPr>
        <w:t>, 14(1), pp.10-17.</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Wong-ekkabut, J., Xu, Z., Triampo, W., Tang, I., Peter Tieleman, D. and Monticelli, L. (2007). Effect of Lipid Peroxidation on the Properties of Lipid Bilayers: A Molecular Dynamics Study. </w:t>
      </w:r>
      <w:r w:rsidRPr="0071546E">
        <w:rPr>
          <w:rFonts w:ascii="Arial" w:hAnsi="Arial" w:cs="Arial"/>
          <w:i/>
          <w:iCs/>
          <w:sz w:val="24"/>
          <w:szCs w:val="24"/>
        </w:rPr>
        <w:t>Biophysical Journal</w:t>
      </w:r>
      <w:r w:rsidRPr="0071546E">
        <w:rPr>
          <w:rFonts w:ascii="Arial" w:hAnsi="Arial" w:cs="Arial"/>
          <w:sz w:val="24"/>
          <w:szCs w:val="24"/>
        </w:rPr>
        <w:t>, 93(12), pp.4225-4236.</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Wright Muelas, M., Ortega, F., Breitling, R., Bendtsen, C. and Westerhoff, H. (2018). Rational cell culture optimization enhances experimental reproducibility in cancer cells. </w:t>
      </w:r>
      <w:r w:rsidRPr="0071546E">
        <w:rPr>
          <w:rFonts w:ascii="Arial" w:hAnsi="Arial" w:cs="Arial"/>
          <w:i/>
          <w:iCs/>
          <w:sz w:val="24"/>
          <w:szCs w:val="24"/>
        </w:rPr>
        <w:t>Scientific Reports</w:t>
      </w:r>
      <w:r w:rsidRPr="0071546E">
        <w:rPr>
          <w:rFonts w:ascii="Arial" w:hAnsi="Arial" w:cs="Arial"/>
          <w:sz w:val="24"/>
          <w:szCs w:val="24"/>
        </w:rPr>
        <w:t xml:space="preserve">, 8(1).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Wu, M., Deichelbohrer, M., Tschernig, T., Laschke, M., Szentmáry, N., Hüttenberger, D., Foth, H., Seitz, B. and Bischoff, M. (2017). Chlorin e6 mediated photodynamic inactivation for multidrug-resistant Pseudomonas aeruginosa keratitis in mice in vivo. </w:t>
      </w:r>
      <w:r w:rsidRPr="0071546E">
        <w:rPr>
          <w:rFonts w:ascii="Arial" w:hAnsi="Arial" w:cs="Arial"/>
          <w:i/>
          <w:iCs/>
          <w:sz w:val="24"/>
          <w:szCs w:val="24"/>
        </w:rPr>
        <w:t>Scientific Reports</w:t>
      </w:r>
      <w:r w:rsidRPr="0071546E">
        <w:rPr>
          <w:rFonts w:ascii="Arial" w:hAnsi="Arial" w:cs="Arial"/>
          <w:sz w:val="24"/>
          <w:szCs w:val="24"/>
        </w:rPr>
        <w:t xml:space="preserve">, 7(1).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Xu, X., Cui, Y., Bu, H., Chen, J., Li, Y., Tang, G. and Wang, L. (2018). A photosensitizer loaded haemoglobin–polymer conjugate as a nanocarrier for enhanced photodynamic therapy. </w:t>
      </w:r>
      <w:r w:rsidRPr="0071546E">
        <w:rPr>
          <w:rFonts w:ascii="Arial" w:hAnsi="Arial" w:cs="Arial"/>
          <w:i/>
          <w:iCs/>
          <w:sz w:val="24"/>
          <w:szCs w:val="24"/>
        </w:rPr>
        <w:t>Journal of Materials Chemistry B</w:t>
      </w:r>
      <w:r w:rsidRPr="0071546E">
        <w:rPr>
          <w:rFonts w:ascii="Arial" w:hAnsi="Arial" w:cs="Arial"/>
          <w:sz w:val="24"/>
          <w:szCs w:val="24"/>
        </w:rPr>
        <w:t>, 6(12), pp.1825-1833.</w:t>
      </w:r>
      <w:r w:rsidRPr="0071546E">
        <w:rPr>
          <w:rFonts w:ascii="Arial" w:hAnsi="Arial" w:cs="Arial"/>
          <w:color w:val="000000"/>
          <w:sz w:val="24"/>
          <w:szCs w:val="24"/>
        </w:rPr>
        <w:t xml:space="preserve">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Yaffe, S. and Aranda, J. (2011). </w:t>
      </w:r>
      <w:r w:rsidRPr="0071546E">
        <w:rPr>
          <w:rFonts w:ascii="Arial" w:hAnsi="Arial" w:cs="Arial"/>
          <w:i/>
          <w:iCs/>
          <w:sz w:val="24"/>
          <w:szCs w:val="24"/>
        </w:rPr>
        <w:t>Neonatal and pediatric pharmacology</w:t>
      </w:r>
      <w:r w:rsidRPr="0071546E">
        <w:rPr>
          <w:rFonts w:ascii="Arial" w:hAnsi="Arial" w:cs="Arial"/>
          <w:sz w:val="24"/>
          <w:szCs w:val="24"/>
        </w:rPr>
        <w:t>. Wolters Kluwer/Lippincott Williams &amp; Wilkins Health. Philadelphia.</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Yamaguchi, H., Uchida, K., Nagino, K. and Matsunaga, T. (2002). The usefulness of a colourimetric method for testing antifungal drug susceptibilities of Aspergillus species to voriconazole. </w:t>
      </w:r>
      <w:r w:rsidRPr="0071546E">
        <w:rPr>
          <w:rFonts w:ascii="Arial" w:hAnsi="Arial" w:cs="Arial"/>
          <w:i/>
          <w:iCs/>
          <w:sz w:val="24"/>
          <w:szCs w:val="24"/>
        </w:rPr>
        <w:t>Journal of Infection and Chemotherapy</w:t>
      </w:r>
      <w:r w:rsidRPr="0071546E">
        <w:rPr>
          <w:rFonts w:ascii="Arial" w:hAnsi="Arial" w:cs="Arial"/>
          <w:sz w:val="24"/>
          <w:szCs w:val="24"/>
        </w:rPr>
        <w:t>, 8(4), pp.374-377.</w:t>
      </w:r>
    </w:p>
    <w:p w:rsidR="000C7C78" w:rsidRPr="0071546E" w:rsidRDefault="000C7C78" w:rsidP="00E36A03">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Yi, G., Hong, S., Son, J., Yoo, J., Park, C., Choi, Y. and Koo, H. (2018). Recent advances in nanoparticle carriers for photodynamic therapy. </w:t>
      </w:r>
      <w:r w:rsidRPr="0071546E">
        <w:rPr>
          <w:rFonts w:ascii="Arial" w:hAnsi="Arial" w:cs="Arial"/>
          <w:i/>
          <w:iCs/>
          <w:sz w:val="24"/>
          <w:szCs w:val="24"/>
        </w:rPr>
        <w:t>Quantitative Imaging in Medicine and Surgery</w:t>
      </w:r>
      <w:r w:rsidRPr="0071546E">
        <w:rPr>
          <w:rFonts w:ascii="Arial" w:hAnsi="Arial" w:cs="Arial"/>
          <w:sz w:val="24"/>
          <w:szCs w:val="24"/>
        </w:rPr>
        <w:t>, 8(4), pp.433-443.</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Yin, H., Xu, L. and Porter, N. (2011). Free Radical Lipid Peroxidation: Mechanisms and Analysis. </w:t>
      </w:r>
      <w:r w:rsidRPr="0071546E">
        <w:rPr>
          <w:rFonts w:ascii="Arial" w:hAnsi="Arial" w:cs="Arial"/>
          <w:i/>
          <w:iCs/>
          <w:sz w:val="24"/>
          <w:szCs w:val="24"/>
        </w:rPr>
        <w:t>Chemical Reviews</w:t>
      </w:r>
      <w:r w:rsidRPr="0071546E">
        <w:rPr>
          <w:rFonts w:ascii="Arial" w:hAnsi="Arial" w:cs="Arial"/>
          <w:sz w:val="24"/>
          <w:szCs w:val="24"/>
        </w:rPr>
        <w:t>, 111(10), pp.5944-5972.</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Yoder, J., Verani, J., Heidman, N., Hoppe-Bauer, J., Alfonso, E., Miller, D., Jones, D., Bruckner, D., Langston, R., Jeng, B., Joslin, C., Tu, E., Colby, K., Vetter, E., Ritterband, D., Mathers, W., Kowalski, R., Acharya, N., Limaye, A., Leiter, C., Roy, S., Lorick, S., Roberts, J. and Beach, M. (2012). Acanthamoeba keratitis: The Persistence of Cases Following a Multistate Outbreak. </w:t>
      </w:r>
      <w:r w:rsidRPr="0071546E">
        <w:rPr>
          <w:rFonts w:ascii="Arial" w:hAnsi="Arial" w:cs="Arial"/>
          <w:i/>
          <w:iCs/>
          <w:sz w:val="24"/>
          <w:szCs w:val="24"/>
        </w:rPr>
        <w:t>Ophthalmic Epidemiology</w:t>
      </w:r>
      <w:r w:rsidRPr="0071546E">
        <w:rPr>
          <w:rFonts w:ascii="Arial" w:hAnsi="Arial" w:cs="Arial"/>
          <w:sz w:val="24"/>
          <w:szCs w:val="24"/>
        </w:rPr>
        <w:t xml:space="preserve">, 19(4), pp.221-225. </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Yu, H., Chung, H., Yu, Y., Seo, J. and Heo, J. (2003). A New Rapid and Non-radioactive Assay for Monitoring and Determining the Proliferation of Retinal Pigment Epithelial Cells. </w:t>
      </w:r>
      <w:r w:rsidRPr="0071546E">
        <w:rPr>
          <w:rFonts w:ascii="Arial" w:hAnsi="Arial" w:cs="Arial"/>
          <w:i/>
          <w:iCs/>
          <w:sz w:val="24"/>
          <w:szCs w:val="24"/>
        </w:rPr>
        <w:t>Korean Journal of Ophthalmology</w:t>
      </w:r>
      <w:r w:rsidRPr="0071546E">
        <w:rPr>
          <w:rFonts w:ascii="Arial" w:hAnsi="Arial" w:cs="Arial"/>
          <w:sz w:val="24"/>
          <w:szCs w:val="24"/>
        </w:rPr>
        <w:t>, 17(1), p.29.</w:t>
      </w:r>
    </w:p>
    <w:p w:rsidR="000C7C78" w:rsidRPr="0071546E" w:rsidRDefault="000C7C78" w:rsidP="00CF13FE">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Zhang, J., Jiang, C., Figueiró Longo, J., Azevedo, R., Zhang, H. and Muehlmann, L. (2018). An updated overview of the development of new photosensitizers for anticancer photodynamic therapy. </w:t>
      </w:r>
      <w:r w:rsidRPr="0071546E">
        <w:rPr>
          <w:rFonts w:ascii="Arial" w:hAnsi="Arial" w:cs="Arial"/>
          <w:i/>
          <w:iCs/>
          <w:sz w:val="24"/>
          <w:szCs w:val="24"/>
        </w:rPr>
        <w:t>Acta Pharmaceutica Sinica B</w:t>
      </w:r>
      <w:r w:rsidRPr="0071546E">
        <w:rPr>
          <w:rFonts w:ascii="Arial" w:hAnsi="Arial" w:cs="Arial"/>
          <w:sz w:val="24"/>
          <w:szCs w:val="24"/>
        </w:rPr>
        <w:t>, 8(2), pp.137-146.</w:t>
      </w:r>
    </w:p>
    <w:p w:rsidR="000C7C78" w:rsidRPr="0071546E" w:rsidRDefault="000C7C78" w:rsidP="00E36A03">
      <w:pPr>
        <w:shd w:val="clear" w:color="auto" w:fill="FFFFFF"/>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Zhang, L., Wang, D., Yang, K., Sheng, D., Tan, B., Wang, Z., Ran, H., Yi, H., Zhong, Y., Lin, H. and Chen, Y. (2018). Cancer Therapy: Mitochondria-Targeted Artificial “Nano-RBCs” for Amplified Synergistic Cancer Phototherapy by a Single NIR Irradiation (Adv. Sci. 8/2018). </w:t>
      </w:r>
      <w:r w:rsidRPr="0071546E">
        <w:rPr>
          <w:rFonts w:ascii="Arial" w:hAnsi="Arial" w:cs="Arial"/>
          <w:i/>
          <w:iCs/>
          <w:sz w:val="24"/>
          <w:szCs w:val="24"/>
        </w:rPr>
        <w:t>Advanced Science</w:t>
      </w:r>
      <w:r w:rsidRPr="0071546E">
        <w:rPr>
          <w:rFonts w:ascii="Arial" w:hAnsi="Arial" w:cs="Arial"/>
          <w:sz w:val="24"/>
          <w:szCs w:val="24"/>
        </w:rPr>
        <w:t>, 5(8), p.1870050.</w:t>
      </w:r>
    </w:p>
    <w:p w:rsidR="000C7C78" w:rsidRPr="0071546E" w:rsidRDefault="000C7C78" w:rsidP="00C02EC6">
      <w:pPr>
        <w:shd w:val="clear" w:color="auto" w:fill="FFFFFF"/>
        <w:suppressAutoHyphens/>
        <w:autoSpaceDN w:val="0"/>
        <w:spacing w:after="180" w:line="360" w:lineRule="atLeast"/>
        <w:ind w:left="1021" w:right="454" w:hanging="450"/>
        <w:jc w:val="both"/>
        <w:rPr>
          <w:rFonts w:ascii="Arial" w:hAnsi="Arial" w:cs="Arial"/>
          <w:b/>
          <w:bCs/>
          <w:sz w:val="24"/>
          <w:szCs w:val="24"/>
        </w:rPr>
      </w:pPr>
      <w:r w:rsidRPr="0071546E">
        <w:rPr>
          <w:rFonts w:ascii="Arial" w:hAnsi="Arial" w:cs="Arial"/>
          <w:sz w:val="24"/>
          <w:szCs w:val="24"/>
        </w:rPr>
        <w:t>Zion market research (2018). Contact Lenses Market by Product (Soft Lenses and Hard Lenses), by Design Type (Spherical, Toric, and Cylindrical), By Usage (Corrective, Therapeutic, Cosmetic, and Prosthetic), Comprehensive Analysis and Forecast. https://www.zionmarketresearch.com/report/contact-lenses-market.</w:t>
      </w:r>
      <w:r w:rsidRPr="0071546E">
        <w:rPr>
          <w:rFonts w:ascii="Arial" w:hAnsi="Arial" w:cs="Arial"/>
          <w:bCs/>
          <w:sz w:val="24"/>
          <w:szCs w:val="24"/>
        </w:rPr>
        <w:t xml:space="preserve"> </w:t>
      </w:r>
    </w:p>
    <w:p w:rsidR="00EF5B0C" w:rsidRPr="0071546E" w:rsidRDefault="000C7C78" w:rsidP="00EF5B0C">
      <w:pPr>
        <w:suppressAutoHyphens/>
        <w:autoSpaceDN w:val="0"/>
        <w:spacing w:after="180" w:line="360" w:lineRule="atLeast"/>
        <w:ind w:left="1021" w:right="454" w:hanging="450"/>
        <w:rPr>
          <w:b/>
          <w:bCs/>
        </w:rPr>
      </w:pPr>
      <w:r w:rsidRPr="0071546E">
        <w:rPr>
          <w:rFonts w:ascii="Arial" w:hAnsi="Arial" w:cs="Arial"/>
          <w:sz w:val="24"/>
          <w:szCs w:val="24"/>
        </w:rPr>
        <w:t xml:space="preserve">Zorov, D., Juhaszova, M. and Sollott, S. (2014). Mitochondrial Reactive Oxygen Species (ROS) and ROS-Induced ROS Release. </w:t>
      </w:r>
      <w:r w:rsidRPr="0071546E">
        <w:rPr>
          <w:rFonts w:ascii="Arial" w:hAnsi="Arial" w:cs="Arial"/>
          <w:i/>
          <w:iCs/>
          <w:sz w:val="24"/>
          <w:szCs w:val="24"/>
        </w:rPr>
        <w:t>Physiological Reviews</w:t>
      </w:r>
      <w:r w:rsidRPr="0071546E">
        <w:rPr>
          <w:rFonts w:ascii="Arial" w:hAnsi="Arial" w:cs="Arial"/>
          <w:sz w:val="24"/>
          <w:szCs w:val="24"/>
        </w:rPr>
        <w:t>, 94(3), pp.909-950.</w:t>
      </w:r>
      <w:r w:rsidR="00EF5B0C" w:rsidRPr="0071546E">
        <w:rPr>
          <w:rFonts w:ascii="Times New Roman" w:hAnsi="Times New Roman" w:cs="Times New Roman"/>
          <w:bCs/>
          <w:sz w:val="36"/>
          <w:szCs w:val="36"/>
        </w:rPr>
        <w:t xml:space="preserve"> </w:t>
      </w:r>
    </w:p>
    <w:p w:rsidR="00EF5B0C" w:rsidRPr="0071546E" w:rsidRDefault="00EF5B0C" w:rsidP="00EF5B0C">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 xml:space="preserve">Alizadeh, H., Neelam, S. and Niederkorn, J. (2007). Effect of Immunization with the Mannose-InducedAcanthamoebaProtein andAcanthamoebaPlasminogen Activator in MitigatingAcanthamoebaKeratitis. </w:t>
      </w:r>
      <w:r w:rsidRPr="0071546E">
        <w:rPr>
          <w:rFonts w:ascii="Arial" w:hAnsi="Arial" w:cs="Arial"/>
          <w:i/>
          <w:iCs/>
          <w:sz w:val="24"/>
          <w:szCs w:val="24"/>
        </w:rPr>
        <w:t>Investigative Opthalmology &amp; Visual Science</w:t>
      </w:r>
      <w:r w:rsidRPr="0071546E">
        <w:rPr>
          <w:rFonts w:ascii="Arial" w:hAnsi="Arial" w:cs="Arial"/>
          <w:sz w:val="24"/>
          <w:szCs w:val="24"/>
        </w:rPr>
        <w:t>, 48(12), p.5597.</w:t>
      </w:r>
    </w:p>
    <w:p w:rsidR="00EF5B0C" w:rsidRPr="0071546E" w:rsidRDefault="00EF5B0C" w:rsidP="00EF5B0C">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 xml:space="preserve">Alizadeh, H., Tripathi, T., Abdi, M. and Smith, A. (2014). Pathogenic Strains of Acanthamoeba Are Recognized by TLR4 and Initiated Inflammatory Responses in the Cornea. </w:t>
      </w:r>
      <w:r w:rsidRPr="0071546E">
        <w:rPr>
          <w:rFonts w:ascii="Arial" w:hAnsi="Arial" w:cs="Arial"/>
          <w:i/>
          <w:iCs/>
          <w:sz w:val="24"/>
          <w:szCs w:val="24"/>
        </w:rPr>
        <w:t>PLoS ONE</w:t>
      </w:r>
      <w:r w:rsidRPr="0071546E">
        <w:rPr>
          <w:rFonts w:ascii="Arial" w:hAnsi="Arial" w:cs="Arial"/>
          <w:sz w:val="24"/>
          <w:szCs w:val="24"/>
        </w:rPr>
        <w:t>, 9(3), p.e92375.</w:t>
      </w:r>
    </w:p>
    <w:p w:rsidR="00EF5B0C" w:rsidRPr="0071546E" w:rsidRDefault="00EF5B0C" w:rsidP="00EF5B0C">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 xml:space="preserve">Allison, R., Downie, G., Cuenca, R., Hu, X., Childs, C. and Sibata, C. (2004). Photosensitizers in clinical PDT. </w:t>
      </w:r>
      <w:r w:rsidRPr="0071546E">
        <w:rPr>
          <w:rFonts w:ascii="Arial" w:hAnsi="Arial" w:cs="Arial"/>
          <w:i/>
          <w:iCs/>
          <w:sz w:val="24"/>
          <w:szCs w:val="24"/>
        </w:rPr>
        <w:t>Photodiagnosis and Photodynamic Therapy</w:t>
      </w:r>
      <w:r w:rsidRPr="0071546E">
        <w:rPr>
          <w:rFonts w:ascii="Arial" w:hAnsi="Arial" w:cs="Arial"/>
          <w:sz w:val="24"/>
          <w:szCs w:val="24"/>
        </w:rPr>
        <w:t>, 1(1), pp.27-42.</w:t>
      </w:r>
    </w:p>
    <w:p w:rsidR="00EF5B0C" w:rsidRPr="0071546E" w:rsidRDefault="00EF5B0C" w:rsidP="00EF5B0C">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 xml:space="preserve">Gaschler, M. and Stockwell, B. (2017). Lipid peroxidation in cell death. </w:t>
      </w:r>
      <w:r w:rsidRPr="0071546E">
        <w:rPr>
          <w:rFonts w:ascii="Arial" w:hAnsi="Arial" w:cs="Arial"/>
          <w:i/>
          <w:iCs/>
          <w:sz w:val="24"/>
          <w:szCs w:val="24"/>
        </w:rPr>
        <w:t>Biochemical and Biophysical Research Communications</w:t>
      </w:r>
      <w:r w:rsidRPr="0071546E">
        <w:rPr>
          <w:rFonts w:ascii="Arial" w:hAnsi="Arial" w:cs="Arial"/>
          <w:sz w:val="24"/>
          <w:szCs w:val="24"/>
        </w:rPr>
        <w:t>, 482(3), pp.419-425.</w:t>
      </w:r>
    </w:p>
    <w:p w:rsidR="00EF5B0C" w:rsidRPr="0071546E" w:rsidRDefault="00EF5B0C" w:rsidP="00EF5B0C">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 xml:space="preserve">Kim, J., Matin, A., Shin, H., Park, H., Yoo, K., Yuan, X., Kim, K. and Jung, S. (2012). Functional roles of mannose-binding protein in the adhesion, cytotoxicity and phagocytosis of Acanthamoeba castellanii. </w:t>
      </w:r>
      <w:r w:rsidRPr="0071546E">
        <w:rPr>
          <w:rFonts w:ascii="Arial" w:hAnsi="Arial" w:cs="Arial"/>
          <w:i/>
          <w:iCs/>
          <w:sz w:val="24"/>
          <w:szCs w:val="24"/>
        </w:rPr>
        <w:t>Experimental Parasitology</w:t>
      </w:r>
      <w:r w:rsidRPr="0071546E">
        <w:rPr>
          <w:rFonts w:ascii="Arial" w:hAnsi="Arial" w:cs="Arial"/>
          <w:sz w:val="24"/>
          <w:szCs w:val="24"/>
        </w:rPr>
        <w:t>, 132(2), pp.287-292.</w:t>
      </w:r>
    </w:p>
    <w:p w:rsidR="00EF5B0C" w:rsidRPr="0071546E" w:rsidRDefault="00EF5B0C" w:rsidP="00EF5B0C">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 xml:space="preserve">Mahmud, R., Lim, Y. and Amir, A. (2017). Amoebae. </w:t>
      </w:r>
      <w:r w:rsidRPr="0071546E">
        <w:rPr>
          <w:rFonts w:ascii="Arial" w:hAnsi="Arial" w:cs="Arial"/>
          <w:i/>
          <w:iCs/>
          <w:sz w:val="24"/>
          <w:szCs w:val="24"/>
        </w:rPr>
        <w:t>Medical Parasitology</w:t>
      </w:r>
      <w:r w:rsidRPr="0071546E">
        <w:rPr>
          <w:rFonts w:ascii="Arial" w:hAnsi="Arial" w:cs="Arial"/>
          <w:sz w:val="24"/>
          <w:szCs w:val="24"/>
        </w:rPr>
        <w:t>, pp.5-18.</w:t>
      </w:r>
    </w:p>
    <w:p w:rsidR="00EF5B0C" w:rsidRPr="0071546E" w:rsidRDefault="00EF5B0C" w:rsidP="00EF5B0C">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 xml:space="preserve">Marciano-Cabral, F. and Cabral, G. (2003). Acanthamoeba spp. as Agents of Disease in Humans. </w:t>
      </w:r>
      <w:r w:rsidRPr="0071546E">
        <w:rPr>
          <w:rFonts w:ascii="Arial" w:hAnsi="Arial" w:cs="Arial"/>
          <w:i/>
          <w:iCs/>
          <w:sz w:val="24"/>
          <w:szCs w:val="24"/>
        </w:rPr>
        <w:t>Clinical Microbiology Reviews</w:t>
      </w:r>
      <w:r w:rsidRPr="0071546E">
        <w:rPr>
          <w:rFonts w:ascii="Arial" w:hAnsi="Arial" w:cs="Arial"/>
          <w:sz w:val="24"/>
          <w:szCs w:val="24"/>
        </w:rPr>
        <w:t>, 16(2), pp.273-307.</w:t>
      </w:r>
    </w:p>
    <w:p w:rsidR="00EF5B0C" w:rsidRPr="0071546E" w:rsidRDefault="00EF5B0C" w:rsidP="00EF5B0C">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 xml:space="preserve">Panjwani, N. (2010). Pathogenesis of Acanthamoeba Keratitis. </w:t>
      </w:r>
      <w:r w:rsidRPr="0071546E">
        <w:rPr>
          <w:rFonts w:ascii="Arial" w:hAnsi="Arial" w:cs="Arial"/>
          <w:i/>
          <w:iCs/>
          <w:sz w:val="24"/>
          <w:szCs w:val="24"/>
        </w:rPr>
        <w:t>The Ocular Surface</w:t>
      </w:r>
      <w:r w:rsidRPr="0071546E">
        <w:rPr>
          <w:rFonts w:ascii="Arial" w:hAnsi="Arial" w:cs="Arial"/>
          <w:sz w:val="24"/>
          <w:szCs w:val="24"/>
        </w:rPr>
        <w:t>, 8(2), pp.70-79.</w:t>
      </w:r>
    </w:p>
    <w:p w:rsidR="00EF5B0C" w:rsidRPr="0071546E" w:rsidRDefault="00EF5B0C" w:rsidP="00EF5B0C">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 xml:space="preserve">Schuster, F. and Visvesvara, G. (2004). Free-living amoebae as opportunistic and non-opportunistic pathogens of humans and animals. </w:t>
      </w:r>
      <w:r w:rsidRPr="0071546E">
        <w:rPr>
          <w:rFonts w:ascii="Arial" w:hAnsi="Arial" w:cs="Arial"/>
          <w:i/>
          <w:iCs/>
          <w:sz w:val="24"/>
          <w:szCs w:val="24"/>
        </w:rPr>
        <w:t>International Journal for Parasitology</w:t>
      </w:r>
      <w:r w:rsidRPr="0071546E">
        <w:rPr>
          <w:rFonts w:ascii="Arial" w:hAnsi="Arial" w:cs="Arial"/>
          <w:sz w:val="24"/>
          <w:szCs w:val="24"/>
        </w:rPr>
        <w:t>, 34(9), pp.1001-1027.</w:t>
      </w:r>
    </w:p>
    <w:p w:rsidR="00B26C6B" w:rsidRPr="0071546E" w:rsidRDefault="00EF5B0C" w:rsidP="00B26C6B">
      <w:pPr>
        <w:suppressAutoHyphens/>
        <w:autoSpaceDN w:val="0"/>
        <w:spacing w:after="180" w:line="360" w:lineRule="atLeast"/>
        <w:ind w:left="1021" w:right="454" w:hanging="450"/>
        <w:rPr>
          <w:b/>
          <w:bCs/>
        </w:rPr>
      </w:pPr>
      <w:r w:rsidRPr="0071546E">
        <w:rPr>
          <w:rFonts w:ascii="Arial" w:hAnsi="Arial" w:cs="Arial"/>
          <w:sz w:val="24"/>
          <w:szCs w:val="24"/>
        </w:rPr>
        <w:t xml:space="preserve">Sissons, J., Kim, K., Stins, M., Jayasekera, S., Alsam, S. and Khan, N. (2005). Acanthamoeba castellanii Induces Host Cell Death via a Phosphatidylinositol 3-Kinase-Dependent Mechanism. </w:t>
      </w:r>
      <w:r w:rsidRPr="0071546E">
        <w:rPr>
          <w:rFonts w:ascii="Arial" w:hAnsi="Arial" w:cs="Arial"/>
          <w:i/>
          <w:iCs/>
          <w:sz w:val="24"/>
          <w:szCs w:val="24"/>
        </w:rPr>
        <w:t>Infection and Immunity</w:t>
      </w:r>
      <w:r w:rsidRPr="0071546E">
        <w:rPr>
          <w:rFonts w:ascii="Arial" w:hAnsi="Arial" w:cs="Arial"/>
          <w:sz w:val="24"/>
          <w:szCs w:val="24"/>
        </w:rPr>
        <w:t>, 73(5), pp.2704-2708.</w:t>
      </w:r>
      <w:r w:rsidR="00B26C6B" w:rsidRPr="0071546E">
        <w:rPr>
          <w:rFonts w:ascii="Times New Roman" w:hAnsi="Times New Roman" w:cs="Times New Roman"/>
          <w:bCs/>
          <w:sz w:val="36"/>
          <w:szCs w:val="36"/>
        </w:rPr>
        <w:t xml:space="preserve"> </w:t>
      </w:r>
    </w:p>
    <w:p w:rsidR="00B26C6B" w:rsidRPr="0071546E" w:rsidRDefault="00B26C6B" w:rsidP="00B26C6B">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 xml:space="preserve">Chai, S., Goktug, A. and Chen, T. (2015). Assay Validation in High Throughput Screening – from Concept to Application. </w:t>
      </w:r>
      <w:r w:rsidRPr="0071546E">
        <w:rPr>
          <w:rFonts w:ascii="Arial" w:hAnsi="Arial" w:cs="Arial"/>
          <w:i/>
          <w:iCs/>
          <w:sz w:val="24"/>
          <w:szCs w:val="24"/>
        </w:rPr>
        <w:t>Drug Discovery and Development - From Molecules to Medicine</w:t>
      </w:r>
      <w:r w:rsidRPr="0071546E">
        <w:rPr>
          <w:rFonts w:ascii="Arial" w:hAnsi="Arial" w:cs="Arial"/>
          <w:sz w:val="24"/>
          <w:szCs w:val="24"/>
        </w:rPr>
        <w:t>.</w:t>
      </w:r>
    </w:p>
    <w:p w:rsidR="00B26C6B" w:rsidRPr="0071546E" w:rsidRDefault="00B26C6B" w:rsidP="00B26C6B">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 xml:space="preserve">Kuhn, H., Frank-Kamenetskii, M. and Demidov, V. (2001). High-Purity Preparation of a Large DNA Dumbbell. </w:t>
      </w:r>
      <w:r w:rsidRPr="0071546E">
        <w:rPr>
          <w:rFonts w:ascii="Arial" w:hAnsi="Arial" w:cs="Arial"/>
          <w:i/>
          <w:iCs/>
          <w:sz w:val="24"/>
          <w:szCs w:val="24"/>
        </w:rPr>
        <w:t>Antisense and Nucleic Acid Drug Development</w:t>
      </w:r>
      <w:r w:rsidRPr="0071546E">
        <w:rPr>
          <w:rFonts w:ascii="Arial" w:hAnsi="Arial" w:cs="Arial"/>
          <w:sz w:val="24"/>
          <w:szCs w:val="24"/>
        </w:rPr>
        <w:t>, 11(3), pp.149-153.</w:t>
      </w:r>
    </w:p>
    <w:p w:rsidR="00B26C6B" w:rsidRPr="0071546E" w:rsidRDefault="00B26C6B" w:rsidP="00B26C6B">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Maubon, D., Dubosson, M., Chiquet, C., Yera, H., Brenier-Pinchart, M., Cornet, M., Savy, O., Renard, E. and Pelloux, H. (2012). A One-Step Multiplex PCR for</w:t>
      </w:r>
      <w:r w:rsidR="000017B7" w:rsidRPr="0071546E">
        <w:rPr>
          <w:rFonts w:ascii="Arial" w:hAnsi="Arial" w:cs="Arial"/>
          <w:sz w:val="24"/>
          <w:szCs w:val="24"/>
        </w:rPr>
        <w:t xml:space="preserve"> acanthamoeba k</w:t>
      </w:r>
      <w:r w:rsidRPr="0071546E">
        <w:rPr>
          <w:rFonts w:ascii="Arial" w:hAnsi="Arial" w:cs="Arial"/>
          <w:sz w:val="24"/>
          <w:szCs w:val="24"/>
        </w:rPr>
        <w:t xml:space="preserve">eratitis Diagnosis and Quality Samples Control. </w:t>
      </w:r>
      <w:r w:rsidRPr="0071546E">
        <w:rPr>
          <w:rFonts w:ascii="Arial" w:hAnsi="Arial" w:cs="Arial"/>
          <w:i/>
          <w:iCs/>
          <w:sz w:val="24"/>
          <w:szCs w:val="24"/>
        </w:rPr>
        <w:t>Investigative Opthalmology &amp; Visual Science</w:t>
      </w:r>
      <w:r w:rsidRPr="0071546E">
        <w:rPr>
          <w:rFonts w:ascii="Arial" w:hAnsi="Arial" w:cs="Arial"/>
          <w:sz w:val="24"/>
          <w:szCs w:val="24"/>
        </w:rPr>
        <w:t>, 53(6), p.2866.</w:t>
      </w:r>
    </w:p>
    <w:p w:rsidR="00B26C6B" w:rsidRPr="0071546E" w:rsidRDefault="00B26C6B" w:rsidP="00B26C6B">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 xml:space="preserve">Niyyati, M., Lasgerdi, Z. and Lorenzo-Morales, J. (2015). Detection and Molecular Characterization of Potentially Pathogenic Free-living Amoebae from Water Sources in Kish Island, Southern Iran. </w:t>
      </w:r>
      <w:r w:rsidRPr="0071546E">
        <w:rPr>
          <w:rFonts w:ascii="Arial" w:hAnsi="Arial" w:cs="Arial"/>
          <w:i/>
          <w:iCs/>
          <w:sz w:val="24"/>
          <w:szCs w:val="24"/>
        </w:rPr>
        <w:t>Microbiology Insights</w:t>
      </w:r>
      <w:r w:rsidRPr="0071546E">
        <w:rPr>
          <w:rFonts w:ascii="Arial" w:hAnsi="Arial" w:cs="Arial"/>
          <w:sz w:val="24"/>
          <w:szCs w:val="24"/>
        </w:rPr>
        <w:t>, 8s1, p.MBI.S24099.</w:t>
      </w:r>
    </w:p>
    <w:p w:rsidR="00B26C6B" w:rsidRPr="0071546E" w:rsidRDefault="00B26C6B" w:rsidP="00B26C6B">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 xml:space="preserve">Sriwilaijaroen, N., Wilairat, P., Hiramatsu, H., Takahashi, T., Suzuki, T., Ito, M., Ito, Y., Tashiro, M. and Suzuki, Y. (2009). Mechanisms of the action of povidone-iodine against human and avian influenza A viruses: its effects on hemagglutination and sialidase activities. </w:t>
      </w:r>
      <w:r w:rsidRPr="0071546E">
        <w:rPr>
          <w:rFonts w:ascii="Arial" w:hAnsi="Arial" w:cs="Arial"/>
          <w:i/>
          <w:iCs/>
          <w:sz w:val="24"/>
          <w:szCs w:val="24"/>
        </w:rPr>
        <w:t>Virology Journal</w:t>
      </w:r>
      <w:r w:rsidRPr="0071546E">
        <w:rPr>
          <w:rFonts w:ascii="Arial" w:hAnsi="Arial" w:cs="Arial"/>
          <w:sz w:val="24"/>
          <w:szCs w:val="24"/>
        </w:rPr>
        <w:t>, 6(1), p.124.</w:t>
      </w:r>
    </w:p>
    <w:p w:rsidR="00EF5B0C" w:rsidRPr="0071546E" w:rsidRDefault="00EF5B0C" w:rsidP="00EF5B0C">
      <w:pPr>
        <w:suppressAutoHyphens/>
        <w:autoSpaceDN w:val="0"/>
        <w:spacing w:after="180" w:line="360" w:lineRule="atLeast"/>
        <w:ind w:left="1021" w:right="454" w:hanging="450"/>
        <w:rPr>
          <w:rFonts w:ascii="Arial" w:hAnsi="Arial" w:cs="Arial"/>
          <w:sz w:val="24"/>
          <w:szCs w:val="24"/>
        </w:rPr>
      </w:pPr>
    </w:p>
    <w:p w:rsidR="00EF5B0C" w:rsidRPr="0071546E" w:rsidRDefault="00EF5B0C" w:rsidP="00EF5B0C">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 xml:space="preserve">Socoteanu, R., Boscencu, R., Hirtopeanu, A., Manda, G., Sousa, A., Ilie, M. and Vieira Ferreir, L. (2011). Trends in Interdisciplinary Studies Revealing Porphyrinic Compounds Multivalency Towards Biomedical Application. </w:t>
      </w:r>
      <w:r w:rsidRPr="0071546E">
        <w:rPr>
          <w:rFonts w:ascii="Arial" w:hAnsi="Arial" w:cs="Arial"/>
          <w:i/>
          <w:iCs/>
          <w:sz w:val="24"/>
          <w:szCs w:val="24"/>
        </w:rPr>
        <w:t>Biomedical Engineering - From Theory to Applications</w:t>
      </w:r>
      <w:r w:rsidRPr="0071546E">
        <w:rPr>
          <w:rFonts w:ascii="Arial" w:hAnsi="Arial" w:cs="Arial"/>
          <w:sz w:val="24"/>
          <w:szCs w:val="24"/>
        </w:rPr>
        <w:t>.</w:t>
      </w:r>
    </w:p>
    <w:p w:rsidR="008817CF" w:rsidRPr="0071546E" w:rsidRDefault="00EF5B0C" w:rsidP="008817CF">
      <w:pPr>
        <w:suppressAutoHyphens/>
        <w:autoSpaceDN w:val="0"/>
        <w:spacing w:after="180" w:line="360" w:lineRule="atLeast"/>
        <w:ind w:left="1021" w:right="454" w:hanging="450"/>
        <w:rPr>
          <w:rFonts w:ascii="Arial" w:hAnsi="Arial" w:cs="Arial"/>
          <w:sz w:val="24"/>
          <w:szCs w:val="24"/>
        </w:rPr>
      </w:pPr>
      <w:r w:rsidRPr="0071546E">
        <w:rPr>
          <w:rFonts w:ascii="Arial" w:hAnsi="Arial" w:cs="Arial"/>
          <w:sz w:val="24"/>
          <w:szCs w:val="24"/>
        </w:rPr>
        <w:t xml:space="preserve">Yoo, K. and Jung, S. (2012). Effects of Mannose on Pathogenesis of Acanthamoeba castellanii. </w:t>
      </w:r>
      <w:r w:rsidRPr="0071546E">
        <w:rPr>
          <w:rFonts w:ascii="Arial" w:hAnsi="Arial" w:cs="Arial"/>
          <w:i/>
          <w:iCs/>
          <w:sz w:val="24"/>
          <w:szCs w:val="24"/>
        </w:rPr>
        <w:t>The Korean Journal of Parasitology</w:t>
      </w:r>
      <w:r w:rsidRPr="0071546E">
        <w:rPr>
          <w:rFonts w:ascii="Arial" w:hAnsi="Arial" w:cs="Arial"/>
          <w:sz w:val="24"/>
          <w:szCs w:val="24"/>
        </w:rPr>
        <w:t>, 50(4), pp.365-369.</w:t>
      </w:r>
      <w:r w:rsidR="008817CF" w:rsidRPr="0071546E">
        <w:rPr>
          <w:rFonts w:ascii="Arial" w:hAnsi="Arial" w:cs="Arial"/>
          <w:sz w:val="24"/>
          <w:szCs w:val="24"/>
        </w:rPr>
        <w:t xml:space="preserve"> </w:t>
      </w:r>
    </w:p>
    <w:p w:rsidR="008817CF" w:rsidRPr="008817CF" w:rsidRDefault="008817CF" w:rsidP="008817CF">
      <w:pPr>
        <w:suppressAutoHyphens/>
        <w:autoSpaceDN w:val="0"/>
        <w:spacing w:after="180" w:line="360" w:lineRule="atLeast"/>
        <w:ind w:left="1021" w:right="454" w:hanging="450"/>
        <w:jc w:val="both"/>
        <w:rPr>
          <w:rFonts w:ascii="Arial" w:hAnsi="Arial" w:cs="Arial"/>
          <w:sz w:val="24"/>
          <w:szCs w:val="24"/>
        </w:rPr>
      </w:pPr>
      <w:r w:rsidRPr="0071546E">
        <w:rPr>
          <w:rFonts w:ascii="Arial" w:hAnsi="Arial" w:cs="Arial"/>
          <w:sz w:val="24"/>
          <w:szCs w:val="24"/>
        </w:rPr>
        <w:t xml:space="preserve">Riss, TL. Moravec, RA. Niles, AL. (2013). </w:t>
      </w:r>
      <w:r w:rsidRPr="0071546E">
        <w:rPr>
          <w:rFonts w:ascii="Arial" w:hAnsi="Arial" w:cs="Arial"/>
          <w:i/>
          <w:iCs/>
          <w:sz w:val="24"/>
          <w:szCs w:val="24"/>
        </w:rPr>
        <w:t>Cell viability assays</w:t>
      </w:r>
      <w:r w:rsidRPr="0071546E">
        <w:rPr>
          <w:rFonts w:ascii="Arial" w:hAnsi="Arial" w:cs="Arial"/>
          <w:sz w:val="24"/>
          <w:szCs w:val="24"/>
        </w:rPr>
        <w:t xml:space="preserve">. Assay Guidance Manual [Internet]. Bethesda (MD): Eli Lilly &amp; Company and the National Centre for Advancing Translational Sciences; 2004-. Available from: </w:t>
      </w:r>
      <w:hyperlink r:id="rId158" w:history="1">
        <w:r w:rsidRPr="0071546E">
          <w:rPr>
            <w:rStyle w:val="Hyperlink"/>
            <w:rFonts w:ascii="Arial" w:hAnsi="Arial" w:cs="Arial"/>
            <w:sz w:val="24"/>
            <w:szCs w:val="24"/>
          </w:rPr>
          <w:t>https://www.ncbi.nlm.nih.gov/books/NBK144065/</w:t>
        </w:r>
      </w:hyperlink>
    </w:p>
    <w:p w:rsidR="00EF5B0C" w:rsidRPr="00EF5B0C" w:rsidRDefault="00EF5B0C" w:rsidP="00EF5B0C">
      <w:pPr>
        <w:suppressAutoHyphens/>
        <w:autoSpaceDN w:val="0"/>
        <w:spacing w:after="180" w:line="360" w:lineRule="atLeast"/>
        <w:ind w:left="1021" w:right="454" w:hanging="450"/>
        <w:rPr>
          <w:rFonts w:ascii="Arial" w:hAnsi="Arial" w:cs="Arial"/>
          <w:sz w:val="24"/>
          <w:szCs w:val="24"/>
        </w:rPr>
      </w:pPr>
    </w:p>
    <w:p w:rsidR="000C7C78" w:rsidRPr="000C7C78" w:rsidRDefault="000C7C78" w:rsidP="000C7C78">
      <w:pPr>
        <w:suppressAutoHyphens/>
        <w:autoSpaceDN w:val="0"/>
        <w:spacing w:after="180" w:line="360" w:lineRule="atLeast"/>
        <w:ind w:left="1021" w:right="454" w:hanging="450"/>
        <w:rPr>
          <w:b/>
          <w:bCs/>
        </w:rPr>
      </w:pPr>
    </w:p>
    <w:p w:rsidR="00C80567" w:rsidRPr="006F3A7E" w:rsidRDefault="00C80567" w:rsidP="00C80567">
      <w:pPr>
        <w:suppressAutoHyphens/>
        <w:autoSpaceDN w:val="0"/>
        <w:spacing w:after="180" w:line="360" w:lineRule="atLeast"/>
        <w:ind w:left="1021" w:right="454" w:hanging="450"/>
        <w:jc w:val="both"/>
        <w:rPr>
          <w:rFonts w:ascii="Arial" w:hAnsi="Arial" w:cs="Arial"/>
          <w:sz w:val="24"/>
          <w:szCs w:val="24"/>
        </w:rPr>
      </w:pPr>
    </w:p>
    <w:p w:rsidR="00E36A03" w:rsidRPr="00E36A03" w:rsidRDefault="00E36A03" w:rsidP="00E07B56">
      <w:pPr>
        <w:shd w:val="clear" w:color="auto" w:fill="FFFFFF"/>
        <w:suppressAutoHyphens/>
        <w:autoSpaceDN w:val="0"/>
        <w:spacing w:after="180" w:line="360" w:lineRule="atLeast"/>
        <w:ind w:left="1021" w:right="454" w:hanging="450"/>
        <w:jc w:val="both"/>
        <w:rPr>
          <w:b/>
          <w:bCs/>
        </w:rPr>
      </w:pPr>
    </w:p>
    <w:p w:rsidR="00F53976" w:rsidRDefault="00F53976" w:rsidP="00E36A03">
      <w:pPr>
        <w:shd w:val="clear" w:color="auto" w:fill="FFFFFF"/>
        <w:suppressAutoHyphens/>
        <w:autoSpaceDN w:val="0"/>
        <w:spacing w:after="180" w:line="360" w:lineRule="atLeast"/>
        <w:ind w:left="1021" w:right="454" w:hanging="450"/>
        <w:jc w:val="both"/>
        <w:rPr>
          <w:color w:val="000000"/>
        </w:rPr>
      </w:pPr>
    </w:p>
    <w:sectPr w:rsidR="00F53976" w:rsidSect="001B3C7A">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A14" w:rsidRDefault="00A87A14" w:rsidP="00837B74">
      <w:pPr>
        <w:spacing w:after="0" w:line="240" w:lineRule="auto"/>
      </w:pPr>
      <w:r>
        <w:separator/>
      </w:r>
    </w:p>
  </w:endnote>
  <w:endnote w:type="continuationSeparator" w:id="0">
    <w:p w:rsidR="00A87A14" w:rsidRDefault="00A87A14" w:rsidP="00837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051523"/>
      <w:docPartObj>
        <w:docPartGallery w:val="Page Numbers (Bottom of Page)"/>
        <w:docPartUnique/>
      </w:docPartObj>
    </w:sdtPr>
    <w:sdtEndPr>
      <w:rPr>
        <w:noProof/>
      </w:rPr>
    </w:sdtEndPr>
    <w:sdtContent>
      <w:p w:rsidR="00A87A14" w:rsidRDefault="00A87A14">
        <w:pPr>
          <w:pStyle w:val="Footer"/>
          <w:jc w:val="right"/>
        </w:pPr>
        <w:r>
          <w:fldChar w:fldCharType="begin"/>
        </w:r>
        <w:r>
          <w:instrText xml:space="preserve"> PAGE   \* MERGEFORMAT </w:instrText>
        </w:r>
        <w:r>
          <w:fldChar w:fldCharType="separate"/>
        </w:r>
        <w:r w:rsidR="009B21F2">
          <w:rPr>
            <w:noProof/>
          </w:rPr>
          <w:t>I</w:t>
        </w:r>
        <w:r>
          <w:rPr>
            <w:noProof/>
          </w:rPr>
          <w:fldChar w:fldCharType="end"/>
        </w:r>
      </w:p>
    </w:sdtContent>
  </w:sdt>
  <w:p w:rsidR="00A87A14" w:rsidRDefault="00A87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A14" w:rsidRDefault="00A87A14">
    <w:pPr>
      <w:pStyle w:val="Footer"/>
      <w:jc w:val="right"/>
    </w:pPr>
  </w:p>
  <w:p w:rsidR="00A87A14" w:rsidRDefault="00A87A14">
    <w:pP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1160923"/>
      <w:docPartObj>
        <w:docPartGallery w:val="Page Numbers (Bottom of Page)"/>
        <w:docPartUnique/>
      </w:docPartObj>
    </w:sdtPr>
    <w:sdtEndPr>
      <w:rPr>
        <w:noProof/>
      </w:rPr>
    </w:sdtEndPr>
    <w:sdtContent>
      <w:p w:rsidR="00A87A14" w:rsidRDefault="00A87A14">
        <w:pPr>
          <w:pStyle w:val="Footer"/>
          <w:jc w:val="right"/>
        </w:pPr>
        <w:r>
          <w:fldChar w:fldCharType="begin"/>
        </w:r>
        <w:r>
          <w:instrText xml:space="preserve"> PAGE   \* MERGEFORMAT </w:instrText>
        </w:r>
        <w:r>
          <w:fldChar w:fldCharType="separate"/>
        </w:r>
        <w:r w:rsidR="009B21F2">
          <w:rPr>
            <w:noProof/>
          </w:rPr>
          <w:t>i</w:t>
        </w:r>
        <w:r>
          <w:rPr>
            <w:noProof/>
          </w:rPr>
          <w:fldChar w:fldCharType="end"/>
        </w:r>
      </w:p>
    </w:sdtContent>
  </w:sdt>
  <w:p w:rsidR="00A87A14" w:rsidRDefault="00A87A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956025"/>
      <w:docPartObj>
        <w:docPartGallery w:val="Page Numbers (Bottom of Page)"/>
        <w:docPartUnique/>
      </w:docPartObj>
    </w:sdtPr>
    <w:sdtEndPr>
      <w:rPr>
        <w:noProof/>
      </w:rPr>
    </w:sdtEndPr>
    <w:sdtContent>
      <w:p w:rsidR="00A87A14" w:rsidRDefault="00A87A14">
        <w:pPr>
          <w:pStyle w:val="Footer"/>
          <w:jc w:val="right"/>
        </w:pPr>
        <w:r>
          <w:fldChar w:fldCharType="begin"/>
        </w:r>
        <w:r>
          <w:instrText xml:space="preserve"> PAGE   \* MERGEFORMAT </w:instrText>
        </w:r>
        <w:r>
          <w:fldChar w:fldCharType="separate"/>
        </w:r>
        <w:r>
          <w:rPr>
            <w:noProof/>
          </w:rPr>
          <w:t>161</w:t>
        </w:r>
        <w:r>
          <w:rPr>
            <w:noProof/>
          </w:rPr>
          <w:fldChar w:fldCharType="end"/>
        </w:r>
      </w:p>
    </w:sdtContent>
  </w:sdt>
  <w:p w:rsidR="00A87A14" w:rsidRDefault="00A87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A14" w:rsidRDefault="00A87A14" w:rsidP="00837B74">
      <w:pPr>
        <w:spacing w:after="0" w:line="240" w:lineRule="auto"/>
      </w:pPr>
      <w:r>
        <w:separator/>
      </w:r>
    </w:p>
  </w:footnote>
  <w:footnote w:type="continuationSeparator" w:id="0">
    <w:p w:rsidR="00A87A14" w:rsidRDefault="00A87A14" w:rsidP="00837B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623E"/>
    <w:multiLevelType w:val="hybridMultilevel"/>
    <w:tmpl w:val="52C85A00"/>
    <w:lvl w:ilvl="0" w:tplc="08090001">
      <w:start w:val="1"/>
      <w:numFmt w:val="bullet"/>
      <w:lvlText w:val=""/>
      <w:lvlJc w:val="left"/>
      <w:pPr>
        <w:ind w:left="142" w:hanging="360"/>
      </w:pPr>
      <w:rPr>
        <w:rFonts w:ascii="Symbol" w:hAnsi="Symbol" w:hint="default"/>
      </w:rPr>
    </w:lvl>
    <w:lvl w:ilvl="1" w:tplc="08090003" w:tentative="1">
      <w:start w:val="1"/>
      <w:numFmt w:val="bullet"/>
      <w:lvlText w:val="o"/>
      <w:lvlJc w:val="left"/>
      <w:pPr>
        <w:ind w:left="862" w:hanging="360"/>
      </w:pPr>
      <w:rPr>
        <w:rFonts w:ascii="Courier New" w:hAnsi="Courier New" w:cs="Courier New"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1" w15:restartNumberingAfterBreak="0">
    <w:nsid w:val="03E0554F"/>
    <w:multiLevelType w:val="hybridMultilevel"/>
    <w:tmpl w:val="031A6476"/>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124105CE"/>
    <w:multiLevelType w:val="hybridMultilevel"/>
    <w:tmpl w:val="AC1C2BBC"/>
    <w:lvl w:ilvl="0" w:tplc="0809000F">
      <w:start w:val="1"/>
      <w:numFmt w:val="decimal"/>
      <w:lvlText w:val="%1."/>
      <w:lvlJc w:val="left"/>
      <w:pPr>
        <w:ind w:left="-134" w:hanging="360"/>
      </w:pPr>
    </w:lvl>
    <w:lvl w:ilvl="1" w:tplc="08090019" w:tentative="1">
      <w:start w:val="1"/>
      <w:numFmt w:val="lowerLetter"/>
      <w:lvlText w:val="%2."/>
      <w:lvlJc w:val="left"/>
      <w:pPr>
        <w:ind w:left="586" w:hanging="360"/>
      </w:pPr>
    </w:lvl>
    <w:lvl w:ilvl="2" w:tplc="0809001B" w:tentative="1">
      <w:start w:val="1"/>
      <w:numFmt w:val="lowerRoman"/>
      <w:lvlText w:val="%3."/>
      <w:lvlJc w:val="right"/>
      <w:pPr>
        <w:ind w:left="1306" w:hanging="180"/>
      </w:pPr>
    </w:lvl>
    <w:lvl w:ilvl="3" w:tplc="0809000F" w:tentative="1">
      <w:start w:val="1"/>
      <w:numFmt w:val="decimal"/>
      <w:lvlText w:val="%4."/>
      <w:lvlJc w:val="left"/>
      <w:pPr>
        <w:ind w:left="2026" w:hanging="360"/>
      </w:pPr>
    </w:lvl>
    <w:lvl w:ilvl="4" w:tplc="08090019" w:tentative="1">
      <w:start w:val="1"/>
      <w:numFmt w:val="lowerLetter"/>
      <w:lvlText w:val="%5."/>
      <w:lvlJc w:val="left"/>
      <w:pPr>
        <w:ind w:left="2746" w:hanging="360"/>
      </w:pPr>
    </w:lvl>
    <w:lvl w:ilvl="5" w:tplc="0809001B" w:tentative="1">
      <w:start w:val="1"/>
      <w:numFmt w:val="lowerRoman"/>
      <w:lvlText w:val="%6."/>
      <w:lvlJc w:val="right"/>
      <w:pPr>
        <w:ind w:left="3466" w:hanging="180"/>
      </w:pPr>
    </w:lvl>
    <w:lvl w:ilvl="6" w:tplc="0809000F" w:tentative="1">
      <w:start w:val="1"/>
      <w:numFmt w:val="decimal"/>
      <w:lvlText w:val="%7."/>
      <w:lvlJc w:val="left"/>
      <w:pPr>
        <w:ind w:left="4186" w:hanging="360"/>
      </w:pPr>
    </w:lvl>
    <w:lvl w:ilvl="7" w:tplc="08090019" w:tentative="1">
      <w:start w:val="1"/>
      <w:numFmt w:val="lowerLetter"/>
      <w:lvlText w:val="%8."/>
      <w:lvlJc w:val="left"/>
      <w:pPr>
        <w:ind w:left="4906" w:hanging="360"/>
      </w:pPr>
    </w:lvl>
    <w:lvl w:ilvl="8" w:tplc="0809001B" w:tentative="1">
      <w:start w:val="1"/>
      <w:numFmt w:val="lowerRoman"/>
      <w:lvlText w:val="%9."/>
      <w:lvlJc w:val="right"/>
      <w:pPr>
        <w:ind w:left="5626" w:hanging="180"/>
      </w:pPr>
    </w:lvl>
  </w:abstractNum>
  <w:abstractNum w:abstractNumId="3" w15:restartNumberingAfterBreak="0">
    <w:nsid w:val="1450060F"/>
    <w:multiLevelType w:val="hybridMultilevel"/>
    <w:tmpl w:val="2B060174"/>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4" w15:restartNumberingAfterBreak="0">
    <w:nsid w:val="1E000BFD"/>
    <w:multiLevelType w:val="hybridMultilevel"/>
    <w:tmpl w:val="241EEAE0"/>
    <w:lvl w:ilvl="0" w:tplc="08090001">
      <w:start w:val="1"/>
      <w:numFmt w:val="bullet"/>
      <w:lvlText w:val=""/>
      <w:lvlJc w:val="left"/>
      <w:pPr>
        <w:ind w:left="1741" w:hanging="360"/>
      </w:pPr>
      <w:rPr>
        <w:rFonts w:ascii="Symbol" w:hAnsi="Symbol" w:hint="default"/>
      </w:rPr>
    </w:lvl>
    <w:lvl w:ilvl="1" w:tplc="08090003" w:tentative="1">
      <w:start w:val="1"/>
      <w:numFmt w:val="bullet"/>
      <w:lvlText w:val="o"/>
      <w:lvlJc w:val="left"/>
      <w:pPr>
        <w:ind w:left="2461" w:hanging="360"/>
      </w:pPr>
      <w:rPr>
        <w:rFonts w:ascii="Courier New" w:hAnsi="Courier New" w:cs="Courier New" w:hint="default"/>
      </w:rPr>
    </w:lvl>
    <w:lvl w:ilvl="2" w:tplc="08090005" w:tentative="1">
      <w:start w:val="1"/>
      <w:numFmt w:val="bullet"/>
      <w:lvlText w:val=""/>
      <w:lvlJc w:val="left"/>
      <w:pPr>
        <w:ind w:left="3181" w:hanging="360"/>
      </w:pPr>
      <w:rPr>
        <w:rFonts w:ascii="Wingdings" w:hAnsi="Wingdings" w:hint="default"/>
      </w:rPr>
    </w:lvl>
    <w:lvl w:ilvl="3" w:tplc="08090001" w:tentative="1">
      <w:start w:val="1"/>
      <w:numFmt w:val="bullet"/>
      <w:lvlText w:val=""/>
      <w:lvlJc w:val="left"/>
      <w:pPr>
        <w:ind w:left="3901" w:hanging="360"/>
      </w:pPr>
      <w:rPr>
        <w:rFonts w:ascii="Symbol" w:hAnsi="Symbol" w:hint="default"/>
      </w:rPr>
    </w:lvl>
    <w:lvl w:ilvl="4" w:tplc="08090003" w:tentative="1">
      <w:start w:val="1"/>
      <w:numFmt w:val="bullet"/>
      <w:lvlText w:val="o"/>
      <w:lvlJc w:val="left"/>
      <w:pPr>
        <w:ind w:left="4621" w:hanging="360"/>
      </w:pPr>
      <w:rPr>
        <w:rFonts w:ascii="Courier New" w:hAnsi="Courier New" w:cs="Courier New" w:hint="default"/>
      </w:rPr>
    </w:lvl>
    <w:lvl w:ilvl="5" w:tplc="08090005" w:tentative="1">
      <w:start w:val="1"/>
      <w:numFmt w:val="bullet"/>
      <w:lvlText w:val=""/>
      <w:lvlJc w:val="left"/>
      <w:pPr>
        <w:ind w:left="5341" w:hanging="360"/>
      </w:pPr>
      <w:rPr>
        <w:rFonts w:ascii="Wingdings" w:hAnsi="Wingdings" w:hint="default"/>
      </w:rPr>
    </w:lvl>
    <w:lvl w:ilvl="6" w:tplc="08090001" w:tentative="1">
      <w:start w:val="1"/>
      <w:numFmt w:val="bullet"/>
      <w:lvlText w:val=""/>
      <w:lvlJc w:val="left"/>
      <w:pPr>
        <w:ind w:left="6061" w:hanging="360"/>
      </w:pPr>
      <w:rPr>
        <w:rFonts w:ascii="Symbol" w:hAnsi="Symbol" w:hint="default"/>
      </w:rPr>
    </w:lvl>
    <w:lvl w:ilvl="7" w:tplc="08090003" w:tentative="1">
      <w:start w:val="1"/>
      <w:numFmt w:val="bullet"/>
      <w:lvlText w:val="o"/>
      <w:lvlJc w:val="left"/>
      <w:pPr>
        <w:ind w:left="6781" w:hanging="360"/>
      </w:pPr>
      <w:rPr>
        <w:rFonts w:ascii="Courier New" w:hAnsi="Courier New" w:cs="Courier New" w:hint="default"/>
      </w:rPr>
    </w:lvl>
    <w:lvl w:ilvl="8" w:tplc="08090005" w:tentative="1">
      <w:start w:val="1"/>
      <w:numFmt w:val="bullet"/>
      <w:lvlText w:val=""/>
      <w:lvlJc w:val="left"/>
      <w:pPr>
        <w:ind w:left="7501" w:hanging="360"/>
      </w:pPr>
      <w:rPr>
        <w:rFonts w:ascii="Wingdings" w:hAnsi="Wingdings" w:hint="default"/>
      </w:rPr>
    </w:lvl>
  </w:abstractNum>
  <w:abstractNum w:abstractNumId="5" w15:restartNumberingAfterBreak="0">
    <w:nsid w:val="43224106"/>
    <w:multiLevelType w:val="hybridMultilevel"/>
    <w:tmpl w:val="730C0FD6"/>
    <w:lvl w:ilvl="0" w:tplc="0809000F">
      <w:start w:val="1"/>
      <w:numFmt w:val="decimal"/>
      <w:lvlText w:val="%1."/>
      <w:lvlJc w:val="left"/>
      <w:pPr>
        <w:ind w:left="1352" w:hanging="360"/>
      </w:pPr>
    </w:lvl>
    <w:lvl w:ilvl="1" w:tplc="08090019" w:tentative="1">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6" w15:restartNumberingAfterBreak="0">
    <w:nsid w:val="585D2070"/>
    <w:multiLevelType w:val="hybridMultilevel"/>
    <w:tmpl w:val="51D4BC5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7" w15:restartNumberingAfterBreak="0">
    <w:nsid w:val="6B77754F"/>
    <w:multiLevelType w:val="hybridMultilevel"/>
    <w:tmpl w:val="42FE58F2"/>
    <w:lvl w:ilvl="0" w:tplc="9E140430">
      <w:start w:val="1"/>
      <w:numFmt w:val="bullet"/>
      <w:lvlText w:val="•"/>
      <w:lvlJc w:val="left"/>
      <w:pPr>
        <w:tabs>
          <w:tab w:val="num" w:pos="502"/>
        </w:tabs>
        <w:ind w:left="502" w:hanging="360"/>
      </w:pPr>
      <w:rPr>
        <w:rFonts w:ascii="Arial" w:hAnsi="Arial" w:hint="default"/>
      </w:rPr>
    </w:lvl>
    <w:lvl w:ilvl="1" w:tplc="EFF64462" w:tentative="1">
      <w:start w:val="1"/>
      <w:numFmt w:val="bullet"/>
      <w:lvlText w:val="•"/>
      <w:lvlJc w:val="left"/>
      <w:pPr>
        <w:tabs>
          <w:tab w:val="num" w:pos="1222"/>
        </w:tabs>
        <w:ind w:left="1222" w:hanging="360"/>
      </w:pPr>
      <w:rPr>
        <w:rFonts w:ascii="Arial" w:hAnsi="Arial" w:hint="default"/>
      </w:rPr>
    </w:lvl>
    <w:lvl w:ilvl="2" w:tplc="EFE2399E" w:tentative="1">
      <w:start w:val="1"/>
      <w:numFmt w:val="bullet"/>
      <w:lvlText w:val="•"/>
      <w:lvlJc w:val="left"/>
      <w:pPr>
        <w:tabs>
          <w:tab w:val="num" w:pos="1942"/>
        </w:tabs>
        <w:ind w:left="1942" w:hanging="360"/>
      </w:pPr>
      <w:rPr>
        <w:rFonts w:ascii="Arial" w:hAnsi="Arial" w:hint="default"/>
      </w:rPr>
    </w:lvl>
    <w:lvl w:ilvl="3" w:tplc="E9645582" w:tentative="1">
      <w:start w:val="1"/>
      <w:numFmt w:val="bullet"/>
      <w:lvlText w:val="•"/>
      <w:lvlJc w:val="left"/>
      <w:pPr>
        <w:tabs>
          <w:tab w:val="num" w:pos="2662"/>
        </w:tabs>
        <w:ind w:left="2662" w:hanging="360"/>
      </w:pPr>
      <w:rPr>
        <w:rFonts w:ascii="Arial" w:hAnsi="Arial" w:hint="default"/>
      </w:rPr>
    </w:lvl>
    <w:lvl w:ilvl="4" w:tplc="F7AC1EDC" w:tentative="1">
      <w:start w:val="1"/>
      <w:numFmt w:val="bullet"/>
      <w:lvlText w:val="•"/>
      <w:lvlJc w:val="left"/>
      <w:pPr>
        <w:tabs>
          <w:tab w:val="num" w:pos="3382"/>
        </w:tabs>
        <w:ind w:left="3382" w:hanging="360"/>
      </w:pPr>
      <w:rPr>
        <w:rFonts w:ascii="Arial" w:hAnsi="Arial" w:hint="default"/>
      </w:rPr>
    </w:lvl>
    <w:lvl w:ilvl="5" w:tplc="48101B0A" w:tentative="1">
      <w:start w:val="1"/>
      <w:numFmt w:val="bullet"/>
      <w:lvlText w:val="•"/>
      <w:lvlJc w:val="left"/>
      <w:pPr>
        <w:tabs>
          <w:tab w:val="num" w:pos="4102"/>
        </w:tabs>
        <w:ind w:left="4102" w:hanging="360"/>
      </w:pPr>
      <w:rPr>
        <w:rFonts w:ascii="Arial" w:hAnsi="Arial" w:hint="default"/>
      </w:rPr>
    </w:lvl>
    <w:lvl w:ilvl="6" w:tplc="9B9ADFE6" w:tentative="1">
      <w:start w:val="1"/>
      <w:numFmt w:val="bullet"/>
      <w:lvlText w:val="•"/>
      <w:lvlJc w:val="left"/>
      <w:pPr>
        <w:tabs>
          <w:tab w:val="num" w:pos="4822"/>
        </w:tabs>
        <w:ind w:left="4822" w:hanging="360"/>
      </w:pPr>
      <w:rPr>
        <w:rFonts w:ascii="Arial" w:hAnsi="Arial" w:hint="default"/>
      </w:rPr>
    </w:lvl>
    <w:lvl w:ilvl="7" w:tplc="12E895BA" w:tentative="1">
      <w:start w:val="1"/>
      <w:numFmt w:val="bullet"/>
      <w:lvlText w:val="•"/>
      <w:lvlJc w:val="left"/>
      <w:pPr>
        <w:tabs>
          <w:tab w:val="num" w:pos="5542"/>
        </w:tabs>
        <w:ind w:left="5542" w:hanging="360"/>
      </w:pPr>
      <w:rPr>
        <w:rFonts w:ascii="Arial" w:hAnsi="Arial" w:hint="default"/>
      </w:rPr>
    </w:lvl>
    <w:lvl w:ilvl="8" w:tplc="8B805648" w:tentative="1">
      <w:start w:val="1"/>
      <w:numFmt w:val="bullet"/>
      <w:lvlText w:val="•"/>
      <w:lvlJc w:val="left"/>
      <w:pPr>
        <w:tabs>
          <w:tab w:val="num" w:pos="6262"/>
        </w:tabs>
        <w:ind w:left="6262" w:hanging="360"/>
      </w:pPr>
      <w:rPr>
        <w:rFonts w:ascii="Arial" w:hAnsi="Arial" w:hint="default"/>
      </w:rPr>
    </w:lvl>
  </w:abstractNum>
  <w:abstractNum w:abstractNumId="8" w15:restartNumberingAfterBreak="0">
    <w:nsid w:val="6E8D7496"/>
    <w:multiLevelType w:val="hybridMultilevel"/>
    <w:tmpl w:val="E13658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F466B9"/>
    <w:multiLevelType w:val="hybridMultilevel"/>
    <w:tmpl w:val="06589B3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0" w15:restartNumberingAfterBreak="0">
    <w:nsid w:val="7E9F7D7F"/>
    <w:multiLevelType w:val="hybridMultilevel"/>
    <w:tmpl w:val="6DD64816"/>
    <w:lvl w:ilvl="0" w:tplc="C714DB18">
      <w:start w:val="1"/>
      <w:numFmt w:val="bullet"/>
      <w:lvlText w:val="•"/>
      <w:lvlJc w:val="left"/>
      <w:pPr>
        <w:tabs>
          <w:tab w:val="num" w:pos="720"/>
        </w:tabs>
        <w:ind w:left="720" w:hanging="360"/>
      </w:pPr>
      <w:rPr>
        <w:rFonts w:ascii="Arial" w:hAnsi="Arial" w:hint="default"/>
      </w:rPr>
    </w:lvl>
    <w:lvl w:ilvl="1" w:tplc="AADC34C6" w:tentative="1">
      <w:start w:val="1"/>
      <w:numFmt w:val="bullet"/>
      <w:lvlText w:val="•"/>
      <w:lvlJc w:val="left"/>
      <w:pPr>
        <w:tabs>
          <w:tab w:val="num" w:pos="1440"/>
        </w:tabs>
        <w:ind w:left="1440" w:hanging="360"/>
      </w:pPr>
      <w:rPr>
        <w:rFonts w:ascii="Arial" w:hAnsi="Arial" w:hint="default"/>
      </w:rPr>
    </w:lvl>
    <w:lvl w:ilvl="2" w:tplc="F80C78BC" w:tentative="1">
      <w:start w:val="1"/>
      <w:numFmt w:val="bullet"/>
      <w:lvlText w:val="•"/>
      <w:lvlJc w:val="left"/>
      <w:pPr>
        <w:tabs>
          <w:tab w:val="num" w:pos="2160"/>
        </w:tabs>
        <w:ind w:left="2160" w:hanging="360"/>
      </w:pPr>
      <w:rPr>
        <w:rFonts w:ascii="Arial" w:hAnsi="Arial" w:hint="default"/>
      </w:rPr>
    </w:lvl>
    <w:lvl w:ilvl="3" w:tplc="376472E6" w:tentative="1">
      <w:start w:val="1"/>
      <w:numFmt w:val="bullet"/>
      <w:lvlText w:val="•"/>
      <w:lvlJc w:val="left"/>
      <w:pPr>
        <w:tabs>
          <w:tab w:val="num" w:pos="2880"/>
        </w:tabs>
        <w:ind w:left="2880" w:hanging="360"/>
      </w:pPr>
      <w:rPr>
        <w:rFonts w:ascii="Arial" w:hAnsi="Arial" w:hint="default"/>
      </w:rPr>
    </w:lvl>
    <w:lvl w:ilvl="4" w:tplc="60E47D88" w:tentative="1">
      <w:start w:val="1"/>
      <w:numFmt w:val="bullet"/>
      <w:lvlText w:val="•"/>
      <w:lvlJc w:val="left"/>
      <w:pPr>
        <w:tabs>
          <w:tab w:val="num" w:pos="3600"/>
        </w:tabs>
        <w:ind w:left="3600" w:hanging="360"/>
      </w:pPr>
      <w:rPr>
        <w:rFonts w:ascii="Arial" w:hAnsi="Arial" w:hint="default"/>
      </w:rPr>
    </w:lvl>
    <w:lvl w:ilvl="5" w:tplc="61E4EAC0" w:tentative="1">
      <w:start w:val="1"/>
      <w:numFmt w:val="bullet"/>
      <w:lvlText w:val="•"/>
      <w:lvlJc w:val="left"/>
      <w:pPr>
        <w:tabs>
          <w:tab w:val="num" w:pos="4320"/>
        </w:tabs>
        <w:ind w:left="4320" w:hanging="360"/>
      </w:pPr>
      <w:rPr>
        <w:rFonts w:ascii="Arial" w:hAnsi="Arial" w:hint="default"/>
      </w:rPr>
    </w:lvl>
    <w:lvl w:ilvl="6" w:tplc="78D4E08E" w:tentative="1">
      <w:start w:val="1"/>
      <w:numFmt w:val="bullet"/>
      <w:lvlText w:val="•"/>
      <w:lvlJc w:val="left"/>
      <w:pPr>
        <w:tabs>
          <w:tab w:val="num" w:pos="5040"/>
        </w:tabs>
        <w:ind w:left="5040" w:hanging="360"/>
      </w:pPr>
      <w:rPr>
        <w:rFonts w:ascii="Arial" w:hAnsi="Arial" w:hint="default"/>
      </w:rPr>
    </w:lvl>
    <w:lvl w:ilvl="7" w:tplc="28C8D238" w:tentative="1">
      <w:start w:val="1"/>
      <w:numFmt w:val="bullet"/>
      <w:lvlText w:val="•"/>
      <w:lvlJc w:val="left"/>
      <w:pPr>
        <w:tabs>
          <w:tab w:val="num" w:pos="5760"/>
        </w:tabs>
        <w:ind w:left="5760" w:hanging="360"/>
      </w:pPr>
      <w:rPr>
        <w:rFonts w:ascii="Arial" w:hAnsi="Arial" w:hint="default"/>
      </w:rPr>
    </w:lvl>
    <w:lvl w:ilvl="8" w:tplc="25F0B2B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8"/>
  </w:num>
  <w:num w:numId="4">
    <w:abstractNumId w:val="1"/>
  </w:num>
  <w:num w:numId="5">
    <w:abstractNumId w:val="4"/>
  </w:num>
  <w:num w:numId="6">
    <w:abstractNumId w:val="0"/>
  </w:num>
  <w:num w:numId="7">
    <w:abstractNumId w:val="5"/>
  </w:num>
  <w:num w:numId="8">
    <w:abstractNumId w:val="9"/>
  </w:num>
  <w:num w:numId="9">
    <w:abstractNumId w:val="10"/>
  </w:num>
  <w:num w:numId="10">
    <w:abstractNumId w:val="7"/>
  </w:num>
  <w:num w:numId="1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A1Nzc0srA0NTM2tjRT0lEKTi0uzszPAykwsagFANV0OhItAAAA"/>
  </w:docVars>
  <w:rsids>
    <w:rsidRoot w:val="00725033"/>
    <w:rsid w:val="00000F97"/>
    <w:rsid w:val="000017B7"/>
    <w:rsid w:val="00002A23"/>
    <w:rsid w:val="000052C0"/>
    <w:rsid w:val="00010496"/>
    <w:rsid w:val="00010E1C"/>
    <w:rsid w:val="00011582"/>
    <w:rsid w:val="000126EA"/>
    <w:rsid w:val="00012CEA"/>
    <w:rsid w:val="00013C40"/>
    <w:rsid w:val="000149D2"/>
    <w:rsid w:val="00021531"/>
    <w:rsid w:val="00021E8F"/>
    <w:rsid w:val="00024033"/>
    <w:rsid w:val="00024C89"/>
    <w:rsid w:val="000251EC"/>
    <w:rsid w:val="000303D5"/>
    <w:rsid w:val="00031AF9"/>
    <w:rsid w:val="00033E31"/>
    <w:rsid w:val="000348A9"/>
    <w:rsid w:val="000365DB"/>
    <w:rsid w:val="00042CB1"/>
    <w:rsid w:val="00042DC5"/>
    <w:rsid w:val="00043774"/>
    <w:rsid w:val="0004784F"/>
    <w:rsid w:val="00050EDF"/>
    <w:rsid w:val="00052FAA"/>
    <w:rsid w:val="000554C3"/>
    <w:rsid w:val="000566B9"/>
    <w:rsid w:val="00060AF5"/>
    <w:rsid w:val="00061596"/>
    <w:rsid w:val="00061E33"/>
    <w:rsid w:val="000642F0"/>
    <w:rsid w:val="00064641"/>
    <w:rsid w:val="00064AC1"/>
    <w:rsid w:val="00065BFD"/>
    <w:rsid w:val="00066487"/>
    <w:rsid w:val="00067404"/>
    <w:rsid w:val="000679E0"/>
    <w:rsid w:val="00072D29"/>
    <w:rsid w:val="0007356A"/>
    <w:rsid w:val="00073E7E"/>
    <w:rsid w:val="00074A01"/>
    <w:rsid w:val="00080E01"/>
    <w:rsid w:val="00082FB0"/>
    <w:rsid w:val="0008671A"/>
    <w:rsid w:val="00086BFA"/>
    <w:rsid w:val="00091AF2"/>
    <w:rsid w:val="000959EB"/>
    <w:rsid w:val="000960D2"/>
    <w:rsid w:val="00097D0C"/>
    <w:rsid w:val="000A2D88"/>
    <w:rsid w:val="000A31E1"/>
    <w:rsid w:val="000A51C9"/>
    <w:rsid w:val="000B1327"/>
    <w:rsid w:val="000B4924"/>
    <w:rsid w:val="000C0887"/>
    <w:rsid w:val="000C1283"/>
    <w:rsid w:val="000C2EFE"/>
    <w:rsid w:val="000C7638"/>
    <w:rsid w:val="000C7C78"/>
    <w:rsid w:val="000C7FB2"/>
    <w:rsid w:val="000D1DE2"/>
    <w:rsid w:val="000D34D4"/>
    <w:rsid w:val="000E2C6C"/>
    <w:rsid w:val="000E3C4A"/>
    <w:rsid w:val="000E5695"/>
    <w:rsid w:val="000E5B4E"/>
    <w:rsid w:val="000E6CDB"/>
    <w:rsid w:val="001000AB"/>
    <w:rsid w:val="001006BF"/>
    <w:rsid w:val="00101C19"/>
    <w:rsid w:val="00102D45"/>
    <w:rsid w:val="00110230"/>
    <w:rsid w:val="00112BA3"/>
    <w:rsid w:val="0011566D"/>
    <w:rsid w:val="0011587B"/>
    <w:rsid w:val="00123892"/>
    <w:rsid w:val="00123DFE"/>
    <w:rsid w:val="00125666"/>
    <w:rsid w:val="001267E3"/>
    <w:rsid w:val="00127A94"/>
    <w:rsid w:val="00130C9D"/>
    <w:rsid w:val="001335B0"/>
    <w:rsid w:val="00133A08"/>
    <w:rsid w:val="0013461A"/>
    <w:rsid w:val="001349FE"/>
    <w:rsid w:val="00135710"/>
    <w:rsid w:val="00140232"/>
    <w:rsid w:val="00141260"/>
    <w:rsid w:val="001413C6"/>
    <w:rsid w:val="00141D36"/>
    <w:rsid w:val="00142CBD"/>
    <w:rsid w:val="00143D01"/>
    <w:rsid w:val="001442D5"/>
    <w:rsid w:val="001469EE"/>
    <w:rsid w:val="00154133"/>
    <w:rsid w:val="00154766"/>
    <w:rsid w:val="001553A7"/>
    <w:rsid w:val="00155E93"/>
    <w:rsid w:val="00155F55"/>
    <w:rsid w:val="001567B7"/>
    <w:rsid w:val="00160E14"/>
    <w:rsid w:val="00162A60"/>
    <w:rsid w:val="00166126"/>
    <w:rsid w:val="001731C5"/>
    <w:rsid w:val="00174AAF"/>
    <w:rsid w:val="001757D1"/>
    <w:rsid w:val="0018125E"/>
    <w:rsid w:val="001816FE"/>
    <w:rsid w:val="0018244C"/>
    <w:rsid w:val="0018262F"/>
    <w:rsid w:val="0018402F"/>
    <w:rsid w:val="00186CD8"/>
    <w:rsid w:val="00187ECB"/>
    <w:rsid w:val="00190FD1"/>
    <w:rsid w:val="001938D4"/>
    <w:rsid w:val="00194971"/>
    <w:rsid w:val="00194B2E"/>
    <w:rsid w:val="00194BE0"/>
    <w:rsid w:val="00194E9F"/>
    <w:rsid w:val="00197992"/>
    <w:rsid w:val="001A225D"/>
    <w:rsid w:val="001A2E9F"/>
    <w:rsid w:val="001A3D96"/>
    <w:rsid w:val="001A5C27"/>
    <w:rsid w:val="001B1298"/>
    <w:rsid w:val="001B2E6D"/>
    <w:rsid w:val="001B32DA"/>
    <w:rsid w:val="001B38E6"/>
    <w:rsid w:val="001B3C7A"/>
    <w:rsid w:val="001B4207"/>
    <w:rsid w:val="001C0F15"/>
    <w:rsid w:val="001C3E14"/>
    <w:rsid w:val="001C7F97"/>
    <w:rsid w:val="001E70FD"/>
    <w:rsid w:val="001F0DB5"/>
    <w:rsid w:val="001F18E8"/>
    <w:rsid w:val="001F2358"/>
    <w:rsid w:val="001F55AF"/>
    <w:rsid w:val="001F62DB"/>
    <w:rsid w:val="001F7EA9"/>
    <w:rsid w:val="00202246"/>
    <w:rsid w:val="002050FC"/>
    <w:rsid w:val="00216B1B"/>
    <w:rsid w:val="00220420"/>
    <w:rsid w:val="00220AB2"/>
    <w:rsid w:val="00220D4F"/>
    <w:rsid w:val="00223381"/>
    <w:rsid w:val="00224EEC"/>
    <w:rsid w:val="00225130"/>
    <w:rsid w:val="00225E19"/>
    <w:rsid w:val="00230FB2"/>
    <w:rsid w:val="002324A0"/>
    <w:rsid w:val="00232AB1"/>
    <w:rsid w:val="00234554"/>
    <w:rsid w:val="00235068"/>
    <w:rsid w:val="00236924"/>
    <w:rsid w:val="00242831"/>
    <w:rsid w:val="00243B34"/>
    <w:rsid w:val="0024500B"/>
    <w:rsid w:val="00247E05"/>
    <w:rsid w:val="0025168E"/>
    <w:rsid w:val="002517BD"/>
    <w:rsid w:val="00251D32"/>
    <w:rsid w:val="00251DBA"/>
    <w:rsid w:val="00254E39"/>
    <w:rsid w:val="002561B2"/>
    <w:rsid w:val="002570D2"/>
    <w:rsid w:val="00261EBF"/>
    <w:rsid w:val="00263870"/>
    <w:rsid w:val="00266AFE"/>
    <w:rsid w:val="0027113C"/>
    <w:rsid w:val="00272485"/>
    <w:rsid w:val="0027329D"/>
    <w:rsid w:val="0027677C"/>
    <w:rsid w:val="00276A78"/>
    <w:rsid w:val="00284357"/>
    <w:rsid w:val="00285126"/>
    <w:rsid w:val="002858A9"/>
    <w:rsid w:val="00291A79"/>
    <w:rsid w:val="00291AF1"/>
    <w:rsid w:val="00291ED0"/>
    <w:rsid w:val="0029585F"/>
    <w:rsid w:val="002972DA"/>
    <w:rsid w:val="002A0AFA"/>
    <w:rsid w:val="002A0EB3"/>
    <w:rsid w:val="002A182F"/>
    <w:rsid w:val="002A605A"/>
    <w:rsid w:val="002B275C"/>
    <w:rsid w:val="002B3E8F"/>
    <w:rsid w:val="002B5C6A"/>
    <w:rsid w:val="002B7A3E"/>
    <w:rsid w:val="002C0DAC"/>
    <w:rsid w:val="002C2462"/>
    <w:rsid w:val="002C2939"/>
    <w:rsid w:val="002C33CC"/>
    <w:rsid w:val="002C4340"/>
    <w:rsid w:val="002C52D3"/>
    <w:rsid w:val="002C5EC6"/>
    <w:rsid w:val="002C63A3"/>
    <w:rsid w:val="002D0857"/>
    <w:rsid w:val="002D0E4F"/>
    <w:rsid w:val="002D1CCC"/>
    <w:rsid w:val="002D1DC9"/>
    <w:rsid w:val="002D4F5C"/>
    <w:rsid w:val="002D68F4"/>
    <w:rsid w:val="002E15A6"/>
    <w:rsid w:val="002E2CAF"/>
    <w:rsid w:val="002E3FF7"/>
    <w:rsid w:val="002E6942"/>
    <w:rsid w:val="002F03D1"/>
    <w:rsid w:val="002F04C6"/>
    <w:rsid w:val="002F1AB5"/>
    <w:rsid w:val="002F2243"/>
    <w:rsid w:val="002F5DE3"/>
    <w:rsid w:val="00302DD8"/>
    <w:rsid w:val="0030585C"/>
    <w:rsid w:val="0030703E"/>
    <w:rsid w:val="00307DAB"/>
    <w:rsid w:val="003131B6"/>
    <w:rsid w:val="003150A0"/>
    <w:rsid w:val="003212DC"/>
    <w:rsid w:val="003218C1"/>
    <w:rsid w:val="00321C24"/>
    <w:rsid w:val="00323635"/>
    <w:rsid w:val="00325823"/>
    <w:rsid w:val="00325D68"/>
    <w:rsid w:val="00327CCC"/>
    <w:rsid w:val="00331072"/>
    <w:rsid w:val="003333B5"/>
    <w:rsid w:val="00335C9B"/>
    <w:rsid w:val="00337C04"/>
    <w:rsid w:val="00341313"/>
    <w:rsid w:val="003442A0"/>
    <w:rsid w:val="0034714E"/>
    <w:rsid w:val="00347235"/>
    <w:rsid w:val="003523A3"/>
    <w:rsid w:val="003562EB"/>
    <w:rsid w:val="00357FD6"/>
    <w:rsid w:val="00360244"/>
    <w:rsid w:val="00363BED"/>
    <w:rsid w:val="00364DDB"/>
    <w:rsid w:val="00364E79"/>
    <w:rsid w:val="00366FEB"/>
    <w:rsid w:val="00367501"/>
    <w:rsid w:val="00371768"/>
    <w:rsid w:val="0037221C"/>
    <w:rsid w:val="00373D88"/>
    <w:rsid w:val="00374867"/>
    <w:rsid w:val="00377065"/>
    <w:rsid w:val="003770F3"/>
    <w:rsid w:val="0037778F"/>
    <w:rsid w:val="003812F0"/>
    <w:rsid w:val="00382E65"/>
    <w:rsid w:val="003A033E"/>
    <w:rsid w:val="003A0829"/>
    <w:rsid w:val="003A0A50"/>
    <w:rsid w:val="003A2DA4"/>
    <w:rsid w:val="003A37F1"/>
    <w:rsid w:val="003A3CAF"/>
    <w:rsid w:val="003A5481"/>
    <w:rsid w:val="003A6527"/>
    <w:rsid w:val="003B2528"/>
    <w:rsid w:val="003B284E"/>
    <w:rsid w:val="003B3353"/>
    <w:rsid w:val="003B4341"/>
    <w:rsid w:val="003B69DF"/>
    <w:rsid w:val="003C0923"/>
    <w:rsid w:val="003C282D"/>
    <w:rsid w:val="003C437A"/>
    <w:rsid w:val="003D0F83"/>
    <w:rsid w:val="003D10DA"/>
    <w:rsid w:val="003D1302"/>
    <w:rsid w:val="003D78EC"/>
    <w:rsid w:val="003D7C7C"/>
    <w:rsid w:val="003E4B0C"/>
    <w:rsid w:val="003E4F22"/>
    <w:rsid w:val="003E6D50"/>
    <w:rsid w:val="00401EC5"/>
    <w:rsid w:val="00402CFD"/>
    <w:rsid w:val="004047A5"/>
    <w:rsid w:val="004048D8"/>
    <w:rsid w:val="00404F24"/>
    <w:rsid w:val="00406B96"/>
    <w:rsid w:val="00411AC8"/>
    <w:rsid w:val="004202C1"/>
    <w:rsid w:val="0042362E"/>
    <w:rsid w:val="00423F14"/>
    <w:rsid w:val="004242D8"/>
    <w:rsid w:val="00430318"/>
    <w:rsid w:val="004317E6"/>
    <w:rsid w:val="00432D1D"/>
    <w:rsid w:val="00433054"/>
    <w:rsid w:val="0043414F"/>
    <w:rsid w:val="0044702D"/>
    <w:rsid w:val="004476F9"/>
    <w:rsid w:val="004478EC"/>
    <w:rsid w:val="00450E05"/>
    <w:rsid w:val="00450FD6"/>
    <w:rsid w:val="004657C1"/>
    <w:rsid w:val="00465A88"/>
    <w:rsid w:val="004661D8"/>
    <w:rsid w:val="00472B77"/>
    <w:rsid w:val="00472BBA"/>
    <w:rsid w:val="0047356A"/>
    <w:rsid w:val="00473C77"/>
    <w:rsid w:val="00474FA2"/>
    <w:rsid w:val="00475246"/>
    <w:rsid w:val="00475797"/>
    <w:rsid w:val="00476553"/>
    <w:rsid w:val="00476D08"/>
    <w:rsid w:val="00477FEA"/>
    <w:rsid w:val="00483239"/>
    <w:rsid w:val="004843D3"/>
    <w:rsid w:val="004849AE"/>
    <w:rsid w:val="0048570A"/>
    <w:rsid w:val="00486520"/>
    <w:rsid w:val="00486E52"/>
    <w:rsid w:val="004875E4"/>
    <w:rsid w:val="004904E2"/>
    <w:rsid w:val="004906D5"/>
    <w:rsid w:val="00491997"/>
    <w:rsid w:val="00492497"/>
    <w:rsid w:val="00493A2D"/>
    <w:rsid w:val="00494AC6"/>
    <w:rsid w:val="004978B7"/>
    <w:rsid w:val="00497E06"/>
    <w:rsid w:val="004A0783"/>
    <w:rsid w:val="004A0B4C"/>
    <w:rsid w:val="004A1D8B"/>
    <w:rsid w:val="004A39F9"/>
    <w:rsid w:val="004A421F"/>
    <w:rsid w:val="004A57D4"/>
    <w:rsid w:val="004A710D"/>
    <w:rsid w:val="004B5BD9"/>
    <w:rsid w:val="004B604B"/>
    <w:rsid w:val="004C2CA2"/>
    <w:rsid w:val="004C61F4"/>
    <w:rsid w:val="004D43D2"/>
    <w:rsid w:val="004D44F5"/>
    <w:rsid w:val="004D51DA"/>
    <w:rsid w:val="004D6026"/>
    <w:rsid w:val="004D6F91"/>
    <w:rsid w:val="004D707A"/>
    <w:rsid w:val="004D76E5"/>
    <w:rsid w:val="004E1081"/>
    <w:rsid w:val="004E1974"/>
    <w:rsid w:val="004E3710"/>
    <w:rsid w:val="004E7B73"/>
    <w:rsid w:val="004F14A1"/>
    <w:rsid w:val="004F1B1C"/>
    <w:rsid w:val="004F1C02"/>
    <w:rsid w:val="0050243C"/>
    <w:rsid w:val="0050727F"/>
    <w:rsid w:val="005075AB"/>
    <w:rsid w:val="00507708"/>
    <w:rsid w:val="00510540"/>
    <w:rsid w:val="005171D0"/>
    <w:rsid w:val="0052259A"/>
    <w:rsid w:val="005230FC"/>
    <w:rsid w:val="00523469"/>
    <w:rsid w:val="005245BA"/>
    <w:rsid w:val="00530160"/>
    <w:rsid w:val="00532C01"/>
    <w:rsid w:val="005344CB"/>
    <w:rsid w:val="00534BB1"/>
    <w:rsid w:val="005365CE"/>
    <w:rsid w:val="00537B8B"/>
    <w:rsid w:val="00537FBA"/>
    <w:rsid w:val="005415B8"/>
    <w:rsid w:val="00541ABF"/>
    <w:rsid w:val="00547002"/>
    <w:rsid w:val="0055142E"/>
    <w:rsid w:val="00551C8A"/>
    <w:rsid w:val="00551E0B"/>
    <w:rsid w:val="005530EB"/>
    <w:rsid w:val="00557053"/>
    <w:rsid w:val="005629BA"/>
    <w:rsid w:val="00563590"/>
    <w:rsid w:val="00563D9A"/>
    <w:rsid w:val="00564372"/>
    <w:rsid w:val="00564D2F"/>
    <w:rsid w:val="005668F6"/>
    <w:rsid w:val="005700A5"/>
    <w:rsid w:val="00570F51"/>
    <w:rsid w:val="00572DD3"/>
    <w:rsid w:val="00572E40"/>
    <w:rsid w:val="005739F8"/>
    <w:rsid w:val="005742B8"/>
    <w:rsid w:val="0057473E"/>
    <w:rsid w:val="005752CE"/>
    <w:rsid w:val="005753AD"/>
    <w:rsid w:val="00575D30"/>
    <w:rsid w:val="00580FC0"/>
    <w:rsid w:val="00582A5E"/>
    <w:rsid w:val="00582A60"/>
    <w:rsid w:val="00583ACD"/>
    <w:rsid w:val="00586882"/>
    <w:rsid w:val="00587853"/>
    <w:rsid w:val="005A0152"/>
    <w:rsid w:val="005A11C8"/>
    <w:rsid w:val="005A2629"/>
    <w:rsid w:val="005A7D7E"/>
    <w:rsid w:val="005A7E81"/>
    <w:rsid w:val="005B3004"/>
    <w:rsid w:val="005B494E"/>
    <w:rsid w:val="005B4963"/>
    <w:rsid w:val="005B590C"/>
    <w:rsid w:val="005B6282"/>
    <w:rsid w:val="005B7A4F"/>
    <w:rsid w:val="005C3337"/>
    <w:rsid w:val="005C4DA0"/>
    <w:rsid w:val="005C5BDD"/>
    <w:rsid w:val="005C6985"/>
    <w:rsid w:val="005C6B5E"/>
    <w:rsid w:val="005D353E"/>
    <w:rsid w:val="005D656B"/>
    <w:rsid w:val="005D7EDD"/>
    <w:rsid w:val="005E5A8B"/>
    <w:rsid w:val="005E64DB"/>
    <w:rsid w:val="005E66C7"/>
    <w:rsid w:val="005F01D7"/>
    <w:rsid w:val="005F29A9"/>
    <w:rsid w:val="005F329B"/>
    <w:rsid w:val="005F3F09"/>
    <w:rsid w:val="005F4E2E"/>
    <w:rsid w:val="006022F3"/>
    <w:rsid w:val="0060406C"/>
    <w:rsid w:val="006041E9"/>
    <w:rsid w:val="006059B3"/>
    <w:rsid w:val="00606BF9"/>
    <w:rsid w:val="00607767"/>
    <w:rsid w:val="00611E95"/>
    <w:rsid w:val="00612BBA"/>
    <w:rsid w:val="006140EA"/>
    <w:rsid w:val="00617A92"/>
    <w:rsid w:val="006216D3"/>
    <w:rsid w:val="006238A2"/>
    <w:rsid w:val="0062604C"/>
    <w:rsid w:val="00630747"/>
    <w:rsid w:val="00634F67"/>
    <w:rsid w:val="00642631"/>
    <w:rsid w:val="00644DB9"/>
    <w:rsid w:val="00645718"/>
    <w:rsid w:val="00647DBC"/>
    <w:rsid w:val="00650715"/>
    <w:rsid w:val="00651475"/>
    <w:rsid w:val="006516FE"/>
    <w:rsid w:val="00654477"/>
    <w:rsid w:val="00655193"/>
    <w:rsid w:val="00656235"/>
    <w:rsid w:val="00656F49"/>
    <w:rsid w:val="0065715B"/>
    <w:rsid w:val="00666F5D"/>
    <w:rsid w:val="00670974"/>
    <w:rsid w:val="00673148"/>
    <w:rsid w:val="00675534"/>
    <w:rsid w:val="00686363"/>
    <w:rsid w:val="006900F1"/>
    <w:rsid w:val="006913A1"/>
    <w:rsid w:val="00692C15"/>
    <w:rsid w:val="006938BE"/>
    <w:rsid w:val="00693B61"/>
    <w:rsid w:val="006948F4"/>
    <w:rsid w:val="00695651"/>
    <w:rsid w:val="006A4551"/>
    <w:rsid w:val="006A5497"/>
    <w:rsid w:val="006A5F53"/>
    <w:rsid w:val="006A7E33"/>
    <w:rsid w:val="006B4D49"/>
    <w:rsid w:val="006B6DAB"/>
    <w:rsid w:val="006C029C"/>
    <w:rsid w:val="006C0307"/>
    <w:rsid w:val="006C29A7"/>
    <w:rsid w:val="006C4D73"/>
    <w:rsid w:val="006C5525"/>
    <w:rsid w:val="006C627D"/>
    <w:rsid w:val="006C62E5"/>
    <w:rsid w:val="006C67C1"/>
    <w:rsid w:val="006D2EE9"/>
    <w:rsid w:val="006D3673"/>
    <w:rsid w:val="006E5511"/>
    <w:rsid w:val="006E7815"/>
    <w:rsid w:val="006F1273"/>
    <w:rsid w:val="006F2062"/>
    <w:rsid w:val="006F3A7E"/>
    <w:rsid w:val="006F46C7"/>
    <w:rsid w:val="006F4D72"/>
    <w:rsid w:val="0070012E"/>
    <w:rsid w:val="0070090A"/>
    <w:rsid w:val="00704869"/>
    <w:rsid w:val="007057B3"/>
    <w:rsid w:val="0070684E"/>
    <w:rsid w:val="00713C05"/>
    <w:rsid w:val="00713D9F"/>
    <w:rsid w:val="0071546E"/>
    <w:rsid w:val="00716257"/>
    <w:rsid w:val="007164A1"/>
    <w:rsid w:val="00717D35"/>
    <w:rsid w:val="0072025F"/>
    <w:rsid w:val="0072348E"/>
    <w:rsid w:val="00725033"/>
    <w:rsid w:val="00731DBE"/>
    <w:rsid w:val="00733488"/>
    <w:rsid w:val="00735F19"/>
    <w:rsid w:val="007367B1"/>
    <w:rsid w:val="00741984"/>
    <w:rsid w:val="007426C7"/>
    <w:rsid w:val="007450AF"/>
    <w:rsid w:val="00746D40"/>
    <w:rsid w:val="007551C6"/>
    <w:rsid w:val="0075591E"/>
    <w:rsid w:val="00756FD8"/>
    <w:rsid w:val="0076118A"/>
    <w:rsid w:val="007678FB"/>
    <w:rsid w:val="00770656"/>
    <w:rsid w:val="007805F3"/>
    <w:rsid w:val="00783BD7"/>
    <w:rsid w:val="00785663"/>
    <w:rsid w:val="007A12C3"/>
    <w:rsid w:val="007A4A46"/>
    <w:rsid w:val="007A4D4D"/>
    <w:rsid w:val="007A5C6F"/>
    <w:rsid w:val="007A6B60"/>
    <w:rsid w:val="007A7F30"/>
    <w:rsid w:val="007B2104"/>
    <w:rsid w:val="007B33BE"/>
    <w:rsid w:val="007B3B9C"/>
    <w:rsid w:val="007B4B9B"/>
    <w:rsid w:val="007B5A5E"/>
    <w:rsid w:val="007B5D39"/>
    <w:rsid w:val="007B69E3"/>
    <w:rsid w:val="007B7DD9"/>
    <w:rsid w:val="007C31EC"/>
    <w:rsid w:val="007C3682"/>
    <w:rsid w:val="007C3A88"/>
    <w:rsid w:val="007C4367"/>
    <w:rsid w:val="007D08AE"/>
    <w:rsid w:val="007D0EF7"/>
    <w:rsid w:val="007D118F"/>
    <w:rsid w:val="007D50D1"/>
    <w:rsid w:val="007D59C1"/>
    <w:rsid w:val="007D636E"/>
    <w:rsid w:val="007D7D7D"/>
    <w:rsid w:val="007E3461"/>
    <w:rsid w:val="007E5D69"/>
    <w:rsid w:val="007E60C6"/>
    <w:rsid w:val="007F23A0"/>
    <w:rsid w:val="007F3531"/>
    <w:rsid w:val="007F6B6B"/>
    <w:rsid w:val="007F6C70"/>
    <w:rsid w:val="007F754F"/>
    <w:rsid w:val="007F7881"/>
    <w:rsid w:val="00800DF8"/>
    <w:rsid w:val="00800EF9"/>
    <w:rsid w:val="00806475"/>
    <w:rsid w:val="0081057B"/>
    <w:rsid w:val="00812AD2"/>
    <w:rsid w:val="0081523C"/>
    <w:rsid w:val="00815E8D"/>
    <w:rsid w:val="008162DC"/>
    <w:rsid w:val="00817F1E"/>
    <w:rsid w:val="00820BA2"/>
    <w:rsid w:val="0082207D"/>
    <w:rsid w:val="008236AE"/>
    <w:rsid w:val="00830667"/>
    <w:rsid w:val="008312BB"/>
    <w:rsid w:val="00832C20"/>
    <w:rsid w:val="008330E9"/>
    <w:rsid w:val="0083587C"/>
    <w:rsid w:val="00837B74"/>
    <w:rsid w:val="00840356"/>
    <w:rsid w:val="008435EE"/>
    <w:rsid w:val="00845E6F"/>
    <w:rsid w:val="00846460"/>
    <w:rsid w:val="0084661A"/>
    <w:rsid w:val="00847C81"/>
    <w:rsid w:val="0085343E"/>
    <w:rsid w:val="0085428D"/>
    <w:rsid w:val="00855EC2"/>
    <w:rsid w:val="00856CAA"/>
    <w:rsid w:val="00856E47"/>
    <w:rsid w:val="00860B7E"/>
    <w:rsid w:val="0086430E"/>
    <w:rsid w:val="00865F97"/>
    <w:rsid w:val="008714A8"/>
    <w:rsid w:val="008817CF"/>
    <w:rsid w:val="008823D8"/>
    <w:rsid w:val="0088333A"/>
    <w:rsid w:val="00884026"/>
    <w:rsid w:val="00885205"/>
    <w:rsid w:val="00885D23"/>
    <w:rsid w:val="00887A62"/>
    <w:rsid w:val="008923EA"/>
    <w:rsid w:val="00892FA9"/>
    <w:rsid w:val="00895657"/>
    <w:rsid w:val="008B14FD"/>
    <w:rsid w:val="008B2CE5"/>
    <w:rsid w:val="008B7C37"/>
    <w:rsid w:val="008C4FB6"/>
    <w:rsid w:val="008C5542"/>
    <w:rsid w:val="008C6948"/>
    <w:rsid w:val="008D3885"/>
    <w:rsid w:val="008D3EBB"/>
    <w:rsid w:val="008D4E13"/>
    <w:rsid w:val="008E067C"/>
    <w:rsid w:val="008E1AEC"/>
    <w:rsid w:val="008E1DF2"/>
    <w:rsid w:val="008E4153"/>
    <w:rsid w:val="008E4AB1"/>
    <w:rsid w:val="008E4EA0"/>
    <w:rsid w:val="008F003F"/>
    <w:rsid w:val="008F2275"/>
    <w:rsid w:val="008F5E1E"/>
    <w:rsid w:val="008F6501"/>
    <w:rsid w:val="008F70BD"/>
    <w:rsid w:val="0090425F"/>
    <w:rsid w:val="00904BAD"/>
    <w:rsid w:val="00905B7A"/>
    <w:rsid w:val="00921EA6"/>
    <w:rsid w:val="00927C15"/>
    <w:rsid w:val="00930EFE"/>
    <w:rsid w:val="00934708"/>
    <w:rsid w:val="00940E0F"/>
    <w:rsid w:val="00941F45"/>
    <w:rsid w:val="00942774"/>
    <w:rsid w:val="00942CEA"/>
    <w:rsid w:val="009465D3"/>
    <w:rsid w:val="009472BA"/>
    <w:rsid w:val="00950E64"/>
    <w:rsid w:val="00951412"/>
    <w:rsid w:val="009543C1"/>
    <w:rsid w:val="00954CAD"/>
    <w:rsid w:val="00956334"/>
    <w:rsid w:val="00957515"/>
    <w:rsid w:val="009606C4"/>
    <w:rsid w:val="00962834"/>
    <w:rsid w:val="00962CFC"/>
    <w:rsid w:val="00964761"/>
    <w:rsid w:val="00973DA7"/>
    <w:rsid w:val="00976607"/>
    <w:rsid w:val="009802F7"/>
    <w:rsid w:val="00982816"/>
    <w:rsid w:val="00985DC8"/>
    <w:rsid w:val="009861B7"/>
    <w:rsid w:val="009904D7"/>
    <w:rsid w:val="009949FE"/>
    <w:rsid w:val="00996F12"/>
    <w:rsid w:val="009A31B3"/>
    <w:rsid w:val="009B21F2"/>
    <w:rsid w:val="009B2AD9"/>
    <w:rsid w:val="009B3E7C"/>
    <w:rsid w:val="009B47EB"/>
    <w:rsid w:val="009B5579"/>
    <w:rsid w:val="009B61B6"/>
    <w:rsid w:val="009B7013"/>
    <w:rsid w:val="009B72CC"/>
    <w:rsid w:val="009B762A"/>
    <w:rsid w:val="009C1359"/>
    <w:rsid w:val="009C2D9B"/>
    <w:rsid w:val="009C494E"/>
    <w:rsid w:val="009D064D"/>
    <w:rsid w:val="009D1770"/>
    <w:rsid w:val="009D18F2"/>
    <w:rsid w:val="009D21F2"/>
    <w:rsid w:val="009D3246"/>
    <w:rsid w:val="009D72C2"/>
    <w:rsid w:val="009D7896"/>
    <w:rsid w:val="009E236E"/>
    <w:rsid w:val="009E3064"/>
    <w:rsid w:val="009E7211"/>
    <w:rsid w:val="009E7D70"/>
    <w:rsid w:val="009F026F"/>
    <w:rsid w:val="009F2D79"/>
    <w:rsid w:val="009F60E8"/>
    <w:rsid w:val="009F6F9E"/>
    <w:rsid w:val="00A00C33"/>
    <w:rsid w:val="00A00CA7"/>
    <w:rsid w:val="00A03707"/>
    <w:rsid w:val="00A03908"/>
    <w:rsid w:val="00A046DD"/>
    <w:rsid w:val="00A0583B"/>
    <w:rsid w:val="00A066F8"/>
    <w:rsid w:val="00A10D0D"/>
    <w:rsid w:val="00A127FF"/>
    <w:rsid w:val="00A13D0E"/>
    <w:rsid w:val="00A20CFA"/>
    <w:rsid w:val="00A21352"/>
    <w:rsid w:val="00A308F3"/>
    <w:rsid w:val="00A357B2"/>
    <w:rsid w:val="00A37D21"/>
    <w:rsid w:val="00A46C79"/>
    <w:rsid w:val="00A513D8"/>
    <w:rsid w:val="00A51C50"/>
    <w:rsid w:val="00A621FE"/>
    <w:rsid w:val="00A63532"/>
    <w:rsid w:val="00A63A41"/>
    <w:rsid w:val="00A63BD7"/>
    <w:rsid w:val="00A70B71"/>
    <w:rsid w:val="00A7283C"/>
    <w:rsid w:val="00A872D9"/>
    <w:rsid w:val="00A8770D"/>
    <w:rsid w:val="00A87A14"/>
    <w:rsid w:val="00A90844"/>
    <w:rsid w:val="00A9148C"/>
    <w:rsid w:val="00A91D0A"/>
    <w:rsid w:val="00A9507C"/>
    <w:rsid w:val="00A9583A"/>
    <w:rsid w:val="00AA05E2"/>
    <w:rsid w:val="00AA1405"/>
    <w:rsid w:val="00AA173A"/>
    <w:rsid w:val="00AA5453"/>
    <w:rsid w:val="00AA7ACE"/>
    <w:rsid w:val="00AA7F9F"/>
    <w:rsid w:val="00AB2695"/>
    <w:rsid w:val="00AB60A7"/>
    <w:rsid w:val="00AB6609"/>
    <w:rsid w:val="00AC3FAA"/>
    <w:rsid w:val="00AC4671"/>
    <w:rsid w:val="00AC6BC1"/>
    <w:rsid w:val="00AD0E79"/>
    <w:rsid w:val="00AD15C3"/>
    <w:rsid w:val="00AD2301"/>
    <w:rsid w:val="00AD3512"/>
    <w:rsid w:val="00AD7F6D"/>
    <w:rsid w:val="00AE2611"/>
    <w:rsid w:val="00AE3408"/>
    <w:rsid w:val="00AE63BC"/>
    <w:rsid w:val="00AE65D9"/>
    <w:rsid w:val="00AF0E47"/>
    <w:rsid w:val="00AF2191"/>
    <w:rsid w:val="00AF2E3D"/>
    <w:rsid w:val="00AF30C0"/>
    <w:rsid w:val="00B006F0"/>
    <w:rsid w:val="00B02EF5"/>
    <w:rsid w:val="00B1080F"/>
    <w:rsid w:val="00B14F7F"/>
    <w:rsid w:val="00B20031"/>
    <w:rsid w:val="00B228AB"/>
    <w:rsid w:val="00B24288"/>
    <w:rsid w:val="00B24EF3"/>
    <w:rsid w:val="00B25330"/>
    <w:rsid w:val="00B2538C"/>
    <w:rsid w:val="00B26C6B"/>
    <w:rsid w:val="00B27C36"/>
    <w:rsid w:val="00B30252"/>
    <w:rsid w:val="00B33288"/>
    <w:rsid w:val="00B453D9"/>
    <w:rsid w:val="00B47351"/>
    <w:rsid w:val="00B54147"/>
    <w:rsid w:val="00B54C88"/>
    <w:rsid w:val="00B550D9"/>
    <w:rsid w:val="00B56371"/>
    <w:rsid w:val="00B57556"/>
    <w:rsid w:val="00B57E5C"/>
    <w:rsid w:val="00B61BC9"/>
    <w:rsid w:val="00B658CA"/>
    <w:rsid w:val="00B65E23"/>
    <w:rsid w:val="00B70730"/>
    <w:rsid w:val="00B71A46"/>
    <w:rsid w:val="00B71E1D"/>
    <w:rsid w:val="00B72173"/>
    <w:rsid w:val="00B7315E"/>
    <w:rsid w:val="00B73414"/>
    <w:rsid w:val="00B738FA"/>
    <w:rsid w:val="00B73A41"/>
    <w:rsid w:val="00B754AF"/>
    <w:rsid w:val="00B75BF4"/>
    <w:rsid w:val="00B80FC5"/>
    <w:rsid w:val="00B912F5"/>
    <w:rsid w:val="00B96815"/>
    <w:rsid w:val="00BA300B"/>
    <w:rsid w:val="00BA44D7"/>
    <w:rsid w:val="00BA6068"/>
    <w:rsid w:val="00BA68EB"/>
    <w:rsid w:val="00BA723F"/>
    <w:rsid w:val="00BA78E6"/>
    <w:rsid w:val="00BB33D7"/>
    <w:rsid w:val="00BB5A4D"/>
    <w:rsid w:val="00BB5A62"/>
    <w:rsid w:val="00BC0692"/>
    <w:rsid w:val="00BC62DA"/>
    <w:rsid w:val="00BD4DDD"/>
    <w:rsid w:val="00BD5A6F"/>
    <w:rsid w:val="00BE11C1"/>
    <w:rsid w:val="00BE13F1"/>
    <w:rsid w:val="00BE232C"/>
    <w:rsid w:val="00BE782F"/>
    <w:rsid w:val="00BF0AA2"/>
    <w:rsid w:val="00BF0BBB"/>
    <w:rsid w:val="00BF0D11"/>
    <w:rsid w:val="00BF1B6B"/>
    <w:rsid w:val="00BF443C"/>
    <w:rsid w:val="00BF46AD"/>
    <w:rsid w:val="00C0107F"/>
    <w:rsid w:val="00C0197D"/>
    <w:rsid w:val="00C0226E"/>
    <w:rsid w:val="00C02EC6"/>
    <w:rsid w:val="00C046AC"/>
    <w:rsid w:val="00C06D01"/>
    <w:rsid w:val="00C06EEE"/>
    <w:rsid w:val="00C0728D"/>
    <w:rsid w:val="00C07EE8"/>
    <w:rsid w:val="00C12351"/>
    <w:rsid w:val="00C15FD6"/>
    <w:rsid w:val="00C174DE"/>
    <w:rsid w:val="00C201B6"/>
    <w:rsid w:val="00C227F9"/>
    <w:rsid w:val="00C233CC"/>
    <w:rsid w:val="00C244E3"/>
    <w:rsid w:val="00C310F1"/>
    <w:rsid w:val="00C34E8B"/>
    <w:rsid w:val="00C35411"/>
    <w:rsid w:val="00C40B97"/>
    <w:rsid w:val="00C4402E"/>
    <w:rsid w:val="00C50EB3"/>
    <w:rsid w:val="00C51246"/>
    <w:rsid w:val="00C532C0"/>
    <w:rsid w:val="00C5472F"/>
    <w:rsid w:val="00C5566F"/>
    <w:rsid w:val="00C61ED3"/>
    <w:rsid w:val="00C622CC"/>
    <w:rsid w:val="00C639DC"/>
    <w:rsid w:val="00C71FD4"/>
    <w:rsid w:val="00C74BFD"/>
    <w:rsid w:val="00C76823"/>
    <w:rsid w:val="00C80567"/>
    <w:rsid w:val="00C807CE"/>
    <w:rsid w:val="00C8137F"/>
    <w:rsid w:val="00C82173"/>
    <w:rsid w:val="00C84123"/>
    <w:rsid w:val="00C860C6"/>
    <w:rsid w:val="00C86185"/>
    <w:rsid w:val="00C87D88"/>
    <w:rsid w:val="00C92497"/>
    <w:rsid w:val="00C96F20"/>
    <w:rsid w:val="00C975D8"/>
    <w:rsid w:val="00CA4874"/>
    <w:rsid w:val="00CA543B"/>
    <w:rsid w:val="00CA5D76"/>
    <w:rsid w:val="00CB13F6"/>
    <w:rsid w:val="00CB2E25"/>
    <w:rsid w:val="00CB57AC"/>
    <w:rsid w:val="00CB61B5"/>
    <w:rsid w:val="00CB7360"/>
    <w:rsid w:val="00CC1A24"/>
    <w:rsid w:val="00CC24DC"/>
    <w:rsid w:val="00CC2EE9"/>
    <w:rsid w:val="00CC5ACB"/>
    <w:rsid w:val="00CD2CBF"/>
    <w:rsid w:val="00CD39F3"/>
    <w:rsid w:val="00CD5372"/>
    <w:rsid w:val="00CD5DDE"/>
    <w:rsid w:val="00CE26C2"/>
    <w:rsid w:val="00CE2E20"/>
    <w:rsid w:val="00CE34DE"/>
    <w:rsid w:val="00CE3DE2"/>
    <w:rsid w:val="00CE494E"/>
    <w:rsid w:val="00CE6037"/>
    <w:rsid w:val="00CE7101"/>
    <w:rsid w:val="00CF0481"/>
    <w:rsid w:val="00CF13FE"/>
    <w:rsid w:val="00CF1426"/>
    <w:rsid w:val="00CF4D77"/>
    <w:rsid w:val="00CF6232"/>
    <w:rsid w:val="00CF6A3C"/>
    <w:rsid w:val="00CF6CF5"/>
    <w:rsid w:val="00D001AE"/>
    <w:rsid w:val="00D03598"/>
    <w:rsid w:val="00D03CDB"/>
    <w:rsid w:val="00D042B9"/>
    <w:rsid w:val="00D0599C"/>
    <w:rsid w:val="00D06D59"/>
    <w:rsid w:val="00D07BE0"/>
    <w:rsid w:val="00D11C9F"/>
    <w:rsid w:val="00D162FB"/>
    <w:rsid w:val="00D169D6"/>
    <w:rsid w:val="00D17291"/>
    <w:rsid w:val="00D200F4"/>
    <w:rsid w:val="00D23330"/>
    <w:rsid w:val="00D23943"/>
    <w:rsid w:val="00D304E8"/>
    <w:rsid w:val="00D32381"/>
    <w:rsid w:val="00D336E9"/>
    <w:rsid w:val="00D42707"/>
    <w:rsid w:val="00D43DAE"/>
    <w:rsid w:val="00D445A9"/>
    <w:rsid w:val="00D47318"/>
    <w:rsid w:val="00D50EC6"/>
    <w:rsid w:val="00D54BEE"/>
    <w:rsid w:val="00D5653B"/>
    <w:rsid w:val="00D5663D"/>
    <w:rsid w:val="00D60CFF"/>
    <w:rsid w:val="00D60DCC"/>
    <w:rsid w:val="00D612A0"/>
    <w:rsid w:val="00D61DE0"/>
    <w:rsid w:val="00D642FE"/>
    <w:rsid w:val="00D64762"/>
    <w:rsid w:val="00D648CE"/>
    <w:rsid w:val="00D665C6"/>
    <w:rsid w:val="00D70D74"/>
    <w:rsid w:val="00D7164A"/>
    <w:rsid w:val="00D753FD"/>
    <w:rsid w:val="00D80682"/>
    <w:rsid w:val="00D838F2"/>
    <w:rsid w:val="00D83AFC"/>
    <w:rsid w:val="00D83B55"/>
    <w:rsid w:val="00D84377"/>
    <w:rsid w:val="00D86980"/>
    <w:rsid w:val="00D878CF"/>
    <w:rsid w:val="00D879E3"/>
    <w:rsid w:val="00D90324"/>
    <w:rsid w:val="00D90710"/>
    <w:rsid w:val="00D92317"/>
    <w:rsid w:val="00D92865"/>
    <w:rsid w:val="00D94A99"/>
    <w:rsid w:val="00D97128"/>
    <w:rsid w:val="00DA1020"/>
    <w:rsid w:val="00DA2C4D"/>
    <w:rsid w:val="00DA3CC3"/>
    <w:rsid w:val="00DA4E58"/>
    <w:rsid w:val="00DA678A"/>
    <w:rsid w:val="00DB1460"/>
    <w:rsid w:val="00DB3113"/>
    <w:rsid w:val="00DB4711"/>
    <w:rsid w:val="00DB4FF2"/>
    <w:rsid w:val="00DB6BBD"/>
    <w:rsid w:val="00DC1338"/>
    <w:rsid w:val="00DC1B78"/>
    <w:rsid w:val="00DC2C9A"/>
    <w:rsid w:val="00DC3EDE"/>
    <w:rsid w:val="00DC4179"/>
    <w:rsid w:val="00DC471F"/>
    <w:rsid w:val="00DC48E3"/>
    <w:rsid w:val="00DD04DB"/>
    <w:rsid w:val="00DD1D5B"/>
    <w:rsid w:val="00DD3966"/>
    <w:rsid w:val="00DD3B9A"/>
    <w:rsid w:val="00DD4ECC"/>
    <w:rsid w:val="00DD6702"/>
    <w:rsid w:val="00DE0DF0"/>
    <w:rsid w:val="00DE112D"/>
    <w:rsid w:val="00DE4D94"/>
    <w:rsid w:val="00DE4F4D"/>
    <w:rsid w:val="00DE5B34"/>
    <w:rsid w:val="00DE5F99"/>
    <w:rsid w:val="00DE5FDE"/>
    <w:rsid w:val="00DE6411"/>
    <w:rsid w:val="00DF1AEA"/>
    <w:rsid w:val="00E06426"/>
    <w:rsid w:val="00E0737E"/>
    <w:rsid w:val="00E07B56"/>
    <w:rsid w:val="00E07F55"/>
    <w:rsid w:val="00E102AE"/>
    <w:rsid w:val="00E103C0"/>
    <w:rsid w:val="00E10455"/>
    <w:rsid w:val="00E125F5"/>
    <w:rsid w:val="00E15305"/>
    <w:rsid w:val="00E167A5"/>
    <w:rsid w:val="00E17914"/>
    <w:rsid w:val="00E21DDC"/>
    <w:rsid w:val="00E223F3"/>
    <w:rsid w:val="00E25141"/>
    <w:rsid w:val="00E252A2"/>
    <w:rsid w:val="00E25D84"/>
    <w:rsid w:val="00E27A28"/>
    <w:rsid w:val="00E30B9B"/>
    <w:rsid w:val="00E32C2F"/>
    <w:rsid w:val="00E333F3"/>
    <w:rsid w:val="00E34F98"/>
    <w:rsid w:val="00E36A03"/>
    <w:rsid w:val="00E4070C"/>
    <w:rsid w:val="00E41688"/>
    <w:rsid w:val="00E4180F"/>
    <w:rsid w:val="00E44593"/>
    <w:rsid w:val="00E513F4"/>
    <w:rsid w:val="00E5461B"/>
    <w:rsid w:val="00E54CDE"/>
    <w:rsid w:val="00E5632E"/>
    <w:rsid w:val="00E6012B"/>
    <w:rsid w:val="00E70EC3"/>
    <w:rsid w:val="00E71E9D"/>
    <w:rsid w:val="00E73281"/>
    <w:rsid w:val="00E83E5B"/>
    <w:rsid w:val="00E8416B"/>
    <w:rsid w:val="00E93AB5"/>
    <w:rsid w:val="00E94984"/>
    <w:rsid w:val="00E94FF0"/>
    <w:rsid w:val="00EA0269"/>
    <w:rsid w:val="00EA16FC"/>
    <w:rsid w:val="00EB10D5"/>
    <w:rsid w:val="00EB1445"/>
    <w:rsid w:val="00EB2409"/>
    <w:rsid w:val="00EB2AAD"/>
    <w:rsid w:val="00EB3BCA"/>
    <w:rsid w:val="00EB4D45"/>
    <w:rsid w:val="00EB64B0"/>
    <w:rsid w:val="00EB7F63"/>
    <w:rsid w:val="00EC0AD8"/>
    <w:rsid w:val="00EC4916"/>
    <w:rsid w:val="00EC4EF4"/>
    <w:rsid w:val="00EC5F4D"/>
    <w:rsid w:val="00EC6497"/>
    <w:rsid w:val="00EC7C5E"/>
    <w:rsid w:val="00ED0799"/>
    <w:rsid w:val="00ED3948"/>
    <w:rsid w:val="00ED3ED3"/>
    <w:rsid w:val="00ED3F23"/>
    <w:rsid w:val="00ED5024"/>
    <w:rsid w:val="00ED6A90"/>
    <w:rsid w:val="00EE3D99"/>
    <w:rsid w:val="00EE482B"/>
    <w:rsid w:val="00EE50E8"/>
    <w:rsid w:val="00EE59BC"/>
    <w:rsid w:val="00EE69B1"/>
    <w:rsid w:val="00EE79A3"/>
    <w:rsid w:val="00EF02EC"/>
    <w:rsid w:val="00EF05DA"/>
    <w:rsid w:val="00EF3A6D"/>
    <w:rsid w:val="00EF42B3"/>
    <w:rsid w:val="00EF5402"/>
    <w:rsid w:val="00EF5B0C"/>
    <w:rsid w:val="00EF67DD"/>
    <w:rsid w:val="00F00099"/>
    <w:rsid w:val="00F003A4"/>
    <w:rsid w:val="00F011D1"/>
    <w:rsid w:val="00F01C28"/>
    <w:rsid w:val="00F05DBD"/>
    <w:rsid w:val="00F06FA2"/>
    <w:rsid w:val="00F07ED3"/>
    <w:rsid w:val="00F1485D"/>
    <w:rsid w:val="00F14C01"/>
    <w:rsid w:val="00F17CE2"/>
    <w:rsid w:val="00F214F1"/>
    <w:rsid w:val="00F21A24"/>
    <w:rsid w:val="00F23729"/>
    <w:rsid w:val="00F241E4"/>
    <w:rsid w:val="00F30AE5"/>
    <w:rsid w:val="00F31465"/>
    <w:rsid w:val="00F35C5E"/>
    <w:rsid w:val="00F4252F"/>
    <w:rsid w:val="00F446C5"/>
    <w:rsid w:val="00F44FF6"/>
    <w:rsid w:val="00F51676"/>
    <w:rsid w:val="00F53976"/>
    <w:rsid w:val="00F54309"/>
    <w:rsid w:val="00F63FAA"/>
    <w:rsid w:val="00F646C3"/>
    <w:rsid w:val="00F64D04"/>
    <w:rsid w:val="00F66D8B"/>
    <w:rsid w:val="00F74833"/>
    <w:rsid w:val="00F80E76"/>
    <w:rsid w:val="00F817E0"/>
    <w:rsid w:val="00F81F56"/>
    <w:rsid w:val="00F83D2F"/>
    <w:rsid w:val="00F85C89"/>
    <w:rsid w:val="00F860AF"/>
    <w:rsid w:val="00F868C8"/>
    <w:rsid w:val="00F9284F"/>
    <w:rsid w:val="00F93181"/>
    <w:rsid w:val="00FA106B"/>
    <w:rsid w:val="00FA207D"/>
    <w:rsid w:val="00FA220C"/>
    <w:rsid w:val="00FA36FD"/>
    <w:rsid w:val="00FA3FAC"/>
    <w:rsid w:val="00FA466B"/>
    <w:rsid w:val="00FA59D3"/>
    <w:rsid w:val="00FB0A8F"/>
    <w:rsid w:val="00FB0F2A"/>
    <w:rsid w:val="00FB18DE"/>
    <w:rsid w:val="00FB2293"/>
    <w:rsid w:val="00FC2B6F"/>
    <w:rsid w:val="00FC716F"/>
    <w:rsid w:val="00FC7302"/>
    <w:rsid w:val="00FD0871"/>
    <w:rsid w:val="00FD184A"/>
    <w:rsid w:val="00FD4DA6"/>
    <w:rsid w:val="00FD588E"/>
    <w:rsid w:val="00FD7012"/>
    <w:rsid w:val="00FE160B"/>
    <w:rsid w:val="00FE1B4E"/>
    <w:rsid w:val="00FE2793"/>
    <w:rsid w:val="00FE2EF1"/>
    <w:rsid w:val="00FE492E"/>
    <w:rsid w:val="00FE4BF8"/>
    <w:rsid w:val="00FE4D6F"/>
    <w:rsid w:val="00FE6279"/>
    <w:rsid w:val="00FE644F"/>
    <w:rsid w:val="00FE7F60"/>
    <w:rsid w:val="00FF0F62"/>
    <w:rsid w:val="00FF1255"/>
    <w:rsid w:val="00FF2039"/>
    <w:rsid w:val="00FF5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961610C4-7DC9-4278-BDE0-338E72A86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033"/>
  </w:style>
  <w:style w:type="paragraph" w:styleId="Heading1">
    <w:name w:val="heading 1"/>
    <w:basedOn w:val="Heading2"/>
    <w:link w:val="Heading1Char"/>
    <w:uiPriority w:val="9"/>
    <w:qFormat/>
    <w:rsid w:val="009465D3"/>
    <w:pPr>
      <w:outlineLvl w:val="0"/>
    </w:pPr>
  </w:style>
  <w:style w:type="paragraph" w:styleId="Heading2">
    <w:name w:val="heading 2"/>
    <w:basedOn w:val="NormalWeb"/>
    <w:next w:val="Normal"/>
    <w:link w:val="Heading2Char"/>
    <w:uiPriority w:val="9"/>
    <w:unhideWhenUsed/>
    <w:qFormat/>
    <w:rsid w:val="004D44F5"/>
    <w:pPr>
      <w:spacing w:line="480" w:lineRule="auto"/>
      <w:jc w:val="both"/>
      <w:outlineLvl w:val="1"/>
    </w:pPr>
    <w:rPr>
      <w:rFonts w:ascii="Arial" w:hAnsi="Arial" w:cs="Arial"/>
      <w:b/>
    </w:rPr>
  </w:style>
  <w:style w:type="paragraph" w:styleId="Heading3">
    <w:name w:val="heading 3"/>
    <w:basedOn w:val="Normal"/>
    <w:next w:val="Normal"/>
    <w:link w:val="Heading3Char"/>
    <w:uiPriority w:val="9"/>
    <w:unhideWhenUsed/>
    <w:qFormat/>
    <w:rsid w:val="00847C81"/>
    <w:pPr>
      <w:outlineLvl w:val="2"/>
    </w:pPr>
    <w:rPr>
      <w:rFonts w:ascii="Arial" w:hAnsi="Arial" w:cs="Arial"/>
      <w:b/>
      <w:sz w:val="24"/>
      <w:szCs w:val="24"/>
    </w:rPr>
  </w:style>
  <w:style w:type="paragraph" w:styleId="Heading4">
    <w:name w:val="heading 4"/>
    <w:basedOn w:val="Normal"/>
    <w:next w:val="Normal"/>
    <w:link w:val="Heading4Char"/>
    <w:uiPriority w:val="9"/>
    <w:unhideWhenUsed/>
    <w:qFormat/>
    <w:rsid w:val="00725033"/>
    <w:pPr>
      <w:pBdr>
        <w:top w:val="dotted" w:sz="6" w:space="2" w:color="5B9BD5" w:themeColor="accent1"/>
      </w:pBdr>
      <w:spacing w:before="200" w:after="0" w:line="276" w:lineRule="auto"/>
      <w:outlineLvl w:val="3"/>
    </w:pPr>
    <w:rPr>
      <w:rFonts w:eastAsiaTheme="minorEastAsia"/>
      <w:caps/>
      <w:color w:val="2E74B5" w:themeColor="accent1" w:themeShade="BF"/>
      <w:spacing w:val="10"/>
      <w:sz w:val="20"/>
      <w:szCs w:val="20"/>
    </w:rPr>
  </w:style>
  <w:style w:type="paragraph" w:styleId="Heading5">
    <w:name w:val="heading 5"/>
    <w:basedOn w:val="Normal"/>
    <w:next w:val="Normal"/>
    <w:link w:val="Heading5Char"/>
    <w:uiPriority w:val="9"/>
    <w:unhideWhenUsed/>
    <w:qFormat/>
    <w:rsid w:val="0072503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25033"/>
    <w:pPr>
      <w:pBdr>
        <w:bottom w:val="dotted" w:sz="6" w:space="1" w:color="5B9BD5" w:themeColor="accent1"/>
      </w:pBdr>
      <w:spacing w:before="200" w:after="0" w:line="276" w:lineRule="auto"/>
      <w:outlineLvl w:val="5"/>
    </w:pPr>
    <w:rPr>
      <w:rFonts w:eastAsiaTheme="minorEastAsia"/>
      <w:caps/>
      <w:color w:val="2E74B5" w:themeColor="accent1" w:themeShade="BF"/>
      <w:spacing w:val="10"/>
      <w:sz w:val="20"/>
      <w:szCs w:val="20"/>
    </w:rPr>
  </w:style>
  <w:style w:type="paragraph" w:styleId="Heading7">
    <w:name w:val="heading 7"/>
    <w:basedOn w:val="Normal"/>
    <w:next w:val="Normal"/>
    <w:link w:val="Heading7Char"/>
    <w:uiPriority w:val="9"/>
    <w:semiHidden/>
    <w:unhideWhenUsed/>
    <w:qFormat/>
    <w:rsid w:val="00725033"/>
    <w:pPr>
      <w:spacing w:before="200" w:after="0" w:line="276" w:lineRule="auto"/>
      <w:outlineLvl w:val="6"/>
    </w:pPr>
    <w:rPr>
      <w:rFonts w:eastAsiaTheme="minorEastAsia"/>
      <w:caps/>
      <w:color w:val="2E74B5" w:themeColor="accent1" w:themeShade="BF"/>
      <w:spacing w:val="10"/>
      <w:sz w:val="20"/>
      <w:szCs w:val="20"/>
    </w:rPr>
  </w:style>
  <w:style w:type="paragraph" w:styleId="Heading8">
    <w:name w:val="heading 8"/>
    <w:basedOn w:val="Normal"/>
    <w:next w:val="Normal"/>
    <w:link w:val="Heading8Char"/>
    <w:uiPriority w:val="9"/>
    <w:semiHidden/>
    <w:unhideWhenUsed/>
    <w:qFormat/>
    <w:rsid w:val="00725033"/>
    <w:pPr>
      <w:spacing w:before="200" w:after="0" w:line="276" w:lineRule="auto"/>
      <w:outlineLvl w:val="7"/>
    </w:pPr>
    <w:rPr>
      <w:rFonts w:eastAsiaTheme="minorEastAsia"/>
      <w:caps/>
      <w:spacing w:val="10"/>
      <w:sz w:val="18"/>
      <w:szCs w:val="18"/>
    </w:rPr>
  </w:style>
  <w:style w:type="paragraph" w:styleId="Heading9">
    <w:name w:val="heading 9"/>
    <w:basedOn w:val="Normal"/>
    <w:next w:val="Normal"/>
    <w:link w:val="Heading9Char"/>
    <w:uiPriority w:val="9"/>
    <w:semiHidden/>
    <w:unhideWhenUsed/>
    <w:qFormat/>
    <w:rsid w:val="00725033"/>
    <w:pPr>
      <w:spacing w:before="200" w:after="0" w:line="276" w:lineRule="auto"/>
      <w:outlineLvl w:val="8"/>
    </w:pPr>
    <w:rPr>
      <w:rFonts w:eastAsiaTheme="minorEastAsia"/>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5D3"/>
    <w:rPr>
      <w:rFonts w:ascii="Arial" w:eastAsia="Times New Roman" w:hAnsi="Arial" w:cs="Arial"/>
      <w:b/>
      <w:sz w:val="24"/>
      <w:szCs w:val="24"/>
      <w:lang w:eastAsia="en-GB"/>
    </w:rPr>
  </w:style>
  <w:style w:type="character" w:customStyle="1" w:styleId="Heading2Char">
    <w:name w:val="Heading 2 Char"/>
    <w:basedOn w:val="DefaultParagraphFont"/>
    <w:link w:val="Heading2"/>
    <w:uiPriority w:val="9"/>
    <w:rsid w:val="004D44F5"/>
    <w:rPr>
      <w:rFonts w:ascii="Arial" w:eastAsia="Times New Roman" w:hAnsi="Arial" w:cs="Arial"/>
      <w:b/>
      <w:sz w:val="24"/>
      <w:szCs w:val="24"/>
      <w:lang w:eastAsia="en-GB"/>
    </w:rPr>
  </w:style>
  <w:style w:type="character" w:customStyle="1" w:styleId="Heading3Char">
    <w:name w:val="Heading 3 Char"/>
    <w:basedOn w:val="DefaultParagraphFont"/>
    <w:link w:val="Heading3"/>
    <w:uiPriority w:val="9"/>
    <w:rsid w:val="00847C81"/>
    <w:rPr>
      <w:rFonts w:ascii="Arial" w:hAnsi="Arial" w:cs="Arial"/>
      <w:b/>
      <w:sz w:val="24"/>
      <w:szCs w:val="24"/>
    </w:rPr>
  </w:style>
  <w:style w:type="character" w:customStyle="1" w:styleId="Heading4Char">
    <w:name w:val="Heading 4 Char"/>
    <w:basedOn w:val="DefaultParagraphFont"/>
    <w:link w:val="Heading4"/>
    <w:uiPriority w:val="9"/>
    <w:rsid w:val="00725033"/>
    <w:rPr>
      <w:rFonts w:eastAsiaTheme="minorEastAsia"/>
      <w:caps/>
      <w:color w:val="2E74B5" w:themeColor="accent1" w:themeShade="BF"/>
      <w:spacing w:val="10"/>
      <w:sz w:val="20"/>
      <w:szCs w:val="20"/>
    </w:rPr>
  </w:style>
  <w:style w:type="character" w:customStyle="1" w:styleId="Heading5Char">
    <w:name w:val="Heading 5 Char"/>
    <w:basedOn w:val="DefaultParagraphFont"/>
    <w:link w:val="Heading5"/>
    <w:uiPriority w:val="9"/>
    <w:rsid w:val="0072503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25033"/>
    <w:rPr>
      <w:rFonts w:eastAsiaTheme="minorEastAsia"/>
      <w:caps/>
      <w:color w:val="2E74B5" w:themeColor="accent1" w:themeShade="BF"/>
      <w:spacing w:val="10"/>
      <w:sz w:val="20"/>
      <w:szCs w:val="20"/>
    </w:rPr>
  </w:style>
  <w:style w:type="character" w:customStyle="1" w:styleId="Heading7Char">
    <w:name w:val="Heading 7 Char"/>
    <w:basedOn w:val="DefaultParagraphFont"/>
    <w:link w:val="Heading7"/>
    <w:uiPriority w:val="9"/>
    <w:semiHidden/>
    <w:rsid w:val="00725033"/>
    <w:rPr>
      <w:rFonts w:eastAsiaTheme="minorEastAsia"/>
      <w:caps/>
      <w:color w:val="2E74B5" w:themeColor="accent1" w:themeShade="BF"/>
      <w:spacing w:val="10"/>
      <w:sz w:val="20"/>
      <w:szCs w:val="20"/>
    </w:rPr>
  </w:style>
  <w:style w:type="character" w:customStyle="1" w:styleId="Heading8Char">
    <w:name w:val="Heading 8 Char"/>
    <w:basedOn w:val="DefaultParagraphFont"/>
    <w:link w:val="Heading8"/>
    <w:uiPriority w:val="9"/>
    <w:semiHidden/>
    <w:rsid w:val="00725033"/>
    <w:rPr>
      <w:rFonts w:eastAsiaTheme="minorEastAsia"/>
      <w:caps/>
      <w:spacing w:val="10"/>
      <w:sz w:val="18"/>
      <w:szCs w:val="18"/>
    </w:rPr>
  </w:style>
  <w:style w:type="character" w:customStyle="1" w:styleId="Heading9Char">
    <w:name w:val="Heading 9 Char"/>
    <w:basedOn w:val="DefaultParagraphFont"/>
    <w:link w:val="Heading9"/>
    <w:uiPriority w:val="9"/>
    <w:semiHidden/>
    <w:rsid w:val="00725033"/>
    <w:rPr>
      <w:rFonts w:eastAsiaTheme="minorEastAsia"/>
      <w:i/>
      <w:iCs/>
      <w:caps/>
      <w:spacing w:val="10"/>
      <w:sz w:val="18"/>
      <w:szCs w:val="18"/>
    </w:rPr>
  </w:style>
  <w:style w:type="paragraph" w:styleId="NormalWeb">
    <w:name w:val="Normal (Web)"/>
    <w:basedOn w:val="Normal"/>
    <w:uiPriority w:val="99"/>
    <w:unhideWhenUsed/>
    <w:rsid w:val="0072503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25033"/>
    <w:pPr>
      <w:ind w:left="720"/>
      <w:contextualSpacing/>
    </w:pPr>
  </w:style>
  <w:style w:type="character" w:styleId="Hyperlink">
    <w:name w:val="Hyperlink"/>
    <w:basedOn w:val="DefaultParagraphFont"/>
    <w:uiPriority w:val="99"/>
    <w:unhideWhenUsed/>
    <w:rsid w:val="00725033"/>
    <w:rPr>
      <w:color w:val="0563C1" w:themeColor="hyperlink"/>
      <w:u w:val="single"/>
    </w:rPr>
  </w:style>
  <w:style w:type="character" w:customStyle="1" w:styleId="selectable">
    <w:name w:val="selectable"/>
    <w:basedOn w:val="DefaultParagraphFont"/>
    <w:rsid w:val="00725033"/>
  </w:style>
  <w:style w:type="table" w:styleId="TableGrid">
    <w:name w:val="Table Grid"/>
    <w:basedOn w:val="TableNormal"/>
    <w:uiPriority w:val="39"/>
    <w:rsid w:val="00725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72503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72503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7250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
    <w:name w:val="List Table 2"/>
    <w:basedOn w:val="TableNormal"/>
    <w:uiPriority w:val="47"/>
    <w:rsid w:val="0072503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3">
    <w:name w:val="List Table 3 Accent 3"/>
    <w:basedOn w:val="TableNormal"/>
    <w:uiPriority w:val="48"/>
    <w:rsid w:val="0072503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PlaceholderText">
    <w:name w:val="Placeholder Text"/>
    <w:basedOn w:val="DefaultParagraphFont"/>
    <w:uiPriority w:val="99"/>
    <w:semiHidden/>
    <w:rsid w:val="00725033"/>
    <w:rPr>
      <w:color w:val="808080"/>
    </w:rPr>
  </w:style>
  <w:style w:type="table" w:styleId="TableGridLight">
    <w:name w:val="Grid Table Light"/>
    <w:basedOn w:val="TableNormal"/>
    <w:uiPriority w:val="40"/>
    <w:rsid w:val="007250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7250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725033"/>
    <w:rPr>
      <w:i/>
      <w:iCs/>
    </w:rPr>
  </w:style>
  <w:style w:type="character" w:customStyle="1" w:styleId="topic-highlight">
    <w:name w:val="topic-highlight"/>
    <w:basedOn w:val="DefaultParagraphFont"/>
    <w:rsid w:val="00725033"/>
  </w:style>
  <w:style w:type="paragraph" w:styleId="Header">
    <w:name w:val="header"/>
    <w:basedOn w:val="Normal"/>
    <w:link w:val="HeaderChar"/>
    <w:uiPriority w:val="99"/>
    <w:unhideWhenUsed/>
    <w:rsid w:val="007250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033"/>
  </w:style>
  <w:style w:type="paragraph" w:styleId="Footer">
    <w:name w:val="footer"/>
    <w:basedOn w:val="Normal"/>
    <w:link w:val="FooterChar"/>
    <w:uiPriority w:val="99"/>
    <w:unhideWhenUsed/>
    <w:rsid w:val="007250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033"/>
  </w:style>
  <w:style w:type="table" w:styleId="GridTable2">
    <w:name w:val="Grid Table 2"/>
    <w:basedOn w:val="TableNormal"/>
    <w:uiPriority w:val="47"/>
    <w:rsid w:val="0072503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size-large">
    <w:name w:val="a-size-large"/>
    <w:basedOn w:val="DefaultParagraphFont"/>
    <w:rsid w:val="00725033"/>
  </w:style>
  <w:style w:type="character" w:styleId="CommentReference">
    <w:name w:val="annotation reference"/>
    <w:basedOn w:val="DefaultParagraphFont"/>
    <w:uiPriority w:val="99"/>
    <w:semiHidden/>
    <w:unhideWhenUsed/>
    <w:rsid w:val="00725033"/>
    <w:rPr>
      <w:sz w:val="16"/>
      <w:szCs w:val="16"/>
    </w:rPr>
  </w:style>
  <w:style w:type="paragraph" w:styleId="CommentText">
    <w:name w:val="annotation text"/>
    <w:basedOn w:val="Normal"/>
    <w:link w:val="CommentTextChar"/>
    <w:uiPriority w:val="99"/>
    <w:unhideWhenUsed/>
    <w:rsid w:val="00725033"/>
    <w:pPr>
      <w:spacing w:line="240" w:lineRule="auto"/>
    </w:pPr>
    <w:rPr>
      <w:sz w:val="20"/>
      <w:szCs w:val="20"/>
    </w:rPr>
  </w:style>
  <w:style w:type="character" w:customStyle="1" w:styleId="CommentTextChar">
    <w:name w:val="Comment Text Char"/>
    <w:basedOn w:val="DefaultParagraphFont"/>
    <w:link w:val="CommentText"/>
    <w:uiPriority w:val="99"/>
    <w:rsid w:val="00725033"/>
    <w:rPr>
      <w:sz w:val="20"/>
      <w:szCs w:val="20"/>
    </w:rPr>
  </w:style>
  <w:style w:type="paragraph" w:styleId="CommentSubject">
    <w:name w:val="annotation subject"/>
    <w:basedOn w:val="CommentText"/>
    <w:next w:val="CommentText"/>
    <w:link w:val="CommentSubjectChar"/>
    <w:uiPriority w:val="99"/>
    <w:semiHidden/>
    <w:unhideWhenUsed/>
    <w:rsid w:val="00725033"/>
    <w:rPr>
      <w:b/>
      <w:bCs/>
    </w:rPr>
  </w:style>
  <w:style w:type="character" w:customStyle="1" w:styleId="CommentSubjectChar">
    <w:name w:val="Comment Subject Char"/>
    <w:basedOn w:val="CommentTextChar"/>
    <w:link w:val="CommentSubject"/>
    <w:uiPriority w:val="99"/>
    <w:semiHidden/>
    <w:rsid w:val="00725033"/>
    <w:rPr>
      <w:b/>
      <w:bCs/>
      <w:sz w:val="20"/>
      <w:szCs w:val="20"/>
    </w:rPr>
  </w:style>
  <w:style w:type="paragraph" w:styleId="BalloonText">
    <w:name w:val="Balloon Text"/>
    <w:basedOn w:val="Normal"/>
    <w:link w:val="BalloonTextChar"/>
    <w:uiPriority w:val="99"/>
    <w:semiHidden/>
    <w:unhideWhenUsed/>
    <w:rsid w:val="007250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033"/>
    <w:rPr>
      <w:rFonts w:ascii="Segoe UI" w:hAnsi="Segoe UI" w:cs="Segoe UI"/>
      <w:sz w:val="18"/>
      <w:szCs w:val="18"/>
    </w:rPr>
  </w:style>
  <w:style w:type="character" w:styleId="Strong">
    <w:name w:val="Strong"/>
    <w:basedOn w:val="DefaultParagraphFont"/>
    <w:uiPriority w:val="22"/>
    <w:qFormat/>
    <w:rsid w:val="00725033"/>
    <w:rPr>
      <w:b/>
      <w:bCs/>
    </w:rPr>
  </w:style>
  <w:style w:type="table" w:styleId="PlainTable2">
    <w:name w:val="Plain Table 2"/>
    <w:basedOn w:val="TableNormal"/>
    <w:uiPriority w:val="42"/>
    <w:rsid w:val="007250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t">
    <w:name w:val="st"/>
    <w:basedOn w:val="DefaultParagraphFont"/>
    <w:rsid w:val="00725033"/>
  </w:style>
  <w:style w:type="character" w:customStyle="1" w:styleId="ilfuvd">
    <w:name w:val="ilfuvd"/>
    <w:basedOn w:val="DefaultParagraphFont"/>
    <w:rsid w:val="00725033"/>
  </w:style>
  <w:style w:type="character" w:customStyle="1" w:styleId="nlmarticle-title">
    <w:name w:val="nlm_article-title"/>
    <w:basedOn w:val="DefaultParagraphFont"/>
    <w:rsid w:val="00725033"/>
  </w:style>
  <w:style w:type="numbering" w:customStyle="1" w:styleId="NoList1">
    <w:name w:val="No List1"/>
    <w:next w:val="NoList"/>
    <w:uiPriority w:val="99"/>
    <w:semiHidden/>
    <w:unhideWhenUsed/>
    <w:rsid w:val="00725033"/>
  </w:style>
  <w:style w:type="table" w:customStyle="1" w:styleId="PlainTable21">
    <w:name w:val="Plain Table 21"/>
    <w:basedOn w:val="TableNormal"/>
    <w:next w:val="PlainTable2"/>
    <w:uiPriority w:val="42"/>
    <w:rsid w:val="007250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1">
    <w:name w:val="List Table 6 Colorful1"/>
    <w:basedOn w:val="TableNormal"/>
    <w:next w:val="ListTable6Colorful"/>
    <w:uiPriority w:val="51"/>
    <w:rsid w:val="0072503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25033"/>
    <w:pPr>
      <w:autoSpaceDE w:val="0"/>
      <w:autoSpaceDN w:val="0"/>
      <w:adjustRightInd w:val="0"/>
      <w:spacing w:after="0" w:line="240" w:lineRule="auto"/>
    </w:pPr>
    <w:rPr>
      <w:rFonts w:ascii="Times New Roman" w:hAnsi="Times New Roman" w:cs="Times New Roman"/>
      <w:color w:val="000000"/>
      <w:sz w:val="24"/>
      <w:szCs w:val="24"/>
    </w:rPr>
  </w:style>
  <w:style w:type="paragraph" w:styleId="TOC3">
    <w:name w:val="toc 3"/>
    <w:basedOn w:val="Normal"/>
    <w:next w:val="Normal"/>
    <w:autoRedefine/>
    <w:uiPriority w:val="39"/>
    <w:unhideWhenUsed/>
    <w:rsid w:val="00725033"/>
    <w:pPr>
      <w:framePr w:hSpace="180" w:wrap="around" w:vAnchor="text" w:hAnchor="margin" w:y="2282"/>
      <w:suppressAutoHyphens/>
      <w:autoSpaceDN w:val="0"/>
      <w:spacing w:after="0" w:line="360" w:lineRule="auto"/>
      <w:textAlignment w:val="baseline"/>
    </w:pPr>
    <w:rPr>
      <w:rFonts w:ascii="Times New Roman" w:eastAsia="Times New Roman" w:hAnsi="Times New Roman" w:cs="Times New Roman"/>
      <w:b/>
      <w:bCs/>
      <w:color w:val="000000"/>
      <w:sz w:val="24"/>
      <w:szCs w:val="24"/>
      <w:lang w:eastAsia="en-GB"/>
    </w:rPr>
  </w:style>
  <w:style w:type="character" w:customStyle="1" w:styleId="DefaultParagraphFont0">
    <w:name w:val="DefaultParagraphFont"/>
    <w:rsid w:val="00725033"/>
  </w:style>
  <w:style w:type="paragraph" w:styleId="Caption">
    <w:name w:val="caption"/>
    <w:basedOn w:val="Normal"/>
    <w:next w:val="Normal"/>
    <w:autoRedefine/>
    <w:uiPriority w:val="35"/>
    <w:qFormat/>
    <w:rsid w:val="00725033"/>
    <w:pPr>
      <w:keepNext/>
      <w:overflowPunct w:val="0"/>
      <w:autoSpaceDN w:val="0"/>
      <w:spacing w:after="0" w:line="276" w:lineRule="auto"/>
      <w:jc w:val="both"/>
      <w:textAlignment w:val="baseline"/>
    </w:pPr>
    <w:rPr>
      <w:rFonts w:asciiTheme="majorBidi" w:eastAsia="Calibri" w:hAnsiTheme="majorBidi" w:cstheme="majorBidi"/>
      <w:iCs/>
      <w:color w:val="000000"/>
      <w:kern w:val="3"/>
      <w:sz w:val="20"/>
      <w:lang w:eastAsia="en-GB"/>
    </w:rPr>
  </w:style>
  <w:style w:type="character" w:customStyle="1" w:styleId="katex-mathml">
    <w:name w:val="katex-mathml"/>
    <w:basedOn w:val="DefaultParagraphFont"/>
    <w:rsid w:val="00725033"/>
  </w:style>
  <w:style w:type="character" w:customStyle="1" w:styleId="mord">
    <w:name w:val="mord"/>
    <w:basedOn w:val="DefaultParagraphFont"/>
    <w:rsid w:val="00725033"/>
  </w:style>
  <w:style w:type="character" w:customStyle="1" w:styleId="mbin">
    <w:name w:val="mbin"/>
    <w:basedOn w:val="DefaultParagraphFont"/>
    <w:rsid w:val="00725033"/>
  </w:style>
  <w:style w:type="character" w:customStyle="1" w:styleId="vlist-s">
    <w:name w:val="vlist-s"/>
    <w:basedOn w:val="DefaultParagraphFont"/>
    <w:rsid w:val="00725033"/>
  </w:style>
  <w:style w:type="numbering" w:customStyle="1" w:styleId="NoList2">
    <w:name w:val="No List2"/>
    <w:next w:val="NoList"/>
    <w:uiPriority w:val="99"/>
    <w:semiHidden/>
    <w:unhideWhenUsed/>
    <w:rsid w:val="00725033"/>
  </w:style>
  <w:style w:type="table" w:customStyle="1" w:styleId="PlainTable22">
    <w:name w:val="Plain Table 22"/>
    <w:basedOn w:val="TableNormal"/>
    <w:next w:val="PlainTable2"/>
    <w:uiPriority w:val="42"/>
    <w:rsid w:val="00725033"/>
    <w:pPr>
      <w:spacing w:before="100"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2">
    <w:name w:val="List Table 6 Colorful2"/>
    <w:basedOn w:val="TableNormal"/>
    <w:next w:val="ListTable6Colorful"/>
    <w:uiPriority w:val="51"/>
    <w:rsid w:val="00725033"/>
    <w:pPr>
      <w:spacing w:before="100" w:after="0" w:line="240" w:lineRule="auto"/>
    </w:pPr>
    <w:rPr>
      <w:rFonts w:eastAsiaTheme="minorEastAsia"/>
      <w:color w:val="000000" w:themeColor="text1"/>
      <w:sz w:val="20"/>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725033"/>
    <w:pPr>
      <w:spacing w:before="100"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leNormal"/>
    <w:next w:val="GridTable4"/>
    <w:uiPriority w:val="49"/>
    <w:rsid w:val="00725033"/>
    <w:pPr>
      <w:spacing w:before="100" w:after="0" w:line="240" w:lineRule="auto"/>
    </w:pPr>
    <w:rPr>
      <w:rFonts w:eastAsiaTheme="minorEastAsia"/>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next w:val="PlainTable1"/>
    <w:uiPriority w:val="41"/>
    <w:rsid w:val="00725033"/>
    <w:pPr>
      <w:spacing w:before="100"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1">
    <w:name w:val="List Table 21"/>
    <w:basedOn w:val="TableNormal"/>
    <w:next w:val="ListTable2"/>
    <w:uiPriority w:val="47"/>
    <w:rsid w:val="00725033"/>
    <w:pPr>
      <w:spacing w:before="100" w:after="0" w:line="240" w:lineRule="auto"/>
    </w:pPr>
    <w:rPr>
      <w:rFonts w:eastAsiaTheme="minorEastAsia"/>
      <w:sz w:val="20"/>
      <w:szCs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31">
    <w:name w:val="List Table 3 - Accent 31"/>
    <w:basedOn w:val="TableNormal"/>
    <w:next w:val="ListTable3-Accent3"/>
    <w:uiPriority w:val="48"/>
    <w:rsid w:val="00725033"/>
    <w:pPr>
      <w:spacing w:before="100" w:after="0" w:line="240" w:lineRule="auto"/>
    </w:pPr>
    <w:rPr>
      <w:rFonts w:eastAsiaTheme="minorEastAsia"/>
      <w:sz w:val="20"/>
      <w:szCs w:val="20"/>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GridLight1">
    <w:name w:val="Table Grid Light1"/>
    <w:basedOn w:val="TableNormal"/>
    <w:next w:val="TableGridLight"/>
    <w:uiPriority w:val="40"/>
    <w:rsid w:val="00725033"/>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next w:val="GridTable1Light"/>
    <w:uiPriority w:val="46"/>
    <w:rsid w:val="00725033"/>
    <w:pPr>
      <w:spacing w:before="100" w:after="0" w:line="240" w:lineRule="auto"/>
    </w:pPr>
    <w:rPr>
      <w:rFonts w:eastAsiaTheme="minorEastAsia"/>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next w:val="GridTable2"/>
    <w:uiPriority w:val="47"/>
    <w:rsid w:val="00725033"/>
    <w:pPr>
      <w:spacing w:before="100" w:after="0" w:line="240" w:lineRule="auto"/>
    </w:pPr>
    <w:rPr>
      <w:rFonts w:eastAsiaTheme="minorEastAsia"/>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1">
    <w:name w:val="No List11"/>
    <w:next w:val="NoList"/>
    <w:uiPriority w:val="99"/>
    <w:semiHidden/>
    <w:unhideWhenUsed/>
    <w:rsid w:val="00725033"/>
  </w:style>
  <w:style w:type="table" w:customStyle="1" w:styleId="PlainTable211">
    <w:name w:val="Plain Table 211"/>
    <w:basedOn w:val="TableNormal"/>
    <w:next w:val="PlainTable2"/>
    <w:uiPriority w:val="42"/>
    <w:rsid w:val="00725033"/>
    <w:pPr>
      <w:spacing w:before="100"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11">
    <w:name w:val="List Table 6 Colorful11"/>
    <w:basedOn w:val="TableNormal"/>
    <w:next w:val="ListTable6Colorful"/>
    <w:uiPriority w:val="51"/>
    <w:rsid w:val="00725033"/>
    <w:pPr>
      <w:spacing w:before="100" w:after="0" w:line="240" w:lineRule="auto"/>
    </w:pPr>
    <w:rPr>
      <w:rFonts w:eastAsiaTheme="minorEastAsia"/>
      <w:color w:val="000000" w:themeColor="text1"/>
      <w:sz w:val="20"/>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725033"/>
    <w:pPr>
      <w:spacing w:after="0" w:line="276" w:lineRule="auto"/>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25033"/>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25033"/>
    <w:pPr>
      <w:spacing w:after="500" w:line="240" w:lineRule="auto"/>
    </w:pPr>
    <w:rPr>
      <w:rFonts w:eastAsiaTheme="minorEastAsia"/>
      <w:caps/>
      <w:color w:val="595959" w:themeColor="text1" w:themeTint="A6"/>
      <w:spacing w:val="10"/>
      <w:sz w:val="21"/>
      <w:szCs w:val="21"/>
    </w:rPr>
  </w:style>
  <w:style w:type="character" w:customStyle="1" w:styleId="SubtitleChar">
    <w:name w:val="Subtitle Char"/>
    <w:basedOn w:val="DefaultParagraphFont"/>
    <w:link w:val="Subtitle"/>
    <w:uiPriority w:val="11"/>
    <w:rsid w:val="00725033"/>
    <w:rPr>
      <w:rFonts w:eastAsiaTheme="minorEastAsia"/>
      <w:caps/>
      <w:color w:val="595959" w:themeColor="text1" w:themeTint="A6"/>
      <w:spacing w:val="10"/>
      <w:sz w:val="21"/>
      <w:szCs w:val="21"/>
    </w:rPr>
  </w:style>
  <w:style w:type="paragraph" w:styleId="NoSpacing">
    <w:name w:val="No Spacing"/>
    <w:link w:val="NoSpacingChar"/>
    <w:uiPriority w:val="1"/>
    <w:qFormat/>
    <w:rsid w:val="00725033"/>
    <w:pPr>
      <w:spacing w:before="100" w:after="0" w:line="240" w:lineRule="auto"/>
    </w:pPr>
    <w:rPr>
      <w:rFonts w:eastAsiaTheme="minorEastAsia"/>
      <w:sz w:val="20"/>
      <w:szCs w:val="20"/>
    </w:rPr>
  </w:style>
  <w:style w:type="paragraph" w:styleId="Quote">
    <w:name w:val="Quote"/>
    <w:basedOn w:val="Normal"/>
    <w:next w:val="Normal"/>
    <w:link w:val="QuoteChar"/>
    <w:uiPriority w:val="29"/>
    <w:qFormat/>
    <w:rsid w:val="00725033"/>
    <w:pPr>
      <w:spacing w:before="100" w:after="200" w:line="276" w:lineRule="auto"/>
    </w:pPr>
    <w:rPr>
      <w:rFonts w:eastAsiaTheme="minorEastAsia"/>
      <w:i/>
      <w:iCs/>
      <w:sz w:val="24"/>
      <w:szCs w:val="24"/>
    </w:rPr>
  </w:style>
  <w:style w:type="character" w:customStyle="1" w:styleId="QuoteChar">
    <w:name w:val="Quote Char"/>
    <w:basedOn w:val="DefaultParagraphFont"/>
    <w:link w:val="Quote"/>
    <w:uiPriority w:val="29"/>
    <w:rsid w:val="00725033"/>
    <w:rPr>
      <w:rFonts w:eastAsiaTheme="minorEastAsia"/>
      <w:i/>
      <w:iCs/>
      <w:sz w:val="24"/>
      <w:szCs w:val="24"/>
    </w:rPr>
  </w:style>
  <w:style w:type="paragraph" w:styleId="IntenseQuote">
    <w:name w:val="Intense Quote"/>
    <w:basedOn w:val="Normal"/>
    <w:next w:val="Normal"/>
    <w:link w:val="IntenseQuoteChar"/>
    <w:uiPriority w:val="30"/>
    <w:qFormat/>
    <w:rsid w:val="00725033"/>
    <w:pPr>
      <w:spacing w:before="240" w:after="240" w:line="240" w:lineRule="auto"/>
      <w:ind w:left="1080" w:right="1080"/>
      <w:jc w:val="center"/>
    </w:pPr>
    <w:rPr>
      <w:rFonts w:eastAsiaTheme="minorEastAsia"/>
      <w:color w:val="5B9BD5" w:themeColor="accent1"/>
      <w:sz w:val="24"/>
      <w:szCs w:val="24"/>
    </w:rPr>
  </w:style>
  <w:style w:type="character" w:customStyle="1" w:styleId="IntenseQuoteChar">
    <w:name w:val="Intense Quote Char"/>
    <w:basedOn w:val="DefaultParagraphFont"/>
    <w:link w:val="IntenseQuote"/>
    <w:uiPriority w:val="30"/>
    <w:rsid w:val="00725033"/>
    <w:rPr>
      <w:rFonts w:eastAsiaTheme="minorEastAsia"/>
      <w:color w:val="5B9BD5" w:themeColor="accent1"/>
      <w:sz w:val="24"/>
      <w:szCs w:val="24"/>
    </w:rPr>
  </w:style>
  <w:style w:type="character" w:styleId="SubtleEmphasis">
    <w:name w:val="Subtle Emphasis"/>
    <w:uiPriority w:val="19"/>
    <w:qFormat/>
    <w:rsid w:val="00725033"/>
    <w:rPr>
      <w:i/>
      <w:iCs/>
      <w:color w:val="1F4D78" w:themeColor="accent1" w:themeShade="7F"/>
    </w:rPr>
  </w:style>
  <w:style w:type="character" w:styleId="IntenseEmphasis">
    <w:name w:val="Intense Emphasis"/>
    <w:uiPriority w:val="21"/>
    <w:qFormat/>
    <w:rsid w:val="00725033"/>
    <w:rPr>
      <w:b/>
      <w:bCs/>
      <w:caps/>
      <w:color w:val="1F4D78" w:themeColor="accent1" w:themeShade="7F"/>
      <w:spacing w:val="10"/>
    </w:rPr>
  </w:style>
  <w:style w:type="character" w:styleId="SubtleReference">
    <w:name w:val="Subtle Reference"/>
    <w:uiPriority w:val="31"/>
    <w:qFormat/>
    <w:rsid w:val="00725033"/>
    <w:rPr>
      <w:b/>
      <w:bCs/>
      <w:color w:val="5B9BD5" w:themeColor="accent1"/>
    </w:rPr>
  </w:style>
  <w:style w:type="character" w:styleId="IntenseReference">
    <w:name w:val="Intense Reference"/>
    <w:uiPriority w:val="32"/>
    <w:qFormat/>
    <w:rsid w:val="00725033"/>
    <w:rPr>
      <w:b/>
      <w:bCs/>
      <w:i/>
      <w:iCs/>
      <w:caps/>
      <w:color w:val="5B9BD5" w:themeColor="accent1"/>
    </w:rPr>
  </w:style>
  <w:style w:type="character" w:styleId="BookTitle">
    <w:name w:val="Book Title"/>
    <w:uiPriority w:val="33"/>
    <w:qFormat/>
    <w:rsid w:val="00725033"/>
    <w:rPr>
      <w:b/>
      <w:bCs/>
      <w:i/>
      <w:iCs/>
      <w:spacing w:val="0"/>
    </w:rPr>
  </w:style>
  <w:style w:type="paragraph" w:styleId="TOCHeading">
    <w:name w:val="TOC Heading"/>
    <w:basedOn w:val="Heading1"/>
    <w:next w:val="Normal"/>
    <w:uiPriority w:val="39"/>
    <w:unhideWhenUsed/>
    <w:qFormat/>
    <w:rsid w:val="0072503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Autospacing="0" w:after="0" w:afterAutospacing="0" w:line="276" w:lineRule="auto"/>
      <w:outlineLvl w:val="9"/>
    </w:pPr>
    <w:rPr>
      <w:rFonts w:asciiTheme="minorHAnsi" w:eastAsiaTheme="minorEastAsia" w:hAnsiTheme="minorHAnsi" w:cstheme="minorBidi"/>
      <w:b w:val="0"/>
      <w:bCs/>
      <w:caps/>
      <w:color w:val="FFFFFF" w:themeColor="background1"/>
      <w:spacing w:val="15"/>
      <w:sz w:val="22"/>
      <w:szCs w:val="22"/>
      <w:lang w:eastAsia="en-US"/>
    </w:rPr>
  </w:style>
  <w:style w:type="character" w:customStyle="1" w:styleId="NoSpacingChar">
    <w:name w:val="No Spacing Char"/>
    <w:basedOn w:val="DefaultParagraphFont"/>
    <w:link w:val="NoSpacing"/>
    <w:uiPriority w:val="1"/>
    <w:rsid w:val="00725033"/>
    <w:rPr>
      <w:rFonts w:eastAsiaTheme="minorEastAsia"/>
      <w:sz w:val="20"/>
      <w:szCs w:val="20"/>
    </w:rPr>
  </w:style>
  <w:style w:type="numbering" w:customStyle="1" w:styleId="NoList3">
    <w:name w:val="No List3"/>
    <w:next w:val="NoList"/>
    <w:uiPriority w:val="99"/>
    <w:semiHidden/>
    <w:unhideWhenUsed/>
    <w:rsid w:val="00725033"/>
  </w:style>
  <w:style w:type="table" w:customStyle="1" w:styleId="PlainTable23">
    <w:name w:val="Plain Table 23"/>
    <w:basedOn w:val="TableNormal"/>
    <w:next w:val="PlainTable2"/>
    <w:uiPriority w:val="42"/>
    <w:rsid w:val="00725033"/>
    <w:pPr>
      <w:spacing w:before="100"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3">
    <w:name w:val="List Table 6 Colorful3"/>
    <w:basedOn w:val="TableNormal"/>
    <w:next w:val="ListTable6Colorful"/>
    <w:uiPriority w:val="51"/>
    <w:rsid w:val="00725033"/>
    <w:pPr>
      <w:spacing w:before="100" w:after="0" w:line="240" w:lineRule="auto"/>
    </w:pPr>
    <w:rPr>
      <w:rFonts w:eastAsiaTheme="minorEastAsia"/>
      <w:color w:val="000000" w:themeColor="text1"/>
      <w:sz w:val="20"/>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725033"/>
    <w:pPr>
      <w:spacing w:before="100"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2">
    <w:name w:val="Grid Table 42"/>
    <w:basedOn w:val="TableNormal"/>
    <w:next w:val="GridTable4"/>
    <w:uiPriority w:val="49"/>
    <w:rsid w:val="00725033"/>
    <w:pPr>
      <w:spacing w:before="100" w:after="0" w:line="240" w:lineRule="auto"/>
    </w:pPr>
    <w:rPr>
      <w:rFonts w:eastAsiaTheme="minorEastAsia"/>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2">
    <w:name w:val="Plain Table 12"/>
    <w:basedOn w:val="TableNormal"/>
    <w:next w:val="PlainTable1"/>
    <w:uiPriority w:val="41"/>
    <w:rsid w:val="00725033"/>
    <w:pPr>
      <w:spacing w:before="100"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2">
    <w:name w:val="List Table 22"/>
    <w:basedOn w:val="TableNormal"/>
    <w:next w:val="ListTable2"/>
    <w:uiPriority w:val="47"/>
    <w:rsid w:val="00725033"/>
    <w:pPr>
      <w:spacing w:before="100" w:after="0" w:line="240" w:lineRule="auto"/>
    </w:pPr>
    <w:rPr>
      <w:rFonts w:eastAsiaTheme="minorEastAsia"/>
      <w:sz w:val="20"/>
      <w:szCs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32">
    <w:name w:val="List Table 3 - Accent 32"/>
    <w:basedOn w:val="TableNormal"/>
    <w:next w:val="ListTable3-Accent3"/>
    <w:uiPriority w:val="48"/>
    <w:rsid w:val="00725033"/>
    <w:pPr>
      <w:spacing w:before="100" w:after="0" w:line="240" w:lineRule="auto"/>
    </w:pPr>
    <w:rPr>
      <w:rFonts w:eastAsiaTheme="minorEastAsia"/>
      <w:sz w:val="20"/>
      <w:szCs w:val="20"/>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GridLight2">
    <w:name w:val="Table Grid Light2"/>
    <w:basedOn w:val="TableNormal"/>
    <w:next w:val="TableGridLight"/>
    <w:uiPriority w:val="40"/>
    <w:rsid w:val="00725033"/>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2">
    <w:name w:val="Grid Table 1 Light2"/>
    <w:basedOn w:val="TableNormal"/>
    <w:next w:val="GridTable1Light"/>
    <w:uiPriority w:val="46"/>
    <w:rsid w:val="00725033"/>
    <w:pPr>
      <w:spacing w:before="100" w:after="0" w:line="240" w:lineRule="auto"/>
    </w:pPr>
    <w:rPr>
      <w:rFonts w:eastAsiaTheme="minorEastAsia"/>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2">
    <w:name w:val="Grid Table 22"/>
    <w:basedOn w:val="TableNormal"/>
    <w:next w:val="GridTable2"/>
    <w:uiPriority w:val="47"/>
    <w:rsid w:val="00725033"/>
    <w:pPr>
      <w:spacing w:before="100" w:after="0" w:line="240" w:lineRule="auto"/>
    </w:pPr>
    <w:rPr>
      <w:rFonts w:eastAsiaTheme="minorEastAsia"/>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2">
    <w:name w:val="No List12"/>
    <w:next w:val="NoList"/>
    <w:uiPriority w:val="99"/>
    <w:semiHidden/>
    <w:unhideWhenUsed/>
    <w:rsid w:val="00725033"/>
  </w:style>
  <w:style w:type="table" w:customStyle="1" w:styleId="PlainTable212">
    <w:name w:val="Plain Table 212"/>
    <w:basedOn w:val="TableNormal"/>
    <w:next w:val="PlainTable2"/>
    <w:uiPriority w:val="42"/>
    <w:rsid w:val="00725033"/>
    <w:pPr>
      <w:spacing w:before="100"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12">
    <w:name w:val="List Table 6 Colorful12"/>
    <w:basedOn w:val="TableNormal"/>
    <w:next w:val="ListTable6Colorful"/>
    <w:uiPriority w:val="51"/>
    <w:rsid w:val="00725033"/>
    <w:pPr>
      <w:spacing w:before="100" w:after="0" w:line="240" w:lineRule="auto"/>
    </w:pPr>
    <w:rPr>
      <w:rFonts w:eastAsiaTheme="minorEastAsia"/>
      <w:color w:val="000000" w:themeColor="text1"/>
      <w:sz w:val="20"/>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4">
    <w:name w:val="No List4"/>
    <w:next w:val="NoList"/>
    <w:uiPriority w:val="99"/>
    <w:semiHidden/>
    <w:unhideWhenUsed/>
    <w:rsid w:val="00725033"/>
  </w:style>
  <w:style w:type="table" w:customStyle="1" w:styleId="PlainTable24">
    <w:name w:val="Plain Table 24"/>
    <w:basedOn w:val="TableNormal"/>
    <w:next w:val="PlainTable2"/>
    <w:uiPriority w:val="42"/>
    <w:rsid w:val="00725033"/>
    <w:pPr>
      <w:spacing w:before="100"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4">
    <w:name w:val="List Table 6 Colorful4"/>
    <w:basedOn w:val="TableNormal"/>
    <w:next w:val="ListTable6Colorful"/>
    <w:uiPriority w:val="51"/>
    <w:rsid w:val="00725033"/>
    <w:pPr>
      <w:spacing w:before="100" w:after="0" w:line="240" w:lineRule="auto"/>
    </w:pPr>
    <w:rPr>
      <w:rFonts w:eastAsiaTheme="minorEastAsia"/>
      <w:color w:val="000000" w:themeColor="text1"/>
      <w:sz w:val="20"/>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3">
    <w:name w:val="Table Grid3"/>
    <w:basedOn w:val="TableNormal"/>
    <w:next w:val="TableGrid"/>
    <w:uiPriority w:val="39"/>
    <w:rsid w:val="00725033"/>
    <w:pPr>
      <w:spacing w:before="100"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3">
    <w:name w:val="Grid Table 43"/>
    <w:basedOn w:val="TableNormal"/>
    <w:next w:val="GridTable4"/>
    <w:uiPriority w:val="49"/>
    <w:rsid w:val="00725033"/>
    <w:pPr>
      <w:spacing w:before="100" w:after="0" w:line="240" w:lineRule="auto"/>
    </w:pPr>
    <w:rPr>
      <w:rFonts w:eastAsiaTheme="minorEastAsia"/>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3">
    <w:name w:val="Plain Table 13"/>
    <w:basedOn w:val="TableNormal"/>
    <w:next w:val="PlainTable1"/>
    <w:uiPriority w:val="41"/>
    <w:rsid w:val="00725033"/>
    <w:pPr>
      <w:spacing w:before="100"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3">
    <w:name w:val="List Table 23"/>
    <w:basedOn w:val="TableNormal"/>
    <w:next w:val="ListTable2"/>
    <w:uiPriority w:val="47"/>
    <w:rsid w:val="00725033"/>
    <w:pPr>
      <w:spacing w:before="100" w:after="0" w:line="240" w:lineRule="auto"/>
    </w:pPr>
    <w:rPr>
      <w:rFonts w:eastAsiaTheme="minorEastAsia"/>
      <w:sz w:val="20"/>
      <w:szCs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Accent33">
    <w:name w:val="List Table 3 - Accent 33"/>
    <w:basedOn w:val="TableNormal"/>
    <w:next w:val="ListTable3-Accent3"/>
    <w:uiPriority w:val="48"/>
    <w:rsid w:val="00725033"/>
    <w:pPr>
      <w:spacing w:before="100" w:after="0" w:line="240" w:lineRule="auto"/>
    </w:pPr>
    <w:rPr>
      <w:rFonts w:eastAsiaTheme="minorEastAsia"/>
      <w:sz w:val="20"/>
      <w:szCs w:val="20"/>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GridLight3">
    <w:name w:val="Table Grid Light3"/>
    <w:basedOn w:val="TableNormal"/>
    <w:next w:val="TableGridLight"/>
    <w:uiPriority w:val="40"/>
    <w:rsid w:val="00725033"/>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3">
    <w:name w:val="Grid Table 1 Light3"/>
    <w:basedOn w:val="TableNormal"/>
    <w:next w:val="GridTable1Light"/>
    <w:uiPriority w:val="46"/>
    <w:rsid w:val="00725033"/>
    <w:pPr>
      <w:spacing w:before="100" w:after="0" w:line="240" w:lineRule="auto"/>
    </w:pPr>
    <w:rPr>
      <w:rFonts w:eastAsiaTheme="minorEastAsia"/>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3">
    <w:name w:val="Grid Table 23"/>
    <w:basedOn w:val="TableNormal"/>
    <w:next w:val="GridTable2"/>
    <w:uiPriority w:val="47"/>
    <w:rsid w:val="00725033"/>
    <w:pPr>
      <w:spacing w:before="100" w:after="0" w:line="240" w:lineRule="auto"/>
    </w:pPr>
    <w:rPr>
      <w:rFonts w:eastAsiaTheme="minorEastAsia"/>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3">
    <w:name w:val="No List13"/>
    <w:next w:val="NoList"/>
    <w:uiPriority w:val="99"/>
    <w:semiHidden/>
    <w:unhideWhenUsed/>
    <w:rsid w:val="00725033"/>
  </w:style>
  <w:style w:type="table" w:customStyle="1" w:styleId="PlainTable213">
    <w:name w:val="Plain Table 213"/>
    <w:basedOn w:val="TableNormal"/>
    <w:next w:val="PlainTable2"/>
    <w:uiPriority w:val="42"/>
    <w:rsid w:val="00725033"/>
    <w:pPr>
      <w:spacing w:before="100" w:after="0" w:line="240" w:lineRule="auto"/>
    </w:pPr>
    <w:rPr>
      <w:rFonts w:eastAsiaTheme="minorEastAsia"/>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13">
    <w:name w:val="List Table 6 Colorful13"/>
    <w:basedOn w:val="TableNormal"/>
    <w:next w:val="ListTable6Colorful"/>
    <w:uiPriority w:val="51"/>
    <w:rsid w:val="00725033"/>
    <w:pPr>
      <w:spacing w:before="100" w:after="0" w:line="240" w:lineRule="auto"/>
    </w:pPr>
    <w:rPr>
      <w:rFonts w:eastAsiaTheme="minorEastAsia"/>
      <w:color w:val="000000" w:themeColor="text1"/>
      <w:sz w:val="20"/>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95751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884026"/>
    <w:pPr>
      <w:spacing w:after="100"/>
    </w:pPr>
  </w:style>
  <w:style w:type="paragraph" w:styleId="TOC2">
    <w:name w:val="toc 2"/>
    <w:basedOn w:val="Normal"/>
    <w:next w:val="Normal"/>
    <w:autoRedefine/>
    <w:uiPriority w:val="39"/>
    <w:unhideWhenUsed/>
    <w:rsid w:val="000C7FB2"/>
    <w:pPr>
      <w:tabs>
        <w:tab w:val="right" w:leader="dot" w:pos="9016"/>
      </w:tabs>
      <w:spacing w:after="100"/>
      <w:ind w:left="284"/>
    </w:pPr>
  </w:style>
  <w:style w:type="paragraph" w:styleId="TOC4">
    <w:name w:val="toc 4"/>
    <w:basedOn w:val="Normal"/>
    <w:next w:val="Normal"/>
    <w:autoRedefine/>
    <w:uiPriority w:val="39"/>
    <w:unhideWhenUsed/>
    <w:rsid w:val="00F83D2F"/>
    <w:pPr>
      <w:spacing w:after="100"/>
      <w:ind w:left="660"/>
    </w:pPr>
    <w:rPr>
      <w:rFonts w:eastAsiaTheme="minorEastAsia"/>
      <w:lang w:eastAsia="en-GB"/>
    </w:rPr>
  </w:style>
  <w:style w:type="paragraph" w:styleId="TOC5">
    <w:name w:val="toc 5"/>
    <w:basedOn w:val="Normal"/>
    <w:next w:val="Normal"/>
    <w:autoRedefine/>
    <w:uiPriority w:val="39"/>
    <w:unhideWhenUsed/>
    <w:rsid w:val="00F83D2F"/>
    <w:pPr>
      <w:spacing w:after="100"/>
      <w:ind w:left="880"/>
    </w:pPr>
    <w:rPr>
      <w:rFonts w:eastAsiaTheme="minorEastAsia"/>
      <w:lang w:eastAsia="en-GB"/>
    </w:rPr>
  </w:style>
  <w:style w:type="paragraph" w:styleId="TOC6">
    <w:name w:val="toc 6"/>
    <w:basedOn w:val="Normal"/>
    <w:next w:val="Normal"/>
    <w:autoRedefine/>
    <w:uiPriority w:val="39"/>
    <w:unhideWhenUsed/>
    <w:rsid w:val="00F83D2F"/>
    <w:pPr>
      <w:spacing w:after="100"/>
      <w:ind w:left="1100"/>
    </w:pPr>
    <w:rPr>
      <w:rFonts w:eastAsiaTheme="minorEastAsia"/>
      <w:lang w:eastAsia="en-GB"/>
    </w:rPr>
  </w:style>
  <w:style w:type="paragraph" w:styleId="TOC7">
    <w:name w:val="toc 7"/>
    <w:basedOn w:val="Normal"/>
    <w:next w:val="Normal"/>
    <w:autoRedefine/>
    <w:uiPriority w:val="39"/>
    <w:unhideWhenUsed/>
    <w:rsid w:val="00F83D2F"/>
    <w:pPr>
      <w:spacing w:after="100"/>
      <w:ind w:left="1320"/>
    </w:pPr>
    <w:rPr>
      <w:rFonts w:eastAsiaTheme="minorEastAsia"/>
      <w:lang w:eastAsia="en-GB"/>
    </w:rPr>
  </w:style>
  <w:style w:type="paragraph" w:styleId="TOC8">
    <w:name w:val="toc 8"/>
    <w:basedOn w:val="Normal"/>
    <w:next w:val="Normal"/>
    <w:autoRedefine/>
    <w:uiPriority w:val="39"/>
    <w:unhideWhenUsed/>
    <w:rsid w:val="00F83D2F"/>
    <w:pPr>
      <w:spacing w:after="100"/>
      <w:ind w:left="1540"/>
    </w:pPr>
    <w:rPr>
      <w:rFonts w:eastAsiaTheme="minorEastAsia"/>
      <w:lang w:eastAsia="en-GB"/>
    </w:rPr>
  </w:style>
  <w:style w:type="paragraph" w:styleId="TOC9">
    <w:name w:val="toc 9"/>
    <w:basedOn w:val="Normal"/>
    <w:next w:val="Normal"/>
    <w:autoRedefine/>
    <w:uiPriority w:val="39"/>
    <w:unhideWhenUsed/>
    <w:rsid w:val="00F83D2F"/>
    <w:pPr>
      <w:spacing w:after="100"/>
      <w:ind w:left="1760"/>
    </w:pPr>
    <w:rPr>
      <w:rFonts w:eastAsiaTheme="minorEastAsia"/>
      <w:lang w:eastAsia="en-GB"/>
    </w:rPr>
  </w:style>
  <w:style w:type="character" w:customStyle="1" w:styleId="custom-paragraph">
    <w:name w:val="custom-paragraph"/>
    <w:basedOn w:val="DefaultParagraphFont"/>
    <w:rsid w:val="00CB13F6"/>
  </w:style>
  <w:style w:type="character" w:customStyle="1" w:styleId="custom-emphasis-italic">
    <w:name w:val="custom-emphasis-italic"/>
    <w:basedOn w:val="DefaultParagraphFont"/>
    <w:rsid w:val="00CB13F6"/>
  </w:style>
  <w:style w:type="paragraph" w:styleId="HTMLPreformatted">
    <w:name w:val="HTML Preformatted"/>
    <w:basedOn w:val="Normal"/>
    <w:link w:val="HTMLPreformattedChar"/>
    <w:rsid w:val="00F31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rsid w:val="00F31465"/>
    <w:rPr>
      <w:rFonts w:ascii="Courier New" w:eastAsia="Times New Roman" w:hAnsi="Courier New" w:cs="Courier New"/>
      <w:sz w:val="20"/>
      <w:szCs w:val="20"/>
      <w:lang w:eastAsia="en-GB"/>
    </w:rPr>
  </w:style>
  <w:style w:type="table" w:customStyle="1" w:styleId="TableGrid4">
    <w:name w:val="Table Grid4"/>
    <w:basedOn w:val="TableNormal"/>
    <w:next w:val="TableGrid"/>
    <w:uiPriority w:val="39"/>
    <w:rsid w:val="00BF46AD"/>
    <w:pPr>
      <w:spacing w:after="0" w:line="240" w:lineRule="auto"/>
    </w:pPr>
    <w:rPr>
      <w:rFonts w:ascii="Times New Roman" w:hAnsi="Times New Roman" w:cs="Times New Roman"/>
      <w:i/>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FF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57721">
      <w:bodyDiv w:val="1"/>
      <w:marLeft w:val="0"/>
      <w:marRight w:val="0"/>
      <w:marTop w:val="0"/>
      <w:marBottom w:val="0"/>
      <w:divBdr>
        <w:top w:val="none" w:sz="0" w:space="0" w:color="auto"/>
        <w:left w:val="none" w:sz="0" w:space="0" w:color="auto"/>
        <w:bottom w:val="none" w:sz="0" w:space="0" w:color="auto"/>
        <w:right w:val="none" w:sz="0" w:space="0" w:color="auto"/>
      </w:divBdr>
    </w:div>
    <w:div w:id="178928986">
      <w:bodyDiv w:val="1"/>
      <w:marLeft w:val="0"/>
      <w:marRight w:val="0"/>
      <w:marTop w:val="0"/>
      <w:marBottom w:val="0"/>
      <w:divBdr>
        <w:top w:val="none" w:sz="0" w:space="0" w:color="auto"/>
        <w:left w:val="none" w:sz="0" w:space="0" w:color="auto"/>
        <w:bottom w:val="none" w:sz="0" w:space="0" w:color="auto"/>
        <w:right w:val="none" w:sz="0" w:space="0" w:color="auto"/>
      </w:divBdr>
      <w:divsChild>
        <w:div w:id="1705210258">
          <w:marLeft w:val="0"/>
          <w:marRight w:val="0"/>
          <w:marTop w:val="0"/>
          <w:marBottom w:val="0"/>
          <w:divBdr>
            <w:top w:val="none" w:sz="0" w:space="0" w:color="auto"/>
            <w:left w:val="none" w:sz="0" w:space="0" w:color="auto"/>
            <w:bottom w:val="none" w:sz="0" w:space="0" w:color="auto"/>
            <w:right w:val="none" w:sz="0" w:space="0" w:color="auto"/>
          </w:divBdr>
          <w:divsChild>
            <w:div w:id="14244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7907">
      <w:bodyDiv w:val="1"/>
      <w:marLeft w:val="0"/>
      <w:marRight w:val="0"/>
      <w:marTop w:val="0"/>
      <w:marBottom w:val="0"/>
      <w:divBdr>
        <w:top w:val="none" w:sz="0" w:space="0" w:color="auto"/>
        <w:left w:val="none" w:sz="0" w:space="0" w:color="auto"/>
        <w:bottom w:val="none" w:sz="0" w:space="0" w:color="auto"/>
        <w:right w:val="none" w:sz="0" w:space="0" w:color="auto"/>
      </w:divBdr>
      <w:divsChild>
        <w:div w:id="212160945">
          <w:marLeft w:val="0"/>
          <w:marRight w:val="0"/>
          <w:marTop w:val="0"/>
          <w:marBottom w:val="0"/>
          <w:divBdr>
            <w:top w:val="none" w:sz="0" w:space="0" w:color="auto"/>
            <w:left w:val="none" w:sz="0" w:space="0" w:color="auto"/>
            <w:bottom w:val="none" w:sz="0" w:space="0" w:color="auto"/>
            <w:right w:val="none" w:sz="0" w:space="0" w:color="auto"/>
          </w:divBdr>
          <w:divsChild>
            <w:div w:id="936982969">
              <w:marLeft w:val="0"/>
              <w:marRight w:val="0"/>
              <w:marTop w:val="0"/>
              <w:marBottom w:val="0"/>
              <w:divBdr>
                <w:top w:val="none" w:sz="0" w:space="0" w:color="auto"/>
                <w:left w:val="none" w:sz="0" w:space="0" w:color="auto"/>
                <w:bottom w:val="none" w:sz="0" w:space="0" w:color="auto"/>
                <w:right w:val="none" w:sz="0" w:space="0" w:color="auto"/>
              </w:divBdr>
              <w:divsChild>
                <w:div w:id="644244111">
                  <w:marLeft w:val="-225"/>
                  <w:marRight w:val="-225"/>
                  <w:marTop w:val="0"/>
                  <w:marBottom w:val="0"/>
                  <w:divBdr>
                    <w:top w:val="none" w:sz="0" w:space="0" w:color="auto"/>
                    <w:left w:val="none" w:sz="0" w:space="0" w:color="auto"/>
                    <w:bottom w:val="none" w:sz="0" w:space="0" w:color="auto"/>
                    <w:right w:val="none" w:sz="0" w:space="0" w:color="auto"/>
                  </w:divBdr>
                  <w:divsChild>
                    <w:div w:id="1035734121">
                      <w:marLeft w:val="0"/>
                      <w:marRight w:val="0"/>
                      <w:marTop w:val="0"/>
                      <w:marBottom w:val="0"/>
                      <w:divBdr>
                        <w:top w:val="none" w:sz="0" w:space="0" w:color="auto"/>
                        <w:left w:val="none" w:sz="0" w:space="0" w:color="auto"/>
                        <w:bottom w:val="none" w:sz="0" w:space="0" w:color="auto"/>
                        <w:right w:val="none" w:sz="0" w:space="0" w:color="auto"/>
                      </w:divBdr>
                      <w:divsChild>
                        <w:div w:id="208885010">
                          <w:marLeft w:val="0"/>
                          <w:marRight w:val="0"/>
                          <w:marTop w:val="0"/>
                          <w:marBottom w:val="0"/>
                          <w:divBdr>
                            <w:top w:val="none" w:sz="0" w:space="0" w:color="auto"/>
                            <w:left w:val="none" w:sz="0" w:space="0" w:color="auto"/>
                            <w:bottom w:val="none" w:sz="0" w:space="0" w:color="auto"/>
                            <w:right w:val="none" w:sz="0" w:space="0" w:color="auto"/>
                          </w:divBdr>
                          <w:divsChild>
                            <w:div w:id="2066172980">
                              <w:marLeft w:val="0"/>
                              <w:marRight w:val="0"/>
                              <w:marTop w:val="0"/>
                              <w:marBottom w:val="0"/>
                              <w:divBdr>
                                <w:top w:val="none" w:sz="0" w:space="0" w:color="auto"/>
                                <w:left w:val="none" w:sz="0" w:space="0" w:color="auto"/>
                                <w:bottom w:val="none" w:sz="0" w:space="0" w:color="auto"/>
                                <w:right w:val="none" w:sz="0" w:space="0" w:color="auto"/>
                              </w:divBdr>
                              <w:divsChild>
                                <w:div w:id="702823264">
                                  <w:marLeft w:val="300"/>
                                  <w:marRight w:val="300"/>
                                  <w:marTop w:val="300"/>
                                  <w:marBottom w:val="300"/>
                                  <w:divBdr>
                                    <w:top w:val="single" w:sz="6" w:space="31" w:color="D4D4D4"/>
                                    <w:left w:val="single" w:sz="6" w:space="31" w:color="D4D4D4"/>
                                    <w:bottom w:val="single" w:sz="6" w:space="31" w:color="D4D4D4"/>
                                    <w:right w:val="single" w:sz="6" w:space="31" w:color="D4D4D4"/>
                                  </w:divBdr>
                                </w:div>
                              </w:divsChild>
                            </w:div>
                          </w:divsChild>
                        </w:div>
                      </w:divsChild>
                    </w:div>
                  </w:divsChild>
                </w:div>
              </w:divsChild>
            </w:div>
          </w:divsChild>
        </w:div>
      </w:divsChild>
    </w:div>
    <w:div w:id="263417892">
      <w:bodyDiv w:val="1"/>
      <w:marLeft w:val="0"/>
      <w:marRight w:val="0"/>
      <w:marTop w:val="0"/>
      <w:marBottom w:val="0"/>
      <w:divBdr>
        <w:top w:val="none" w:sz="0" w:space="0" w:color="auto"/>
        <w:left w:val="none" w:sz="0" w:space="0" w:color="auto"/>
        <w:bottom w:val="none" w:sz="0" w:space="0" w:color="auto"/>
        <w:right w:val="none" w:sz="0" w:space="0" w:color="auto"/>
      </w:divBdr>
    </w:div>
    <w:div w:id="276719395">
      <w:bodyDiv w:val="1"/>
      <w:marLeft w:val="0"/>
      <w:marRight w:val="0"/>
      <w:marTop w:val="0"/>
      <w:marBottom w:val="0"/>
      <w:divBdr>
        <w:top w:val="none" w:sz="0" w:space="0" w:color="auto"/>
        <w:left w:val="none" w:sz="0" w:space="0" w:color="auto"/>
        <w:bottom w:val="none" w:sz="0" w:space="0" w:color="auto"/>
        <w:right w:val="none" w:sz="0" w:space="0" w:color="auto"/>
      </w:divBdr>
      <w:divsChild>
        <w:div w:id="90393538">
          <w:marLeft w:val="0"/>
          <w:marRight w:val="0"/>
          <w:marTop w:val="0"/>
          <w:marBottom w:val="0"/>
          <w:divBdr>
            <w:top w:val="none" w:sz="0" w:space="0" w:color="auto"/>
            <w:left w:val="none" w:sz="0" w:space="0" w:color="auto"/>
            <w:bottom w:val="none" w:sz="0" w:space="0" w:color="auto"/>
            <w:right w:val="none" w:sz="0" w:space="0" w:color="auto"/>
          </w:divBdr>
        </w:div>
        <w:div w:id="786580565">
          <w:marLeft w:val="0"/>
          <w:marRight w:val="0"/>
          <w:marTop w:val="0"/>
          <w:marBottom w:val="0"/>
          <w:divBdr>
            <w:top w:val="none" w:sz="0" w:space="0" w:color="auto"/>
            <w:left w:val="none" w:sz="0" w:space="0" w:color="auto"/>
            <w:bottom w:val="none" w:sz="0" w:space="0" w:color="auto"/>
            <w:right w:val="none" w:sz="0" w:space="0" w:color="auto"/>
          </w:divBdr>
        </w:div>
        <w:div w:id="1676110146">
          <w:marLeft w:val="0"/>
          <w:marRight w:val="0"/>
          <w:marTop w:val="0"/>
          <w:marBottom w:val="0"/>
          <w:divBdr>
            <w:top w:val="none" w:sz="0" w:space="0" w:color="auto"/>
            <w:left w:val="none" w:sz="0" w:space="0" w:color="auto"/>
            <w:bottom w:val="none" w:sz="0" w:space="0" w:color="auto"/>
            <w:right w:val="none" w:sz="0" w:space="0" w:color="auto"/>
          </w:divBdr>
        </w:div>
      </w:divsChild>
    </w:div>
    <w:div w:id="284584920">
      <w:bodyDiv w:val="1"/>
      <w:marLeft w:val="0"/>
      <w:marRight w:val="0"/>
      <w:marTop w:val="0"/>
      <w:marBottom w:val="0"/>
      <w:divBdr>
        <w:top w:val="none" w:sz="0" w:space="0" w:color="auto"/>
        <w:left w:val="none" w:sz="0" w:space="0" w:color="auto"/>
        <w:bottom w:val="none" w:sz="0" w:space="0" w:color="auto"/>
        <w:right w:val="none" w:sz="0" w:space="0" w:color="auto"/>
      </w:divBdr>
    </w:div>
    <w:div w:id="455031802">
      <w:bodyDiv w:val="1"/>
      <w:marLeft w:val="0"/>
      <w:marRight w:val="0"/>
      <w:marTop w:val="0"/>
      <w:marBottom w:val="0"/>
      <w:divBdr>
        <w:top w:val="none" w:sz="0" w:space="0" w:color="auto"/>
        <w:left w:val="none" w:sz="0" w:space="0" w:color="auto"/>
        <w:bottom w:val="none" w:sz="0" w:space="0" w:color="auto"/>
        <w:right w:val="none" w:sz="0" w:space="0" w:color="auto"/>
      </w:divBdr>
      <w:divsChild>
        <w:div w:id="1518808742">
          <w:marLeft w:val="0"/>
          <w:marRight w:val="0"/>
          <w:marTop w:val="0"/>
          <w:marBottom w:val="0"/>
          <w:divBdr>
            <w:top w:val="none" w:sz="0" w:space="0" w:color="auto"/>
            <w:left w:val="none" w:sz="0" w:space="0" w:color="auto"/>
            <w:bottom w:val="none" w:sz="0" w:space="0" w:color="auto"/>
            <w:right w:val="none" w:sz="0" w:space="0" w:color="auto"/>
          </w:divBdr>
        </w:div>
      </w:divsChild>
    </w:div>
    <w:div w:id="461535646">
      <w:bodyDiv w:val="1"/>
      <w:marLeft w:val="0"/>
      <w:marRight w:val="0"/>
      <w:marTop w:val="0"/>
      <w:marBottom w:val="0"/>
      <w:divBdr>
        <w:top w:val="none" w:sz="0" w:space="0" w:color="auto"/>
        <w:left w:val="none" w:sz="0" w:space="0" w:color="auto"/>
        <w:bottom w:val="none" w:sz="0" w:space="0" w:color="auto"/>
        <w:right w:val="none" w:sz="0" w:space="0" w:color="auto"/>
      </w:divBdr>
    </w:div>
    <w:div w:id="568611483">
      <w:bodyDiv w:val="1"/>
      <w:marLeft w:val="0"/>
      <w:marRight w:val="0"/>
      <w:marTop w:val="0"/>
      <w:marBottom w:val="0"/>
      <w:divBdr>
        <w:top w:val="none" w:sz="0" w:space="0" w:color="auto"/>
        <w:left w:val="none" w:sz="0" w:space="0" w:color="auto"/>
        <w:bottom w:val="none" w:sz="0" w:space="0" w:color="auto"/>
        <w:right w:val="none" w:sz="0" w:space="0" w:color="auto"/>
      </w:divBdr>
      <w:divsChild>
        <w:div w:id="490604852">
          <w:marLeft w:val="0"/>
          <w:marRight w:val="0"/>
          <w:marTop w:val="0"/>
          <w:marBottom w:val="0"/>
          <w:divBdr>
            <w:top w:val="none" w:sz="0" w:space="0" w:color="auto"/>
            <w:left w:val="none" w:sz="0" w:space="0" w:color="auto"/>
            <w:bottom w:val="none" w:sz="0" w:space="0" w:color="auto"/>
            <w:right w:val="none" w:sz="0" w:space="0" w:color="auto"/>
          </w:divBdr>
          <w:divsChild>
            <w:div w:id="6756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3997">
      <w:bodyDiv w:val="1"/>
      <w:marLeft w:val="0"/>
      <w:marRight w:val="0"/>
      <w:marTop w:val="0"/>
      <w:marBottom w:val="0"/>
      <w:divBdr>
        <w:top w:val="none" w:sz="0" w:space="0" w:color="auto"/>
        <w:left w:val="none" w:sz="0" w:space="0" w:color="auto"/>
        <w:bottom w:val="none" w:sz="0" w:space="0" w:color="auto"/>
        <w:right w:val="none" w:sz="0" w:space="0" w:color="auto"/>
      </w:divBdr>
    </w:div>
    <w:div w:id="794175955">
      <w:bodyDiv w:val="1"/>
      <w:marLeft w:val="0"/>
      <w:marRight w:val="0"/>
      <w:marTop w:val="0"/>
      <w:marBottom w:val="0"/>
      <w:divBdr>
        <w:top w:val="none" w:sz="0" w:space="0" w:color="auto"/>
        <w:left w:val="none" w:sz="0" w:space="0" w:color="auto"/>
        <w:bottom w:val="none" w:sz="0" w:space="0" w:color="auto"/>
        <w:right w:val="none" w:sz="0" w:space="0" w:color="auto"/>
      </w:divBdr>
      <w:divsChild>
        <w:div w:id="2047872733">
          <w:marLeft w:val="0"/>
          <w:marRight w:val="0"/>
          <w:marTop w:val="0"/>
          <w:marBottom w:val="0"/>
          <w:divBdr>
            <w:top w:val="none" w:sz="0" w:space="0" w:color="auto"/>
            <w:left w:val="none" w:sz="0" w:space="0" w:color="auto"/>
            <w:bottom w:val="none" w:sz="0" w:space="0" w:color="auto"/>
            <w:right w:val="none" w:sz="0" w:space="0" w:color="auto"/>
          </w:divBdr>
          <w:divsChild>
            <w:div w:id="198562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9704">
      <w:bodyDiv w:val="1"/>
      <w:marLeft w:val="0"/>
      <w:marRight w:val="0"/>
      <w:marTop w:val="0"/>
      <w:marBottom w:val="0"/>
      <w:divBdr>
        <w:top w:val="none" w:sz="0" w:space="0" w:color="auto"/>
        <w:left w:val="none" w:sz="0" w:space="0" w:color="auto"/>
        <w:bottom w:val="none" w:sz="0" w:space="0" w:color="auto"/>
        <w:right w:val="none" w:sz="0" w:space="0" w:color="auto"/>
      </w:divBdr>
    </w:div>
    <w:div w:id="831216014">
      <w:bodyDiv w:val="1"/>
      <w:marLeft w:val="0"/>
      <w:marRight w:val="0"/>
      <w:marTop w:val="0"/>
      <w:marBottom w:val="0"/>
      <w:divBdr>
        <w:top w:val="none" w:sz="0" w:space="0" w:color="auto"/>
        <w:left w:val="none" w:sz="0" w:space="0" w:color="auto"/>
        <w:bottom w:val="none" w:sz="0" w:space="0" w:color="auto"/>
        <w:right w:val="none" w:sz="0" w:space="0" w:color="auto"/>
      </w:divBdr>
      <w:divsChild>
        <w:div w:id="1193419366">
          <w:marLeft w:val="0"/>
          <w:marRight w:val="0"/>
          <w:marTop w:val="0"/>
          <w:marBottom w:val="0"/>
          <w:divBdr>
            <w:top w:val="none" w:sz="0" w:space="0" w:color="auto"/>
            <w:left w:val="none" w:sz="0" w:space="0" w:color="auto"/>
            <w:bottom w:val="none" w:sz="0" w:space="0" w:color="auto"/>
            <w:right w:val="none" w:sz="0" w:space="0" w:color="auto"/>
          </w:divBdr>
          <w:divsChild>
            <w:div w:id="1846164072">
              <w:marLeft w:val="0"/>
              <w:marRight w:val="0"/>
              <w:marTop w:val="0"/>
              <w:marBottom w:val="0"/>
              <w:divBdr>
                <w:top w:val="none" w:sz="0" w:space="0" w:color="auto"/>
                <w:left w:val="none" w:sz="0" w:space="0" w:color="auto"/>
                <w:bottom w:val="none" w:sz="0" w:space="0" w:color="auto"/>
                <w:right w:val="none" w:sz="0" w:space="0" w:color="auto"/>
              </w:divBdr>
              <w:divsChild>
                <w:div w:id="1366565062">
                  <w:marLeft w:val="-225"/>
                  <w:marRight w:val="-225"/>
                  <w:marTop w:val="0"/>
                  <w:marBottom w:val="0"/>
                  <w:divBdr>
                    <w:top w:val="none" w:sz="0" w:space="0" w:color="auto"/>
                    <w:left w:val="none" w:sz="0" w:space="0" w:color="auto"/>
                    <w:bottom w:val="none" w:sz="0" w:space="0" w:color="auto"/>
                    <w:right w:val="none" w:sz="0" w:space="0" w:color="auto"/>
                  </w:divBdr>
                  <w:divsChild>
                    <w:div w:id="726148150">
                      <w:marLeft w:val="0"/>
                      <w:marRight w:val="0"/>
                      <w:marTop w:val="0"/>
                      <w:marBottom w:val="0"/>
                      <w:divBdr>
                        <w:top w:val="none" w:sz="0" w:space="0" w:color="auto"/>
                        <w:left w:val="none" w:sz="0" w:space="0" w:color="auto"/>
                        <w:bottom w:val="none" w:sz="0" w:space="0" w:color="auto"/>
                        <w:right w:val="none" w:sz="0" w:space="0" w:color="auto"/>
                      </w:divBdr>
                      <w:divsChild>
                        <w:div w:id="945885807">
                          <w:marLeft w:val="0"/>
                          <w:marRight w:val="0"/>
                          <w:marTop w:val="0"/>
                          <w:marBottom w:val="0"/>
                          <w:divBdr>
                            <w:top w:val="none" w:sz="0" w:space="0" w:color="auto"/>
                            <w:left w:val="none" w:sz="0" w:space="0" w:color="auto"/>
                            <w:bottom w:val="none" w:sz="0" w:space="0" w:color="auto"/>
                            <w:right w:val="none" w:sz="0" w:space="0" w:color="auto"/>
                          </w:divBdr>
                          <w:divsChild>
                            <w:div w:id="2006857910">
                              <w:marLeft w:val="0"/>
                              <w:marRight w:val="0"/>
                              <w:marTop w:val="0"/>
                              <w:marBottom w:val="0"/>
                              <w:divBdr>
                                <w:top w:val="none" w:sz="0" w:space="0" w:color="auto"/>
                                <w:left w:val="none" w:sz="0" w:space="0" w:color="auto"/>
                                <w:bottom w:val="none" w:sz="0" w:space="0" w:color="auto"/>
                                <w:right w:val="none" w:sz="0" w:space="0" w:color="auto"/>
                              </w:divBdr>
                              <w:divsChild>
                                <w:div w:id="361368626">
                                  <w:marLeft w:val="300"/>
                                  <w:marRight w:val="300"/>
                                  <w:marTop w:val="300"/>
                                  <w:marBottom w:val="300"/>
                                  <w:divBdr>
                                    <w:top w:val="single" w:sz="6" w:space="31" w:color="D4D4D4"/>
                                    <w:left w:val="single" w:sz="6" w:space="31" w:color="D4D4D4"/>
                                    <w:bottom w:val="single" w:sz="6" w:space="31" w:color="D4D4D4"/>
                                    <w:right w:val="single" w:sz="6" w:space="31" w:color="D4D4D4"/>
                                  </w:divBdr>
                                </w:div>
                              </w:divsChild>
                            </w:div>
                          </w:divsChild>
                        </w:div>
                      </w:divsChild>
                    </w:div>
                  </w:divsChild>
                </w:div>
              </w:divsChild>
            </w:div>
          </w:divsChild>
        </w:div>
      </w:divsChild>
    </w:div>
    <w:div w:id="848757635">
      <w:bodyDiv w:val="1"/>
      <w:marLeft w:val="0"/>
      <w:marRight w:val="0"/>
      <w:marTop w:val="0"/>
      <w:marBottom w:val="0"/>
      <w:divBdr>
        <w:top w:val="none" w:sz="0" w:space="0" w:color="auto"/>
        <w:left w:val="none" w:sz="0" w:space="0" w:color="auto"/>
        <w:bottom w:val="none" w:sz="0" w:space="0" w:color="auto"/>
        <w:right w:val="none" w:sz="0" w:space="0" w:color="auto"/>
      </w:divBdr>
      <w:divsChild>
        <w:div w:id="1511481620">
          <w:marLeft w:val="446"/>
          <w:marRight w:val="0"/>
          <w:marTop w:val="0"/>
          <w:marBottom w:val="0"/>
          <w:divBdr>
            <w:top w:val="none" w:sz="0" w:space="0" w:color="auto"/>
            <w:left w:val="none" w:sz="0" w:space="0" w:color="auto"/>
            <w:bottom w:val="none" w:sz="0" w:space="0" w:color="auto"/>
            <w:right w:val="none" w:sz="0" w:space="0" w:color="auto"/>
          </w:divBdr>
        </w:div>
        <w:div w:id="1233391440">
          <w:marLeft w:val="446"/>
          <w:marRight w:val="0"/>
          <w:marTop w:val="0"/>
          <w:marBottom w:val="0"/>
          <w:divBdr>
            <w:top w:val="none" w:sz="0" w:space="0" w:color="auto"/>
            <w:left w:val="none" w:sz="0" w:space="0" w:color="auto"/>
            <w:bottom w:val="none" w:sz="0" w:space="0" w:color="auto"/>
            <w:right w:val="none" w:sz="0" w:space="0" w:color="auto"/>
          </w:divBdr>
        </w:div>
        <w:div w:id="941182557">
          <w:marLeft w:val="446"/>
          <w:marRight w:val="0"/>
          <w:marTop w:val="0"/>
          <w:marBottom w:val="0"/>
          <w:divBdr>
            <w:top w:val="none" w:sz="0" w:space="0" w:color="auto"/>
            <w:left w:val="none" w:sz="0" w:space="0" w:color="auto"/>
            <w:bottom w:val="none" w:sz="0" w:space="0" w:color="auto"/>
            <w:right w:val="none" w:sz="0" w:space="0" w:color="auto"/>
          </w:divBdr>
        </w:div>
        <w:div w:id="1636519558">
          <w:marLeft w:val="274"/>
          <w:marRight w:val="0"/>
          <w:marTop w:val="0"/>
          <w:marBottom w:val="0"/>
          <w:divBdr>
            <w:top w:val="none" w:sz="0" w:space="0" w:color="auto"/>
            <w:left w:val="none" w:sz="0" w:space="0" w:color="auto"/>
            <w:bottom w:val="none" w:sz="0" w:space="0" w:color="auto"/>
            <w:right w:val="none" w:sz="0" w:space="0" w:color="auto"/>
          </w:divBdr>
        </w:div>
        <w:div w:id="985621399">
          <w:marLeft w:val="274"/>
          <w:marRight w:val="0"/>
          <w:marTop w:val="0"/>
          <w:marBottom w:val="0"/>
          <w:divBdr>
            <w:top w:val="none" w:sz="0" w:space="0" w:color="auto"/>
            <w:left w:val="none" w:sz="0" w:space="0" w:color="auto"/>
            <w:bottom w:val="none" w:sz="0" w:space="0" w:color="auto"/>
            <w:right w:val="none" w:sz="0" w:space="0" w:color="auto"/>
          </w:divBdr>
        </w:div>
      </w:divsChild>
    </w:div>
    <w:div w:id="891578646">
      <w:bodyDiv w:val="1"/>
      <w:marLeft w:val="0"/>
      <w:marRight w:val="0"/>
      <w:marTop w:val="0"/>
      <w:marBottom w:val="0"/>
      <w:divBdr>
        <w:top w:val="none" w:sz="0" w:space="0" w:color="auto"/>
        <w:left w:val="none" w:sz="0" w:space="0" w:color="auto"/>
        <w:bottom w:val="none" w:sz="0" w:space="0" w:color="auto"/>
        <w:right w:val="none" w:sz="0" w:space="0" w:color="auto"/>
      </w:divBdr>
      <w:divsChild>
        <w:div w:id="1724983083">
          <w:marLeft w:val="0"/>
          <w:marRight w:val="0"/>
          <w:marTop w:val="0"/>
          <w:marBottom w:val="0"/>
          <w:divBdr>
            <w:top w:val="none" w:sz="0" w:space="0" w:color="auto"/>
            <w:left w:val="none" w:sz="0" w:space="0" w:color="auto"/>
            <w:bottom w:val="none" w:sz="0" w:space="0" w:color="auto"/>
            <w:right w:val="none" w:sz="0" w:space="0" w:color="auto"/>
          </w:divBdr>
          <w:divsChild>
            <w:div w:id="1729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24998">
      <w:bodyDiv w:val="1"/>
      <w:marLeft w:val="0"/>
      <w:marRight w:val="0"/>
      <w:marTop w:val="0"/>
      <w:marBottom w:val="0"/>
      <w:divBdr>
        <w:top w:val="none" w:sz="0" w:space="0" w:color="auto"/>
        <w:left w:val="none" w:sz="0" w:space="0" w:color="auto"/>
        <w:bottom w:val="none" w:sz="0" w:space="0" w:color="auto"/>
        <w:right w:val="none" w:sz="0" w:space="0" w:color="auto"/>
      </w:divBdr>
      <w:divsChild>
        <w:div w:id="1869105632">
          <w:marLeft w:val="0"/>
          <w:marRight w:val="0"/>
          <w:marTop w:val="0"/>
          <w:marBottom w:val="0"/>
          <w:divBdr>
            <w:top w:val="none" w:sz="0" w:space="0" w:color="auto"/>
            <w:left w:val="none" w:sz="0" w:space="0" w:color="auto"/>
            <w:bottom w:val="none" w:sz="0" w:space="0" w:color="auto"/>
            <w:right w:val="none" w:sz="0" w:space="0" w:color="auto"/>
          </w:divBdr>
          <w:divsChild>
            <w:div w:id="18733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4127">
      <w:bodyDiv w:val="1"/>
      <w:marLeft w:val="0"/>
      <w:marRight w:val="0"/>
      <w:marTop w:val="0"/>
      <w:marBottom w:val="0"/>
      <w:divBdr>
        <w:top w:val="none" w:sz="0" w:space="0" w:color="auto"/>
        <w:left w:val="none" w:sz="0" w:space="0" w:color="auto"/>
        <w:bottom w:val="none" w:sz="0" w:space="0" w:color="auto"/>
        <w:right w:val="none" w:sz="0" w:space="0" w:color="auto"/>
      </w:divBdr>
    </w:div>
    <w:div w:id="1018579010">
      <w:bodyDiv w:val="1"/>
      <w:marLeft w:val="0"/>
      <w:marRight w:val="0"/>
      <w:marTop w:val="0"/>
      <w:marBottom w:val="0"/>
      <w:divBdr>
        <w:top w:val="none" w:sz="0" w:space="0" w:color="auto"/>
        <w:left w:val="none" w:sz="0" w:space="0" w:color="auto"/>
        <w:bottom w:val="none" w:sz="0" w:space="0" w:color="auto"/>
        <w:right w:val="none" w:sz="0" w:space="0" w:color="auto"/>
      </w:divBdr>
      <w:divsChild>
        <w:div w:id="550119338">
          <w:marLeft w:val="0"/>
          <w:marRight w:val="0"/>
          <w:marTop w:val="0"/>
          <w:marBottom w:val="0"/>
          <w:divBdr>
            <w:top w:val="none" w:sz="0" w:space="0" w:color="auto"/>
            <w:left w:val="none" w:sz="0" w:space="0" w:color="auto"/>
            <w:bottom w:val="none" w:sz="0" w:space="0" w:color="auto"/>
            <w:right w:val="none" w:sz="0" w:space="0" w:color="auto"/>
          </w:divBdr>
          <w:divsChild>
            <w:div w:id="17234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8873">
      <w:bodyDiv w:val="1"/>
      <w:marLeft w:val="0"/>
      <w:marRight w:val="0"/>
      <w:marTop w:val="0"/>
      <w:marBottom w:val="0"/>
      <w:divBdr>
        <w:top w:val="none" w:sz="0" w:space="0" w:color="auto"/>
        <w:left w:val="none" w:sz="0" w:space="0" w:color="auto"/>
        <w:bottom w:val="none" w:sz="0" w:space="0" w:color="auto"/>
        <w:right w:val="none" w:sz="0" w:space="0" w:color="auto"/>
      </w:divBdr>
      <w:divsChild>
        <w:div w:id="359503">
          <w:marLeft w:val="0"/>
          <w:marRight w:val="0"/>
          <w:marTop w:val="0"/>
          <w:marBottom w:val="0"/>
          <w:divBdr>
            <w:top w:val="none" w:sz="0" w:space="0" w:color="auto"/>
            <w:left w:val="none" w:sz="0" w:space="0" w:color="auto"/>
            <w:bottom w:val="none" w:sz="0" w:space="0" w:color="auto"/>
            <w:right w:val="none" w:sz="0" w:space="0" w:color="auto"/>
          </w:divBdr>
        </w:div>
        <w:div w:id="2633050">
          <w:marLeft w:val="0"/>
          <w:marRight w:val="0"/>
          <w:marTop w:val="0"/>
          <w:marBottom w:val="0"/>
          <w:divBdr>
            <w:top w:val="none" w:sz="0" w:space="0" w:color="auto"/>
            <w:left w:val="none" w:sz="0" w:space="0" w:color="auto"/>
            <w:bottom w:val="none" w:sz="0" w:space="0" w:color="auto"/>
            <w:right w:val="none" w:sz="0" w:space="0" w:color="auto"/>
          </w:divBdr>
        </w:div>
        <w:div w:id="64567920">
          <w:marLeft w:val="0"/>
          <w:marRight w:val="0"/>
          <w:marTop w:val="0"/>
          <w:marBottom w:val="0"/>
          <w:divBdr>
            <w:top w:val="none" w:sz="0" w:space="0" w:color="auto"/>
            <w:left w:val="none" w:sz="0" w:space="0" w:color="auto"/>
            <w:bottom w:val="none" w:sz="0" w:space="0" w:color="auto"/>
            <w:right w:val="none" w:sz="0" w:space="0" w:color="auto"/>
          </w:divBdr>
        </w:div>
        <w:div w:id="156464796">
          <w:marLeft w:val="0"/>
          <w:marRight w:val="0"/>
          <w:marTop w:val="0"/>
          <w:marBottom w:val="0"/>
          <w:divBdr>
            <w:top w:val="none" w:sz="0" w:space="0" w:color="auto"/>
            <w:left w:val="none" w:sz="0" w:space="0" w:color="auto"/>
            <w:bottom w:val="none" w:sz="0" w:space="0" w:color="auto"/>
            <w:right w:val="none" w:sz="0" w:space="0" w:color="auto"/>
          </w:divBdr>
        </w:div>
        <w:div w:id="317197116">
          <w:marLeft w:val="0"/>
          <w:marRight w:val="0"/>
          <w:marTop w:val="0"/>
          <w:marBottom w:val="0"/>
          <w:divBdr>
            <w:top w:val="none" w:sz="0" w:space="0" w:color="auto"/>
            <w:left w:val="none" w:sz="0" w:space="0" w:color="auto"/>
            <w:bottom w:val="none" w:sz="0" w:space="0" w:color="auto"/>
            <w:right w:val="none" w:sz="0" w:space="0" w:color="auto"/>
          </w:divBdr>
        </w:div>
        <w:div w:id="335574097">
          <w:marLeft w:val="0"/>
          <w:marRight w:val="0"/>
          <w:marTop w:val="0"/>
          <w:marBottom w:val="0"/>
          <w:divBdr>
            <w:top w:val="none" w:sz="0" w:space="0" w:color="auto"/>
            <w:left w:val="none" w:sz="0" w:space="0" w:color="auto"/>
            <w:bottom w:val="none" w:sz="0" w:space="0" w:color="auto"/>
            <w:right w:val="none" w:sz="0" w:space="0" w:color="auto"/>
          </w:divBdr>
        </w:div>
        <w:div w:id="388655553">
          <w:marLeft w:val="0"/>
          <w:marRight w:val="0"/>
          <w:marTop w:val="0"/>
          <w:marBottom w:val="0"/>
          <w:divBdr>
            <w:top w:val="none" w:sz="0" w:space="0" w:color="auto"/>
            <w:left w:val="none" w:sz="0" w:space="0" w:color="auto"/>
            <w:bottom w:val="none" w:sz="0" w:space="0" w:color="auto"/>
            <w:right w:val="none" w:sz="0" w:space="0" w:color="auto"/>
          </w:divBdr>
        </w:div>
        <w:div w:id="467018759">
          <w:marLeft w:val="0"/>
          <w:marRight w:val="0"/>
          <w:marTop w:val="0"/>
          <w:marBottom w:val="0"/>
          <w:divBdr>
            <w:top w:val="none" w:sz="0" w:space="0" w:color="auto"/>
            <w:left w:val="none" w:sz="0" w:space="0" w:color="auto"/>
            <w:bottom w:val="none" w:sz="0" w:space="0" w:color="auto"/>
            <w:right w:val="none" w:sz="0" w:space="0" w:color="auto"/>
          </w:divBdr>
        </w:div>
        <w:div w:id="469177786">
          <w:marLeft w:val="0"/>
          <w:marRight w:val="0"/>
          <w:marTop w:val="0"/>
          <w:marBottom w:val="0"/>
          <w:divBdr>
            <w:top w:val="none" w:sz="0" w:space="0" w:color="auto"/>
            <w:left w:val="none" w:sz="0" w:space="0" w:color="auto"/>
            <w:bottom w:val="none" w:sz="0" w:space="0" w:color="auto"/>
            <w:right w:val="none" w:sz="0" w:space="0" w:color="auto"/>
          </w:divBdr>
        </w:div>
        <w:div w:id="545142069">
          <w:marLeft w:val="0"/>
          <w:marRight w:val="0"/>
          <w:marTop w:val="0"/>
          <w:marBottom w:val="0"/>
          <w:divBdr>
            <w:top w:val="none" w:sz="0" w:space="0" w:color="auto"/>
            <w:left w:val="none" w:sz="0" w:space="0" w:color="auto"/>
            <w:bottom w:val="none" w:sz="0" w:space="0" w:color="auto"/>
            <w:right w:val="none" w:sz="0" w:space="0" w:color="auto"/>
          </w:divBdr>
        </w:div>
        <w:div w:id="558595764">
          <w:marLeft w:val="0"/>
          <w:marRight w:val="0"/>
          <w:marTop w:val="0"/>
          <w:marBottom w:val="0"/>
          <w:divBdr>
            <w:top w:val="none" w:sz="0" w:space="0" w:color="auto"/>
            <w:left w:val="none" w:sz="0" w:space="0" w:color="auto"/>
            <w:bottom w:val="none" w:sz="0" w:space="0" w:color="auto"/>
            <w:right w:val="none" w:sz="0" w:space="0" w:color="auto"/>
          </w:divBdr>
        </w:div>
        <w:div w:id="584916762">
          <w:marLeft w:val="0"/>
          <w:marRight w:val="0"/>
          <w:marTop w:val="0"/>
          <w:marBottom w:val="0"/>
          <w:divBdr>
            <w:top w:val="none" w:sz="0" w:space="0" w:color="auto"/>
            <w:left w:val="none" w:sz="0" w:space="0" w:color="auto"/>
            <w:bottom w:val="none" w:sz="0" w:space="0" w:color="auto"/>
            <w:right w:val="none" w:sz="0" w:space="0" w:color="auto"/>
          </w:divBdr>
        </w:div>
        <w:div w:id="619843100">
          <w:marLeft w:val="0"/>
          <w:marRight w:val="0"/>
          <w:marTop w:val="0"/>
          <w:marBottom w:val="0"/>
          <w:divBdr>
            <w:top w:val="none" w:sz="0" w:space="0" w:color="auto"/>
            <w:left w:val="none" w:sz="0" w:space="0" w:color="auto"/>
            <w:bottom w:val="none" w:sz="0" w:space="0" w:color="auto"/>
            <w:right w:val="none" w:sz="0" w:space="0" w:color="auto"/>
          </w:divBdr>
        </w:div>
        <w:div w:id="721975967">
          <w:marLeft w:val="0"/>
          <w:marRight w:val="0"/>
          <w:marTop w:val="0"/>
          <w:marBottom w:val="0"/>
          <w:divBdr>
            <w:top w:val="none" w:sz="0" w:space="0" w:color="auto"/>
            <w:left w:val="none" w:sz="0" w:space="0" w:color="auto"/>
            <w:bottom w:val="none" w:sz="0" w:space="0" w:color="auto"/>
            <w:right w:val="none" w:sz="0" w:space="0" w:color="auto"/>
          </w:divBdr>
        </w:div>
        <w:div w:id="729381258">
          <w:marLeft w:val="0"/>
          <w:marRight w:val="0"/>
          <w:marTop w:val="0"/>
          <w:marBottom w:val="0"/>
          <w:divBdr>
            <w:top w:val="none" w:sz="0" w:space="0" w:color="auto"/>
            <w:left w:val="none" w:sz="0" w:space="0" w:color="auto"/>
            <w:bottom w:val="none" w:sz="0" w:space="0" w:color="auto"/>
            <w:right w:val="none" w:sz="0" w:space="0" w:color="auto"/>
          </w:divBdr>
        </w:div>
        <w:div w:id="743454042">
          <w:marLeft w:val="0"/>
          <w:marRight w:val="0"/>
          <w:marTop w:val="0"/>
          <w:marBottom w:val="0"/>
          <w:divBdr>
            <w:top w:val="none" w:sz="0" w:space="0" w:color="auto"/>
            <w:left w:val="none" w:sz="0" w:space="0" w:color="auto"/>
            <w:bottom w:val="none" w:sz="0" w:space="0" w:color="auto"/>
            <w:right w:val="none" w:sz="0" w:space="0" w:color="auto"/>
          </w:divBdr>
        </w:div>
        <w:div w:id="852185536">
          <w:marLeft w:val="0"/>
          <w:marRight w:val="0"/>
          <w:marTop w:val="0"/>
          <w:marBottom w:val="0"/>
          <w:divBdr>
            <w:top w:val="none" w:sz="0" w:space="0" w:color="auto"/>
            <w:left w:val="none" w:sz="0" w:space="0" w:color="auto"/>
            <w:bottom w:val="none" w:sz="0" w:space="0" w:color="auto"/>
            <w:right w:val="none" w:sz="0" w:space="0" w:color="auto"/>
          </w:divBdr>
        </w:div>
        <w:div w:id="884833197">
          <w:marLeft w:val="0"/>
          <w:marRight w:val="0"/>
          <w:marTop w:val="0"/>
          <w:marBottom w:val="0"/>
          <w:divBdr>
            <w:top w:val="none" w:sz="0" w:space="0" w:color="auto"/>
            <w:left w:val="none" w:sz="0" w:space="0" w:color="auto"/>
            <w:bottom w:val="none" w:sz="0" w:space="0" w:color="auto"/>
            <w:right w:val="none" w:sz="0" w:space="0" w:color="auto"/>
          </w:divBdr>
        </w:div>
        <w:div w:id="972834102">
          <w:marLeft w:val="0"/>
          <w:marRight w:val="0"/>
          <w:marTop w:val="0"/>
          <w:marBottom w:val="0"/>
          <w:divBdr>
            <w:top w:val="none" w:sz="0" w:space="0" w:color="auto"/>
            <w:left w:val="none" w:sz="0" w:space="0" w:color="auto"/>
            <w:bottom w:val="none" w:sz="0" w:space="0" w:color="auto"/>
            <w:right w:val="none" w:sz="0" w:space="0" w:color="auto"/>
          </w:divBdr>
        </w:div>
        <w:div w:id="1007057983">
          <w:marLeft w:val="0"/>
          <w:marRight w:val="0"/>
          <w:marTop w:val="0"/>
          <w:marBottom w:val="0"/>
          <w:divBdr>
            <w:top w:val="none" w:sz="0" w:space="0" w:color="auto"/>
            <w:left w:val="none" w:sz="0" w:space="0" w:color="auto"/>
            <w:bottom w:val="none" w:sz="0" w:space="0" w:color="auto"/>
            <w:right w:val="none" w:sz="0" w:space="0" w:color="auto"/>
          </w:divBdr>
        </w:div>
        <w:div w:id="1036278475">
          <w:marLeft w:val="0"/>
          <w:marRight w:val="0"/>
          <w:marTop w:val="0"/>
          <w:marBottom w:val="0"/>
          <w:divBdr>
            <w:top w:val="none" w:sz="0" w:space="0" w:color="auto"/>
            <w:left w:val="none" w:sz="0" w:space="0" w:color="auto"/>
            <w:bottom w:val="none" w:sz="0" w:space="0" w:color="auto"/>
            <w:right w:val="none" w:sz="0" w:space="0" w:color="auto"/>
          </w:divBdr>
        </w:div>
        <w:div w:id="1153108257">
          <w:marLeft w:val="0"/>
          <w:marRight w:val="0"/>
          <w:marTop w:val="0"/>
          <w:marBottom w:val="0"/>
          <w:divBdr>
            <w:top w:val="none" w:sz="0" w:space="0" w:color="auto"/>
            <w:left w:val="none" w:sz="0" w:space="0" w:color="auto"/>
            <w:bottom w:val="none" w:sz="0" w:space="0" w:color="auto"/>
            <w:right w:val="none" w:sz="0" w:space="0" w:color="auto"/>
          </w:divBdr>
        </w:div>
        <w:div w:id="1202786021">
          <w:marLeft w:val="0"/>
          <w:marRight w:val="0"/>
          <w:marTop w:val="0"/>
          <w:marBottom w:val="0"/>
          <w:divBdr>
            <w:top w:val="none" w:sz="0" w:space="0" w:color="auto"/>
            <w:left w:val="none" w:sz="0" w:space="0" w:color="auto"/>
            <w:bottom w:val="none" w:sz="0" w:space="0" w:color="auto"/>
            <w:right w:val="none" w:sz="0" w:space="0" w:color="auto"/>
          </w:divBdr>
        </w:div>
        <w:div w:id="1254634024">
          <w:marLeft w:val="0"/>
          <w:marRight w:val="0"/>
          <w:marTop w:val="0"/>
          <w:marBottom w:val="0"/>
          <w:divBdr>
            <w:top w:val="none" w:sz="0" w:space="0" w:color="auto"/>
            <w:left w:val="none" w:sz="0" w:space="0" w:color="auto"/>
            <w:bottom w:val="none" w:sz="0" w:space="0" w:color="auto"/>
            <w:right w:val="none" w:sz="0" w:space="0" w:color="auto"/>
          </w:divBdr>
        </w:div>
        <w:div w:id="1290358889">
          <w:marLeft w:val="0"/>
          <w:marRight w:val="0"/>
          <w:marTop w:val="0"/>
          <w:marBottom w:val="0"/>
          <w:divBdr>
            <w:top w:val="none" w:sz="0" w:space="0" w:color="auto"/>
            <w:left w:val="none" w:sz="0" w:space="0" w:color="auto"/>
            <w:bottom w:val="none" w:sz="0" w:space="0" w:color="auto"/>
            <w:right w:val="none" w:sz="0" w:space="0" w:color="auto"/>
          </w:divBdr>
        </w:div>
        <w:div w:id="1315640242">
          <w:marLeft w:val="0"/>
          <w:marRight w:val="0"/>
          <w:marTop w:val="0"/>
          <w:marBottom w:val="0"/>
          <w:divBdr>
            <w:top w:val="none" w:sz="0" w:space="0" w:color="auto"/>
            <w:left w:val="none" w:sz="0" w:space="0" w:color="auto"/>
            <w:bottom w:val="none" w:sz="0" w:space="0" w:color="auto"/>
            <w:right w:val="none" w:sz="0" w:space="0" w:color="auto"/>
          </w:divBdr>
        </w:div>
        <w:div w:id="1326202482">
          <w:marLeft w:val="0"/>
          <w:marRight w:val="0"/>
          <w:marTop w:val="0"/>
          <w:marBottom w:val="0"/>
          <w:divBdr>
            <w:top w:val="none" w:sz="0" w:space="0" w:color="auto"/>
            <w:left w:val="none" w:sz="0" w:space="0" w:color="auto"/>
            <w:bottom w:val="none" w:sz="0" w:space="0" w:color="auto"/>
            <w:right w:val="none" w:sz="0" w:space="0" w:color="auto"/>
          </w:divBdr>
        </w:div>
        <w:div w:id="1361711188">
          <w:marLeft w:val="0"/>
          <w:marRight w:val="0"/>
          <w:marTop w:val="0"/>
          <w:marBottom w:val="0"/>
          <w:divBdr>
            <w:top w:val="none" w:sz="0" w:space="0" w:color="auto"/>
            <w:left w:val="none" w:sz="0" w:space="0" w:color="auto"/>
            <w:bottom w:val="none" w:sz="0" w:space="0" w:color="auto"/>
            <w:right w:val="none" w:sz="0" w:space="0" w:color="auto"/>
          </w:divBdr>
        </w:div>
        <w:div w:id="1403793383">
          <w:marLeft w:val="0"/>
          <w:marRight w:val="0"/>
          <w:marTop w:val="0"/>
          <w:marBottom w:val="0"/>
          <w:divBdr>
            <w:top w:val="none" w:sz="0" w:space="0" w:color="auto"/>
            <w:left w:val="none" w:sz="0" w:space="0" w:color="auto"/>
            <w:bottom w:val="none" w:sz="0" w:space="0" w:color="auto"/>
            <w:right w:val="none" w:sz="0" w:space="0" w:color="auto"/>
          </w:divBdr>
        </w:div>
        <w:div w:id="1417744604">
          <w:marLeft w:val="0"/>
          <w:marRight w:val="0"/>
          <w:marTop w:val="0"/>
          <w:marBottom w:val="0"/>
          <w:divBdr>
            <w:top w:val="none" w:sz="0" w:space="0" w:color="auto"/>
            <w:left w:val="none" w:sz="0" w:space="0" w:color="auto"/>
            <w:bottom w:val="none" w:sz="0" w:space="0" w:color="auto"/>
            <w:right w:val="none" w:sz="0" w:space="0" w:color="auto"/>
          </w:divBdr>
        </w:div>
        <w:div w:id="1428110194">
          <w:marLeft w:val="0"/>
          <w:marRight w:val="0"/>
          <w:marTop w:val="0"/>
          <w:marBottom w:val="0"/>
          <w:divBdr>
            <w:top w:val="none" w:sz="0" w:space="0" w:color="auto"/>
            <w:left w:val="none" w:sz="0" w:space="0" w:color="auto"/>
            <w:bottom w:val="none" w:sz="0" w:space="0" w:color="auto"/>
            <w:right w:val="none" w:sz="0" w:space="0" w:color="auto"/>
          </w:divBdr>
        </w:div>
        <w:div w:id="1454901925">
          <w:marLeft w:val="0"/>
          <w:marRight w:val="0"/>
          <w:marTop w:val="0"/>
          <w:marBottom w:val="0"/>
          <w:divBdr>
            <w:top w:val="none" w:sz="0" w:space="0" w:color="auto"/>
            <w:left w:val="none" w:sz="0" w:space="0" w:color="auto"/>
            <w:bottom w:val="none" w:sz="0" w:space="0" w:color="auto"/>
            <w:right w:val="none" w:sz="0" w:space="0" w:color="auto"/>
          </w:divBdr>
        </w:div>
        <w:div w:id="1460489529">
          <w:marLeft w:val="0"/>
          <w:marRight w:val="0"/>
          <w:marTop w:val="0"/>
          <w:marBottom w:val="0"/>
          <w:divBdr>
            <w:top w:val="none" w:sz="0" w:space="0" w:color="auto"/>
            <w:left w:val="none" w:sz="0" w:space="0" w:color="auto"/>
            <w:bottom w:val="none" w:sz="0" w:space="0" w:color="auto"/>
            <w:right w:val="none" w:sz="0" w:space="0" w:color="auto"/>
          </w:divBdr>
        </w:div>
        <w:div w:id="1468473096">
          <w:marLeft w:val="0"/>
          <w:marRight w:val="0"/>
          <w:marTop w:val="0"/>
          <w:marBottom w:val="0"/>
          <w:divBdr>
            <w:top w:val="none" w:sz="0" w:space="0" w:color="auto"/>
            <w:left w:val="none" w:sz="0" w:space="0" w:color="auto"/>
            <w:bottom w:val="none" w:sz="0" w:space="0" w:color="auto"/>
            <w:right w:val="none" w:sz="0" w:space="0" w:color="auto"/>
          </w:divBdr>
        </w:div>
        <w:div w:id="1469056541">
          <w:marLeft w:val="0"/>
          <w:marRight w:val="0"/>
          <w:marTop w:val="0"/>
          <w:marBottom w:val="0"/>
          <w:divBdr>
            <w:top w:val="none" w:sz="0" w:space="0" w:color="auto"/>
            <w:left w:val="none" w:sz="0" w:space="0" w:color="auto"/>
            <w:bottom w:val="none" w:sz="0" w:space="0" w:color="auto"/>
            <w:right w:val="none" w:sz="0" w:space="0" w:color="auto"/>
          </w:divBdr>
        </w:div>
        <w:div w:id="1545749293">
          <w:marLeft w:val="0"/>
          <w:marRight w:val="0"/>
          <w:marTop w:val="0"/>
          <w:marBottom w:val="0"/>
          <w:divBdr>
            <w:top w:val="none" w:sz="0" w:space="0" w:color="auto"/>
            <w:left w:val="none" w:sz="0" w:space="0" w:color="auto"/>
            <w:bottom w:val="none" w:sz="0" w:space="0" w:color="auto"/>
            <w:right w:val="none" w:sz="0" w:space="0" w:color="auto"/>
          </w:divBdr>
        </w:div>
        <w:div w:id="1618170994">
          <w:marLeft w:val="0"/>
          <w:marRight w:val="0"/>
          <w:marTop w:val="0"/>
          <w:marBottom w:val="0"/>
          <w:divBdr>
            <w:top w:val="none" w:sz="0" w:space="0" w:color="auto"/>
            <w:left w:val="none" w:sz="0" w:space="0" w:color="auto"/>
            <w:bottom w:val="none" w:sz="0" w:space="0" w:color="auto"/>
            <w:right w:val="none" w:sz="0" w:space="0" w:color="auto"/>
          </w:divBdr>
        </w:div>
        <w:div w:id="1661689840">
          <w:marLeft w:val="0"/>
          <w:marRight w:val="0"/>
          <w:marTop w:val="0"/>
          <w:marBottom w:val="0"/>
          <w:divBdr>
            <w:top w:val="none" w:sz="0" w:space="0" w:color="auto"/>
            <w:left w:val="none" w:sz="0" w:space="0" w:color="auto"/>
            <w:bottom w:val="none" w:sz="0" w:space="0" w:color="auto"/>
            <w:right w:val="none" w:sz="0" w:space="0" w:color="auto"/>
          </w:divBdr>
        </w:div>
        <w:div w:id="1750929569">
          <w:marLeft w:val="0"/>
          <w:marRight w:val="0"/>
          <w:marTop w:val="0"/>
          <w:marBottom w:val="0"/>
          <w:divBdr>
            <w:top w:val="none" w:sz="0" w:space="0" w:color="auto"/>
            <w:left w:val="none" w:sz="0" w:space="0" w:color="auto"/>
            <w:bottom w:val="none" w:sz="0" w:space="0" w:color="auto"/>
            <w:right w:val="none" w:sz="0" w:space="0" w:color="auto"/>
          </w:divBdr>
        </w:div>
        <w:div w:id="1762529949">
          <w:marLeft w:val="0"/>
          <w:marRight w:val="0"/>
          <w:marTop w:val="0"/>
          <w:marBottom w:val="0"/>
          <w:divBdr>
            <w:top w:val="none" w:sz="0" w:space="0" w:color="auto"/>
            <w:left w:val="none" w:sz="0" w:space="0" w:color="auto"/>
            <w:bottom w:val="none" w:sz="0" w:space="0" w:color="auto"/>
            <w:right w:val="none" w:sz="0" w:space="0" w:color="auto"/>
          </w:divBdr>
        </w:div>
        <w:div w:id="1765414142">
          <w:marLeft w:val="0"/>
          <w:marRight w:val="0"/>
          <w:marTop w:val="0"/>
          <w:marBottom w:val="0"/>
          <w:divBdr>
            <w:top w:val="none" w:sz="0" w:space="0" w:color="auto"/>
            <w:left w:val="none" w:sz="0" w:space="0" w:color="auto"/>
            <w:bottom w:val="none" w:sz="0" w:space="0" w:color="auto"/>
            <w:right w:val="none" w:sz="0" w:space="0" w:color="auto"/>
          </w:divBdr>
        </w:div>
        <w:div w:id="1816682370">
          <w:marLeft w:val="0"/>
          <w:marRight w:val="0"/>
          <w:marTop w:val="0"/>
          <w:marBottom w:val="0"/>
          <w:divBdr>
            <w:top w:val="none" w:sz="0" w:space="0" w:color="auto"/>
            <w:left w:val="none" w:sz="0" w:space="0" w:color="auto"/>
            <w:bottom w:val="none" w:sz="0" w:space="0" w:color="auto"/>
            <w:right w:val="none" w:sz="0" w:space="0" w:color="auto"/>
          </w:divBdr>
        </w:div>
        <w:div w:id="1881092582">
          <w:marLeft w:val="0"/>
          <w:marRight w:val="0"/>
          <w:marTop w:val="0"/>
          <w:marBottom w:val="0"/>
          <w:divBdr>
            <w:top w:val="none" w:sz="0" w:space="0" w:color="auto"/>
            <w:left w:val="none" w:sz="0" w:space="0" w:color="auto"/>
            <w:bottom w:val="none" w:sz="0" w:space="0" w:color="auto"/>
            <w:right w:val="none" w:sz="0" w:space="0" w:color="auto"/>
          </w:divBdr>
        </w:div>
        <w:div w:id="2055274825">
          <w:marLeft w:val="0"/>
          <w:marRight w:val="0"/>
          <w:marTop w:val="0"/>
          <w:marBottom w:val="0"/>
          <w:divBdr>
            <w:top w:val="none" w:sz="0" w:space="0" w:color="auto"/>
            <w:left w:val="none" w:sz="0" w:space="0" w:color="auto"/>
            <w:bottom w:val="none" w:sz="0" w:space="0" w:color="auto"/>
            <w:right w:val="none" w:sz="0" w:space="0" w:color="auto"/>
          </w:divBdr>
        </w:div>
        <w:div w:id="2058817360">
          <w:marLeft w:val="0"/>
          <w:marRight w:val="0"/>
          <w:marTop w:val="0"/>
          <w:marBottom w:val="0"/>
          <w:divBdr>
            <w:top w:val="none" w:sz="0" w:space="0" w:color="auto"/>
            <w:left w:val="none" w:sz="0" w:space="0" w:color="auto"/>
            <w:bottom w:val="none" w:sz="0" w:space="0" w:color="auto"/>
            <w:right w:val="none" w:sz="0" w:space="0" w:color="auto"/>
          </w:divBdr>
        </w:div>
        <w:div w:id="2098624011">
          <w:marLeft w:val="0"/>
          <w:marRight w:val="0"/>
          <w:marTop w:val="0"/>
          <w:marBottom w:val="0"/>
          <w:divBdr>
            <w:top w:val="none" w:sz="0" w:space="0" w:color="auto"/>
            <w:left w:val="none" w:sz="0" w:space="0" w:color="auto"/>
            <w:bottom w:val="none" w:sz="0" w:space="0" w:color="auto"/>
            <w:right w:val="none" w:sz="0" w:space="0" w:color="auto"/>
          </w:divBdr>
        </w:div>
      </w:divsChild>
    </w:div>
    <w:div w:id="1118766298">
      <w:bodyDiv w:val="1"/>
      <w:marLeft w:val="0"/>
      <w:marRight w:val="0"/>
      <w:marTop w:val="0"/>
      <w:marBottom w:val="0"/>
      <w:divBdr>
        <w:top w:val="none" w:sz="0" w:space="0" w:color="auto"/>
        <w:left w:val="none" w:sz="0" w:space="0" w:color="auto"/>
        <w:bottom w:val="none" w:sz="0" w:space="0" w:color="auto"/>
        <w:right w:val="none" w:sz="0" w:space="0" w:color="auto"/>
      </w:divBdr>
      <w:divsChild>
        <w:div w:id="1750156318">
          <w:marLeft w:val="0"/>
          <w:marRight w:val="0"/>
          <w:marTop w:val="0"/>
          <w:marBottom w:val="0"/>
          <w:divBdr>
            <w:top w:val="none" w:sz="0" w:space="0" w:color="auto"/>
            <w:left w:val="none" w:sz="0" w:space="0" w:color="auto"/>
            <w:bottom w:val="none" w:sz="0" w:space="0" w:color="auto"/>
            <w:right w:val="none" w:sz="0" w:space="0" w:color="auto"/>
          </w:divBdr>
          <w:divsChild>
            <w:div w:id="7585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13199">
      <w:bodyDiv w:val="1"/>
      <w:marLeft w:val="0"/>
      <w:marRight w:val="0"/>
      <w:marTop w:val="0"/>
      <w:marBottom w:val="0"/>
      <w:divBdr>
        <w:top w:val="none" w:sz="0" w:space="0" w:color="auto"/>
        <w:left w:val="none" w:sz="0" w:space="0" w:color="auto"/>
        <w:bottom w:val="none" w:sz="0" w:space="0" w:color="auto"/>
        <w:right w:val="none" w:sz="0" w:space="0" w:color="auto"/>
      </w:divBdr>
      <w:divsChild>
        <w:div w:id="206068170">
          <w:marLeft w:val="0"/>
          <w:marRight w:val="0"/>
          <w:marTop w:val="0"/>
          <w:marBottom w:val="0"/>
          <w:divBdr>
            <w:top w:val="none" w:sz="0" w:space="0" w:color="auto"/>
            <w:left w:val="none" w:sz="0" w:space="0" w:color="auto"/>
            <w:bottom w:val="none" w:sz="0" w:space="0" w:color="auto"/>
            <w:right w:val="none" w:sz="0" w:space="0" w:color="auto"/>
          </w:divBdr>
          <w:divsChild>
            <w:div w:id="1880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51347">
      <w:bodyDiv w:val="1"/>
      <w:marLeft w:val="0"/>
      <w:marRight w:val="0"/>
      <w:marTop w:val="0"/>
      <w:marBottom w:val="0"/>
      <w:divBdr>
        <w:top w:val="none" w:sz="0" w:space="0" w:color="auto"/>
        <w:left w:val="none" w:sz="0" w:space="0" w:color="auto"/>
        <w:bottom w:val="none" w:sz="0" w:space="0" w:color="auto"/>
        <w:right w:val="none" w:sz="0" w:space="0" w:color="auto"/>
      </w:divBdr>
      <w:divsChild>
        <w:div w:id="1755928274">
          <w:marLeft w:val="0"/>
          <w:marRight w:val="0"/>
          <w:marTop w:val="0"/>
          <w:marBottom w:val="0"/>
          <w:divBdr>
            <w:top w:val="none" w:sz="0" w:space="0" w:color="auto"/>
            <w:left w:val="none" w:sz="0" w:space="0" w:color="auto"/>
            <w:bottom w:val="none" w:sz="0" w:space="0" w:color="auto"/>
            <w:right w:val="none" w:sz="0" w:space="0" w:color="auto"/>
          </w:divBdr>
          <w:divsChild>
            <w:div w:id="151804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4568">
      <w:bodyDiv w:val="1"/>
      <w:marLeft w:val="0"/>
      <w:marRight w:val="0"/>
      <w:marTop w:val="0"/>
      <w:marBottom w:val="0"/>
      <w:divBdr>
        <w:top w:val="none" w:sz="0" w:space="0" w:color="auto"/>
        <w:left w:val="none" w:sz="0" w:space="0" w:color="auto"/>
        <w:bottom w:val="none" w:sz="0" w:space="0" w:color="auto"/>
        <w:right w:val="none" w:sz="0" w:space="0" w:color="auto"/>
      </w:divBdr>
      <w:divsChild>
        <w:div w:id="1862083952">
          <w:marLeft w:val="0"/>
          <w:marRight w:val="0"/>
          <w:marTop w:val="0"/>
          <w:marBottom w:val="0"/>
          <w:divBdr>
            <w:top w:val="none" w:sz="0" w:space="0" w:color="auto"/>
            <w:left w:val="none" w:sz="0" w:space="0" w:color="auto"/>
            <w:bottom w:val="none" w:sz="0" w:space="0" w:color="auto"/>
            <w:right w:val="none" w:sz="0" w:space="0" w:color="auto"/>
          </w:divBdr>
          <w:divsChild>
            <w:div w:id="109998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8669">
      <w:bodyDiv w:val="1"/>
      <w:marLeft w:val="0"/>
      <w:marRight w:val="0"/>
      <w:marTop w:val="0"/>
      <w:marBottom w:val="0"/>
      <w:divBdr>
        <w:top w:val="none" w:sz="0" w:space="0" w:color="auto"/>
        <w:left w:val="none" w:sz="0" w:space="0" w:color="auto"/>
        <w:bottom w:val="none" w:sz="0" w:space="0" w:color="auto"/>
        <w:right w:val="none" w:sz="0" w:space="0" w:color="auto"/>
      </w:divBdr>
    </w:div>
    <w:div w:id="1393850707">
      <w:bodyDiv w:val="1"/>
      <w:marLeft w:val="0"/>
      <w:marRight w:val="0"/>
      <w:marTop w:val="0"/>
      <w:marBottom w:val="0"/>
      <w:divBdr>
        <w:top w:val="none" w:sz="0" w:space="0" w:color="auto"/>
        <w:left w:val="none" w:sz="0" w:space="0" w:color="auto"/>
        <w:bottom w:val="none" w:sz="0" w:space="0" w:color="auto"/>
        <w:right w:val="none" w:sz="0" w:space="0" w:color="auto"/>
      </w:divBdr>
    </w:div>
    <w:div w:id="1397976152">
      <w:bodyDiv w:val="1"/>
      <w:marLeft w:val="0"/>
      <w:marRight w:val="0"/>
      <w:marTop w:val="0"/>
      <w:marBottom w:val="0"/>
      <w:divBdr>
        <w:top w:val="none" w:sz="0" w:space="0" w:color="auto"/>
        <w:left w:val="none" w:sz="0" w:space="0" w:color="auto"/>
        <w:bottom w:val="none" w:sz="0" w:space="0" w:color="auto"/>
        <w:right w:val="none" w:sz="0" w:space="0" w:color="auto"/>
      </w:divBdr>
    </w:div>
    <w:div w:id="1407610437">
      <w:bodyDiv w:val="1"/>
      <w:marLeft w:val="0"/>
      <w:marRight w:val="0"/>
      <w:marTop w:val="0"/>
      <w:marBottom w:val="0"/>
      <w:divBdr>
        <w:top w:val="none" w:sz="0" w:space="0" w:color="auto"/>
        <w:left w:val="none" w:sz="0" w:space="0" w:color="auto"/>
        <w:bottom w:val="none" w:sz="0" w:space="0" w:color="auto"/>
        <w:right w:val="none" w:sz="0" w:space="0" w:color="auto"/>
      </w:divBdr>
      <w:divsChild>
        <w:div w:id="490491061">
          <w:marLeft w:val="0"/>
          <w:marRight w:val="0"/>
          <w:marTop w:val="0"/>
          <w:marBottom w:val="0"/>
          <w:divBdr>
            <w:top w:val="none" w:sz="0" w:space="0" w:color="auto"/>
            <w:left w:val="none" w:sz="0" w:space="0" w:color="auto"/>
            <w:bottom w:val="none" w:sz="0" w:space="0" w:color="auto"/>
            <w:right w:val="none" w:sz="0" w:space="0" w:color="auto"/>
          </w:divBdr>
          <w:divsChild>
            <w:div w:id="174302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72615">
      <w:bodyDiv w:val="1"/>
      <w:marLeft w:val="0"/>
      <w:marRight w:val="0"/>
      <w:marTop w:val="0"/>
      <w:marBottom w:val="0"/>
      <w:divBdr>
        <w:top w:val="none" w:sz="0" w:space="0" w:color="auto"/>
        <w:left w:val="none" w:sz="0" w:space="0" w:color="auto"/>
        <w:bottom w:val="none" w:sz="0" w:space="0" w:color="auto"/>
        <w:right w:val="none" w:sz="0" w:space="0" w:color="auto"/>
      </w:divBdr>
      <w:divsChild>
        <w:div w:id="1573003545">
          <w:marLeft w:val="0"/>
          <w:marRight w:val="0"/>
          <w:marTop w:val="0"/>
          <w:marBottom w:val="0"/>
          <w:divBdr>
            <w:top w:val="none" w:sz="0" w:space="0" w:color="auto"/>
            <w:left w:val="none" w:sz="0" w:space="0" w:color="auto"/>
            <w:bottom w:val="none" w:sz="0" w:space="0" w:color="auto"/>
            <w:right w:val="none" w:sz="0" w:space="0" w:color="auto"/>
          </w:divBdr>
          <w:divsChild>
            <w:div w:id="16040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57099">
      <w:bodyDiv w:val="1"/>
      <w:marLeft w:val="0"/>
      <w:marRight w:val="0"/>
      <w:marTop w:val="0"/>
      <w:marBottom w:val="0"/>
      <w:divBdr>
        <w:top w:val="none" w:sz="0" w:space="0" w:color="auto"/>
        <w:left w:val="none" w:sz="0" w:space="0" w:color="auto"/>
        <w:bottom w:val="none" w:sz="0" w:space="0" w:color="auto"/>
        <w:right w:val="none" w:sz="0" w:space="0" w:color="auto"/>
      </w:divBdr>
    </w:div>
    <w:div w:id="1599942437">
      <w:bodyDiv w:val="1"/>
      <w:marLeft w:val="0"/>
      <w:marRight w:val="0"/>
      <w:marTop w:val="0"/>
      <w:marBottom w:val="0"/>
      <w:divBdr>
        <w:top w:val="none" w:sz="0" w:space="0" w:color="auto"/>
        <w:left w:val="none" w:sz="0" w:space="0" w:color="auto"/>
        <w:bottom w:val="none" w:sz="0" w:space="0" w:color="auto"/>
        <w:right w:val="none" w:sz="0" w:space="0" w:color="auto"/>
      </w:divBdr>
      <w:divsChild>
        <w:div w:id="643237514">
          <w:marLeft w:val="0"/>
          <w:marRight w:val="0"/>
          <w:marTop w:val="0"/>
          <w:marBottom w:val="0"/>
          <w:divBdr>
            <w:top w:val="none" w:sz="0" w:space="0" w:color="auto"/>
            <w:left w:val="none" w:sz="0" w:space="0" w:color="auto"/>
            <w:bottom w:val="none" w:sz="0" w:space="0" w:color="auto"/>
            <w:right w:val="none" w:sz="0" w:space="0" w:color="auto"/>
          </w:divBdr>
          <w:divsChild>
            <w:div w:id="5929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2083">
      <w:bodyDiv w:val="1"/>
      <w:marLeft w:val="0"/>
      <w:marRight w:val="0"/>
      <w:marTop w:val="0"/>
      <w:marBottom w:val="0"/>
      <w:divBdr>
        <w:top w:val="none" w:sz="0" w:space="0" w:color="auto"/>
        <w:left w:val="none" w:sz="0" w:space="0" w:color="auto"/>
        <w:bottom w:val="none" w:sz="0" w:space="0" w:color="auto"/>
        <w:right w:val="none" w:sz="0" w:space="0" w:color="auto"/>
      </w:divBdr>
    </w:div>
    <w:div w:id="1780949546">
      <w:bodyDiv w:val="1"/>
      <w:marLeft w:val="0"/>
      <w:marRight w:val="0"/>
      <w:marTop w:val="0"/>
      <w:marBottom w:val="0"/>
      <w:divBdr>
        <w:top w:val="none" w:sz="0" w:space="0" w:color="auto"/>
        <w:left w:val="none" w:sz="0" w:space="0" w:color="auto"/>
        <w:bottom w:val="none" w:sz="0" w:space="0" w:color="auto"/>
        <w:right w:val="none" w:sz="0" w:space="0" w:color="auto"/>
      </w:divBdr>
      <w:divsChild>
        <w:div w:id="1090347428">
          <w:marLeft w:val="0"/>
          <w:marRight w:val="0"/>
          <w:marTop w:val="0"/>
          <w:marBottom w:val="0"/>
          <w:divBdr>
            <w:top w:val="none" w:sz="0" w:space="0" w:color="auto"/>
            <w:left w:val="none" w:sz="0" w:space="0" w:color="auto"/>
            <w:bottom w:val="none" w:sz="0" w:space="0" w:color="auto"/>
            <w:right w:val="none" w:sz="0" w:space="0" w:color="auto"/>
          </w:divBdr>
          <w:divsChild>
            <w:div w:id="170258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47556">
      <w:bodyDiv w:val="1"/>
      <w:marLeft w:val="0"/>
      <w:marRight w:val="0"/>
      <w:marTop w:val="0"/>
      <w:marBottom w:val="0"/>
      <w:divBdr>
        <w:top w:val="none" w:sz="0" w:space="0" w:color="auto"/>
        <w:left w:val="none" w:sz="0" w:space="0" w:color="auto"/>
        <w:bottom w:val="none" w:sz="0" w:space="0" w:color="auto"/>
        <w:right w:val="none" w:sz="0" w:space="0" w:color="auto"/>
      </w:divBdr>
      <w:divsChild>
        <w:div w:id="105972672">
          <w:marLeft w:val="0"/>
          <w:marRight w:val="0"/>
          <w:marTop w:val="0"/>
          <w:marBottom w:val="0"/>
          <w:divBdr>
            <w:top w:val="none" w:sz="0" w:space="0" w:color="auto"/>
            <w:left w:val="none" w:sz="0" w:space="0" w:color="auto"/>
            <w:bottom w:val="none" w:sz="0" w:space="0" w:color="auto"/>
            <w:right w:val="none" w:sz="0" w:space="0" w:color="auto"/>
          </w:divBdr>
        </w:div>
        <w:div w:id="321667868">
          <w:marLeft w:val="0"/>
          <w:marRight w:val="0"/>
          <w:marTop w:val="0"/>
          <w:marBottom w:val="0"/>
          <w:divBdr>
            <w:top w:val="none" w:sz="0" w:space="0" w:color="auto"/>
            <w:left w:val="none" w:sz="0" w:space="0" w:color="auto"/>
            <w:bottom w:val="none" w:sz="0" w:space="0" w:color="auto"/>
            <w:right w:val="none" w:sz="0" w:space="0" w:color="auto"/>
          </w:divBdr>
        </w:div>
        <w:div w:id="353073196">
          <w:marLeft w:val="0"/>
          <w:marRight w:val="0"/>
          <w:marTop w:val="0"/>
          <w:marBottom w:val="0"/>
          <w:divBdr>
            <w:top w:val="none" w:sz="0" w:space="0" w:color="auto"/>
            <w:left w:val="none" w:sz="0" w:space="0" w:color="auto"/>
            <w:bottom w:val="none" w:sz="0" w:space="0" w:color="auto"/>
            <w:right w:val="none" w:sz="0" w:space="0" w:color="auto"/>
          </w:divBdr>
        </w:div>
        <w:div w:id="497883642">
          <w:marLeft w:val="0"/>
          <w:marRight w:val="0"/>
          <w:marTop w:val="0"/>
          <w:marBottom w:val="0"/>
          <w:divBdr>
            <w:top w:val="none" w:sz="0" w:space="0" w:color="auto"/>
            <w:left w:val="none" w:sz="0" w:space="0" w:color="auto"/>
            <w:bottom w:val="none" w:sz="0" w:space="0" w:color="auto"/>
            <w:right w:val="none" w:sz="0" w:space="0" w:color="auto"/>
          </w:divBdr>
        </w:div>
        <w:div w:id="703672653">
          <w:marLeft w:val="0"/>
          <w:marRight w:val="0"/>
          <w:marTop w:val="0"/>
          <w:marBottom w:val="0"/>
          <w:divBdr>
            <w:top w:val="none" w:sz="0" w:space="0" w:color="auto"/>
            <w:left w:val="none" w:sz="0" w:space="0" w:color="auto"/>
            <w:bottom w:val="none" w:sz="0" w:space="0" w:color="auto"/>
            <w:right w:val="none" w:sz="0" w:space="0" w:color="auto"/>
          </w:divBdr>
        </w:div>
        <w:div w:id="1153958249">
          <w:marLeft w:val="0"/>
          <w:marRight w:val="0"/>
          <w:marTop w:val="0"/>
          <w:marBottom w:val="0"/>
          <w:divBdr>
            <w:top w:val="none" w:sz="0" w:space="0" w:color="auto"/>
            <w:left w:val="none" w:sz="0" w:space="0" w:color="auto"/>
            <w:bottom w:val="none" w:sz="0" w:space="0" w:color="auto"/>
            <w:right w:val="none" w:sz="0" w:space="0" w:color="auto"/>
          </w:divBdr>
        </w:div>
        <w:div w:id="1619222312">
          <w:marLeft w:val="0"/>
          <w:marRight w:val="0"/>
          <w:marTop w:val="0"/>
          <w:marBottom w:val="0"/>
          <w:divBdr>
            <w:top w:val="none" w:sz="0" w:space="0" w:color="auto"/>
            <w:left w:val="none" w:sz="0" w:space="0" w:color="auto"/>
            <w:bottom w:val="none" w:sz="0" w:space="0" w:color="auto"/>
            <w:right w:val="none" w:sz="0" w:space="0" w:color="auto"/>
          </w:divBdr>
        </w:div>
        <w:div w:id="1822574962">
          <w:marLeft w:val="0"/>
          <w:marRight w:val="0"/>
          <w:marTop w:val="0"/>
          <w:marBottom w:val="0"/>
          <w:divBdr>
            <w:top w:val="none" w:sz="0" w:space="0" w:color="auto"/>
            <w:left w:val="none" w:sz="0" w:space="0" w:color="auto"/>
            <w:bottom w:val="none" w:sz="0" w:space="0" w:color="auto"/>
            <w:right w:val="none" w:sz="0" w:space="0" w:color="auto"/>
          </w:divBdr>
        </w:div>
        <w:div w:id="2040085030">
          <w:marLeft w:val="0"/>
          <w:marRight w:val="0"/>
          <w:marTop w:val="0"/>
          <w:marBottom w:val="0"/>
          <w:divBdr>
            <w:top w:val="none" w:sz="0" w:space="0" w:color="auto"/>
            <w:left w:val="none" w:sz="0" w:space="0" w:color="auto"/>
            <w:bottom w:val="none" w:sz="0" w:space="0" w:color="auto"/>
            <w:right w:val="none" w:sz="0" w:space="0" w:color="auto"/>
          </w:divBdr>
        </w:div>
      </w:divsChild>
    </w:div>
    <w:div w:id="1792286303">
      <w:bodyDiv w:val="1"/>
      <w:marLeft w:val="0"/>
      <w:marRight w:val="0"/>
      <w:marTop w:val="0"/>
      <w:marBottom w:val="0"/>
      <w:divBdr>
        <w:top w:val="none" w:sz="0" w:space="0" w:color="auto"/>
        <w:left w:val="none" w:sz="0" w:space="0" w:color="auto"/>
        <w:bottom w:val="none" w:sz="0" w:space="0" w:color="auto"/>
        <w:right w:val="none" w:sz="0" w:space="0" w:color="auto"/>
      </w:divBdr>
    </w:div>
    <w:div w:id="1845238513">
      <w:bodyDiv w:val="1"/>
      <w:marLeft w:val="0"/>
      <w:marRight w:val="0"/>
      <w:marTop w:val="0"/>
      <w:marBottom w:val="0"/>
      <w:divBdr>
        <w:top w:val="none" w:sz="0" w:space="0" w:color="auto"/>
        <w:left w:val="none" w:sz="0" w:space="0" w:color="auto"/>
        <w:bottom w:val="none" w:sz="0" w:space="0" w:color="auto"/>
        <w:right w:val="none" w:sz="0" w:space="0" w:color="auto"/>
      </w:divBdr>
      <w:divsChild>
        <w:div w:id="1351754817">
          <w:marLeft w:val="0"/>
          <w:marRight w:val="0"/>
          <w:marTop w:val="0"/>
          <w:marBottom w:val="0"/>
          <w:divBdr>
            <w:top w:val="none" w:sz="0" w:space="0" w:color="auto"/>
            <w:left w:val="none" w:sz="0" w:space="0" w:color="auto"/>
            <w:bottom w:val="none" w:sz="0" w:space="0" w:color="auto"/>
            <w:right w:val="none" w:sz="0" w:space="0" w:color="auto"/>
          </w:divBdr>
          <w:divsChild>
            <w:div w:id="9307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42972">
      <w:bodyDiv w:val="1"/>
      <w:marLeft w:val="0"/>
      <w:marRight w:val="0"/>
      <w:marTop w:val="0"/>
      <w:marBottom w:val="0"/>
      <w:divBdr>
        <w:top w:val="none" w:sz="0" w:space="0" w:color="auto"/>
        <w:left w:val="none" w:sz="0" w:space="0" w:color="auto"/>
        <w:bottom w:val="none" w:sz="0" w:space="0" w:color="auto"/>
        <w:right w:val="none" w:sz="0" w:space="0" w:color="auto"/>
      </w:divBdr>
    </w:div>
    <w:div w:id="2052877008">
      <w:bodyDiv w:val="1"/>
      <w:marLeft w:val="0"/>
      <w:marRight w:val="0"/>
      <w:marTop w:val="0"/>
      <w:marBottom w:val="0"/>
      <w:divBdr>
        <w:top w:val="none" w:sz="0" w:space="0" w:color="auto"/>
        <w:left w:val="none" w:sz="0" w:space="0" w:color="auto"/>
        <w:bottom w:val="none" w:sz="0" w:space="0" w:color="auto"/>
        <w:right w:val="none" w:sz="0" w:space="0" w:color="auto"/>
      </w:divBdr>
      <w:divsChild>
        <w:div w:id="1672485790">
          <w:marLeft w:val="0"/>
          <w:marRight w:val="0"/>
          <w:marTop w:val="0"/>
          <w:marBottom w:val="0"/>
          <w:divBdr>
            <w:top w:val="none" w:sz="0" w:space="0" w:color="auto"/>
            <w:left w:val="none" w:sz="0" w:space="0" w:color="auto"/>
            <w:bottom w:val="none" w:sz="0" w:space="0" w:color="auto"/>
            <w:right w:val="none" w:sz="0" w:space="0" w:color="auto"/>
          </w:divBdr>
          <w:divsChild>
            <w:div w:id="3107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8534">
      <w:bodyDiv w:val="1"/>
      <w:marLeft w:val="0"/>
      <w:marRight w:val="0"/>
      <w:marTop w:val="0"/>
      <w:marBottom w:val="0"/>
      <w:divBdr>
        <w:top w:val="none" w:sz="0" w:space="0" w:color="auto"/>
        <w:left w:val="none" w:sz="0" w:space="0" w:color="auto"/>
        <w:bottom w:val="none" w:sz="0" w:space="0" w:color="auto"/>
        <w:right w:val="none" w:sz="0" w:space="0" w:color="auto"/>
      </w:divBdr>
      <w:divsChild>
        <w:div w:id="298802690">
          <w:marLeft w:val="0"/>
          <w:marRight w:val="0"/>
          <w:marTop w:val="0"/>
          <w:marBottom w:val="0"/>
          <w:divBdr>
            <w:top w:val="none" w:sz="0" w:space="0" w:color="auto"/>
            <w:left w:val="none" w:sz="0" w:space="0" w:color="auto"/>
            <w:bottom w:val="none" w:sz="0" w:space="0" w:color="auto"/>
            <w:right w:val="none" w:sz="0" w:space="0" w:color="auto"/>
          </w:divBdr>
        </w:div>
        <w:div w:id="430781978">
          <w:marLeft w:val="0"/>
          <w:marRight w:val="0"/>
          <w:marTop w:val="0"/>
          <w:marBottom w:val="0"/>
          <w:divBdr>
            <w:top w:val="none" w:sz="0" w:space="0" w:color="auto"/>
            <w:left w:val="none" w:sz="0" w:space="0" w:color="auto"/>
            <w:bottom w:val="none" w:sz="0" w:space="0" w:color="auto"/>
            <w:right w:val="none" w:sz="0" w:space="0" w:color="auto"/>
          </w:divBdr>
        </w:div>
        <w:div w:id="483202129">
          <w:marLeft w:val="0"/>
          <w:marRight w:val="0"/>
          <w:marTop w:val="0"/>
          <w:marBottom w:val="0"/>
          <w:divBdr>
            <w:top w:val="none" w:sz="0" w:space="0" w:color="auto"/>
            <w:left w:val="none" w:sz="0" w:space="0" w:color="auto"/>
            <w:bottom w:val="none" w:sz="0" w:space="0" w:color="auto"/>
            <w:right w:val="none" w:sz="0" w:space="0" w:color="auto"/>
          </w:divBdr>
        </w:div>
        <w:div w:id="714621464">
          <w:marLeft w:val="0"/>
          <w:marRight w:val="0"/>
          <w:marTop w:val="0"/>
          <w:marBottom w:val="0"/>
          <w:divBdr>
            <w:top w:val="none" w:sz="0" w:space="0" w:color="auto"/>
            <w:left w:val="none" w:sz="0" w:space="0" w:color="auto"/>
            <w:bottom w:val="none" w:sz="0" w:space="0" w:color="auto"/>
            <w:right w:val="none" w:sz="0" w:space="0" w:color="auto"/>
          </w:divBdr>
        </w:div>
        <w:div w:id="967200543">
          <w:marLeft w:val="0"/>
          <w:marRight w:val="0"/>
          <w:marTop w:val="0"/>
          <w:marBottom w:val="0"/>
          <w:divBdr>
            <w:top w:val="none" w:sz="0" w:space="0" w:color="auto"/>
            <w:left w:val="none" w:sz="0" w:space="0" w:color="auto"/>
            <w:bottom w:val="none" w:sz="0" w:space="0" w:color="auto"/>
            <w:right w:val="none" w:sz="0" w:space="0" w:color="auto"/>
          </w:divBdr>
        </w:div>
        <w:div w:id="1095246895">
          <w:marLeft w:val="0"/>
          <w:marRight w:val="0"/>
          <w:marTop w:val="0"/>
          <w:marBottom w:val="0"/>
          <w:divBdr>
            <w:top w:val="none" w:sz="0" w:space="0" w:color="auto"/>
            <w:left w:val="none" w:sz="0" w:space="0" w:color="auto"/>
            <w:bottom w:val="none" w:sz="0" w:space="0" w:color="auto"/>
            <w:right w:val="none" w:sz="0" w:space="0" w:color="auto"/>
          </w:divBdr>
        </w:div>
        <w:div w:id="1305619937">
          <w:marLeft w:val="0"/>
          <w:marRight w:val="0"/>
          <w:marTop w:val="0"/>
          <w:marBottom w:val="0"/>
          <w:divBdr>
            <w:top w:val="none" w:sz="0" w:space="0" w:color="auto"/>
            <w:left w:val="none" w:sz="0" w:space="0" w:color="auto"/>
            <w:bottom w:val="none" w:sz="0" w:space="0" w:color="auto"/>
            <w:right w:val="none" w:sz="0" w:space="0" w:color="auto"/>
          </w:divBdr>
        </w:div>
        <w:div w:id="1805929647">
          <w:marLeft w:val="0"/>
          <w:marRight w:val="0"/>
          <w:marTop w:val="0"/>
          <w:marBottom w:val="0"/>
          <w:divBdr>
            <w:top w:val="none" w:sz="0" w:space="0" w:color="auto"/>
            <w:left w:val="none" w:sz="0" w:space="0" w:color="auto"/>
            <w:bottom w:val="none" w:sz="0" w:space="0" w:color="auto"/>
            <w:right w:val="none" w:sz="0" w:space="0" w:color="auto"/>
          </w:divBdr>
        </w:div>
        <w:div w:id="1868564754">
          <w:marLeft w:val="0"/>
          <w:marRight w:val="0"/>
          <w:marTop w:val="0"/>
          <w:marBottom w:val="0"/>
          <w:divBdr>
            <w:top w:val="none" w:sz="0" w:space="0" w:color="auto"/>
            <w:left w:val="none" w:sz="0" w:space="0" w:color="auto"/>
            <w:bottom w:val="none" w:sz="0" w:space="0" w:color="auto"/>
            <w:right w:val="none" w:sz="0" w:space="0" w:color="auto"/>
          </w:divBdr>
        </w:div>
        <w:div w:id="2027709054">
          <w:marLeft w:val="0"/>
          <w:marRight w:val="0"/>
          <w:marTop w:val="0"/>
          <w:marBottom w:val="0"/>
          <w:divBdr>
            <w:top w:val="none" w:sz="0" w:space="0" w:color="auto"/>
            <w:left w:val="none" w:sz="0" w:space="0" w:color="auto"/>
            <w:bottom w:val="none" w:sz="0" w:space="0" w:color="auto"/>
            <w:right w:val="none" w:sz="0" w:space="0" w:color="auto"/>
          </w:divBdr>
        </w:div>
        <w:div w:id="2134516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chart" Target="charts/chart23.xml"/><Relationship Id="rId21" Type="http://schemas.openxmlformats.org/officeDocument/2006/relationships/image" Target="media/image10.png"/><Relationship Id="rId42" Type="http://schemas.openxmlformats.org/officeDocument/2006/relationships/image" Target="media/image24.emf"/><Relationship Id="rId47" Type="http://schemas.openxmlformats.org/officeDocument/2006/relationships/oleObject" Target="embeddings/oleObject9.bin"/><Relationship Id="rId63" Type="http://schemas.openxmlformats.org/officeDocument/2006/relationships/image" Target="media/image35.emf"/><Relationship Id="rId68" Type="http://schemas.openxmlformats.org/officeDocument/2006/relationships/hyperlink" Target="https://en.wikipedia.org/w/index.php?title=Photuris_lucicrescens&amp;action=edit&amp;redlink=1" TargetMode="External"/><Relationship Id="rId84" Type="http://schemas.openxmlformats.org/officeDocument/2006/relationships/image" Target="media/image47.png"/><Relationship Id="rId89" Type="http://schemas.openxmlformats.org/officeDocument/2006/relationships/chart" Target="charts/chart4.xml"/><Relationship Id="rId112" Type="http://schemas.openxmlformats.org/officeDocument/2006/relationships/chart" Target="charts/chart18.xml"/><Relationship Id="rId133" Type="http://schemas.openxmlformats.org/officeDocument/2006/relationships/image" Target="media/image61.png"/><Relationship Id="rId138" Type="http://schemas.openxmlformats.org/officeDocument/2006/relationships/image" Target="media/image65.png"/><Relationship Id="rId154" Type="http://schemas.openxmlformats.org/officeDocument/2006/relationships/image" Target="media/image77.emf"/><Relationship Id="rId159"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chart" Target="charts/chart15.xml"/><Relationship Id="rId11" Type="http://schemas.openxmlformats.org/officeDocument/2006/relationships/footer" Target="footer4.xml"/><Relationship Id="rId32" Type="http://schemas.openxmlformats.org/officeDocument/2006/relationships/oleObject" Target="embeddings/oleObject2.bin"/><Relationship Id="rId37" Type="http://schemas.openxmlformats.org/officeDocument/2006/relationships/image" Target="media/image21.png"/><Relationship Id="rId53" Type="http://schemas.openxmlformats.org/officeDocument/2006/relationships/oleObject" Target="embeddings/oleObject12.bin"/><Relationship Id="rId58" Type="http://schemas.openxmlformats.org/officeDocument/2006/relationships/image" Target="media/image32.png"/><Relationship Id="rId74" Type="http://schemas.microsoft.com/office/2007/relationships/diagramDrawing" Target="diagrams/drawing1.xml"/><Relationship Id="rId79" Type="http://schemas.openxmlformats.org/officeDocument/2006/relationships/image" Target="media/image43.png"/><Relationship Id="rId102" Type="http://schemas.openxmlformats.org/officeDocument/2006/relationships/chart" Target="charts/chart10.xml"/><Relationship Id="rId123" Type="http://schemas.openxmlformats.org/officeDocument/2006/relationships/chart" Target="charts/chart29.xml"/><Relationship Id="rId128" Type="http://schemas.openxmlformats.org/officeDocument/2006/relationships/oleObject" Target="embeddings/oleObject27.bin"/><Relationship Id="rId144" Type="http://schemas.openxmlformats.org/officeDocument/2006/relationships/chart" Target="charts/chart33.xml"/><Relationship Id="rId149" Type="http://schemas.openxmlformats.org/officeDocument/2006/relationships/image" Target="media/image72.emf"/><Relationship Id="rId5" Type="http://schemas.openxmlformats.org/officeDocument/2006/relationships/webSettings" Target="webSettings.xml"/><Relationship Id="rId90" Type="http://schemas.openxmlformats.org/officeDocument/2006/relationships/chart" Target="charts/chart5.xml"/><Relationship Id="rId95" Type="http://schemas.openxmlformats.org/officeDocument/2006/relationships/image" Target="media/image54.wmf"/><Relationship Id="rId160"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5.emf"/><Relationship Id="rId43" Type="http://schemas.openxmlformats.org/officeDocument/2006/relationships/oleObject" Target="embeddings/oleObject7.bin"/><Relationship Id="rId48" Type="http://schemas.openxmlformats.org/officeDocument/2006/relationships/image" Target="media/image27.emf"/><Relationship Id="rId64" Type="http://schemas.openxmlformats.org/officeDocument/2006/relationships/oleObject" Target="embeddings/oleObject17.bin"/><Relationship Id="rId69" Type="http://schemas.openxmlformats.org/officeDocument/2006/relationships/image" Target="media/image38.png"/><Relationship Id="rId113" Type="http://schemas.openxmlformats.org/officeDocument/2006/relationships/chart" Target="charts/chart19.xml"/><Relationship Id="rId118" Type="http://schemas.openxmlformats.org/officeDocument/2006/relationships/chart" Target="charts/chart24.xml"/><Relationship Id="rId134" Type="http://schemas.openxmlformats.org/officeDocument/2006/relationships/image" Target="media/image62.png"/><Relationship Id="rId139" Type="http://schemas.openxmlformats.org/officeDocument/2006/relationships/image" Target="media/image66.png"/><Relationship Id="rId80" Type="http://schemas.openxmlformats.org/officeDocument/2006/relationships/image" Target="media/image44.png"/><Relationship Id="rId85" Type="http://schemas.openxmlformats.org/officeDocument/2006/relationships/image" Target="media/image48.png"/><Relationship Id="rId150" Type="http://schemas.openxmlformats.org/officeDocument/2006/relationships/image" Target="media/image73.emf"/><Relationship Id="rId155" Type="http://schemas.openxmlformats.org/officeDocument/2006/relationships/image" Target="media/image78.emf"/><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19.emf"/><Relationship Id="rId38" Type="http://schemas.openxmlformats.org/officeDocument/2006/relationships/image" Target="media/image22.emf"/><Relationship Id="rId59" Type="http://schemas.openxmlformats.org/officeDocument/2006/relationships/image" Target="media/image33.emf"/><Relationship Id="rId103" Type="http://schemas.openxmlformats.org/officeDocument/2006/relationships/chart" Target="charts/chart11.xml"/><Relationship Id="rId108" Type="http://schemas.openxmlformats.org/officeDocument/2006/relationships/chart" Target="charts/chart16.xml"/><Relationship Id="rId124" Type="http://schemas.openxmlformats.org/officeDocument/2006/relationships/chart" Target="charts/chart30.xml"/><Relationship Id="rId129" Type="http://schemas.openxmlformats.org/officeDocument/2006/relationships/image" Target="media/image59.emf"/><Relationship Id="rId20" Type="http://schemas.openxmlformats.org/officeDocument/2006/relationships/image" Target="media/image9.png"/><Relationship Id="rId41" Type="http://schemas.openxmlformats.org/officeDocument/2006/relationships/oleObject" Target="embeddings/oleObject6.bin"/><Relationship Id="rId54" Type="http://schemas.openxmlformats.org/officeDocument/2006/relationships/image" Target="media/image30.emf"/><Relationship Id="rId62" Type="http://schemas.openxmlformats.org/officeDocument/2006/relationships/oleObject" Target="embeddings/oleObject16.bin"/><Relationship Id="rId70" Type="http://schemas.openxmlformats.org/officeDocument/2006/relationships/diagramData" Target="diagrams/data1.xml"/><Relationship Id="rId75" Type="http://schemas.openxmlformats.org/officeDocument/2006/relationships/image" Target="media/image39.png"/><Relationship Id="rId83" Type="http://schemas.openxmlformats.org/officeDocument/2006/relationships/image" Target="media/image46.png"/><Relationship Id="rId88" Type="http://schemas.openxmlformats.org/officeDocument/2006/relationships/chart" Target="charts/chart3.xml"/><Relationship Id="rId91" Type="http://schemas.openxmlformats.org/officeDocument/2006/relationships/image" Target="media/image50.png"/><Relationship Id="rId96" Type="http://schemas.openxmlformats.org/officeDocument/2006/relationships/image" Target="media/image540.wmf"/><Relationship Id="rId111" Type="http://schemas.openxmlformats.org/officeDocument/2006/relationships/chart" Target="charts/chart17.xml"/><Relationship Id="rId132" Type="http://schemas.openxmlformats.org/officeDocument/2006/relationships/oleObject" Target="embeddings/oleObject29.bin"/><Relationship Id="rId140" Type="http://schemas.openxmlformats.org/officeDocument/2006/relationships/image" Target="media/image67.png"/><Relationship Id="rId145" Type="http://schemas.openxmlformats.org/officeDocument/2006/relationships/chart" Target="charts/chart34.xml"/><Relationship Id="rId153"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jfif"/><Relationship Id="rId36" Type="http://schemas.openxmlformats.org/officeDocument/2006/relationships/oleObject" Target="embeddings/oleObject4.bin"/><Relationship Id="rId49" Type="http://schemas.openxmlformats.org/officeDocument/2006/relationships/oleObject" Target="embeddings/oleObject10.bin"/><Relationship Id="rId57" Type="http://schemas.openxmlformats.org/officeDocument/2006/relationships/oleObject" Target="embeddings/oleObject14.bin"/><Relationship Id="rId106" Type="http://schemas.openxmlformats.org/officeDocument/2006/relationships/chart" Target="charts/chart14.xml"/><Relationship Id="rId114" Type="http://schemas.openxmlformats.org/officeDocument/2006/relationships/chart" Target="charts/chart20.xml"/><Relationship Id="rId119" Type="http://schemas.openxmlformats.org/officeDocument/2006/relationships/chart" Target="charts/chart25.xml"/><Relationship Id="rId127" Type="http://schemas.openxmlformats.org/officeDocument/2006/relationships/image" Target="media/image58.emf"/><Relationship Id="rId10" Type="http://schemas.openxmlformats.org/officeDocument/2006/relationships/footer" Target="footer3.xml"/><Relationship Id="rId31" Type="http://schemas.openxmlformats.org/officeDocument/2006/relationships/image" Target="media/image18.emf"/><Relationship Id="rId44" Type="http://schemas.openxmlformats.org/officeDocument/2006/relationships/image" Target="media/image25.emf"/><Relationship Id="rId52" Type="http://schemas.openxmlformats.org/officeDocument/2006/relationships/image" Target="media/image29.emf"/><Relationship Id="rId60" Type="http://schemas.openxmlformats.org/officeDocument/2006/relationships/oleObject" Target="embeddings/oleObject15.bin"/><Relationship Id="rId65" Type="http://schemas.openxmlformats.org/officeDocument/2006/relationships/image" Target="media/image36.emf"/><Relationship Id="rId73" Type="http://schemas.openxmlformats.org/officeDocument/2006/relationships/diagramColors" Target="diagrams/colors1.xml"/><Relationship Id="rId78" Type="http://schemas.openxmlformats.org/officeDocument/2006/relationships/image" Target="media/image42.png"/><Relationship Id="rId81" Type="http://schemas.openxmlformats.org/officeDocument/2006/relationships/chart" Target="charts/chart1.xml"/><Relationship Id="rId86" Type="http://schemas.openxmlformats.org/officeDocument/2006/relationships/image" Target="media/image49.png"/><Relationship Id="rId94" Type="http://schemas.openxmlformats.org/officeDocument/2006/relationships/image" Target="media/image53.png"/><Relationship Id="rId99" Type="http://schemas.openxmlformats.org/officeDocument/2006/relationships/chart" Target="charts/chart8.xml"/><Relationship Id="rId101" Type="http://schemas.openxmlformats.org/officeDocument/2006/relationships/chart" Target="charts/chart9.xml"/><Relationship Id="rId122" Type="http://schemas.openxmlformats.org/officeDocument/2006/relationships/chart" Target="charts/chart28.xml"/><Relationship Id="rId130" Type="http://schemas.openxmlformats.org/officeDocument/2006/relationships/oleObject" Target="embeddings/oleObject28.bin"/><Relationship Id="rId135" Type="http://schemas.openxmlformats.org/officeDocument/2006/relationships/hyperlink" Target="http://www.clustal.org/omega/" TargetMode="External"/><Relationship Id="rId143" Type="http://schemas.openxmlformats.org/officeDocument/2006/relationships/chart" Target="charts/chart32.xml"/><Relationship Id="rId148" Type="http://schemas.openxmlformats.org/officeDocument/2006/relationships/image" Target="media/image71.png"/><Relationship Id="rId151" Type="http://schemas.openxmlformats.org/officeDocument/2006/relationships/image" Target="media/image74.emf"/><Relationship Id="rId156" Type="http://schemas.openxmlformats.org/officeDocument/2006/relationships/image" Target="media/image79.emf"/><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oleObject" Target="embeddings/oleObject5.bin"/><Relationship Id="rId109" Type="http://schemas.openxmlformats.org/officeDocument/2006/relationships/image" Target="media/image56.png"/><Relationship Id="rId34" Type="http://schemas.openxmlformats.org/officeDocument/2006/relationships/oleObject" Target="embeddings/oleObject3.bin"/><Relationship Id="rId50" Type="http://schemas.openxmlformats.org/officeDocument/2006/relationships/image" Target="media/image28.emf"/><Relationship Id="rId55" Type="http://schemas.openxmlformats.org/officeDocument/2006/relationships/oleObject" Target="embeddings/oleObject13.bin"/><Relationship Id="rId76" Type="http://schemas.openxmlformats.org/officeDocument/2006/relationships/image" Target="media/image40.png"/><Relationship Id="rId97" Type="http://schemas.openxmlformats.org/officeDocument/2006/relationships/chart" Target="charts/chart6.xml"/><Relationship Id="rId104" Type="http://schemas.openxmlformats.org/officeDocument/2006/relationships/chart" Target="charts/chart12.xml"/><Relationship Id="rId120" Type="http://schemas.openxmlformats.org/officeDocument/2006/relationships/chart" Target="charts/chart26.xml"/><Relationship Id="rId125" Type="http://schemas.openxmlformats.org/officeDocument/2006/relationships/chart" Target="charts/chart31.xml"/><Relationship Id="rId141" Type="http://schemas.openxmlformats.org/officeDocument/2006/relationships/image" Target="media/image68.png"/><Relationship Id="rId146" Type="http://schemas.openxmlformats.org/officeDocument/2006/relationships/chart" Target="charts/chart35.xml"/><Relationship Id="rId7" Type="http://schemas.openxmlformats.org/officeDocument/2006/relationships/endnotes" Target="endnotes.xml"/><Relationship Id="rId71" Type="http://schemas.openxmlformats.org/officeDocument/2006/relationships/diagramLayout" Target="diagrams/layout1.xml"/><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hyperlink" Target="https://www.sciencedirect.com/topics/medicine-and-dentistry/malonaldehyde" TargetMode="External"/><Relationship Id="rId40" Type="http://schemas.openxmlformats.org/officeDocument/2006/relationships/image" Target="media/image23.emf"/><Relationship Id="rId45" Type="http://schemas.openxmlformats.org/officeDocument/2006/relationships/oleObject" Target="embeddings/oleObject8.bin"/><Relationship Id="rId66" Type="http://schemas.openxmlformats.org/officeDocument/2006/relationships/oleObject" Target="embeddings/oleObject18.bin"/><Relationship Id="rId87" Type="http://schemas.openxmlformats.org/officeDocument/2006/relationships/chart" Target="charts/chart2.xml"/><Relationship Id="rId110" Type="http://schemas.openxmlformats.org/officeDocument/2006/relationships/image" Target="media/image57.png"/><Relationship Id="rId115" Type="http://schemas.openxmlformats.org/officeDocument/2006/relationships/chart" Target="charts/chart21.xml"/><Relationship Id="rId131" Type="http://schemas.openxmlformats.org/officeDocument/2006/relationships/image" Target="media/image60.emf"/><Relationship Id="rId136" Type="http://schemas.openxmlformats.org/officeDocument/2006/relationships/image" Target="media/image63.png"/><Relationship Id="rId157" Type="http://schemas.openxmlformats.org/officeDocument/2006/relationships/hyperlink" Target="https://www.researchgate.net/journal/0028-3878_Neurology" TargetMode="External"/><Relationship Id="rId61" Type="http://schemas.openxmlformats.org/officeDocument/2006/relationships/image" Target="media/image34.emf"/><Relationship Id="rId82" Type="http://schemas.openxmlformats.org/officeDocument/2006/relationships/image" Target="media/image45.png"/><Relationship Id="rId152" Type="http://schemas.openxmlformats.org/officeDocument/2006/relationships/image" Target="media/image75.emf"/><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oleObject" Target="embeddings/oleObject1.bin"/><Relationship Id="rId35" Type="http://schemas.openxmlformats.org/officeDocument/2006/relationships/image" Target="media/image20.emf"/><Relationship Id="rId56" Type="http://schemas.openxmlformats.org/officeDocument/2006/relationships/image" Target="media/image31.emf"/><Relationship Id="rId77" Type="http://schemas.openxmlformats.org/officeDocument/2006/relationships/image" Target="media/image41.png"/><Relationship Id="rId100" Type="http://schemas.openxmlformats.org/officeDocument/2006/relationships/image" Target="media/image55.png"/><Relationship Id="rId105" Type="http://schemas.openxmlformats.org/officeDocument/2006/relationships/chart" Target="charts/chart13.xml"/><Relationship Id="rId126" Type="http://schemas.openxmlformats.org/officeDocument/2006/relationships/hyperlink" Target="https://en.wikipedia.org/wiki/Triton_X-100" TargetMode="External"/><Relationship Id="rId147" Type="http://schemas.openxmlformats.org/officeDocument/2006/relationships/image" Target="media/image70.png"/><Relationship Id="rId8" Type="http://schemas.openxmlformats.org/officeDocument/2006/relationships/footer" Target="footer1.xml"/><Relationship Id="rId51" Type="http://schemas.openxmlformats.org/officeDocument/2006/relationships/oleObject" Target="embeddings/oleObject11.bin"/><Relationship Id="rId72" Type="http://schemas.openxmlformats.org/officeDocument/2006/relationships/diagramQuickStyle" Target="diagrams/quickStyle1.xml"/><Relationship Id="rId93" Type="http://schemas.openxmlformats.org/officeDocument/2006/relationships/image" Target="media/image52.png"/><Relationship Id="rId98" Type="http://schemas.openxmlformats.org/officeDocument/2006/relationships/chart" Target="charts/chart7.xml"/><Relationship Id="rId121" Type="http://schemas.openxmlformats.org/officeDocument/2006/relationships/chart" Target="charts/chart27.xml"/><Relationship Id="rId142" Type="http://schemas.openxmlformats.org/officeDocument/2006/relationships/image" Target="media/image69.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6.emf"/><Relationship Id="rId67" Type="http://schemas.openxmlformats.org/officeDocument/2006/relationships/image" Target="media/image37.png"/><Relationship Id="rId116" Type="http://schemas.openxmlformats.org/officeDocument/2006/relationships/chart" Target="charts/chart22.xml"/><Relationship Id="rId137" Type="http://schemas.openxmlformats.org/officeDocument/2006/relationships/image" Target="media/image64.png"/><Relationship Id="rId158" Type="http://schemas.openxmlformats.org/officeDocument/2006/relationships/hyperlink" Target="https://www.ncbi.nlm.nih.gov/books/NBK14406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3.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24.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3.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4.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5.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6.xlsx"/></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25.bin"/><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oleObject" Target="../embeddings/oleObject26.bin"/><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7.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0.bin"/><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1.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2.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2.xml"/><Relationship Id="rId1" Type="http://schemas.microsoft.com/office/2011/relationships/chartStyle" Target="style2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1.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2.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64045691471664"/>
          <c:y val="7.0071559112566462E-2"/>
          <c:w val="0.7601889763779528"/>
          <c:h val="0.75794421046206428"/>
        </c:manualLayout>
      </c:layout>
      <c:barChart>
        <c:barDir val="col"/>
        <c:grouping val="clustered"/>
        <c:varyColors val="0"/>
        <c:ser>
          <c:idx val="1"/>
          <c:order val="0"/>
          <c:tx>
            <c:strRef>
              <c:f>Sheet1!$D$18</c:f>
              <c:strCache>
                <c:ptCount val="1"/>
                <c:pt idx="0">
                  <c:v>Cysts percent</c:v>
                </c:pt>
              </c:strCache>
            </c:strRef>
          </c:tx>
          <c:spPr>
            <a:solidFill>
              <a:schemeClr val="accent3">
                <a:lumMod val="50000"/>
              </a:schemeClr>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Sheet1!$D$19:$D$27</c:f>
              <c:numCache>
                <c:formatCode>General</c:formatCode>
                <c:ptCount val="9"/>
                <c:pt idx="0">
                  <c:v>2</c:v>
                </c:pt>
                <c:pt idx="1">
                  <c:v>3</c:v>
                </c:pt>
                <c:pt idx="2">
                  <c:v>13</c:v>
                </c:pt>
                <c:pt idx="3">
                  <c:v>43</c:v>
                </c:pt>
                <c:pt idx="4">
                  <c:v>70</c:v>
                </c:pt>
                <c:pt idx="5">
                  <c:v>75</c:v>
                </c:pt>
                <c:pt idx="6">
                  <c:v>86</c:v>
                </c:pt>
                <c:pt idx="7">
                  <c:v>90</c:v>
                </c:pt>
                <c:pt idx="8">
                  <c:v>94</c:v>
                </c:pt>
              </c:numCache>
            </c:numRef>
          </c:val>
          <c:extLst>
            <c:ext xmlns:c16="http://schemas.microsoft.com/office/drawing/2014/chart" uri="{C3380CC4-5D6E-409C-BE32-E72D297353CC}">
              <c16:uniqueId val="{00000000-505C-48C9-8971-433D86A5239B}"/>
            </c:ext>
          </c:extLst>
        </c:ser>
        <c:ser>
          <c:idx val="2"/>
          <c:order val="1"/>
          <c:tx>
            <c:strRef>
              <c:f>Sheet1!$E$18</c:f>
              <c:strCache>
                <c:ptCount val="1"/>
                <c:pt idx="0">
                  <c:v>Trophs Percent</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val>
            <c:numRef>
              <c:f>Sheet1!$E$19:$E$27</c:f>
              <c:numCache>
                <c:formatCode>General</c:formatCode>
                <c:ptCount val="9"/>
                <c:pt idx="0">
                  <c:v>96</c:v>
                </c:pt>
                <c:pt idx="1">
                  <c:v>94</c:v>
                </c:pt>
                <c:pt idx="2">
                  <c:v>86</c:v>
                </c:pt>
                <c:pt idx="3">
                  <c:v>55</c:v>
                </c:pt>
                <c:pt idx="4">
                  <c:v>24</c:v>
                </c:pt>
                <c:pt idx="5">
                  <c:v>20</c:v>
                </c:pt>
                <c:pt idx="6">
                  <c:v>10</c:v>
                </c:pt>
                <c:pt idx="7">
                  <c:v>6</c:v>
                </c:pt>
                <c:pt idx="8">
                  <c:v>2</c:v>
                </c:pt>
              </c:numCache>
            </c:numRef>
          </c:val>
          <c:extLst>
            <c:ext xmlns:c16="http://schemas.microsoft.com/office/drawing/2014/chart" uri="{C3380CC4-5D6E-409C-BE32-E72D297353CC}">
              <c16:uniqueId val="{00000001-505C-48C9-8971-433D86A5239B}"/>
            </c:ext>
          </c:extLst>
        </c:ser>
        <c:dLbls>
          <c:showLegendKey val="0"/>
          <c:showVal val="0"/>
          <c:showCatName val="0"/>
          <c:showSerName val="0"/>
          <c:showPercent val="0"/>
          <c:showBubbleSize val="0"/>
        </c:dLbls>
        <c:gapWidth val="219"/>
        <c:overlap val="-27"/>
        <c:axId val="289554504"/>
        <c:axId val="289554896"/>
      </c:barChart>
      <c:catAx>
        <c:axId val="289554504"/>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latin typeface="Arial" panose="020B0604020202020204" pitchFamily="34" charset="0"/>
                    <a:cs typeface="Arial" panose="020B0604020202020204" pitchFamily="34" charset="0"/>
                  </a:rPr>
                  <a:t>Time (Days)</a:t>
                </a:r>
              </a:p>
            </c:rich>
          </c:tx>
          <c:layout>
            <c:manualLayout>
              <c:xMode val="edge"/>
              <c:yMode val="edge"/>
              <c:x val="0.35930424321959747"/>
              <c:y val="0.9135488364911977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9554896"/>
        <c:crosses val="autoZero"/>
        <c:auto val="1"/>
        <c:lblAlgn val="ctr"/>
        <c:lblOffset val="100"/>
        <c:noMultiLvlLbl val="0"/>
      </c:catAx>
      <c:valAx>
        <c:axId val="28955489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latin typeface="Arial" panose="020B0604020202020204" pitchFamily="34" charset="0"/>
                    <a:cs typeface="Arial" panose="020B0604020202020204" pitchFamily="34" charset="0"/>
                  </a:rPr>
                  <a:t>Percent cyst number</a:t>
                </a:r>
              </a:p>
            </c:rich>
          </c:tx>
          <c:layout>
            <c:manualLayout>
              <c:xMode val="edge"/>
              <c:yMode val="edge"/>
              <c:x val="2.6964400576688478E-2"/>
              <c:y val="0.220861773689216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9554504"/>
        <c:crosses val="autoZero"/>
        <c:crossBetween val="between"/>
      </c:valAx>
      <c:spPr>
        <a:noFill/>
        <a:ln>
          <a:noFill/>
        </a:ln>
        <a:effectLst/>
      </c:spPr>
    </c:plotArea>
    <c:legend>
      <c:legendPos val="r"/>
      <c:layout>
        <c:manualLayout>
          <c:xMode val="edge"/>
          <c:yMode val="edge"/>
          <c:x val="0.72368963254593166"/>
          <c:y val="9.9601092955035864E-4"/>
          <c:w val="0.25964370078740157"/>
          <c:h val="0.1996595217264508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934203093608933"/>
          <c:y val="4.5634674336496199E-2"/>
          <c:w val="0.65738904907628903"/>
          <c:h val="0.78887306783715405"/>
        </c:manualLayout>
      </c:layout>
      <c:scatterChart>
        <c:scatterStyle val="lineMarker"/>
        <c:varyColors val="0"/>
        <c:ser>
          <c:idx val="0"/>
          <c:order val="0"/>
          <c:tx>
            <c:strRef>
              <c:f>Sheet1!$E$12</c:f>
              <c:strCache>
                <c:ptCount val="1"/>
                <c:pt idx="0">
                  <c:v>RLU C</c:v>
                </c:pt>
              </c:strCache>
            </c:strRef>
          </c:tx>
          <c:spPr>
            <a:ln w="19050">
              <a:solidFill>
                <a:sysClr val="window" lastClr="FFFFFF"/>
              </a:solidFill>
            </a:ln>
          </c:spPr>
          <c:marker>
            <c:spPr>
              <a:solidFill>
                <a:sysClr val="windowText" lastClr="000000"/>
              </a:solidFill>
              <a:ln w="19050">
                <a:solidFill>
                  <a:sysClr val="window" lastClr="FFFFFF"/>
                </a:solidFill>
              </a:ln>
            </c:spPr>
          </c:marker>
          <c:trendline>
            <c:trendlineType val="linear"/>
            <c:forward val="2"/>
            <c:dispRSqr val="0"/>
            <c:dispEq val="0"/>
          </c:trendline>
          <c:errBars>
            <c:errDir val="y"/>
            <c:errBarType val="both"/>
            <c:errValType val="percentage"/>
            <c:noEndCap val="0"/>
            <c:val val="5"/>
          </c:errBars>
          <c:xVal>
            <c:numRef>
              <c:f>Sheet1!$C$13:$C$21</c:f>
              <c:numCache>
                <c:formatCode>General</c:formatCode>
                <c:ptCount val="9"/>
                <c:pt idx="1">
                  <c:v>1000000</c:v>
                </c:pt>
                <c:pt idx="2">
                  <c:v>500000</c:v>
                </c:pt>
                <c:pt idx="3">
                  <c:v>250000</c:v>
                </c:pt>
                <c:pt idx="4">
                  <c:v>125000</c:v>
                </c:pt>
                <c:pt idx="5">
                  <c:v>62500</c:v>
                </c:pt>
                <c:pt idx="6">
                  <c:v>31250</c:v>
                </c:pt>
                <c:pt idx="7">
                  <c:v>15625</c:v>
                </c:pt>
                <c:pt idx="8">
                  <c:v>0</c:v>
                </c:pt>
              </c:numCache>
            </c:numRef>
          </c:xVal>
          <c:yVal>
            <c:numRef>
              <c:f>Sheet1!$E$13:$E$21</c:f>
              <c:numCache>
                <c:formatCode>General</c:formatCode>
                <c:ptCount val="9"/>
                <c:pt idx="1">
                  <c:v>785258</c:v>
                </c:pt>
                <c:pt idx="2">
                  <c:v>330313</c:v>
                </c:pt>
                <c:pt idx="3">
                  <c:v>130257</c:v>
                </c:pt>
                <c:pt idx="4">
                  <c:v>64998</c:v>
                </c:pt>
                <c:pt idx="5">
                  <c:v>36984</c:v>
                </c:pt>
                <c:pt idx="6">
                  <c:v>22910</c:v>
                </c:pt>
                <c:pt idx="7">
                  <c:v>13303</c:v>
                </c:pt>
                <c:pt idx="8">
                  <c:v>8851</c:v>
                </c:pt>
              </c:numCache>
            </c:numRef>
          </c:yVal>
          <c:smooth val="0"/>
          <c:extLst>
            <c:ext xmlns:c16="http://schemas.microsoft.com/office/drawing/2014/chart" uri="{C3380CC4-5D6E-409C-BE32-E72D297353CC}">
              <c16:uniqueId val="{00000000-AE54-41B1-8B1E-719C6B8B76AE}"/>
            </c:ext>
          </c:extLst>
        </c:ser>
        <c:dLbls>
          <c:showLegendKey val="0"/>
          <c:showVal val="0"/>
          <c:showCatName val="0"/>
          <c:showSerName val="0"/>
          <c:showPercent val="0"/>
          <c:showBubbleSize val="0"/>
        </c:dLbls>
        <c:axId val="290040304"/>
        <c:axId val="290040696"/>
      </c:scatterChart>
      <c:valAx>
        <c:axId val="290040304"/>
        <c:scaling>
          <c:orientation val="minMax"/>
        </c:scaling>
        <c:delete val="0"/>
        <c:axPos val="b"/>
        <c:title>
          <c:tx>
            <c:rich>
              <a:bodyPr/>
              <a:lstStyle/>
              <a:p>
                <a:pPr>
                  <a:defRPr/>
                </a:pPr>
                <a:r>
                  <a:rPr lang="en-GB" sz="1200" b="1">
                    <a:solidFill>
                      <a:sysClr val="windowText" lastClr="000000"/>
                    </a:solidFill>
                    <a:latin typeface="Arial" panose="020B0604020202020204" pitchFamily="34" charset="0"/>
                    <a:cs typeface="Arial" panose="020B0604020202020204" pitchFamily="34" charset="0"/>
                  </a:rPr>
                  <a:t>Cell number /ml</a:t>
                </a:r>
              </a:p>
            </c:rich>
          </c:tx>
          <c:layout>
            <c:manualLayout>
              <c:xMode val="edge"/>
              <c:yMode val="edge"/>
              <c:x val="0.44500953494094486"/>
              <c:y val="0.92433561724413504"/>
            </c:manualLayout>
          </c:layout>
          <c:overlay val="0"/>
        </c:title>
        <c:numFmt formatCode="General" sourceLinked="1"/>
        <c:majorTickMark val="out"/>
        <c:minorTickMark val="none"/>
        <c:tickLblPos val="nextTo"/>
        <c:spPr>
          <a:ln w="19050">
            <a:solidFill>
              <a:sysClr val="windowText" lastClr="000000"/>
            </a:solidFill>
          </a:ln>
        </c:spPr>
        <c:txPr>
          <a:bodyPr rot="0" vert="horz"/>
          <a:lstStyle/>
          <a:p>
            <a:pPr>
              <a:defRPr sz="1200" b="1" i="0" u="none" strike="noStrike" baseline="0">
                <a:solidFill>
                  <a:sysClr val="windowText" lastClr="000000"/>
                </a:solidFill>
                <a:latin typeface="Arial" panose="020B0604020202020204" pitchFamily="34" charset="0"/>
                <a:ea typeface="Calibri"/>
                <a:cs typeface="Arial" panose="020B0604020202020204" pitchFamily="34" charset="0"/>
              </a:defRPr>
            </a:pPr>
            <a:endParaRPr lang="en-US"/>
          </a:p>
        </c:txPr>
        <c:crossAx val="290040696"/>
        <c:crosses val="autoZero"/>
        <c:crossBetween val="midCat"/>
      </c:valAx>
      <c:valAx>
        <c:axId val="290040696"/>
        <c:scaling>
          <c:orientation val="minMax"/>
          <c:min val="0"/>
        </c:scaling>
        <c:delete val="0"/>
        <c:axPos val="l"/>
        <c:title>
          <c:tx>
            <c:rich>
              <a:bodyPr/>
              <a:lstStyle/>
              <a:p>
                <a:pPr>
                  <a:defRPr/>
                </a:pPr>
                <a:r>
                  <a:rPr lang="en-GB" sz="1200">
                    <a:latin typeface="Arial" panose="020B0604020202020204" pitchFamily="34" charset="0"/>
                    <a:cs typeface="Arial" panose="020B0604020202020204" pitchFamily="34" charset="0"/>
                  </a:rPr>
                  <a:t>Relative light unit</a:t>
                </a:r>
              </a:p>
            </c:rich>
          </c:tx>
          <c:layout>
            <c:manualLayout>
              <c:xMode val="edge"/>
              <c:yMode val="edge"/>
              <c:x val="9.2891385172298377E-2"/>
              <c:y val="0.25154309343480441"/>
            </c:manualLayout>
          </c:layout>
          <c:overlay val="0"/>
        </c:title>
        <c:numFmt formatCode="General" sourceLinked="1"/>
        <c:majorTickMark val="out"/>
        <c:minorTickMark val="none"/>
        <c:tickLblPos val="nextTo"/>
        <c:spPr>
          <a:ln w="19050">
            <a:solidFill>
              <a:sysClr val="windowText" lastClr="000000"/>
            </a:solidFill>
          </a:ln>
        </c:spPr>
        <c:txPr>
          <a:bodyPr/>
          <a:lstStyle/>
          <a:p>
            <a:pPr>
              <a:defRPr sz="1200" b="1">
                <a:solidFill>
                  <a:sysClr val="windowText" lastClr="000000"/>
                </a:solidFill>
                <a:latin typeface="Arial" panose="020B0604020202020204" pitchFamily="34" charset="0"/>
                <a:cs typeface="Arial" panose="020B0604020202020204" pitchFamily="34" charset="0"/>
              </a:defRPr>
            </a:pPr>
            <a:endParaRPr lang="en-US"/>
          </a:p>
        </c:txPr>
        <c:crossAx val="290040304"/>
        <c:crosses val="autoZero"/>
        <c:crossBetween val="midCat"/>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76258155671026"/>
          <c:y val="0.11753152089345524"/>
          <c:w val="0.6450904022436168"/>
          <c:h val="0.62180401591356793"/>
        </c:manualLayout>
      </c:layout>
      <c:lineChart>
        <c:grouping val="standard"/>
        <c:varyColors val="0"/>
        <c:ser>
          <c:idx val="0"/>
          <c:order val="0"/>
          <c:tx>
            <c:strRef>
              <c:f>'[Chart in Microsoft Word]Sheet1'!$K$7</c:f>
              <c:strCache>
                <c:ptCount val="1"/>
                <c:pt idx="0">
                  <c:v>Day 1</c:v>
                </c:pt>
              </c:strCache>
            </c:strRef>
          </c:tx>
          <c:spPr>
            <a:ln w="12700" cap="rnd">
              <a:solidFill>
                <a:srgbClr val="FF0000"/>
              </a:solidFill>
              <a:prstDash val="dash"/>
              <a:round/>
            </a:ln>
            <a:effectLst/>
          </c:spPr>
          <c:marker>
            <c:symbol val="diamond"/>
            <c:size val="6"/>
            <c:spPr>
              <a:solidFill>
                <a:srgbClr val="FF0000"/>
              </a:solidFill>
              <a:ln w="12700">
                <a:solidFill>
                  <a:srgbClr val="FF0000"/>
                </a:solidFill>
                <a:prstDash val="dash"/>
                <a:round/>
              </a:ln>
              <a:effectLst/>
            </c:spPr>
          </c:marker>
          <c:errBars>
            <c:errDir val="y"/>
            <c:errBarType val="both"/>
            <c:errValType val="cust"/>
            <c:noEndCap val="0"/>
            <c:plus>
              <c:numRef>
                <c:f>'[Chart in Microsoft Word]Sheet1'!$B$15:$H$15</c:f>
                <c:numCache>
                  <c:formatCode>General</c:formatCode>
                  <c:ptCount val="7"/>
                  <c:pt idx="0">
                    <c:v>3206.9512520980629</c:v>
                  </c:pt>
                  <c:pt idx="1">
                    <c:v>3226.5053850877111</c:v>
                  </c:pt>
                  <c:pt idx="2">
                    <c:v>2811.3922411028539</c:v>
                  </c:pt>
                  <c:pt idx="3">
                    <c:v>1871.9576206029167</c:v>
                  </c:pt>
                  <c:pt idx="4">
                    <c:v>8614.7073272011585</c:v>
                  </c:pt>
                  <c:pt idx="5">
                    <c:v>191366.12096188814</c:v>
                  </c:pt>
                  <c:pt idx="6">
                    <c:v>950561.4276228199</c:v>
                  </c:pt>
                </c:numCache>
              </c:numRef>
            </c:plus>
            <c:minus>
              <c:numLit>
                <c:formatCode>General</c:formatCode>
                <c:ptCount val="1"/>
                <c:pt idx="0">
                  <c:v>1</c:v>
                </c:pt>
              </c:numLit>
            </c:minus>
            <c:spPr>
              <a:noFill/>
              <a:ln w="9525">
                <a:solidFill>
                  <a:schemeClr val="tx1">
                    <a:lumMod val="65000"/>
                    <a:lumOff val="35000"/>
                  </a:schemeClr>
                </a:solidFill>
                <a:round/>
              </a:ln>
              <a:effectLst/>
            </c:spPr>
          </c:errBars>
          <c:cat>
            <c:numRef>
              <c:f>'[Chart in Microsoft Word]Sheet1'!$J$8:$J$13</c:f>
              <c:numCache>
                <c:formatCode>General</c:formatCode>
                <c:ptCount val="6"/>
                <c:pt idx="0">
                  <c:v>1.6500000000000001E-5</c:v>
                </c:pt>
                <c:pt idx="1">
                  <c:v>1.65E-4</c:v>
                </c:pt>
                <c:pt idx="2">
                  <c:v>1.65E-3</c:v>
                </c:pt>
                <c:pt idx="3">
                  <c:v>1.6500000000000001E-2</c:v>
                </c:pt>
                <c:pt idx="4">
                  <c:v>0.16500000000000001</c:v>
                </c:pt>
                <c:pt idx="5">
                  <c:v>1.65</c:v>
                </c:pt>
              </c:numCache>
            </c:numRef>
          </c:cat>
          <c:val>
            <c:numRef>
              <c:f>'[Chart in Microsoft Word]Sheet1'!$K$8:$K$13</c:f>
              <c:numCache>
                <c:formatCode>General</c:formatCode>
                <c:ptCount val="6"/>
                <c:pt idx="0">
                  <c:v>683</c:v>
                </c:pt>
                <c:pt idx="1">
                  <c:v>2266</c:v>
                </c:pt>
                <c:pt idx="2">
                  <c:v>16741</c:v>
                </c:pt>
                <c:pt idx="3">
                  <c:v>162707</c:v>
                </c:pt>
                <c:pt idx="4">
                  <c:v>1611293</c:v>
                </c:pt>
                <c:pt idx="5">
                  <c:v>11798355</c:v>
                </c:pt>
              </c:numCache>
            </c:numRef>
          </c:val>
          <c:smooth val="1"/>
          <c:extLst>
            <c:ext xmlns:c16="http://schemas.microsoft.com/office/drawing/2014/chart" uri="{C3380CC4-5D6E-409C-BE32-E72D297353CC}">
              <c16:uniqueId val="{00000000-D420-4B85-8BAD-676B1B3821A8}"/>
            </c:ext>
          </c:extLst>
        </c:ser>
        <c:ser>
          <c:idx val="1"/>
          <c:order val="1"/>
          <c:tx>
            <c:strRef>
              <c:f>'[Chart in Microsoft Word]Sheet1'!$L$7</c:f>
              <c:strCache>
                <c:ptCount val="1"/>
                <c:pt idx="0">
                  <c:v>Day 2</c:v>
                </c:pt>
              </c:strCache>
            </c:strRef>
          </c:tx>
          <c:spPr>
            <a:ln w="12700" cap="rnd">
              <a:solidFill>
                <a:srgbClr val="0070C0"/>
              </a:solidFill>
              <a:round/>
            </a:ln>
            <a:effectLst/>
          </c:spPr>
          <c:marker>
            <c:symbol val="square"/>
            <c:size val="6"/>
            <c:spPr>
              <a:solidFill>
                <a:srgbClr val="0070C0"/>
              </a:solidFill>
              <a:ln w="12700">
                <a:solidFill>
                  <a:srgbClr val="0070C0"/>
                </a:solidFill>
                <a:round/>
              </a:ln>
              <a:effectLst/>
            </c:spPr>
          </c:marker>
          <c:errBars>
            <c:errDir val="y"/>
            <c:errBarType val="both"/>
            <c:errValType val="cust"/>
            <c:noEndCap val="0"/>
            <c:plus>
              <c:numLit>
                <c:formatCode>General</c:formatCode>
                <c:ptCount val="1"/>
                <c:pt idx="0">
                  <c:v>1</c:v>
                </c:pt>
              </c:numLit>
            </c:plus>
            <c:minus>
              <c:numLit>
                <c:formatCode>General</c:formatCode>
                <c:ptCount val="1"/>
                <c:pt idx="0">
                  <c:v>1</c:v>
                </c:pt>
              </c:numLit>
            </c:minus>
            <c:spPr>
              <a:noFill/>
              <a:ln w="9525">
                <a:solidFill>
                  <a:schemeClr val="tx1">
                    <a:lumMod val="65000"/>
                    <a:lumOff val="35000"/>
                  </a:schemeClr>
                </a:solidFill>
                <a:round/>
              </a:ln>
              <a:effectLst/>
            </c:spPr>
          </c:errBars>
          <c:cat>
            <c:numRef>
              <c:f>'[Chart in Microsoft Word]Sheet1'!$J$8:$J$13</c:f>
              <c:numCache>
                <c:formatCode>General</c:formatCode>
                <c:ptCount val="6"/>
                <c:pt idx="0">
                  <c:v>1.6500000000000001E-5</c:v>
                </c:pt>
                <c:pt idx="1">
                  <c:v>1.65E-4</c:v>
                </c:pt>
                <c:pt idx="2">
                  <c:v>1.65E-3</c:v>
                </c:pt>
                <c:pt idx="3">
                  <c:v>1.6500000000000001E-2</c:v>
                </c:pt>
                <c:pt idx="4">
                  <c:v>0.16500000000000001</c:v>
                </c:pt>
                <c:pt idx="5">
                  <c:v>1.65</c:v>
                </c:pt>
              </c:numCache>
            </c:numRef>
          </c:cat>
          <c:val>
            <c:numRef>
              <c:f>'[Chart in Microsoft Word]Sheet1'!$L$8:$L$13</c:f>
              <c:numCache>
                <c:formatCode>General</c:formatCode>
                <c:ptCount val="6"/>
                <c:pt idx="0">
                  <c:v>1735</c:v>
                </c:pt>
                <c:pt idx="1">
                  <c:v>3477</c:v>
                </c:pt>
                <c:pt idx="2">
                  <c:v>17896</c:v>
                </c:pt>
                <c:pt idx="3">
                  <c:v>177268</c:v>
                </c:pt>
                <c:pt idx="4">
                  <c:v>1726273</c:v>
                </c:pt>
                <c:pt idx="5">
                  <c:v>12793250</c:v>
                </c:pt>
              </c:numCache>
            </c:numRef>
          </c:val>
          <c:smooth val="1"/>
          <c:extLst>
            <c:ext xmlns:c16="http://schemas.microsoft.com/office/drawing/2014/chart" uri="{C3380CC4-5D6E-409C-BE32-E72D297353CC}">
              <c16:uniqueId val="{00000001-D420-4B85-8BAD-676B1B3821A8}"/>
            </c:ext>
          </c:extLst>
        </c:ser>
        <c:dLbls>
          <c:showLegendKey val="0"/>
          <c:showVal val="0"/>
          <c:showCatName val="0"/>
          <c:showSerName val="0"/>
          <c:showPercent val="0"/>
          <c:showBubbleSize val="0"/>
        </c:dLbls>
        <c:marker val="1"/>
        <c:smooth val="0"/>
        <c:axId val="290483840"/>
        <c:axId val="290484232"/>
      </c:lineChart>
      <c:catAx>
        <c:axId val="290483840"/>
        <c:scaling>
          <c:logBase val="10"/>
          <c:orientation val="maxMin"/>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cap="none" baseline="0">
                    <a:solidFill>
                      <a:schemeClr val="tx1"/>
                    </a:solidFill>
                    <a:latin typeface="Arial" panose="020B0604020202020204" pitchFamily="34" charset="0"/>
                    <a:cs typeface="Arial" panose="020B0604020202020204" pitchFamily="34" charset="0"/>
                  </a:rPr>
                  <a:t>ATP (µM)</a:t>
                </a:r>
              </a:p>
            </c:rich>
          </c:tx>
          <c:layout>
            <c:manualLayout>
              <c:xMode val="edge"/>
              <c:yMode val="edge"/>
              <c:x val="0.46197519886196592"/>
              <c:y val="0.945454820549352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cap="all" spc="120" normalizeH="0" baseline="0">
                <a:solidFill>
                  <a:schemeClr val="tx1"/>
                </a:solidFill>
                <a:latin typeface="Arial" panose="020B0604020202020204" pitchFamily="34" charset="0"/>
                <a:ea typeface="+mn-ea"/>
                <a:cs typeface="Arial" panose="020B0604020202020204" pitchFamily="34" charset="0"/>
              </a:defRPr>
            </a:pPr>
            <a:endParaRPr lang="en-US"/>
          </a:p>
        </c:txPr>
        <c:crossAx val="290484232"/>
        <c:crossesAt val="1"/>
        <c:auto val="1"/>
        <c:lblAlgn val="ctr"/>
        <c:lblOffset val="100"/>
        <c:noMultiLvlLbl val="0"/>
      </c:catAx>
      <c:valAx>
        <c:axId val="290484232"/>
        <c:scaling>
          <c:logBase val="10"/>
          <c:orientation val="minMax"/>
        </c:scaling>
        <c:delete val="0"/>
        <c:axPos val="l"/>
        <c:title>
          <c:tx>
            <c:rich>
              <a:bodyPr rot="-5400000" spcFirstLastPara="1" vertOverflow="ellipsis" vert="horz" wrap="square" anchor="ctr" anchorCtr="1"/>
              <a:lstStyle/>
              <a:p>
                <a:pPr>
                  <a:defRPr sz="12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cap="none" baseline="0">
                    <a:solidFill>
                      <a:schemeClr val="tx1"/>
                    </a:solidFill>
                    <a:latin typeface="Arial" panose="020B0604020202020204" pitchFamily="34" charset="0"/>
                    <a:cs typeface="Arial" panose="020B0604020202020204" pitchFamily="34" charset="0"/>
                  </a:rPr>
                  <a:t>Relative light unit</a:t>
                </a:r>
                <a:r>
                  <a:rPr lang="en-GB" sz="1200" cap="none" baseline="0">
                    <a:latin typeface="Arial" panose="020B0604020202020204" pitchFamily="34" charset="0"/>
                    <a:cs typeface="Arial" panose="020B0604020202020204" pitchFamily="34" charset="0"/>
                  </a:rPr>
                  <a:t> </a:t>
                </a:r>
              </a:p>
            </c:rich>
          </c:tx>
          <c:layout>
            <c:manualLayout>
              <c:xMode val="edge"/>
              <c:yMode val="edge"/>
              <c:x val="1.2066132241788912E-2"/>
              <c:y val="0.29331257131689603"/>
            </c:manualLayout>
          </c:layout>
          <c:overlay val="0"/>
          <c:spPr>
            <a:noFill/>
            <a:ln>
              <a:noFill/>
            </a:ln>
            <a:effectLst/>
          </c:spPr>
          <c:txPr>
            <a:bodyPr rot="-5400000" spcFirstLastPara="1" vertOverflow="ellipsis" vert="horz" wrap="square" anchor="ctr" anchorCtr="1"/>
            <a:lstStyle/>
            <a:p>
              <a:pPr>
                <a:defRPr sz="12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0483840"/>
        <c:crosses val="max"/>
        <c:crossBetween val="between"/>
      </c:valAx>
      <c:spPr>
        <a:noFill/>
        <a:ln>
          <a:noFill/>
        </a:ln>
        <a:effectLst/>
      </c:spPr>
    </c:plotArea>
    <c:legend>
      <c:legendPos val="t"/>
      <c:layout>
        <c:manualLayout>
          <c:xMode val="edge"/>
          <c:yMode val="edge"/>
          <c:x val="0.54698328638123772"/>
          <c:y val="6.6139996325555755E-2"/>
          <c:w val="0.26001572812248025"/>
          <c:h val="0.1685655635136366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19050"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65754191513876"/>
          <c:y val="8.8807331286978958E-2"/>
          <c:w val="0.6746155392393135"/>
          <c:h val="0.74404869381357253"/>
        </c:manualLayout>
      </c:layout>
      <c:scatterChart>
        <c:scatterStyle val="smoothMarker"/>
        <c:varyColors val="0"/>
        <c:ser>
          <c:idx val="0"/>
          <c:order val="0"/>
          <c:tx>
            <c:strRef>
              <c:f>'[pbs buffer.xlsx]Sheet1'!$P$5</c:f>
              <c:strCache>
                <c:ptCount val="1"/>
                <c:pt idx="0">
                  <c:v>1 X PBS</c:v>
                </c:pt>
              </c:strCache>
            </c:strRef>
          </c:tx>
          <c:spPr>
            <a:ln w="12700" cap="rnd">
              <a:solidFill>
                <a:sysClr val="window" lastClr="FFFFFF"/>
              </a:solidFill>
              <a:prstDash val="dash"/>
              <a:round/>
            </a:ln>
            <a:effectLst/>
          </c:spPr>
          <c:marker>
            <c:symbol val="circle"/>
            <c:size val="5"/>
            <c:spPr>
              <a:solidFill>
                <a:srgbClr val="0070C0"/>
              </a:solidFill>
              <a:ln w="12700">
                <a:solidFill>
                  <a:sysClr val="window" lastClr="FFFFFF"/>
                </a:solidFill>
                <a:prstDash val="dash"/>
              </a:ln>
              <a:effectLst/>
            </c:spPr>
          </c:marker>
          <c:trendline>
            <c:spPr>
              <a:ln w="19050" cap="rnd">
                <a:solidFill>
                  <a:sysClr val="windowText" lastClr="000000"/>
                </a:solidFill>
                <a:prstDash val="solid"/>
              </a:ln>
              <a:effectLst/>
            </c:spPr>
            <c:trendlineType val="linear"/>
            <c:dispRSqr val="0"/>
            <c:dispEq val="0"/>
          </c:trendline>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'[pbs buffer.xlsx]Sheet1'!$O$6:$O$10</c:f>
              <c:numCache>
                <c:formatCode>General</c:formatCode>
                <c:ptCount val="5"/>
                <c:pt idx="0">
                  <c:v>5</c:v>
                </c:pt>
                <c:pt idx="1">
                  <c:v>10</c:v>
                </c:pt>
                <c:pt idx="2">
                  <c:v>20</c:v>
                </c:pt>
                <c:pt idx="3">
                  <c:v>30</c:v>
                </c:pt>
                <c:pt idx="4">
                  <c:v>50</c:v>
                </c:pt>
              </c:numCache>
            </c:numRef>
          </c:xVal>
          <c:yVal>
            <c:numRef>
              <c:f>'[pbs buffer.xlsx]Sheet1'!$P$6:$P$10</c:f>
              <c:numCache>
                <c:formatCode>General</c:formatCode>
                <c:ptCount val="5"/>
                <c:pt idx="0">
                  <c:v>24227</c:v>
                </c:pt>
                <c:pt idx="1">
                  <c:v>25544</c:v>
                </c:pt>
                <c:pt idx="2">
                  <c:v>103648</c:v>
                </c:pt>
                <c:pt idx="3">
                  <c:v>98304</c:v>
                </c:pt>
                <c:pt idx="4">
                  <c:v>227121</c:v>
                </c:pt>
              </c:numCache>
            </c:numRef>
          </c:yVal>
          <c:smooth val="1"/>
          <c:extLst>
            <c:ext xmlns:c16="http://schemas.microsoft.com/office/drawing/2014/chart" uri="{C3380CC4-5D6E-409C-BE32-E72D297353CC}">
              <c16:uniqueId val="{00000000-FF22-4F84-95B1-8D35979A0646}"/>
            </c:ext>
          </c:extLst>
        </c:ser>
        <c:ser>
          <c:idx val="1"/>
          <c:order val="1"/>
          <c:tx>
            <c:strRef>
              <c:f>'[pbs buffer.xlsx]Sheet1'!$Q$5</c:f>
              <c:strCache>
                <c:ptCount val="1"/>
                <c:pt idx="0">
                  <c:v>0.5 X PBS</c:v>
                </c:pt>
              </c:strCache>
            </c:strRef>
          </c:tx>
          <c:spPr>
            <a:ln w="12700" cap="rnd">
              <a:solidFill>
                <a:sysClr val="window" lastClr="FFFFFF"/>
              </a:solidFill>
              <a:round/>
            </a:ln>
            <a:effectLst/>
          </c:spPr>
          <c:marker>
            <c:symbol val="circle"/>
            <c:size val="5"/>
            <c:spPr>
              <a:solidFill>
                <a:srgbClr val="0070C0"/>
              </a:solidFill>
              <a:ln w="12700">
                <a:solidFill>
                  <a:sysClr val="window" lastClr="FFFFFF"/>
                </a:solidFill>
              </a:ln>
              <a:effectLst/>
            </c:spPr>
          </c:marker>
          <c:trendline>
            <c:spPr>
              <a:ln w="19050" cap="rnd">
                <a:solidFill>
                  <a:srgbClr val="5B9BD5"/>
                </a:solidFill>
                <a:prstDash val="solid"/>
              </a:ln>
              <a:effectLst/>
            </c:spPr>
            <c:trendlineType val="linear"/>
            <c:dispRSqr val="0"/>
            <c:dispEq val="0"/>
          </c:trendline>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'[pbs buffer.xlsx]Sheet1'!$O$6:$O$10</c:f>
              <c:numCache>
                <c:formatCode>General</c:formatCode>
                <c:ptCount val="5"/>
                <c:pt idx="0">
                  <c:v>5</c:v>
                </c:pt>
                <c:pt idx="1">
                  <c:v>10</c:v>
                </c:pt>
                <c:pt idx="2">
                  <c:v>20</c:v>
                </c:pt>
                <c:pt idx="3">
                  <c:v>30</c:v>
                </c:pt>
                <c:pt idx="4">
                  <c:v>50</c:v>
                </c:pt>
              </c:numCache>
            </c:numRef>
          </c:xVal>
          <c:yVal>
            <c:numRef>
              <c:f>'[pbs buffer.xlsx]Sheet1'!$Q$6:$Q$10</c:f>
              <c:numCache>
                <c:formatCode>General</c:formatCode>
                <c:ptCount val="5"/>
                <c:pt idx="0">
                  <c:v>34715</c:v>
                </c:pt>
                <c:pt idx="1">
                  <c:v>55159</c:v>
                </c:pt>
                <c:pt idx="2">
                  <c:v>121041</c:v>
                </c:pt>
                <c:pt idx="3">
                  <c:v>176365</c:v>
                </c:pt>
                <c:pt idx="4">
                  <c:v>423599</c:v>
                </c:pt>
              </c:numCache>
            </c:numRef>
          </c:yVal>
          <c:smooth val="1"/>
          <c:extLst>
            <c:ext xmlns:c16="http://schemas.microsoft.com/office/drawing/2014/chart" uri="{C3380CC4-5D6E-409C-BE32-E72D297353CC}">
              <c16:uniqueId val="{00000001-FF22-4F84-95B1-8D35979A0646}"/>
            </c:ext>
          </c:extLst>
        </c:ser>
        <c:ser>
          <c:idx val="2"/>
          <c:order val="2"/>
          <c:tx>
            <c:strRef>
              <c:f>'[pbs buffer.xlsx]Sheet1'!$R$5</c:f>
              <c:strCache>
                <c:ptCount val="1"/>
                <c:pt idx="0">
                  <c:v>H2O</c:v>
                </c:pt>
              </c:strCache>
            </c:strRef>
          </c:tx>
          <c:spPr>
            <a:ln w="12700" cap="rnd">
              <a:solidFill>
                <a:sysClr val="window" lastClr="FFFFFF"/>
              </a:solidFill>
              <a:round/>
            </a:ln>
            <a:effectLst/>
          </c:spPr>
          <c:marker>
            <c:symbol val="circle"/>
            <c:size val="5"/>
            <c:spPr>
              <a:solidFill>
                <a:srgbClr val="FF0000"/>
              </a:solidFill>
              <a:ln w="12700">
                <a:solidFill>
                  <a:sysClr val="window" lastClr="FFFFFF"/>
                </a:solidFill>
              </a:ln>
              <a:effectLst/>
            </c:spPr>
          </c:marker>
          <c:trendline>
            <c:spPr>
              <a:ln w="12700" cap="rnd">
                <a:solidFill>
                  <a:srgbClr val="FF0000"/>
                </a:solidFill>
                <a:prstDash val="solid"/>
              </a:ln>
              <a:effectLst/>
            </c:spPr>
            <c:trendlineType val="linear"/>
            <c:dispRSqr val="0"/>
            <c:dispEq val="0"/>
          </c:trendline>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'[pbs buffer.xlsx]Sheet1'!$O$6:$O$10</c:f>
              <c:numCache>
                <c:formatCode>General</c:formatCode>
                <c:ptCount val="5"/>
                <c:pt idx="0">
                  <c:v>5</c:v>
                </c:pt>
                <c:pt idx="1">
                  <c:v>10</c:v>
                </c:pt>
                <c:pt idx="2">
                  <c:v>20</c:v>
                </c:pt>
                <c:pt idx="3">
                  <c:v>30</c:v>
                </c:pt>
                <c:pt idx="4">
                  <c:v>50</c:v>
                </c:pt>
              </c:numCache>
            </c:numRef>
          </c:xVal>
          <c:yVal>
            <c:numRef>
              <c:f>'[pbs buffer.xlsx]Sheet1'!$R$6:$R$10</c:f>
              <c:numCache>
                <c:formatCode>General</c:formatCode>
                <c:ptCount val="5"/>
                <c:pt idx="0">
                  <c:v>205823</c:v>
                </c:pt>
                <c:pt idx="1">
                  <c:v>275933</c:v>
                </c:pt>
                <c:pt idx="2">
                  <c:v>438995</c:v>
                </c:pt>
                <c:pt idx="3">
                  <c:v>595239</c:v>
                </c:pt>
                <c:pt idx="4">
                  <c:v>954516</c:v>
                </c:pt>
              </c:numCache>
            </c:numRef>
          </c:yVal>
          <c:smooth val="1"/>
          <c:extLst>
            <c:ext xmlns:c16="http://schemas.microsoft.com/office/drawing/2014/chart" uri="{C3380CC4-5D6E-409C-BE32-E72D297353CC}">
              <c16:uniqueId val="{00000002-FF22-4F84-95B1-8D35979A0646}"/>
            </c:ext>
          </c:extLst>
        </c:ser>
        <c:dLbls>
          <c:showLegendKey val="0"/>
          <c:showVal val="0"/>
          <c:showCatName val="0"/>
          <c:showSerName val="0"/>
          <c:showPercent val="0"/>
          <c:showBubbleSize val="0"/>
        </c:dLbls>
        <c:axId val="290485408"/>
        <c:axId val="290485800"/>
      </c:scatterChart>
      <c:valAx>
        <c:axId val="290485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Luciferase (50µl)</a:t>
                </a:r>
              </a:p>
            </c:rich>
          </c:tx>
          <c:layout>
            <c:manualLayout>
              <c:xMode val="edge"/>
              <c:yMode val="edge"/>
              <c:x val="0.3748459441432811"/>
              <c:y val="0.927372289541651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0485800"/>
        <c:crosses val="autoZero"/>
        <c:crossBetween val="midCat"/>
      </c:valAx>
      <c:valAx>
        <c:axId val="2904858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Relative light unit</a:t>
                </a:r>
              </a:p>
            </c:rich>
          </c:tx>
          <c:layout>
            <c:manualLayout>
              <c:xMode val="edge"/>
              <c:yMode val="edge"/>
              <c:x val="1.3578192240106684E-2"/>
              <c:y val="0.302569336038235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0485408"/>
        <c:crosses val="autoZero"/>
        <c:crossBetween val="midCat"/>
      </c:valAx>
      <c:spPr>
        <a:noFill/>
        <a:ln>
          <a:noFill/>
        </a:ln>
        <a:effectLst/>
      </c:spPr>
    </c:plotArea>
    <c:legend>
      <c:legendPos val="b"/>
      <c:layout>
        <c:manualLayout>
          <c:xMode val="edge"/>
          <c:yMode val="edge"/>
          <c:x val="0.69205824311580699"/>
          <c:y val="4.4276618962011782E-4"/>
          <c:w val="0.29585602512839621"/>
          <c:h val="0.2529066344274263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33027070920887"/>
          <c:y val="0.10144927536231885"/>
          <c:w val="0.74389991879636141"/>
          <c:h val="0.71426223895926055"/>
        </c:manualLayout>
      </c:layout>
      <c:scatterChart>
        <c:scatterStyle val="lineMarker"/>
        <c:varyColors val="0"/>
        <c:ser>
          <c:idx val="0"/>
          <c:order val="0"/>
          <c:tx>
            <c:strRef>
              <c:f>Sheet2!$E$17</c:f>
              <c:strCache>
                <c:ptCount val="1"/>
                <c:pt idx="0">
                  <c:v>% viability Troph</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Sheet2!$D$18:$D$26</c:f>
              <c:numCache>
                <c:formatCode>General</c:formatCode>
                <c:ptCount val="9"/>
                <c:pt idx="0">
                  <c:v>1000</c:v>
                </c:pt>
                <c:pt idx="1">
                  <c:v>500</c:v>
                </c:pt>
                <c:pt idx="2">
                  <c:v>250</c:v>
                </c:pt>
                <c:pt idx="3">
                  <c:v>125</c:v>
                </c:pt>
                <c:pt idx="4">
                  <c:v>62.5</c:v>
                </c:pt>
                <c:pt idx="5">
                  <c:v>31.25</c:v>
                </c:pt>
                <c:pt idx="6">
                  <c:v>15.6</c:v>
                </c:pt>
                <c:pt idx="7">
                  <c:v>7.8</c:v>
                </c:pt>
                <c:pt idx="8">
                  <c:v>3.9</c:v>
                </c:pt>
              </c:numCache>
            </c:numRef>
          </c:xVal>
          <c:yVal>
            <c:numRef>
              <c:f>Sheet2!$E$18:$E$26</c:f>
              <c:numCache>
                <c:formatCode>General</c:formatCode>
                <c:ptCount val="9"/>
                <c:pt idx="0">
                  <c:v>0.3</c:v>
                </c:pt>
                <c:pt idx="1">
                  <c:v>0.9</c:v>
                </c:pt>
                <c:pt idx="2">
                  <c:v>1.9</c:v>
                </c:pt>
                <c:pt idx="3">
                  <c:v>3.5</c:v>
                </c:pt>
                <c:pt idx="4">
                  <c:v>9</c:v>
                </c:pt>
                <c:pt idx="5">
                  <c:v>11</c:v>
                </c:pt>
                <c:pt idx="6">
                  <c:v>27</c:v>
                </c:pt>
                <c:pt idx="7">
                  <c:v>97</c:v>
                </c:pt>
                <c:pt idx="8">
                  <c:v>98.6</c:v>
                </c:pt>
              </c:numCache>
            </c:numRef>
          </c:yVal>
          <c:smooth val="0"/>
          <c:extLst>
            <c:ext xmlns:c16="http://schemas.microsoft.com/office/drawing/2014/chart" uri="{C3380CC4-5D6E-409C-BE32-E72D297353CC}">
              <c16:uniqueId val="{00000000-0192-40E6-8031-57132666A1F7}"/>
            </c:ext>
          </c:extLst>
        </c:ser>
        <c:ser>
          <c:idx val="1"/>
          <c:order val="1"/>
          <c:tx>
            <c:strRef>
              <c:f>Sheet2!$F$17</c:f>
              <c:strCache>
                <c:ptCount val="1"/>
                <c:pt idx="0">
                  <c:v>% viability Cysts</c:v>
                </c:pt>
              </c:strCache>
            </c:strRef>
          </c:tx>
          <c:spPr>
            <a:ln w="12700" cap="rnd">
              <a:solidFill>
                <a:srgbClr val="0070C0"/>
              </a:solidFill>
              <a:prstDash val="solid"/>
              <a:round/>
            </a:ln>
            <a:effectLst/>
          </c:spPr>
          <c:marker>
            <c:symbol val="circle"/>
            <c:size val="5"/>
            <c:spPr>
              <a:solidFill>
                <a:srgbClr val="0070C0"/>
              </a:solidFill>
              <a:ln w="12700">
                <a:solidFill>
                  <a:srgbClr val="0070C0"/>
                </a:solidFill>
                <a:prstDash val="solid"/>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Sheet2!$D$18:$D$26</c:f>
              <c:numCache>
                <c:formatCode>General</c:formatCode>
                <c:ptCount val="9"/>
                <c:pt idx="0">
                  <c:v>1000</c:v>
                </c:pt>
                <c:pt idx="1">
                  <c:v>500</c:v>
                </c:pt>
                <c:pt idx="2">
                  <c:v>250</c:v>
                </c:pt>
                <c:pt idx="3">
                  <c:v>125</c:v>
                </c:pt>
                <c:pt idx="4">
                  <c:v>62.5</c:v>
                </c:pt>
                <c:pt idx="5">
                  <c:v>31.25</c:v>
                </c:pt>
                <c:pt idx="6">
                  <c:v>15.6</c:v>
                </c:pt>
                <c:pt idx="7">
                  <c:v>7.8</c:v>
                </c:pt>
                <c:pt idx="8">
                  <c:v>3.9</c:v>
                </c:pt>
              </c:numCache>
            </c:numRef>
          </c:xVal>
          <c:yVal>
            <c:numRef>
              <c:f>Sheet2!$F$18:$F$26</c:f>
              <c:numCache>
                <c:formatCode>0.0</c:formatCode>
                <c:ptCount val="9"/>
                <c:pt idx="0">
                  <c:v>0.12393767705382436</c:v>
                </c:pt>
                <c:pt idx="1">
                  <c:v>1.2305240793201133</c:v>
                </c:pt>
                <c:pt idx="2">
                  <c:v>6.8121458923512748</c:v>
                </c:pt>
                <c:pt idx="3">
                  <c:v>9.9415722379603402</c:v>
                </c:pt>
                <c:pt idx="4">
                  <c:v>18.780984419263454</c:v>
                </c:pt>
                <c:pt idx="5">
                  <c:v>36.800637393767701</c:v>
                </c:pt>
                <c:pt idx="6">
                  <c:v>91.939624645892351</c:v>
                </c:pt>
                <c:pt idx="7">
                  <c:v>88.681834277620396</c:v>
                </c:pt>
                <c:pt idx="8">
                  <c:v>90.425814447592074</c:v>
                </c:pt>
              </c:numCache>
            </c:numRef>
          </c:yVal>
          <c:smooth val="0"/>
          <c:extLst>
            <c:ext xmlns:c16="http://schemas.microsoft.com/office/drawing/2014/chart" uri="{C3380CC4-5D6E-409C-BE32-E72D297353CC}">
              <c16:uniqueId val="{00000001-0192-40E6-8031-57132666A1F7}"/>
            </c:ext>
          </c:extLst>
        </c:ser>
        <c:dLbls>
          <c:showLegendKey val="0"/>
          <c:showVal val="0"/>
          <c:showCatName val="0"/>
          <c:showSerName val="0"/>
          <c:showPercent val="0"/>
          <c:showBubbleSize val="0"/>
        </c:dLbls>
        <c:axId val="290486584"/>
        <c:axId val="290486976"/>
      </c:scatterChart>
      <c:valAx>
        <c:axId val="290486584"/>
        <c:scaling>
          <c:logBase val="10"/>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Amphotericin B (µg/ml)</a:t>
                </a:r>
              </a:p>
            </c:rich>
          </c:tx>
          <c:layout>
            <c:manualLayout>
              <c:xMode val="edge"/>
              <c:yMode val="edge"/>
              <c:x val="0.32868646012264646"/>
              <c:y val="0.897815611175898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0486976"/>
        <c:crosses val="autoZero"/>
        <c:crossBetween val="midCat"/>
      </c:valAx>
      <c:valAx>
        <c:axId val="2904869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ysClr val="windowText" lastClr="000000"/>
                    </a:solidFill>
                    <a:latin typeface="Arial" panose="020B0604020202020204" pitchFamily="34" charset="0"/>
                    <a:cs typeface="Arial" panose="020B0604020202020204" pitchFamily="34" charset="0"/>
                  </a:rPr>
                  <a:t>% viability</a:t>
                </a:r>
              </a:p>
            </c:rich>
          </c:tx>
          <c:layout>
            <c:manualLayout>
              <c:xMode val="edge"/>
              <c:yMode val="edge"/>
              <c:x val="1.211596329993974E-2"/>
              <c:y val="0.384077525804990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0486584"/>
        <c:crosses val="autoZero"/>
        <c:crossBetween val="midCat"/>
      </c:valAx>
      <c:spPr>
        <a:noFill/>
        <a:ln>
          <a:noFill/>
        </a:ln>
        <a:effectLst/>
      </c:spPr>
    </c:plotArea>
    <c:legend>
      <c:legendPos val="b"/>
      <c:layout>
        <c:manualLayout>
          <c:xMode val="edge"/>
          <c:yMode val="edge"/>
          <c:x val="0.54152250628962939"/>
          <c:y val="7.2064997180392269E-3"/>
          <c:w val="0.38625601450748176"/>
          <c:h val="0.2283804312259376"/>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12265270590219"/>
          <c:y val="4.3820001181257791E-2"/>
          <c:w val="0.74041725656519408"/>
          <c:h val="0.7408883452231656"/>
        </c:manualLayout>
      </c:layout>
      <c:scatterChart>
        <c:scatterStyle val="lineMarker"/>
        <c:varyColors val="0"/>
        <c:ser>
          <c:idx val="0"/>
          <c:order val="0"/>
          <c:tx>
            <c:strRef>
              <c:f>Miltefosine!$D$13</c:f>
              <c:strCache>
                <c:ptCount val="1"/>
                <c:pt idx="0">
                  <c:v>% viability trophs</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xVal>
            <c:numRef>
              <c:f>Miltefosine!$C$14:$C$20</c:f>
              <c:numCache>
                <c:formatCode>General</c:formatCode>
                <c:ptCount val="7"/>
                <c:pt idx="0">
                  <c:v>100</c:v>
                </c:pt>
                <c:pt idx="1">
                  <c:v>50</c:v>
                </c:pt>
                <c:pt idx="2">
                  <c:v>25</c:v>
                </c:pt>
                <c:pt idx="3">
                  <c:v>12.5</c:v>
                </c:pt>
                <c:pt idx="4">
                  <c:v>6.25</c:v>
                </c:pt>
                <c:pt idx="5">
                  <c:v>3.125</c:v>
                </c:pt>
                <c:pt idx="6">
                  <c:v>1.5</c:v>
                </c:pt>
              </c:numCache>
            </c:numRef>
          </c:xVal>
          <c:yVal>
            <c:numRef>
              <c:f>Miltefosine!$D$14:$D$20</c:f>
              <c:numCache>
                <c:formatCode>General</c:formatCode>
                <c:ptCount val="7"/>
                <c:pt idx="0">
                  <c:v>0.6</c:v>
                </c:pt>
                <c:pt idx="1">
                  <c:v>1.6</c:v>
                </c:pt>
                <c:pt idx="2">
                  <c:v>4.7</c:v>
                </c:pt>
                <c:pt idx="3">
                  <c:v>51.8</c:v>
                </c:pt>
                <c:pt idx="4">
                  <c:v>92.7</c:v>
                </c:pt>
                <c:pt idx="5">
                  <c:v>94.5</c:v>
                </c:pt>
                <c:pt idx="6">
                  <c:v>96.1</c:v>
                </c:pt>
              </c:numCache>
            </c:numRef>
          </c:yVal>
          <c:smooth val="0"/>
          <c:extLst>
            <c:ext xmlns:c16="http://schemas.microsoft.com/office/drawing/2014/chart" uri="{C3380CC4-5D6E-409C-BE32-E72D297353CC}">
              <c16:uniqueId val="{00000000-51A5-41C1-9711-EE424E516522}"/>
            </c:ext>
          </c:extLst>
        </c:ser>
        <c:ser>
          <c:idx val="1"/>
          <c:order val="1"/>
          <c:tx>
            <c:strRef>
              <c:f>Miltefosine!$E$13</c:f>
              <c:strCache>
                <c:ptCount val="1"/>
                <c:pt idx="0">
                  <c:v>% viability cysts</c:v>
                </c:pt>
              </c:strCache>
            </c:strRef>
          </c:tx>
          <c:spPr>
            <a:ln w="12700" cap="rnd">
              <a:solidFill>
                <a:srgbClr val="0070C0"/>
              </a:solidFill>
              <a:prstDash val="solid"/>
              <a:round/>
            </a:ln>
            <a:effectLst/>
          </c:spPr>
          <c:marker>
            <c:symbol val="circle"/>
            <c:size val="5"/>
            <c:spPr>
              <a:solidFill>
                <a:srgbClr val="0070C0"/>
              </a:solidFill>
              <a:ln w="12700">
                <a:solidFill>
                  <a:srgbClr val="0070C0"/>
                </a:solidFill>
                <a:prstDash val="solid"/>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Miltefosine!$C$14:$C$20</c:f>
              <c:numCache>
                <c:formatCode>General</c:formatCode>
                <c:ptCount val="7"/>
                <c:pt idx="0">
                  <c:v>100</c:v>
                </c:pt>
                <c:pt idx="1">
                  <c:v>50</c:v>
                </c:pt>
                <c:pt idx="2">
                  <c:v>25</c:v>
                </c:pt>
                <c:pt idx="3">
                  <c:v>12.5</c:v>
                </c:pt>
                <c:pt idx="4">
                  <c:v>6.25</c:v>
                </c:pt>
                <c:pt idx="5">
                  <c:v>3.125</c:v>
                </c:pt>
                <c:pt idx="6">
                  <c:v>1.5</c:v>
                </c:pt>
              </c:numCache>
            </c:numRef>
          </c:xVal>
          <c:yVal>
            <c:numRef>
              <c:f>Miltefosine!$E$14:$E$20</c:f>
              <c:numCache>
                <c:formatCode>General</c:formatCode>
                <c:ptCount val="7"/>
                <c:pt idx="0">
                  <c:v>2.2999999999999998</c:v>
                </c:pt>
                <c:pt idx="1">
                  <c:v>16</c:v>
                </c:pt>
                <c:pt idx="2">
                  <c:v>43.5</c:v>
                </c:pt>
                <c:pt idx="3">
                  <c:v>87.1</c:v>
                </c:pt>
                <c:pt idx="4">
                  <c:v>100</c:v>
                </c:pt>
                <c:pt idx="5">
                  <c:v>101</c:v>
                </c:pt>
                <c:pt idx="6">
                  <c:v>97.1</c:v>
                </c:pt>
              </c:numCache>
            </c:numRef>
          </c:yVal>
          <c:smooth val="0"/>
          <c:extLst>
            <c:ext xmlns:c16="http://schemas.microsoft.com/office/drawing/2014/chart" uri="{C3380CC4-5D6E-409C-BE32-E72D297353CC}">
              <c16:uniqueId val="{00000001-51A5-41C1-9711-EE424E516522}"/>
            </c:ext>
          </c:extLst>
        </c:ser>
        <c:dLbls>
          <c:showLegendKey val="0"/>
          <c:showVal val="0"/>
          <c:showCatName val="0"/>
          <c:showSerName val="0"/>
          <c:showPercent val="0"/>
          <c:showBubbleSize val="0"/>
        </c:dLbls>
        <c:axId val="290833896"/>
        <c:axId val="290834288"/>
      </c:scatterChart>
      <c:valAx>
        <c:axId val="290833896"/>
        <c:scaling>
          <c:logBase val="5"/>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Miltefosine (µg/ml)</a:t>
                </a:r>
              </a:p>
            </c:rich>
          </c:tx>
          <c:layout>
            <c:manualLayout>
              <c:xMode val="edge"/>
              <c:yMode val="edge"/>
              <c:x val="0.33740356288669732"/>
              <c:y val="0.8833549200605799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0834288"/>
        <c:crosses val="autoZero"/>
        <c:crossBetween val="midCat"/>
      </c:valAx>
      <c:valAx>
        <c:axId val="2908342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 viability</a:t>
                </a:r>
              </a:p>
            </c:rich>
          </c:tx>
          <c:layout>
            <c:manualLayout>
              <c:xMode val="edge"/>
              <c:yMode val="edge"/>
              <c:x val="5.5958265762685363E-3"/>
              <c:y val="0.359059622552742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0833896"/>
        <c:crosses val="autoZero"/>
        <c:crossBetween val="midCat"/>
      </c:valAx>
      <c:spPr>
        <a:noFill/>
        <a:ln>
          <a:noFill/>
        </a:ln>
        <a:effectLst/>
      </c:spPr>
    </c:plotArea>
    <c:legend>
      <c:legendPos val="b"/>
      <c:legendEntry>
        <c:idx val="0"/>
        <c:txPr>
          <a:bodyPr rot="0" spcFirstLastPara="1" vertOverflow="ellipsis" vert="horz" wrap="square" anchor="ctr" anchorCtr="1"/>
          <a:lstStyle/>
          <a:p>
            <a:pPr algn="just">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49656170813421541"/>
          <c:y val="2.2524720927846954E-3"/>
          <c:w val="0.48453985396732152"/>
          <c:h val="0.30065184828252517"/>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20598728359698"/>
          <c:y val="3.0799445889199542E-2"/>
          <c:w val="0.68379256721403381"/>
          <c:h val="0.7763352732033898"/>
        </c:manualLayout>
      </c:layout>
      <c:scatterChart>
        <c:scatterStyle val="lineMarker"/>
        <c:varyColors val="0"/>
        <c:ser>
          <c:idx val="0"/>
          <c:order val="0"/>
          <c:tx>
            <c:strRef>
              <c:f>Povidone!$D$14</c:f>
              <c:strCache>
                <c:ptCount val="1"/>
                <c:pt idx="0">
                  <c:v>% viability Cyst</c:v>
                </c:pt>
              </c:strCache>
            </c:strRef>
          </c:tx>
          <c:spPr>
            <a:ln w="12700" cap="rnd">
              <a:solidFill>
                <a:srgbClr val="0070C0"/>
              </a:solidFill>
              <a:prstDash val="solid"/>
              <a:round/>
            </a:ln>
            <a:effectLst/>
          </c:spPr>
          <c:marker>
            <c:symbol val="circle"/>
            <c:size val="5"/>
            <c:spPr>
              <a:solidFill>
                <a:srgbClr val="0070C0"/>
              </a:solidFill>
              <a:ln w="12700">
                <a:solidFill>
                  <a:srgbClr val="0070C0"/>
                </a:solidFill>
                <a:prstDash val="solid"/>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Povidone!$C$15:$C$21</c:f>
              <c:numCache>
                <c:formatCode>General</c:formatCode>
                <c:ptCount val="7"/>
                <c:pt idx="0">
                  <c:v>500</c:v>
                </c:pt>
                <c:pt idx="1">
                  <c:v>250</c:v>
                </c:pt>
                <c:pt idx="2">
                  <c:v>125</c:v>
                </c:pt>
                <c:pt idx="3">
                  <c:v>62.5</c:v>
                </c:pt>
                <c:pt idx="4">
                  <c:v>31.25</c:v>
                </c:pt>
                <c:pt idx="5">
                  <c:v>15.6</c:v>
                </c:pt>
                <c:pt idx="6">
                  <c:v>7</c:v>
                </c:pt>
              </c:numCache>
            </c:numRef>
          </c:xVal>
          <c:yVal>
            <c:numRef>
              <c:f>Povidone!$D$15:$D$21</c:f>
              <c:numCache>
                <c:formatCode>General</c:formatCode>
                <c:ptCount val="7"/>
                <c:pt idx="0">
                  <c:v>0.3</c:v>
                </c:pt>
                <c:pt idx="1">
                  <c:v>7.4</c:v>
                </c:pt>
                <c:pt idx="2">
                  <c:v>50.9</c:v>
                </c:pt>
                <c:pt idx="3">
                  <c:v>76</c:v>
                </c:pt>
                <c:pt idx="4">
                  <c:v>78.900000000000006</c:v>
                </c:pt>
                <c:pt idx="5">
                  <c:v>80.3</c:v>
                </c:pt>
                <c:pt idx="6">
                  <c:v>92.6</c:v>
                </c:pt>
              </c:numCache>
            </c:numRef>
          </c:yVal>
          <c:smooth val="0"/>
          <c:extLst>
            <c:ext xmlns:c16="http://schemas.microsoft.com/office/drawing/2014/chart" uri="{C3380CC4-5D6E-409C-BE32-E72D297353CC}">
              <c16:uniqueId val="{00000000-87E2-42CF-8067-D89FB8546EA6}"/>
            </c:ext>
          </c:extLst>
        </c:ser>
        <c:ser>
          <c:idx val="1"/>
          <c:order val="1"/>
          <c:tx>
            <c:strRef>
              <c:f>Povidone!$E$14</c:f>
              <c:strCache>
                <c:ptCount val="1"/>
                <c:pt idx="0">
                  <c:v>% viability Troph</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Povidone!$C$15:$C$21</c:f>
              <c:numCache>
                <c:formatCode>General</c:formatCode>
                <c:ptCount val="7"/>
                <c:pt idx="0">
                  <c:v>500</c:v>
                </c:pt>
                <c:pt idx="1">
                  <c:v>250</c:v>
                </c:pt>
                <c:pt idx="2">
                  <c:v>125</c:v>
                </c:pt>
                <c:pt idx="3">
                  <c:v>62.5</c:v>
                </c:pt>
                <c:pt idx="4">
                  <c:v>31.25</c:v>
                </c:pt>
                <c:pt idx="5">
                  <c:v>15.6</c:v>
                </c:pt>
                <c:pt idx="6">
                  <c:v>7</c:v>
                </c:pt>
              </c:numCache>
            </c:numRef>
          </c:xVal>
          <c:yVal>
            <c:numRef>
              <c:f>Povidone!$E$15:$E$21</c:f>
              <c:numCache>
                <c:formatCode>General</c:formatCode>
                <c:ptCount val="7"/>
                <c:pt idx="0">
                  <c:v>0.1</c:v>
                </c:pt>
                <c:pt idx="1">
                  <c:v>0.1</c:v>
                </c:pt>
                <c:pt idx="2">
                  <c:v>0.2</c:v>
                </c:pt>
                <c:pt idx="3">
                  <c:v>3.4</c:v>
                </c:pt>
                <c:pt idx="4">
                  <c:v>21.5</c:v>
                </c:pt>
                <c:pt idx="5">
                  <c:v>50.4</c:v>
                </c:pt>
                <c:pt idx="6">
                  <c:v>65.5</c:v>
                </c:pt>
              </c:numCache>
            </c:numRef>
          </c:yVal>
          <c:smooth val="0"/>
          <c:extLst>
            <c:ext xmlns:c16="http://schemas.microsoft.com/office/drawing/2014/chart" uri="{C3380CC4-5D6E-409C-BE32-E72D297353CC}">
              <c16:uniqueId val="{00000001-87E2-42CF-8067-D89FB8546EA6}"/>
            </c:ext>
          </c:extLst>
        </c:ser>
        <c:dLbls>
          <c:showLegendKey val="0"/>
          <c:showVal val="0"/>
          <c:showCatName val="0"/>
          <c:showSerName val="0"/>
          <c:showPercent val="0"/>
          <c:showBubbleSize val="0"/>
        </c:dLbls>
        <c:axId val="290835072"/>
        <c:axId val="290835464"/>
      </c:scatterChart>
      <c:valAx>
        <c:axId val="290835072"/>
        <c:scaling>
          <c:logBase val="10"/>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ysClr val="windowText" lastClr="000000"/>
                    </a:solidFill>
                    <a:latin typeface="Arial" panose="020B0604020202020204" pitchFamily="34" charset="0"/>
                    <a:cs typeface="Arial" panose="020B0604020202020204" pitchFamily="34" charset="0"/>
                  </a:rPr>
                  <a:t>Povidone (µg/ml)</a:t>
                </a:r>
              </a:p>
            </c:rich>
          </c:tx>
          <c:layout>
            <c:manualLayout>
              <c:xMode val="edge"/>
              <c:yMode val="edge"/>
              <c:x val="0.365713829073125"/>
              <c:y val="0.913619479237121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0835464"/>
        <c:crosses val="autoZero"/>
        <c:crossBetween val="midCat"/>
      </c:valAx>
      <c:valAx>
        <c:axId val="290835464"/>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latin typeface="Arial" panose="020B0604020202020204" pitchFamily="34" charset="0"/>
                    <a:cs typeface="Arial" panose="020B0604020202020204" pitchFamily="34" charset="0"/>
                  </a:rPr>
                  <a:t>% viability</a:t>
                </a:r>
              </a:p>
            </c:rich>
          </c:tx>
          <c:layout>
            <c:manualLayout>
              <c:xMode val="edge"/>
              <c:yMode val="edge"/>
              <c:x val="1.2915303719646684E-2"/>
              <c:y val="0.2709945420809536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0835072"/>
        <c:crosses val="autoZero"/>
        <c:crossBetween val="midCat"/>
      </c:valAx>
      <c:spPr>
        <a:noFill/>
        <a:ln>
          <a:noFill/>
        </a:ln>
        <a:effectLst/>
      </c:spPr>
    </c:plotArea>
    <c:legend>
      <c:legendPos val="b"/>
      <c:layout>
        <c:manualLayout>
          <c:xMode val="edge"/>
          <c:yMode val="edge"/>
          <c:x val="0.57799814470660948"/>
          <c:y val="1.9096567912933713E-2"/>
          <c:w val="0.41668901235830369"/>
          <c:h val="0.3295223145338344"/>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00844164350067"/>
          <c:y val="9.6017150253478609E-2"/>
          <c:w val="0.69739054972564662"/>
          <c:h val="0.74464998382051562"/>
        </c:manualLayout>
      </c:layout>
      <c:scatterChart>
        <c:scatterStyle val="lineMarker"/>
        <c:varyColors val="0"/>
        <c:ser>
          <c:idx val="0"/>
          <c:order val="0"/>
          <c:tx>
            <c:strRef>
              <c:f>Caspofungin!$D$13</c:f>
              <c:strCache>
                <c:ptCount val="1"/>
                <c:pt idx="0">
                  <c:v>% viability trophs</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errBars>
            <c:errDir val="y"/>
            <c:errBarType val="both"/>
            <c:errValType val="percentage"/>
            <c:noEndCap val="0"/>
            <c:val val="5"/>
          </c:errBars>
          <c:xVal>
            <c:numRef>
              <c:f>Caspofungin!$C$14:$C$20</c:f>
              <c:numCache>
                <c:formatCode>General</c:formatCode>
                <c:ptCount val="7"/>
                <c:pt idx="0">
                  <c:v>500</c:v>
                </c:pt>
                <c:pt idx="1">
                  <c:v>250</c:v>
                </c:pt>
                <c:pt idx="2">
                  <c:v>125</c:v>
                </c:pt>
                <c:pt idx="3">
                  <c:v>62.5</c:v>
                </c:pt>
                <c:pt idx="4">
                  <c:v>31.25</c:v>
                </c:pt>
                <c:pt idx="5">
                  <c:v>15.6</c:v>
                </c:pt>
                <c:pt idx="6">
                  <c:v>7.8</c:v>
                </c:pt>
              </c:numCache>
            </c:numRef>
          </c:xVal>
          <c:yVal>
            <c:numRef>
              <c:f>Caspofungin!$D$14:$D$20</c:f>
              <c:numCache>
                <c:formatCode>General</c:formatCode>
                <c:ptCount val="7"/>
                <c:pt idx="0">
                  <c:v>2.1</c:v>
                </c:pt>
                <c:pt idx="1">
                  <c:v>6.4</c:v>
                </c:pt>
                <c:pt idx="2">
                  <c:v>15.3</c:v>
                </c:pt>
                <c:pt idx="3">
                  <c:v>49.7</c:v>
                </c:pt>
                <c:pt idx="4">
                  <c:v>96.3</c:v>
                </c:pt>
                <c:pt idx="5">
                  <c:v>98.6</c:v>
                </c:pt>
                <c:pt idx="6">
                  <c:v>99.3</c:v>
                </c:pt>
              </c:numCache>
            </c:numRef>
          </c:yVal>
          <c:smooth val="0"/>
          <c:extLst>
            <c:ext xmlns:c16="http://schemas.microsoft.com/office/drawing/2014/chart" uri="{C3380CC4-5D6E-409C-BE32-E72D297353CC}">
              <c16:uniqueId val="{00000000-D550-4253-B448-249EA4321123}"/>
            </c:ext>
          </c:extLst>
        </c:ser>
        <c:ser>
          <c:idx val="1"/>
          <c:order val="1"/>
          <c:tx>
            <c:strRef>
              <c:f>Caspofungin!$E$13</c:f>
              <c:strCache>
                <c:ptCount val="1"/>
                <c:pt idx="0">
                  <c:v>% viability cysts</c:v>
                </c:pt>
              </c:strCache>
            </c:strRef>
          </c:tx>
          <c:spPr>
            <a:ln w="12700" cap="rnd">
              <a:solidFill>
                <a:srgbClr val="0070C0"/>
              </a:solidFill>
              <a:prstDash val="solid"/>
              <a:round/>
            </a:ln>
            <a:effectLst/>
          </c:spPr>
          <c:marker>
            <c:symbol val="circle"/>
            <c:size val="5"/>
            <c:spPr>
              <a:solidFill>
                <a:srgbClr val="0070C0"/>
              </a:solidFill>
              <a:ln w="12700">
                <a:solidFill>
                  <a:srgbClr val="0070C0"/>
                </a:solidFill>
                <a:prstDash val="solid"/>
              </a:ln>
              <a:effectLst/>
            </c:spPr>
          </c:marker>
          <c:errBars>
            <c:errDir val="y"/>
            <c:errBarType val="both"/>
            <c:errValType val="percentage"/>
            <c:noEndCap val="0"/>
            <c:val val="5"/>
          </c:errBars>
          <c:xVal>
            <c:numRef>
              <c:f>Caspofungin!$C$14:$C$20</c:f>
              <c:numCache>
                <c:formatCode>General</c:formatCode>
                <c:ptCount val="7"/>
                <c:pt idx="0">
                  <c:v>500</c:v>
                </c:pt>
                <c:pt idx="1">
                  <c:v>250</c:v>
                </c:pt>
                <c:pt idx="2">
                  <c:v>125</c:v>
                </c:pt>
                <c:pt idx="3">
                  <c:v>62.5</c:v>
                </c:pt>
                <c:pt idx="4">
                  <c:v>31.25</c:v>
                </c:pt>
                <c:pt idx="5">
                  <c:v>15.6</c:v>
                </c:pt>
                <c:pt idx="6">
                  <c:v>7.8</c:v>
                </c:pt>
              </c:numCache>
            </c:numRef>
          </c:xVal>
          <c:yVal>
            <c:numRef>
              <c:f>Caspofungin!$E$14:$E$20</c:f>
              <c:numCache>
                <c:formatCode>General</c:formatCode>
                <c:ptCount val="7"/>
                <c:pt idx="0">
                  <c:v>3.3</c:v>
                </c:pt>
                <c:pt idx="1">
                  <c:v>7</c:v>
                </c:pt>
                <c:pt idx="2">
                  <c:v>20</c:v>
                </c:pt>
                <c:pt idx="3">
                  <c:v>81.8</c:v>
                </c:pt>
                <c:pt idx="4">
                  <c:v>89.9</c:v>
                </c:pt>
                <c:pt idx="5">
                  <c:v>91.7</c:v>
                </c:pt>
                <c:pt idx="6">
                  <c:v>96.1</c:v>
                </c:pt>
              </c:numCache>
            </c:numRef>
          </c:yVal>
          <c:smooth val="0"/>
          <c:extLst>
            <c:ext xmlns:c16="http://schemas.microsoft.com/office/drawing/2014/chart" uri="{C3380CC4-5D6E-409C-BE32-E72D297353CC}">
              <c16:uniqueId val="{00000001-D550-4253-B448-249EA4321123}"/>
            </c:ext>
          </c:extLst>
        </c:ser>
        <c:dLbls>
          <c:showLegendKey val="0"/>
          <c:showVal val="0"/>
          <c:showCatName val="0"/>
          <c:showSerName val="0"/>
          <c:showPercent val="0"/>
          <c:showBubbleSize val="0"/>
        </c:dLbls>
        <c:axId val="290835856"/>
        <c:axId val="290836248"/>
      </c:scatterChart>
      <c:valAx>
        <c:axId val="290835856"/>
        <c:scaling>
          <c:logBase val="10"/>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ysClr val="windowText" lastClr="000000"/>
                    </a:solidFill>
                    <a:latin typeface="Arial" panose="020B0604020202020204" pitchFamily="34" charset="0"/>
                    <a:cs typeface="Arial" panose="020B0604020202020204" pitchFamily="34" charset="0"/>
                  </a:rPr>
                  <a:t>Caspofungin (µg/ml)</a:t>
                </a:r>
              </a:p>
            </c:rich>
          </c:tx>
          <c:layout>
            <c:manualLayout>
              <c:xMode val="edge"/>
              <c:yMode val="edge"/>
              <c:x val="0.30605032966073331"/>
              <c:y val="0.92368865278826451"/>
            </c:manualLayout>
          </c:layout>
          <c:overlay val="0"/>
          <c:spPr>
            <a:noFill/>
            <a:ln>
              <a:noFill/>
            </a:ln>
            <a:effectLst/>
          </c:spPr>
        </c:title>
        <c:numFmt formatCode="General" sourceLinked="1"/>
        <c:majorTickMark val="out"/>
        <c:minorTickMark val="none"/>
        <c:tickLblPos val="nextTo"/>
        <c:spPr>
          <a:noFill/>
          <a:ln w="19050" cap="flat" cmpd="sng" algn="ctr">
            <a:solidFill>
              <a:sysClr val="windowText" lastClr="000000"/>
            </a:solidFill>
            <a:round/>
          </a:ln>
          <a:effectLst/>
        </c:spPr>
        <c:txPr>
          <a:bodyPr rot="0" vert="horz"/>
          <a:lstStyle/>
          <a:p>
            <a:pPr>
              <a:defRPr sz="1200" b="1"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290836248"/>
        <c:crosses val="autoZero"/>
        <c:crossBetween val="midCat"/>
      </c:valAx>
      <c:valAx>
        <c:axId val="2908362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latin typeface="Arial" panose="020B0604020202020204" pitchFamily="34" charset="0"/>
                    <a:cs typeface="Arial" panose="020B0604020202020204" pitchFamily="34" charset="0"/>
                  </a:rPr>
                  <a:t>% viability</a:t>
                </a:r>
              </a:p>
            </c:rich>
          </c:tx>
          <c:layout>
            <c:manualLayout>
              <c:xMode val="edge"/>
              <c:yMode val="edge"/>
              <c:x val="3.4265067605920786E-3"/>
              <c:y val="0.34525320893107542"/>
            </c:manualLayout>
          </c:layout>
          <c:overlay val="0"/>
          <c:spPr>
            <a:noFill/>
            <a:ln>
              <a:noFill/>
            </a:ln>
            <a:effectLst/>
          </c:sp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0835856"/>
        <c:crossesAt val="0.01"/>
        <c:crossBetween val="midCat"/>
      </c:valAx>
      <c:spPr>
        <a:noFill/>
        <a:ln w="25400">
          <a:noFill/>
        </a:ln>
      </c:spPr>
    </c:plotArea>
    <c:legend>
      <c:legendPos val="b"/>
      <c:layout>
        <c:manualLayout>
          <c:xMode val="edge"/>
          <c:yMode val="edge"/>
          <c:x val="0.61488451443569558"/>
          <c:y val="1.9096675415573052E-2"/>
          <c:w val="0.38511541764303492"/>
          <c:h val="0.24943107546705454"/>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04558595942244"/>
          <c:y val="0.135740325119036"/>
          <c:w val="0.6691901498273839"/>
          <c:h val="0.6922590944006165"/>
        </c:manualLayout>
      </c:layout>
      <c:scatterChart>
        <c:scatterStyle val="lineMarker"/>
        <c:varyColors val="0"/>
        <c:ser>
          <c:idx val="0"/>
          <c:order val="0"/>
          <c:tx>
            <c:strRef>
              <c:f>Sheet1!$C$9</c:f>
              <c:strCache>
                <c:ptCount val="1"/>
                <c:pt idx="0">
                  <c:v>RFU</c:v>
                </c:pt>
              </c:strCache>
            </c:strRef>
          </c:tx>
          <c:spPr>
            <a:ln w="19050" cap="rnd">
              <a:solidFill>
                <a:sysClr val="window" lastClr="FFFFFF"/>
              </a:solidFill>
              <a:round/>
            </a:ln>
            <a:effectLst/>
          </c:spPr>
          <c:marker>
            <c:symbol val="circle"/>
            <c:size val="5"/>
            <c:spPr>
              <a:solidFill>
                <a:schemeClr val="tx1"/>
              </a:solidFill>
              <a:ln w="9525">
                <a:solidFill>
                  <a:sysClr val="window" lastClr="FFFFFF"/>
                </a:solidFill>
              </a:ln>
              <a:effectLst/>
            </c:spPr>
          </c:marker>
          <c:trendline>
            <c:spPr>
              <a:ln w="19050" cap="rnd">
                <a:solidFill>
                  <a:sysClr val="windowText" lastClr="000000"/>
                </a:solidFill>
                <a:prstDash val="solid"/>
              </a:ln>
              <a:effectLst/>
            </c:spPr>
            <c:trendlineType val="linear"/>
            <c:dispRSqr val="0"/>
            <c:dispEq val="0"/>
          </c:trendline>
          <c:errBars>
            <c:errDir val="y"/>
            <c:errBarType val="both"/>
            <c:errValType val="cust"/>
            <c:noEndCap val="0"/>
            <c:plus>
              <c:numRef>
                <c:f>Sheet1!$B$7:$I$7</c:f>
                <c:numCache>
                  <c:formatCode>General</c:formatCode>
                  <c:ptCount val="8"/>
                  <c:pt idx="0">
                    <c:v>14730.301320746972</c:v>
                  </c:pt>
                  <c:pt idx="1">
                    <c:v>6265.0219738907008</c:v>
                  </c:pt>
                  <c:pt idx="2">
                    <c:v>5679.2055782477182</c:v>
                  </c:pt>
                  <c:pt idx="3">
                    <c:v>5883.2532666884226</c:v>
                  </c:pt>
                  <c:pt idx="4">
                    <c:v>2732.2244295323385</c:v>
                  </c:pt>
                  <c:pt idx="5">
                    <c:v>635.44498843985957</c:v>
                  </c:pt>
                  <c:pt idx="6">
                    <c:v>605.58594215299729</c:v>
                  </c:pt>
                  <c:pt idx="7">
                    <c:v>262.46333077212898</c:v>
                  </c:pt>
                </c:numCache>
              </c:numRef>
            </c:plus>
            <c:minus>
              <c:numRef>
                <c:f>Sheet1!$B$7:$I$7</c:f>
                <c:numCache>
                  <c:formatCode>General</c:formatCode>
                  <c:ptCount val="8"/>
                  <c:pt idx="0">
                    <c:v>14730.301320746972</c:v>
                  </c:pt>
                  <c:pt idx="1">
                    <c:v>6265.0219738907008</c:v>
                  </c:pt>
                  <c:pt idx="2">
                    <c:v>5679.2055782477182</c:v>
                  </c:pt>
                  <c:pt idx="3">
                    <c:v>5883.2532666884226</c:v>
                  </c:pt>
                  <c:pt idx="4">
                    <c:v>2732.2244295323385</c:v>
                  </c:pt>
                  <c:pt idx="5">
                    <c:v>635.44498843985957</c:v>
                  </c:pt>
                  <c:pt idx="6">
                    <c:v>605.58594215299729</c:v>
                  </c:pt>
                  <c:pt idx="7">
                    <c:v>262.46333077212898</c:v>
                  </c:pt>
                </c:numCache>
              </c:numRef>
            </c:minus>
            <c:spPr>
              <a:noFill/>
              <a:ln w="9525" cap="flat" cmpd="sng" algn="ctr">
                <a:solidFill>
                  <a:schemeClr val="tx1">
                    <a:lumMod val="65000"/>
                    <a:lumOff val="35000"/>
                  </a:schemeClr>
                </a:solidFill>
                <a:round/>
              </a:ln>
              <a:effectLst/>
            </c:spPr>
          </c:errBars>
          <c:xVal>
            <c:numRef>
              <c:f>Sheet1!$B$10:$B$17</c:f>
              <c:numCache>
                <c:formatCode>General</c:formatCode>
                <c:ptCount val="8"/>
                <c:pt idx="0">
                  <c:v>1000</c:v>
                </c:pt>
                <c:pt idx="1">
                  <c:v>500</c:v>
                </c:pt>
                <c:pt idx="2">
                  <c:v>250</c:v>
                </c:pt>
                <c:pt idx="3">
                  <c:v>125</c:v>
                </c:pt>
                <c:pt idx="4">
                  <c:v>62.5</c:v>
                </c:pt>
                <c:pt idx="5">
                  <c:v>31.25</c:v>
                </c:pt>
                <c:pt idx="6">
                  <c:v>15</c:v>
                </c:pt>
                <c:pt idx="7">
                  <c:v>7.5</c:v>
                </c:pt>
              </c:numCache>
            </c:numRef>
          </c:xVal>
          <c:yVal>
            <c:numRef>
              <c:f>Sheet1!$C$10:$C$17</c:f>
              <c:numCache>
                <c:formatCode>General</c:formatCode>
                <c:ptCount val="8"/>
                <c:pt idx="0">
                  <c:v>98939</c:v>
                </c:pt>
                <c:pt idx="1">
                  <c:v>54547</c:v>
                </c:pt>
                <c:pt idx="2">
                  <c:v>35586</c:v>
                </c:pt>
                <c:pt idx="3">
                  <c:v>23273</c:v>
                </c:pt>
                <c:pt idx="4">
                  <c:v>17577</c:v>
                </c:pt>
                <c:pt idx="5">
                  <c:v>13641</c:v>
                </c:pt>
                <c:pt idx="6">
                  <c:v>10147</c:v>
                </c:pt>
                <c:pt idx="7">
                  <c:v>8708</c:v>
                </c:pt>
              </c:numCache>
            </c:numRef>
          </c:yVal>
          <c:smooth val="0"/>
          <c:extLst>
            <c:ext xmlns:c16="http://schemas.microsoft.com/office/drawing/2014/chart" uri="{C3380CC4-5D6E-409C-BE32-E72D297353CC}">
              <c16:uniqueId val="{00000000-A547-4EDF-9ECB-FF59A17FF8D0}"/>
            </c:ext>
          </c:extLst>
        </c:ser>
        <c:dLbls>
          <c:showLegendKey val="0"/>
          <c:showVal val="0"/>
          <c:showCatName val="0"/>
          <c:showSerName val="0"/>
          <c:showPercent val="0"/>
          <c:showBubbleSize val="0"/>
        </c:dLbls>
        <c:axId val="290836640"/>
        <c:axId val="290837032"/>
      </c:scatterChart>
      <c:valAx>
        <c:axId val="290836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Porphyrin </a:t>
                </a:r>
                <a:r>
                  <a:rPr lang="en-GB" sz="1200" b="1" baseline="0">
                    <a:solidFill>
                      <a:schemeClr val="tx1"/>
                    </a:solidFill>
                    <a:latin typeface="Arial" panose="020B0604020202020204" pitchFamily="34" charset="0"/>
                    <a:cs typeface="Arial" panose="020B0604020202020204" pitchFamily="34" charset="0"/>
                  </a:rPr>
                  <a:t>(pmol)</a:t>
                </a:r>
                <a:endParaRPr lang="en-GB" sz="1200" b="1">
                  <a:solidFill>
                    <a:schemeClr val="tx1"/>
                  </a:solidFill>
                  <a:latin typeface="Arial" panose="020B0604020202020204" pitchFamily="34" charset="0"/>
                  <a:cs typeface="Arial" panose="020B0604020202020204" pitchFamily="34" charset="0"/>
                </a:endParaRPr>
              </a:p>
            </c:rich>
          </c:tx>
          <c:layout>
            <c:manualLayout>
              <c:xMode val="edge"/>
              <c:yMode val="edge"/>
              <c:x val="0.38410214360207057"/>
              <c:y val="0.914976142758132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0837032"/>
        <c:crosses val="autoZero"/>
        <c:crossBetween val="midCat"/>
      </c:valAx>
      <c:valAx>
        <c:axId val="290837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Fluorescence</a:t>
                </a:r>
              </a:p>
            </c:rich>
          </c:tx>
          <c:layout>
            <c:manualLayout>
              <c:xMode val="edge"/>
              <c:yMode val="edge"/>
              <c:x val="2.617940171085526E-3"/>
              <c:y val="0.35710937989515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083664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91987620285868"/>
          <c:y val="3.468352359397732E-2"/>
          <c:w val="0.65378893964785001"/>
          <c:h val="0.75053148403302306"/>
        </c:manualLayout>
      </c:layout>
      <c:scatterChart>
        <c:scatterStyle val="lineMarker"/>
        <c:varyColors val="0"/>
        <c:ser>
          <c:idx val="0"/>
          <c:order val="0"/>
          <c:tx>
            <c:strRef>
              <c:f>Sheet1!$V$23</c:f>
              <c:strCache>
                <c:ptCount val="1"/>
                <c:pt idx="0">
                  <c:v>TP1</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errBars>
            <c:errDir val="y"/>
            <c:errBarType val="both"/>
            <c:errValType val="cust"/>
            <c:noEndCap val="0"/>
            <c:plus>
              <c:numRef>
                <c:f>Sheet1!$Z$17:$AC$17</c:f>
                <c:numCache>
                  <c:formatCode>General</c:formatCode>
                  <c:ptCount val="4"/>
                  <c:pt idx="0">
                    <c:v>972.5226646887611</c:v>
                  </c:pt>
                  <c:pt idx="1">
                    <c:v>1557.6695199346148</c:v>
                  </c:pt>
                  <c:pt idx="2">
                    <c:v>1315.2248223529441</c:v>
                  </c:pt>
                  <c:pt idx="3">
                    <c:v>843.50597705845178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xVal>
            <c:numRef>
              <c:f>Sheet1!$U$24:$U$27</c:f>
              <c:numCache>
                <c:formatCode>General</c:formatCode>
                <c:ptCount val="4"/>
                <c:pt idx="0">
                  <c:v>5</c:v>
                </c:pt>
                <c:pt idx="1">
                  <c:v>10</c:v>
                </c:pt>
                <c:pt idx="2">
                  <c:v>20</c:v>
                </c:pt>
                <c:pt idx="3">
                  <c:v>30</c:v>
                </c:pt>
              </c:numCache>
            </c:numRef>
          </c:xVal>
          <c:yVal>
            <c:numRef>
              <c:f>Sheet1!$V$24:$V$27</c:f>
              <c:numCache>
                <c:formatCode>General</c:formatCode>
                <c:ptCount val="4"/>
                <c:pt idx="0">
                  <c:v>10855</c:v>
                </c:pt>
                <c:pt idx="1">
                  <c:v>19229</c:v>
                </c:pt>
                <c:pt idx="2">
                  <c:v>19926</c:v>
                </c:pt>
                <c:pt idx="3">
                  <c:v>19911</c:v>
                </c:pt>
              </c:numCache>
            </c:numRef>
          </c:yVal>
          <c:smooth val="0"/>
          <c:extLst>
            <c:ext xmlns:c16="http://schemas.microsoft.com/office/drawing/2014/chart" uri="{C3380CC4-5D6E-409C-BE32-E72D297353CC}">
              <c16:uniqueId val="{00000000-203A-4531-9F29-0215DE214C71}"/>
            </c:ext>
          </c:extLst>
        </c:ser>
        <c:ser>
          <c:idx val="1"/>
          <c:order val="1"/>
          <c:tx>
            <c:strRef>
              <c:f>Sheet1!$W$23</c:f>
              <c:strCache>
                <c:ptCount val="1"/>
                <c:pt idx="0">
                  <c:v>TP2</c:v>
                </c:pt>
              </c:strCache>
            </c:strRef>
          </c:tx>
          <c:spPr>
            <a:ln w="12700" cap="rnd">
              <a:solidFill>
                <a:srgbClr val="FF0000"/>
              </a:solidFill>
              <a:prstDash val="dash"/>
              <a:round/>
            </a:ln>
            <a:effectLst/>
          </c:spPr>
          <c:marker>
            <c:symbol val="circle"/>
            <c:size val="5"/>
            <c:spPr>
              <a:solidFill>
                <a:srgbClr val="FF0000"/>
              </a:solidFill>
              <a:ln w="12700">
                <a:solidFill>
                  <a:srgbClr val="FF0000"/>
                </a:solidFill>
                <a:prstDash val="dash"/>
              </a:ln>
              <a:effectLst/>
            </c:spPr>
          </c:marker>
          <c:errBars>
            <c:errDir val="y"/>
            <c:errBarType val="both"/>
            <c:errValType val="cust"/>
            <c:noEndCap val="0"/>
            <c:plus>
              <c:numRef>
                <c:f>Sheet1!$Z$17:$AC$17</c:f>
                <c:numCache>
                  <c:formatCode>General</c:formatCode>
                  <c:ptCount val="4"/>
                  <c:pt idx="0">
                    <c:v>972.5226646887611</c:v>
                  </c:pt>
                  <c:pt idx="1">
                    <c:v>1557.6695199346148</c:v>
                  </c:pt>
                  <c:pt idx="2">
                    <c:v>1315.2248223529441</c:v>
                  </c:pt>
                  <c:pt idx="3">
                    <c:v>843.50597705845178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xVal>
            <c:numRef>
              <c:f>Sheet1!$U$24:$U$27</c:f>
              <c:numCache>
                <c:formatCode>General</c:formatCode>
                <c:ptCount val="4"/>
                <c:pt idx="0">
                  <c:v>5</c:v>
                </c:pt>
                <c:pt idx="1">
                  <c:v>10</c:v>
                </c:pt>
                <c:pt idx="2">
                  <c:v>20</c:v>
                </c:pt>
                <c:pt idx="3">
                  <c:v>30</c:v>
                </c:pt>
              </c:numCache>
            </c:numRef>
          </c:xVal>
          <c:yVal>
            <c:numRef>
              <c:f>Sheet1!$W$24:$W$27</c:f>
              <c:numCache>
                <c:formatCode>General</c:formatCode>
                <c:ptCount val="4"/>
                <c:pt idx="0">
                  <c:v>7522</c:v>
                </c:pt>
                <c:pt idx="1">
                  <c:v>20058</c:v>
                </c:pt>
                <c:pt idx="2">
                  <c:v>19466</c:v>
                </c:pt>
                <c:pt idx="3">
                  <c:v>20177</c:v>
                </c:pt>
              </c:numCache>
            </c:numRef>
          </c:yVal>
          <c:smooth val="0"/>
          <c:extLst>
            <c:ext xmlns:c16="http://schemas.microsoft.com/office/drawing/2014/chart" uri="{C3380CC4-5D6E-409C-BE32-E72D297353CC}">
              <c16:uniqueId val="{00000001-203A-4531-9F29-0215DE214C71}"/>
            </c:ext>
          </c:extLst>
        </c:ser>
        <c:ser>
          <c:idx val="2"/>
          <c:order val="2"/>
          <c:tx>
            <c:strRef>
              <c:f>Sheet1!$X$23</c:f>
              <c:strCache>
                <c:ptCount val="1"/>
                <c:pt idx="0">
                  <c:v>TP3</c:v>
                </c:pt>
              </c:strCache>
            </c:strRef>
          </c:tx>
          <c:spPr>
            <a:ln w="12700" cap="rnd">
              <a:solidFill>
                <a:srgbClr val="0070C0"/>
              </a:solidFill>
              <a:round/>
            </a:ln>
            <a:effectLst/>
          </c:spPr>
          <c:marker>
            <c:symbol val="circle"/>
            <c:size val="5"/>
            <c:spPr>
              <a:solidFill>
                <a:srgbClr val="0070C0"/>
              </a:solidFill>
              <a:ln w="12700">
                <a:solidFill>
                  <a:srgbClr val="0070C0"/>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Sheet1!$U$24:$U$27</c:f>
              <c:numCache>
                <c:formatCode>General</c:formatCode>
                <c:ptCount val="4"/>
                <c:pt idx="0">
                  <c:v>5</c:v>
                </c:pt>
                <c:pt idx="1">
                  <c:v>10</c:v>
                </c:pt>
                <c:pt idx="2">
                  <c:v>20</c:v>
                </c:pt>
                <c:pt idx="3">
                  <c:v>30</c:v>
                </c:pt>
              </c:numCache>
            </c:numRef>
          </c:xVal>
          <c:yVal>
            <c:numRef>
              <c:f>Sheet1!$X$24:$X$27</c:f>
              <c:numCache>
                <c:formatCode>General</c:formatCode>
                <c:ptCount val="4"/>
                <c:pt idx="0">
                  <c:v>5236</c:v>
                </c:pt>
                <c:pt idx="1">
                  <c:v>14196</c:v>
                </c:pt>
                <c:pt idx="2">
                  <c:v>13487</c:v>
                </c:pt>
                <c:pt idx="3">
                  <c:v>14772</c:v>
                </c:pt>
              </c:numCache>
            </c:numRef>
          </c:yVal>
          <c:smooth val="0"/>
          <c:extLst>
            <c:ext xmlns:c16="http://schemas.microsoft.com/office/drawing/2014/chart" uri="{C3380CC4-5D6E-409C-BE32-E72D297353CC}">
              <c16:uniqueId val="{00000002-203A-4531-9F29-0215DE214C71}"/>
            </c:ext>
          </c:extLst>
        </c:ser>
        <c:ser>
          <c:idx val="3"/>
          <c:order val="3"/>
          <c:tx>
            <c:strRef>
              <c:f>Sheet1!$Y$23</c:f>
              <c:strCache>
                <c:ptCount val="1"/>
                <c:pt idx="0">
                  <c:v>TP4</c:v>
                </c:pt>
              </c:strCache>
            </c:strRef>
          </c:tx>
          <c:spPr>
            <a:ln w="12700" cap="rnd">
              <a:solidFill>
                <a:srgbClr val="0070C0"/>
              </a:solidFill>
              <a:prstDash val="dash"/>
              <a:round/>
            </a:ln>
            <a:effectLst/>
          </c:spPr>
          <c:marker>
            <c:symbol val="circle"/>
            <c:size val="5"/>
            <c:spPr>
              <a:solidFill>
                <a:schemeClr val="bg1">
                  <a:lumMod val="65000"/>
                </a:schemeClr>
              </a:solidFill>
              <a:ln w="12700">
                <a:solidFill>
                  <a:srgbClr val="0070C0"/>
                </a:solidFill>
                <a:prstDash val="dash"/>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Sheet1!$U$24:$U$27</c:f>
              <c:numCache>
                <c:formatCode>General</c:formatCode>
                <c:ptCount val="4"/>
                <c:pt idx="0">
                  <c:v>5</c:v>
                </c:pt>
                <c:pt idx="1">
                  <c:v>10</c:v>
                </c:pt>
                <c:pt idx="2">
                  <c:v>20</c:v>
                </c:pt>
                <c:pt idx="3">
                  <c:v>30</c:v>
                </c:pt>
              </c:numCache>
            </c:numRef>
          </c:xVal>
          <c:yVal>
            <c:numRef>
              <c:f>Sheet1!$Y$24:$Y$27</c:f>
              <c:numCache>
                <c:formatCode>General</c:formatCode>
                <c:ptCount val="4"/>
                <c:pt idx="0">
                  <c:v>3385</c:v>
                </c:pt>
                <c:pt idx="1">
                  <c:v>10720</c:v>
                </c:pt>
                <c:pt idx="2">
                  <c:v>10866</c:v>
                </c:pt>
                <c:pt idx="3">
                  <c:v>10600</c:v>
                </c:pt>
              </c:numCache>
            </c:numRef>
          </c:yVal>
          <c:smooth val="0"/>
          <c:extLst>
            <c:ext xmlns:c16="http://schemas.microsoft.com/office/drawing/2014/chart" uri="{C3380CC4-5D6E-409C-BE32-E72D297353CC}">
              <c16:uniqueId val="{00000003-203A-4531-9F29-0215DE214C71}"/>
            </c:ext>
          </c:extLst>
        </c:ser>
        <c:dLbls>
          <c:showLegendKey val="0"/>
          <c:showVal val="0"/>
          <c:showCatName val="0"/>
          <c:showSerName val="0"/>
          <c:showPercent val="0"/>
          <c:showBubbleSize val="0"/>
        </c:dLbls>
        <c:axId val="291671584"/>
        <c:axId val="291671976"/>
      </c:scatterChart>
      <c:valAx>
        <c:axId val="291671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Incubation period (mins)</a:t>
                </a:r>
              </a:p>
            </c:rich>
          </c:tx>
          <c:layout>
            <c:manualLayout>
              <c:xMode val="edge"/>
              <c:yMode val="edge"/>
              <c:x val="0.33188494460998713"/>
              <c:y val="0.905203098154154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1671976"/>
        <c:crosses val="autoZero"/>
        <c:crossBetween val="midCat"/>
      </c:valAx>
      <c:valAx>
        <c:axId val="2916719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Fluorescence</a:t>
                </a:r>
              </a:p>
            </c:rich>
          </c:tx>
          <c:layout>
            <c:manualLayout>
              <c:xMode val="edge"/>
              <c:yMode val="edge"/>
              <c:x val="6.5439331158447817E-3"/>
              <c:y val="0.295295272197163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1671584"/>
        <c:crosses val="autoZero"/>
        <c:crossBetween val="midCat"/>
      </c:valAx>
      <c:spPr>
        <a:noFill/>
        <a:ln>
          <a:noFill/>
        </a:ln>
        <a:effectLst/>
      </c:spPr>
    </c:plotArea>
    <c:legend>
      <c:legendPos val="b"/>
      <c:layout>
        <c:manualLayout>
          <c:xMode val="edge"/>
          <c:yMode val="edge"/>
          <c:x val="0.7802667390714092"/>
          <c:y val="5.6671385422306882E-2"/>
          <c:w val="0.15682261592300961"/>
          <c:h val="0.4034007304618967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50834722928641"/>
          <c:y val="3.9992822612991072E-2"/>
          <c:w val="0.65140901745417557"/>
          <c:h val="0.74243699847781564"/>
        </c:manualLayout>
      </c:layout>
      <c:scatterChart>
        <c:scatterStyle val="lineMarker"/>
        <c:varyColors val="0"/>
        <c:ser>
          <c:idx val="0"/>
          <c:order val="0"/>
          <c:tx>
            <c:strRef>
              <c:f>Sheet3!$D$13</c:f>
              <c:strCache>
                <c:ptCount val="1"/>
                <c:pt idx="0">
                  <c:v>CP 1</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errBars>
            <c:errDir val="y"/>
            <c:errBarType val="both"/>
            <c:errValType val="cust"/>
            <c:noEndCap val="0"/>
            <c:plus>
              <c:numRef>
                <c:f>Sheet3!$B$7:$E$7</c:f>
                <c:numCache>
                  <c:formatCode>General</c:formatCode>
                  <c:ptCount val="4"/>
                  <c:pt idx="0">
                    <c:v>283.60771028541046</c:v>
                  </c:pt>
                  <c:pt idx="1">
                    <c:v>1901.9440054849144</c:v>
                  </c:pt>
                  <c:pt idx="2">
                    <c:v>1543.5900794360346</c:v>
                  </c:pt>
                  <c:pt idx="3">
                    <c:v>4800.115415279095</c:v>
                  </c:pt>
                </c:numCache>
              </c:numRef>
            </c:plus>
            <c:minus>
              <c:numRef>
                <c:f>Sheet3!$B$7:$E$7</c:f>
                <c:numCache>
                  <c:formatCode>General</c:formatCode>
                  <c:ptCount val="4"/>
                  <c:pt idx="0">
                    <c:v>283.60771028541046</c:v>
                  </c:pt>
                  <c:pt idx="1">
                    <c:v>1901.9440054849144</c:v>
                  </c:pt>
                  <c:pt idx="2">
                    <c:v>1543.5900794360346</c:v>
                  </c:pt>
                  <c:pt idx="3">
                    <c:v>4800.115415279095</c:v>
                  </c:pt>
                </c:numCache>
              </c:numRef>
            </c:minus>
            <c:spPr>
              <a:noFill/>
              <a:ln w="9525" cap="flat" cmpd="sng" algn="ctr">
                <a:solidFill>
                  <a:schemeClr val="tx1">
                    <a:lumMod val="65000"/>
                    <a:lumOff val="35000"/>
                  </a:schemeClr>
                </a:solidFill>
                <a:round/>
              </a:ln>
              <a:effectLst/>
            </c:spPr>
          </c:errBars>
          <c:xVal>
            <c:numRef>
              <c:f>Sheet3!$C$14:$C$17</c:f>
              <c:numCache>
                <c:formatCode>General</c:formatCode>
                <c:ptCount val="4"/>
                <c:pt idx="0">
                  <c:v>5</c:v>
                </c:pt>
                <c:pt idx="1">
                  <c:v>10</c:v>
                </c:pt>
                <c:pt idx="2">
                  <c:v>20</c:v>
                </c:pt>
                <c:pt idx="3">
                  <c:v>30</c:v>
                </c:pt>
              </c:numCache>
            </c:numRef>
          </c:xVal>
          <c:yVal>
            <c:numRef>
              <c:f>Sheet3!$D$14:$D$17</c:f>
              <c:numCache>
                <c:formatCode>General</c:formatCode>
                <c:ptCount val="4"/>
                <c:pt idx="0">
                  <c:v>4579</c:v>
                </c:pt>
                <c:pt idx="1">
                  <c:v>10844</c:v>
                </c:pt>
                <c:pt idx="2">
                  <c:v>11511</c:v>
                </c:pt>
                <c:pt idx="3">
                  <c:v>11772</c:v>
                </c:pt>
              </c:numCache>
            </c:numRef>
          </c:yVal>
          <c:smooth val="0"/>
          <c:extLst>
            <c:ext xmlns:c16="http://schemas.microsoft.com/office/drawing/2014/chart" uri="{C3380CC4-5D6E-409C-BE32-E72D297353CC}">
              <c16:uniqueId val="{00000000-1960-44C4-B2AC-4631BA6375B8}"/>
            </c:ext>
          </c:extLst>
        </c:ser>
        <c:ser>
          <c:idx val="1"/>
          <c:order val="1"/>
          <c:tx>
            <c:strRef>
              <c:f>Sheet3!$E$13</c:f>
              <c:strCache>
                <c:ptCount val="1"/>
                <c:pt idx="0">
                  <c:v>CP 2</c:v>
                </c:pt>
              </c:strCache>
            </c:strRef>
          </c:tx>
          <c:spPr>
            <a:ln w="12700" cap="rnd">
              <a:solidFill>
                <a:srgbClr val="FF0000"/>
              </a:solidFill>
              <a:prstDash val="dash"/>
              <a:round/>
            </a:ln>
            <a:effectLst/>
          </c:spPr>
          <c:marker>
            <c:symbol val="circle"/>
            <c:size val="5"/>
            <c:spPr>
              <a:solidFill>
                <a:srgbClr val="FF0000"/>
              </a:solidFill>
              <a:ln w="12700">
                <a:solidFill>
                  <a:srgbClr val="FF0000"/>
                </a:solidFill>
                <a:prstDash val="dash"/>
              </a:ln>
              <a:effectLst/>
            </c:spPr>
          </c:marker>
          <c:errBars>
            <c:errDir val="y"/>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xVal>
            <c:numRef>
              <c:f>Sheet3!$C$14:$C$17</c:f>
              <c:numCache>
                <c:formatCode>General</c:formatCode>
                <c:ptCount val="4"/>
                <c:pt idx="0">
                  <c:v>5</c:v>
                </c:pt>
                <c:pt idx="1">
                  <c:v>10</c:v>
                </c:pt>
                <c:pt idx="2">
                  <c:v>20</c:v>
                </c:pt>
                <c:pt idx="3">
                  <c:v>30</c:v>
                </c:pt>
              </c:numCache>
            </c:numRef>
          </c:xVal>
          <c:yVal>
            <c:numRef>
              <c:f>Sheet3!$E$14:$E$17</c:f>
              <c:numCache>
                <c:formatCode>General</c:formatCode>
                <c:ptCount val="4"/>
                <c:pt idx="0">
                  <c:v>4500</c:v>
                </c:pt>
                <c:pt idx="1">
                  <c:v>9803</c:v>
                </c:pt>
                <c:pt idx="2">
                  <c:v>10269</c:v>
                </c:pt>
                <c:pt idx="3">
                  <c:v>10028</c:v>
                </c:pt>
              </c:numCache>
            </c:numRef>
          </c:yVal>
          <c:smooth val="0"/>
          <c:extLst>
            <c:ext xmlns:c16="http://schemas.microsoft.com/office/drawing/2014/chart" uri="{C3380CC4-5D6E-409C-BE32-E72D297353CC}">
              <c16:uniqueId val="{00000001-1960-44C4-B2AC-4631BA6375B8}"/>
            </c:ext>
          </c:extLst>
        </c:ser>
        <c:ser>
          <c:idx val="2"/>
          <c:order val="2"/>
          <c:tx>
            <c:strRef>
              <c:f>Sheet3!$F$13</c:f>
              <c:strCache>
                <c:ptCount val="1"/>
                <c:pt idx="0">
                  <c:v>CP 3</c:v>
                </c:pt>
              </c:strCache>
            </c:strRef>
          </c:tx>
          <c:spPr>
            <a:ln w="12700" cap="rnd">
              <a:solidFill>
                <a:srgbClr val="0070C0"/>
              </a:solidFill>
              <a:round/>
            </a:ln>
            <a:effectLst/>
          </c:spPr>
          <c:marker>
            <c:symbol val="circle"/>
            <c:size val="5"/>
            <c:spPr>
              <a:solidFill>
                <a:srgbClr val="0070C0"/>
              </a:solidFill>
              <a:ln w="12700">
                <a:solidFill>
                  <a:srgbClr val="0070C0"/>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Sheet3!$C$14:$C$17</c:f>
              <c:numCache>
                <c:formatCode>General</c:formatCode>
                <c:ptCount val="4"/>
                <c:pt idx="0">
                  <c:v>5</c:v>
                </c:pt>
                <c:pt idx="1">
                  <c:v>10</c:v>
                </c:pt>
                <c:pt idx="2">
                  <c:v>20</c:v>
                </c:pt>
                <c:pt idx="3">
                  <c:v>30</c:v>
                </c:pt>
              </c:numCache>
            </c:numRef>
          </c:xVal>
          <c:yVal>
            <c:numRef>
              <c:f>Sheet3!$F$14:$F$17</c:f>
              <c:numCache>
                <c:formatCode>General</c:formatCode>
                <c:ptCount val="4"/>
                <c:pt idx="0">
                  <c:v>3337</c:v>
                </c:pt>
                <c:pt idx="1">
                  <c:v>8510</c:v>
                </c:pt>
                <c:pt idx="2">
                  <c:v>10453</c:v>
                </c:pt>
                <c:pt idx="3">
                  <c:v>9246</c:v>
                </c:pt>
              </c:numCache>
            </c:numRef>
          </c:yVal>
          <c:smooth val="0"/>
          <c:extLst>
            <c:ext xmlns:c16="http://schemas.microsoft.com/office/drawing/2014/chart" uri="{C3380CC4-5D6E-409C-BE32-E72D297353CC}">
              <c16:uniqueId val="{00000002-1960-44C4-B2AC-4631BA6375B8}"/>
            </c:ext>
          </c:extLst>
        </c:ser>
        <c:ser>
          <c:idx val="3"/>
          <c:order val="3"/>
          <c:tx>
            <c:strRef>
              <c:f>Sheet3!$G$13</c:f>
              <c:strCache>
                <c:ptCount val="1"/>
                <c:pt idx="0">
                  <c:v>CP 4</c:v>
                </c:pt>
              </c:strCache>
            </c:strRef>
          </c:tx>
          <c:spPr>
            <a:ln w="12700" cap="rnd">
              <a:solidFill>
                <a:srgbClr val="0070C0"/>
              </a:solidFill>
              <a:prstDash val="dash"/>
              <a:round/>
            </a:ln>
            <a:effectLst/>
          </c:spPr>
          <c:marker>
            <c:symbol val="circle"/>
            <c:size val="5"/>
            <c:spPr>
              <a:solidFill>
                <a:schemeClr val="bg1">
                  <a:lumMod val="65000"/>
                </a:schemeClr>
              </a:solidFill>
              <a:ln w="12700">
                <a:solidFill>
                  <a:srgbClr val="0070C0"/>
                </a:solidFill>
                <a:prstDash val="dash"/>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Sheet3!$C$14:$C$17</c:f>
              <c:numCache>
                <c:formatCode>General</c:formatCode>
                <c:ptCount val="4"/>
                <c:pt idx="0">
                  <c:v>5</c:v>
                </c:pt>
                <c:pt idx="1">
                  <c:v>10</c:v>
                </c:pt>
                <c:pt idx="2">
                  <c:v>20</c:v>
                </c:pt>
                <c:pt idx="3">
                  <c:v>30</c:v>
                </c:pt>
              </c:numCache>
            </c:numRef>
          </c:xVal>
          <c:yVal>
            <c:numRef>
              <c:f>Sheet3!$G$14:$G$17</c:f>
              <c:numCache>
                <c:formatCode>General</c:formatCode>
                <c:ptCount val="4"/>
                <c:pt idx="0">
                  <c:v>2849</c:v>
                </c:pt>
                <c:pt idx="1">
                  <c:v>6711</c:v>
                </c:pt>
                <c:pt idx="2">
                  <c:v>7363</c:v>
                </c:pt>
                <c:pt idx="3">
                  <c:v>7726</c:v>
                </c:pt>
              </c:numCache>
            </c:numRef>
          </c:yVal>
          <c:smooth val="0"/>
          <c:extLst>
            <c:ext xmlns:c16="http://schemas.microsoft.com/office/drawing/2014/chart" uri="{C3380CC4-5D6E-409C-BE32-E72D297353CC}">
              <c16:uniqueId val="{00000003-1960-44C4-B2AC-4631BA6375B8}"/>
            </c:ext>
          </c:extLst>
        </c:ser>
        <c:dLbls>
          <c:showLegendKey val="0"/>
          <c:showVal val="0"/>
          <c:showCatName val="0"/>
          <c:showSerName val="0"/>
          <c:showPercent val="0"/>
          <c:showBubbleSize val="0"/>
        </c:dLbls>
        <c:axId val="291672760"/>
        <c:axId val="291673152"/>
      </c:scatterChart>
      <c:valAx>
        <c:axId val="291672760"/>
        <c:scaling>
          <c:orientation val="minMax"/>
          <c:min val="0"/>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Incubation time (mins)</a:t>
                </a:r>
              </a:p>
            </c:rich>
          </c:tx>
          <c:layout>
            <c:manualLayout>
              <c:xMode val="edge"/>
              <c:yMode val="edge"/>
              <c:x val="0.33826164930516828"/>
              <c:y val="0.928858910379282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1673152"/>
        <c:crosses val="autoZero"/>
        <c:crossBetween val="midCat"/>
      </c:valAx>
      <c:valAx>
        <c:axId val="291673152"/>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200" b="1">
                    <a:solidFill>
                      <a:schemeClr val="tx1"/>
                    </a:solidFill>
                    <a:latin typeface="Arial" panose="020B0604020202020204" pitchFamily="34" charset="0"/>
                    <a:cs typeface="Arial" panose="020B0604020202020204" pitchFamily="34" charset="0"/>
                  </a:rPr>
                  <a:t>Fluorescence</a:t>
                </a:r>
              </a:p>
            </c:rich>
          </c:tx>
          <c:layout>
            <c:manualLayout>
              <c:xMode val="edge"/>
              <c:yMode val="edge"/>
              <c:x val="1.6703042945469917E-3"/>
              <c:y val="0.2575760134540823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1672760"/>
        <c:crosses val="autoZero"/>
        <c:crossBetween val="midCat"/>
      </c:valAx>
      <c:spPr>
        <a:noFill/>
        <a:ln>
          <a:noFill/>
        </a:ln>
        <a:effectLst/>
      </c:spPr>
    </c:plotArea>
    <c:legend>
      <c:legendPos val="b"/>
      <c:layout>
        <c:manualLayout>
          <c:xMode val="edge"/>
          <c:yMode val="edge"/>
          <c:x val="0.74297629993703018"/>
          <c:y val="5.1565352547727407E-2"/>
          <c:w val="0.22954589275066734"/>
          <c:h val="0.3782325989739087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856112667825072"/>
          <c:y val="0.13064593508089969"/>
          <c:w val="0.62727734011930447"/>
          <c:h val="0.69822492441609352"/>
        </c:manualLayout>
      </c:layout>
      <c:scatterChart>
        <c:scatterStyle val="lineMarker"/>
        <c:varyColors val="0"/>
        <c:ser>
          <c:idx val="0"/>
          <c:order val="0"/>
          <c:tx>
            <c:v>1 Hour</c:v>
          </c:tx>
          <c:spPr>
            <a:ln w="12700">
              <a:solidFill>
                <a:srgbClr val="C00000"/>
              </a:solidFill>
              <a:prstDash val="lgDash"/>
            </a:ln>
          </c:spPr>
          <c:marker>
            <c:spPr>
              <a:solidFill>
                <a:srgbClr val="C00000"/>
              </a:solidFill>
              <a:ln w="12700">
                <a:solidFill>
                  <a:srgbClr val="C00000"/>
                </a:solidFill>
                <a:prstDash val="lgDash"/>
              </a:ln>
            </c:spPr>
          </c:marker>
          <c:errBars>
            <c:errDir val="y"/>
            <c:errBarType val="both"/>
            <c:errValType val="cust"/>
            <c:noEndCap val="0"/>
            <c:plus>
              <c:numRef>
                <c:f>'[3]2107 resazurin cell conc fluoro'!$B$29:$H$29</c:f>
                <c:numCache>
                  <c:formatCode>General</c:formatCode>
                  <c:ptCount val="7"/>
                  <c:pt idx="0">
                    <c:v>4812.7099642505927</c:v>
                  </c:pt>
                  <c:pt idx="1">
                    <c:v>9524.6678944727446</c:v>
                  </c:pt>
                  <c:pt idx="2">
                    <c:v>15064.408939616989</c:v>
                  </c:pt>
                  <c:pt idx="3">
                    <c:v>58294.789829795147</c:v>
                  </c:pt>
                  <c:pt idx="4">
                    <c:v>66826.359392833896</c:v>
                  </c:pt>
                  <c:pt idx="5">
                    <c:v>250548.71328506121</c:v>
                  </c:pt>
                  <c:pt idx="6">
                    <c:v>299642.57058085018</c:v>
                  </c:pt>
                </c:numCache>
              </c:numRef>
            </c:plus>
            <c:minus>
              <c:numRef>
                <c:f>'[3]2107 resazurin cell conc fluoro'!$B$29:$H$29</c:f>
                <c:numCache>
                  <c:formatCode>General</c:formatCode>
                  <c:ptCount val="7"/>
                  <c:pt idx="0">
                    <c:v>4812.7099642505927</c:v>
                  </c:pt>
                  <c:pt idx="1">
                    <c:v>9524.6678944727446</c:v>
                  </c:pt>
                  <c:pt idx="2">
                    <c:v>15064.408939616989</c:v>
                  </c:pt>
                  <c:pt idx="3">
                    <c:v>58294.789829795147</c:v>
                  </c:pt>
                  <c:pt idx="4">
                    <c:v>66826.359392833896</c:v>
                  </c:pt>
                  <c:pt idx="5">
                    <c:v>250548.71328506121</c:v>
                  </c:pt>
                  <c:pt idx="6">
                    <c:v>299642.57058085018</c:v>
                  </c:pt>
                </c:numCache>
              </c:numRef>
            </c:minus>
          </c:errBars>
          <c:xVal>
            <c:numRef>
              <c:f>'[3]2107 resazurin cell conc fluoro'!$B$25:$H$25</c:f>
              <c:numCache>
                <c:formatCode>General</c:formatCode>
                <c:ptCount val="7"/>
                <c:pt idx="0">
                  <c:v>500</c:v>
                </c:pt>
                <c:pt idx="1">
                  <c:v>5000</c:v>
                </c:pt>
                <c:pt idx="2">
                  <c:v>25000</c:v>
                </c:pt>
                <c:pt idx="3">
                  <c:v>50000</c:v>
                </c:pt>
                <c:pt idx="4">
                  <c:v>250000</c:v>
                </c:pt>
                <c:pt idx="5">
                  <c:v>500000</c:v>
                </c:pt>
                <c:pt idx="6">
                  <c:v>1200000</c:v>
                </c:pt>
              </c:numCache>
            </c:numRef>
          </c:xVal>
          <c:yVal>
            <c:numRef>
              <c:f>'[3]2107 resazurin cell conc fluoro'!$B$26:$H$26</c:f>
              <c:numCache>
                <c:formatCode>General</c:formatCode>
                <c:ptCount val="7"/>
                <c:pt idx="0">
                  <c:v>116160.4</c:v>
                </c:pt>
                <c:pt idx="1">
                  <c:v>120247.4</c:v>
                </c:pt>
                <c:pt idx="2">
                  <c:v>140114.20000000001</c:v>
                </c:pt>
                <c:pt idx="3">
                  <c:v>186516.2</c:v>
                </c:pt>
                <c:pt idx="4">
                  <c:v>426842</c:v>
                </c:pt>
                <c:pt idx="5">
                  <c:v>532258.4</c:v>
                </c:pt>
                <c:pt idx="6">
                  <c:v>627033.19999999995</c:v>
                </c:pt>
              </c:numCache>
            </c:numRef>
          </c:yVal>
          <c:smooth val="0"/>
          <c:extLst>
            <c:ext xmlns:c16="http://schemas.microsoft.com/office/drawing/2014/chart" uri="{C3380CC4-5D6E-409C-BE32-E72D297353CC}">
              <c16:uniqueId val="{00000000-C729-41A8-975B-6A7F67D66CF1}"/>
            </c:ext>
          </c:extLst>
        </c:ser>
        <c:ser>
          <c:idx val="1"/>
          <c:order val="1"/>
          <c:tx>
            <c:v>2 Hour</c:v>
          </c:tx>
          <c:spPr>
            <a:ln w="12700">
              <a:solidFill>
                <a:srgbClr val="0070C0"/>
              </a:solidFill>
            </a:ln>
          </c:spPr>
          <c:marker>
            <c:spPr>
              <a:solidFill>
                <a:srgbClr val="0070C0"/>
              </a:solidFill>
              <a:ln w="12700">
                <a:solidFill>
                  <a:srgbClr val="0070C0"/>
                </a:solidFill>
              </a:ln>
            </c:spPr>
          </c:marker>
          <c:errBars>
            <c:errDir val="y"/>
            <c:errBarType val="both"/>
            <c:errValType val="cust"/>
            <c:noEndCap val="0"/>
            <c:plus>
              <c:numRef>
                <c:f>'[3]2107 resazurin cell conc fluoro'!$B$27:$H$27</c:f>
                <c:numCache>
                  <c:formatCode>General</c:formatCode>
                  <c:ptCount val="7"/>
                  <c:pt idx="0">
                    <c:v>3237.8138149064771</c:v>
                  </c:pt>
                  <c:pt idx="1">
                    <c:v>5722.9567358140284</c:v>
                  </c:pt>
                  <c:pt idx="2">
                    <c:v>6734.7170467660126</c:v>
                  </c:pt>
                  <c:pt idx="3">
                    <c:v>27679.044161603499</c:v>
                  </c:pt>
                  <c:pt idx="4">
                    <c:v>15788.746593697681</c:v>
                  </c:pt>
                  <c:pt idx="5">
                    <c:v>66899.209522983045</c:v>
                  </c:pt>
                  <c:pt idx="6">
                    <c:v>98009.387604963704</c:v>
                  </c:pt>
                </c:numCache>
              </c:numRef>
            </c:plus>
            <c:minus>
              <c:numRef>
                <c:f>'[3]2107 resazurin cell conc fluoro'!$B$27:$H$27</c:f>
                <c:numCache>
                  <c:formatCode>General</c:formatCode>
                  <c:ptCount val="7"/>
                  <c:pt idx="0">
                    <c:v>3237.8138149064771</c:v>
                  </c:pt>
                  <c:pt idx="1">
                    <c:v>5722.9567358140284</c:v>
                  </c:pt>
                  <c:pt idx="2">
                    <c:v>6734.7170467660126</c:v>
                  </c:pt>
                  <c:pt idx="3">
                    <c:v>27679.044161603499</c:v>
                  </c:pt>
                  <c:pt idx="4">
                    <c:v>15788.746593697681</c:v>
                  </c:pt>
                  <c:pt idx="5">
                    <c:v>66899.209522983045</c:v>
                  </c:pt>
                  <c:pt idx="6">
                    <c:v>98009.387604963704</c:v>
                  </c:pt>
                </c:numCache>
              </c:numRef>
            </c:minus>
          </c:errBars>
          <c:xVal>
            <c:numRef>
              <c:f>'[3]2107 resazurin cell conc fluoro'!$B$25:$H$25</c:f>
              <c:numCache>
                <c:formatCode>General</c:formatCode>
                <c:ptCount val="7"/>
                <c:pt idx="0">
                  <c:v>500</c:v>
                </c:pt>
                <c:pt idx="1">
                  <c:v>5000</c:v>
                </c:pt>
                <c:pt idx="2">
                  <c:v>25000</c:v>
                </c:pt>
                <c:pt idx="3">
                  <c:v>50000</c:v>
                </c:pt>
                <c:pt idx="4">
                  <c:v>250000</c:v>
                </c:pt>
                <c:pt idx="5">
                  <c:v>500000</c:v>
                </c:pt>
                <c:pt idx="6">
                  <c:v>1200000</c:v>
                </c:pt>
              </c:numCache>
            </c:numRef>
          </c:xVal>
          <c:yVal>
            <c:numRef>
              <c:f>'[3]2107 resazurin cell conc fluoro'!$B$28:$H$28</c:f>
              <c:numCache>
                <c:formatCode>General</c:formatCode>
                <c:ptCount val="7"/>
                <c:pt idx="0">
                  <c:v>229326.8</c:v>
                </c:pt>
                <c:pt idx="1">
                  <c:v>245820</c:v>
                </c:pt>
                <c:pt idx="2">
                  <c:v>350325.8</c:v>
                </c:pt>
                <c:pt idx="3">
                  <c:v>593988.4</c:v>
                </c:pt>
                <c:pt idx="4">
                  <c:v>1422320.8</c:v>
                </c:pt>
                <c:pt idx="5">
                  <c:v>1446750.4</c:v>
                </c:pt>
                <c:pt idx="6">
                  <c:v>1436550.4</c:v>
                </c:pt>
              </c:numCache>
            </c:numRef>
          </c:yVal>
          <c:smooth val="0"/>
          <c:extLst>
            <c:ext xmlns:c16="http://schemas.microsoft.com/office/drawing/2014/chart" uri="{C3380CC4-5D6E-409C-BE32-E72D297353CC}">
              <c16:uniqueId val="{00000001-C729-41A8-975B-6A7F67D66CF1}"/>
            </c:ext>
          </c:extLst>
        </c:ser>
        <c:ser>
          <c:idx val="2"/>
          <c:order val="2"/>
          <c:tx>
            <c:v>3 Hour</c:v>
          </c:tx>
          <c:spPr>
            <a:ln w="12700">
              <a:solidFill>
                <a:srgbClr val="00B050"/>
              </a:solidFill>
              <a:prstDash val="dash"/>
            </a:ln>
          </c:spPr>
          <c:marker>
            <c:spPr>
              <a:solidFill>
                <a:srgbClr val="00B050"/>
              </a:solidFill>
              <a:ln w="12700">
                <a:solidFill>
                  <a:srgbClr val="00B050"/>
                </a:solidFill>
                <a:prstDash val="dash"/>
              </a:ln>
            </c:spPr>
          </c:marker>
          <c:errBars>
            <c:errDir val="y"/>
            <c:errBarType val="both"/>
            <c:errValType val="cust"/>
            <c:noEndCap val="0"/>
            <c:plus>
              <c:numRef>
                <c:f>'[3]2107 resazurin cell conc fluoro'!$B$31:$H$31</c:f>
                <c:numCache>
                  <c:formatCode>General</c:formatCode>
                  <c:ptCount val="7"/>
                  <c:pt idx="0">
                    <c:v>6287.8333867872934</c:v>
                  </c:pt>
                  <c:pt idx="1">
                    <c:v>11463.488923534709</c:v>
                  </c:pt>
                  <c:pt idx="2">
                    <c:v>13067.771627174539</c:v>
                  </c:pt>
                  <c:pt idx="3">
                    <c:v>48684.338973637598</c:v>
                  </c:pt>
                  <c:pt idx="4">
                    <c:v>185999.5720747766</c:v>
                  </c:pt>
                  <c:pt idx="5">
                    <c:v>77889.236479116691</c:v>
                  </c:pt>
                  <c:pt idx="6">
                    <c:v>127150.7745619357</c:v>
                  </c:pt>
                </c:numCache>
              </c:numRef>
            </c:plus>
            <c:minus>
              <c:numRef>
                <c:f>'[3]2107 resazurin cell conc fluoro'!$B$31:$H$31</c:f>
                <c:numCache>
                  <c:formatCode>General</c:formatCode>
                  <c:ptCount val="7"/>
                  <c:pt idx="0">
                    <c:v>6287.8333867872934</c:v>
                  </c:pt>
                  <c:pt idx="1">
                    <c:v>11463.488923534709</c:v>
                  </c:pt>
                  <c:pt idx="2">
                    <c:v>13067.771627174539</c:v>
                  </c:pt>
                  <c:pt idx="3">
                    <c:v>48684.338973637598</c:v>
                  </c:pt>
                  <c:pt idx="4">
                    <c:v>185999.5720747766</c:v>
                  </c:pt>
                  <c:pt idx="5">
                    <c:v>77889.236479116691</c:v>
                  </c:pt>
                  <c:pt idx="6">
                    <c:v>127150.7745619357</c:v>
                  </c:pt>
                </c:numCache>
              </c:numRef>
            </c:minus>
          </c:errBars>
          <c:xVal>
            <c:numRef>
              <c:f>'[3]2107 resazurin cell conc fluoro'!$B$25:$H$25</c:f>
              <c:numCache>
                <c:formatCode>General</c:formatCode>
                <c:ptCount val="7"/>
                <c:pt idx="0">
                  <c:v>500</c:v>
                </c:pt>
                <c:pt idx="1">
                  <c:v>5000</c:v>
                </c:pt>
                <c:pt idx="2">
                  <c:v>25000</c:v>
                </c:pt>
                <c:pt idx="3">
                  <c:v>50000</c:v>
                </c:pt>
                <c:pt idx="4">
                  <c:v>250000</c:v>
                </c:pt>
                <c:pt idx="5">
                  <c:v>500000</c:v>
                </c:pt>
                <c:pt idx="6">
                  <c:v>1200000</c:v>
                </c:pt>
              </c:numCache>
            </c:numRef>
          </c:xVal>
          <c:yVal>
            <c:numRef>
              <c:f>'[3]2107 resazurin cell conc fluoro'!$B$30:$H$30</c:f>
              <c:numCache>
                <c:formatCode>General</c:formatCode>
                <c:ptCount val="7"/>
                <c:pt idx="0">
                  <c:v>295841.8</c:v>
                </c:pt>
                <c:pt idx="1">
                  <c:v>326248.59999999998</c:v>
                </c:pt>
                <c:pt idx="2">
                  <c:v>521205.4</c:v>
                </c:pt>
                <c:pt idx="3">
                  <c:v>957789.4</c:v>
                </c:pt>
                <c:pt idx="4">
                  <c:v>1769613</c:v>
                </c:pt>
                <c:pt idx="5">
                  <c:v>1883147.4</c:v>
                </c:pt>
                <c:pt idx="6">
                  <c:v>1939674.8</c:v>
                </c:pt>
              </c:numCache>
            </c:numRef>
          </c:yVal>
          <c:smooth val="0"/>
          <c:extLst>
            <c:ext xmlns:c16="http://schemas.microsoft.com/office/drawing/2014/chart" uri="{C3380CC4-5D6E-409C-BE32-E72D297353CC}">
              <c16:uniqueId val="{00000002-C729-41A8-975B-6A7F67D66CF1}"/>
            </c:ext>
          </c:extLst>
        </c:ser>
        <c:ser>
          <c:idx val="3"/>
          <c:order val="3"/>
          <c:tx>
            <c:v>4 Hour</c:v>
          </c:tx>
          <c:spPr>
            <a:ln w="12700">
              <a:solidFill>
                <a:srgbClr val="00B050"/>
              </a:solidFill>
            </a:ln>
          </c:spPr>
          <c:marker>
            <c:spPr>
              <a:solidFill>
                <a:srgbClr val="00B050"/>
              </a:solidFill>
              <a:ln w="12700">
                <a:solidFill>
                  <a:srgbClr val="00B050"/>
                </a:solidFill>
              </a:ln>
            </c:spPr>
          </c:marker>
          <c:errBars>
            <c:errDir val="y"/>
            <c:errBarType val="both"/>
            <c:errValType val="cust"/>
            <c:noEndCap val="0"/>
            <c:plus>
              <c:numRef>
                <c:f>'[3]2107 resazurin cell conc fluoro'!$B$33:$H$33</c:f>
                <c:numCache>
                  <c:formatCode>General</c:formatCode>
                  <c:ptCount val="7"/>
                  <c:pt idx="0">
                    <c:v>6727.0345621231954</c:v>
                  </c:pt>
                  <c:pt idx="1">
                    <c:v>11159.74883229905</c:v>
                  </c:pt>
                  <c:pt idx="2">
                    <c:v>21128.667662679331</c:v>
                  </c:pt>
                  <c:pt idx="3">
                    <c:v>74366.653066411745</c:v>
                  </c:pt>
                  <c:pt idx="4">
                    <c:v>183381.20314061581</c:v>
                  </c:pt>
                  <c:pt idx="5">
                    <c:v>55899.871016847581</c:v>
                  </c:pt>
                  <c:pt idx="6">
                    <c:v>176451.23697412899</c:v>
                  </c:pt>
                </c:numCache>
              </c:numRef>
            </c:plus>
            <c:minus>
              <c:numRef>
                <c:f>'[3]2107 resazurin cell conc fluoro'!$B$33:$H$33</c:f>
                <c:numCache>
                  <c:formatCode>General</c:formatCode>
                  <c:ptCount val="7"/>
                  <c:pt idx="0">
                    <c:v>6727.0345621231954</c:v>
                  </c:pt>
                  <c:pt idx="1">
                    <c:v>11159.74883229905</c:v>
                  </c:pt>
                  <c:pt idx="2">
                    <c:v>21128.667662679331</c:v>
                  </c:pt>
                  <c:pt idx="3">
                    <c:v>74366.653066411745</c:v>
                  </c:pt>
                  <c:pt idx="4">
                    <c:v>183381.20314061581</c:v>
                  </c:pt>
                  <c:pt idx="5">
                    <c:v>55899.871016847581</c:v>
                  </c:pt>
                  <c:pt idx="6">
                    <c:v>176451.23697412899</c:v>
                  </c:pt>
                </c:numCache>
              </c:numRef>
            </c:minus>
          </c:errBars>
          <c:xVal>
            <c:numRef>
              <c:f>'[3]2107 resazurin cell conc fluoro'!$B$25:$H$25</c:f>
              <c:numCache>
                <c:formatCode>General</c:formatCode>
                <c:ptCount val="7"/>
                <c:pt idx="0">
                  <c:v>500</c:v>
                </c:pt>
                <c:pt idx="1">
                  <c:v>5000</c:v>
                </c:pt>
                <c:pt idx="2">
                  <c:v>25000</c:v>
                </c:pt>
                <c:pt idx="3">
                  <c:v>50000</c:v>
                </c:pt>
                <c:pt idx="4">
                  <c:v>250000</c:v>
                </c:pt>
                <c:pt idx="5">
                  <c:v>500000</c:v>
                </c:pt>
                <c:pt idx="6">
                  <c:v>1200000</c:v>
                </c:pt>
              </c:numCache>
            </c:numRef>
          </c:xVal>
          <c:yVal>
            <c:numRef>
              <c:f>'[3]2107 resazurin cell conc fluoro'!$B$32:$H$32</c:f>
              <c:numCache>
                <c:formatCode>General</c:formatCode>
                <c:ptCount val="7"/>
                <c:pt idx="0">
                  <c:v>348509</c:v>
                </c:pt>
                <c:pt idx="1">
                  <c:v>390143</c:v>
                </c:pt>
                <c:pt idx="2">
                  <c:v>664173.80000000005</c:v>
                </c:pt>
                <c:pt idx="3">
                  <c:v>1202831.3999999999</c:v>
                </c:pt>
                <c:pt idx="4">
                  <c:v>1765018.4</c:v>
                </c:pt>
                <c:pt idx="5">
                  <c:v>1877670.8</c:v>
                </c:pt>
                <c:pt idx="6">
                  <c:v>1863645.2</c:v>
                </c:pt>
              </c:numCache>
            </c:numRef>
          </c:yVal>
          <c:smooth val="0"/>
          <c:extLst>
            <c:ext xmlns:c16="http://schemas.microsoft.com/office/drawing/2014/chart" uri="{C3380CC4-5D6E-409C-BE32-E72D297353CC}">
              <c16:uniqueId val="{00000003-C729-41A8-975B-6A7F67D66CF1}"/>
            </c:ext>
          </c:extLst>
        </c:ser>
        <c:dLbls>
          <c:showLegendKey val="0"/>
          <c:showVal val="0"/>
          <c:showCatName val="0"/>
          <c:showSerName val="0"/>
          <c:showPercent val="0"/>
          <c:showBubbleSize val="0"/>
        </c:dLbls>
        <c:axId val="289555680"/>
        <c:axId val="289556072"/>
      </c:scatterChart>
      <c:valAx>
        <c:axId val="289555680"/>
        <c:scaling>
          <c:orientation val="minMax"/>
        </c:scaling>
        <c:delete val="0"/>
        <c:axPos val="b"/>
        <c:title>
          <c:tx>
            <c:rich>
              <a:bodyPr/>
              <a:lstStyle/>
              <a:p>
                <a:pPr>
                  <a:defRPr>
                    <a:latin typeface="Arial" panose="020B0604020202020204" pitchFamily="34" charset="0"/>
                    <a:cs typeface="Arial" panose="020B0604020202020204" pitchFamily="34" charset="0"/>
                  </a:defRPr>
                </a:pPr>
                <a:r>
                  <a:rPr lang="en-US" sz="1200" baseline="0" dirty="0">
                    <a:latin typeface="Arial" panose="020B0604020202020204" pitchFamily="34" charset="0"/>
                    <a:cs typeface="Arial" panose="020B0604020202020204" pitchFamily="34" charset="0"/>
                  </a:rPr>
                  <a:t>Cell number /ml</a:t>
                </a:r>
              </a:p>
            </c:rich>
          </c:tx>
          <c:layout>
            <c:manualLayout>
              <c:xMode val="edge"/>
              <c:yMode val="edge"/>
              <c:x val="0.41383280370271808"/>
              <c:y val="0.92770045516462341"/>
            </c:manualLayout>
          </c:layout>
          <c:overlay val="0"/>
        </c:title>
        <c:numFmt formatCode="General" sourceLinked="1"/>
        <c:majorTickMark val="out"/>
        <c:minorTickMark val="none"/>
        <c:tickLblPos val="nextTo"/>
        <c:spPr>
          <a:ln w="19050">
            <a:solidFill>
              <a:schemeClr val="tx1"/>
            </a:solidFill>
          </a:ln>
        </c:spPr>
        <c:txPr>
          <a:bodyPr/>
          <a:lstStyle/>
          <a:p>
            <a:pPr>
              <a:defRPr sz="1200" b="1">
                <a:latin typeface="Arial" panose="020B0604020202020204" pitchFamily="34" charset="0"/>
                <a:cs typeface="Arial" panose="020B0604020202020204" pitchFamily="34" charset="0"/>
              </a:defRPr>
            </a:pPr>
            <a:endParaRPr lang="en-US"/>
          </a:p>
        </c:txPr>
        <c:crossAx val="289556072"/>
        <c:crosses val="autoZero"/>
        <c:crossBetween val="midCat"/>
      </c:valAx>
      <c:valAx>
        <c:axId val="289556072"/>
        <c:scaling>
          <c:orientation val="minMax"/>
        </c:scaling>
        <c:delete val="0"/>
        <c:axPos val="l"/>
        <c:title>
          <c:tx>
            <c:rich>
              <a:bodyPr/>
              <a:lstStyle/>
              <a:p>
                <a:pPr>
                  <a:defRPr sz="1200">
                    <a:latin typeface="Arial" panose="020B0604020202020204" pitchFamily="34" charset="0"/>
                    <a:cs typeface="Arial" panose="020B0604020202020204" pitchFamily="34" charset="0"/>
                  </a:defRPr>
                </a:pPr>
                <a:r>
                  <a:rPr lang="en-US" sz="1200" dirty="0">
                    <a:latin typeface="Arial" panose="020B0604020202020204" pitchFamily="34" charset="0"/>
                    <a:cs typeface="Arial" panose="020B0604020202020204" pitchFamily="34" charset="0"/>
                  </a:rPr>
                  <a:t>Fluorescence</a:t>
                </a:r>
              </a:p>
            </c:rich>
          </c:tx>
          <c:layout>
            <c:manualLayout>
              <c:xMode val="edge"/>
              <c:yMode val="edge"/>
              <c:x val="6.8205987174068446E-3"/>
              <c:y val="0.33802584803481839"/>
            </c:manualLayout>
          </c:layout>
          <c:overlay val="0"/>
        </c:title>
        <c:numFmt formatCode="General" sourceLinked="1"/>
        <c:majorTickMark val="out"/>
        <c:minorTickMark val="none"/>
        <c:tickLblPos val="nextTo"/>
        <c:spPr>
          <a:ln w="19050">
            <a:solidFill>
              <a:schemeClr val="tx1"/>
            </a:solidFill>
          </a:ln>
        </c:spPr>
        <c:txPr>
          <a:bodyPr/>
          <a:lstStyle/>
          <a:p>
            <a:pPr>
              <a:defRPr sz="1200" b="1">
                <a:latin typeface="Arial" panose="020B0604020202020204" pitchFamily="34" charset="0"/>
                <a:cs typeface="Arial" panose="020B0604020202020204" pitchFamily="34" charset="0"/>
              </a:defRPr>
            </a:pPr>
            <a:endParaRPr lang="en-US"/>
          </a:p>
        </c:txPr>
        <c:crossAx val="289555680"/>
        <c:crosses val="autoZero"/>
        <c:crossBetween val="midCat"/>
      </c:valAx>
    </c:plotArea>
    <c:legend>
      <c:legendPos val="r"/>
      <c:layout>
        <c:manualLayout>
          <c:xMode val="edge"/>
          <c:yMode val="edge"/>
          <c:x val="0.7601932175528191"/>
          <c:y val="3.9706834114090171E-2"/>
          <c:w val="0.20334755321968867"/>
          <c:h val="0.4648678029170405"/>
        </c:manualLayout>
      </c:layout>
      <c:overlay val="0"/>
      <c:txPr>
        <a:bodyPr/>
        <a:lstStyle/>
        <a:p>
          <a:pPr>
            <a:defRPr sz="1100" b="1">
              <a:solidFill>
                <a:schemeClr val="tx1"/>
              </a:solidFill>
              <a:latin typeface="Arial" panose="020B0604020202020204" pitchFamily="34" charset="0"/>
              <a:cs typeface="Arial" panose="020B0604020202020204" pitchFamily="34" charset="0"/>
            </a:defRPr>
          </a:pPr>
          <a:endParaRPr lang="en-US"/>
        </a:p>
      </c:txPr>
    </c:legend>
    <c:plotVisOnly val="1"/>
    <c:dispBlanksAs val="gap"/>
    <c:showDLblsOverMax val="0"/>
  </c:chart>
  <c:spPr>
    <a:noFill/>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54778669316675"/>
          <c:y val="6.0185131632942528E-2"/>
          <c:w val="0.70847544644578586"/>
          <c:h val="0.75412789967021876"/>
        </c:manualLayout>
      </c:layout>
      <c:barChart>
        <c:barDir val="col"/>
        <c:grouping val="clustered"/>
        <c:varyColors val="0"/>
        <c:ser>
          <c:idx val="0"/>
          <c:order val="0"/>
          <c:tx>
            <c:strRef>
              <c:f>Sheet4!$F$4</c:f>
              <c:strCache>
                <c:ptCount val="1"/>
                <c:pt idx="0">
                  <c:v>Troph % uptake</c:v>
                </c:pt>
              </c:strCache>
            </c:strRef>
          </c:tx>
          <c:spPr>
            <a:solidFill>
              <a:sysClr val="window" lastClr="FFFFFF">
                <a:lumMod val="50000"/>
              </a:sysClr>
            </a:solidFill>
            <a:ln>
              <a:solidFill>
                <a:sysClr val="windowText" lastClr="000000"/>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Sheet4!$E$5:$E$9</c:f>
              <c:numCache>
                <c:formatCode>General</c:formatCode>
                <c:ptCount val="5"/>
                <c:pt idx="0">
                  <c:v>1</c:v>
                </c:pt>
                <c:pt idx="1">
                  <c:v>2</c:v>
                </c:pt>
                <c:pt idx="2">
                  <c:v>3</c:v>
                </c:pt>
                <c:pt idx="3">
                  <c:v>4</c:v>
                </c:pt>
                <c:pt idx="4">
                  <c:v>5</c:v>
                </c:pt>
              </c:numCache>
            </c:numRef>
          </c:cat>
          <c:val>
            <c:numRef>
              <c:f>Sheet4!$F$5:$F$9</c:f>
              <c:numCache>
                <c:formatCode>General</c:formatCode>
                <c:ptCount val="5"/>
                <c:pt idx="0">
                  <c:v>24</c:v>
                </c:pt>
                <c:pt idx="1">
                  <c:v>10</c:v>
                </c:pt>
                <c:pt idx="2">
                  <c:v>6</c:v>
                </c:pt>
                <c:pt idx="3">
                  <c:v>5.2</c:v>
                </c:pt>
                <c:pt idx="4">
                  <c:v>0.6</c:v>
                </c:pt>
              </c:numCache>
            </c:numRef>
          </c:val>
          <c:extLst>
            <c:ext xmlns:c16="http://schemas.microsoft.com/office/drawing/2014/chart" uri="{C3380CC4-5D6E-409C-BE32-E72D297353CC}">
              <c16:uniqueId val="{00000000-F08B-4685-9846-38A70623D1B2}"/>
            </c:ext>
          </c:extLst>
        </c:ser>
        <c:ser>
          <c:idx val="1"/>
          <c:order val="1"/>
          <c:tx>
            <c:strRef>
              <c:f>Sheet4!$G$4</c:f>
              <c:strCache>
                <c:ptCount val="1"/>
                <c:pt idx="0">
                  <c:v>Cysts % uptake</c:v>
                </c:pt>
              </c:strCache>
            </c:strRef>
          </c:tx>
          <c:spPr>
            <a:solidFill>
              <a:srgbClr val="0070C0"/>
            </a:solidFill>
            <a:ln>
              <a:solidFill>
                <a:sysClr val="windowText" lastClr="000000"/>
              </a:solidFill>
            </a:ln>
            <a:effectLst/>
          </c:spPr>
          <c:invertIfNegative val="0"/>
          <c:errBars>
            <c:errBarType val="both"/>
            <c:errValType val="percentage"/>
            <c:noEndCap val="0"/>
            <c:val val="5"/>
            <c:spPr>
              <a:noFill/>
              <a:ln w="9525" cap="flat" cmpd="sng" algn="ctr">
                <a:solidFill>
                  <a:sysClr val="windowText" lastClr="000000"/>
                </a:solidFill>
                <a:round/>
              </a:ln>
              <a:effectLst/>
            </c:spPr>
          </c:errBars>
          <c:cat>
            <c:numRef>
              <c:f>Sheet4!$E$5:$E$9</c:f>
              <c:numCache>
                <c:formatCode>General</c:formatCode>
                <c:ptCount val="5"/>
                <c:pt idx="0">
                  <c:v>1</c:v>
                </c:pt>
                <c:pt idx="1">
                  <c:v>2</c:v>
                </c:pt>
                <c:pt idx="2">
                  <c:v>3</c:v>
                </c:pt>
                <c:pt idx="3">
                  <c:v>4</c:v>
                </c:pt>
                <c:pt idx="4">
                  <c:v>5</c:v>
                </c:pt>
              </c:numCache>
            </c:numRef>
          </c:cat>
          <c:val>
            <c:numRef>
              <c:f>Sheet4!$G$5:$G$9</c:f>
              <c:numCache>
                <c:formatCode>General</c:formatCode>
                <c:ptCount val="5"/>
                <c:pt idx="0">
                  <c:v>21</c:v>
                </c:pt>
                <c:pt idx="1">
                  <c:v>8</c:v>
                </c:pt>
                <c:pt idx="2">
                  <c:v>3.6</c:v>
                </c:pt>
                <c:pt idx="3">
                  <c:v>1.2</c:v>
                </c:pt>
                <c:pt idx="4">
                  <c:v>0.5</c:v>
                </c:pt>
              </c:numCache>
            </c:numRef>
          </c:val>
          <c:extLst>
            <c:ext xmlns:c16="http://schemas.microsoft.com/office/drawing/2014/chart" uri="{C3380CC4-5D6E-409C-BE32-E72D297353CC}">
              <c16:uniqueId val="{00000001-F08B-4685-9846-38A70623D1B2}"/>
            </c:ext>
          </c:extLst>
        </c:ser>
        <c:dLbls>
          <c:showLegendKey val="0"/>
          <c:showVal val="0"/>
          <c:showCatName val="0"/>
          <c:showSerName val="0"/>
          <c:showPercent val="0"/>
          <c:showBubbleSize val="0"/>
        </c:dLbls>
        <c:gapWidth val="219"/>
        <c:overlap val="-27"/>
        <c:axId val="291673936"/>
        <c:axId val="291674328"/>
      </c:barChart>
      <c:catAx>
        <c:axId val="291673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No of wash</a:t>
                </a:r>
              </a:p>
            </c:rich>
          </c:tx>
          <c:layout>
            <c:manualLayout>
              <c:xMode val="edge"/>
              <c:yMode val="edge"/>
              <c:x val="0.38580000393092428"/>
              <c:y val="0.900175796682541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1674328"/>
        <c:crosses val="autoZero"/>
        <c:auto val="1"/>
        <c:lblAlgn val="ctr"/>
        <c:lblOffset val="100"/>
        <c:noMultiLvlLbl val="0"/>
      </c:catAx>
      <c:valAx>
        <c:axId val="29167432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 porphyrin recovered</a:t>
                </a:r>
              </a:p>
            </c:rich>
          </c:tx>
          <c:layout>
            <c:manualLayout>
              <c:xMode val="edge"/>
              <c:yMode val="edge"/>
              <c:x val="1.6398268531810607E-2"/>
              <c:y val="0.21241335963824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1673936"/>
        <c:crosses val="autoZero"/>
        <c:crossBetween val="between"/>
      </c:valAx>
      <c:spPr>
        <a:noFill/>
        <a:ln>
          <a:noFill/>
        </a:ln>
        <a:effectLst/>
      </c:spPr>
    </c:plotArea>
    <c:legend>
      <c:legendPos val="b"/>
      <c:layout>
        <c:manualLayout>
          <c:xMode val="edge"/>
          <c:yMode val="edge"/>
          <c:x val="0.60196631671041112"/>
          <c:y val="1.4467045785943424E-2"/>
          <c:w val="0.30717847769028872"/>
          <c:h val="0.2023949167495481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27149958210531"/>
          <c:y val="5.0925925925925923E-2"/>
          <c:w val="0.78493557495851463"/>
          <c:h val="0.76722951297754427"/>
        </c:manualLayout>
      </c:layout>
      <c:barChart>
        <c:barDir val="col"/>
        <c:grouping val="clustered"/>
        <c:varyColors val="0"/>
        <c:ser>
          <c:idx val="0"/>
          <c:order val="0"/>
          <c:tx>
            <c:strRef>
              <c:f>Sheet4!$F$18</c:f>
              <c:strCache>
                <c:ptCount val="1"/>
                <c:pt idx="0">
                  <c:v>Troph % uptake</c:v>
                </c:pt>
              </c:strCache>
            </c:strRef>
          </c:tx>
          <c:spPr>
            <a:solidFill>
              <a:sysClr val="window" lastClr="FFFFFF">
                <a:lumMod val="50000"/>
              </a:sysClr>
            </a:solidFill>
            <a:ln>
              <a:solidFill>
                <a:sysClr val="windowText" lastClr="000000"/>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Sheet4!$E$19:$E$23</c:f>
              <c:numCache>
                <c:formatCode>General</c:formatCode>
                <c:ptCount val="5"/>
                <c:pt idx="0">
                  <c:v>1</c:v>
                </c:pt>
                <c:pt idx="1">
                  <c:v>2</c:v>
                </c:pt>
                <c:pt idx="2">
                  <c:v>3</c:v>
                </c:pt>
                <c:pt idx="3">
                  <c:v>4</c:v>
                </c:pt>
                <c:pt idx="4">
                  <c:v>5</c:v>
                </c:pt>
              </c:numCache>
            </c:numRef>
          </c:cat>
          <c:val>
            <c:numRef>
              <c:f>Sheet4!$F$19:$F$23</c:f>
              <c:numCache>
                <c:formatCode>General</c:formatCode>
                <c:ptCount val="5"/>
                <c:pt idx="0">
                  <c:v>18</c:v>
                </c:pt>
                <c:pt idx="1">
                  <c:v>9</c:v>
                </c:pt>
                <c:pt idx="2">
                  <c:v>5.6</c:v>
                </c:pt>
                <c:pt idx="3">
                  <c:v>2.4</c:v>
                </c:pt>
                <c:pt idx="4">
                  <c:v>1.4</c:v>
                </c:pt>
              </c:numCache>
            </c:numRef>
          </c:val>
          <c:extLst>
            <c:ext xmlns:c16="http://schemas.microsoft.com/office/drawing/2014/chart" uri="{C3380CC4-5D6E-409C-BE32-E72D297353CC}">
              <c16:uniqueId val="{00000000-DB6F-48D6-879C-59D277A4EA69}"/>
            </c:ext>
          </c:extLst>
        </c:ser>
        <c:ser>
          <c:idx val="1"/>
          <c:order val="1"/>
          <c:tx>
            <c:strRef>
              <c:f>Sheet4!$G$18</c:f>
              <c:strCache>
                <c:ptCount val="1"/>
                <c:pt idx="0">
                  <c:v>Cysts % uptake</c:v>
                </c:pt>
              </c:strCache>
            </c:strRef>
          </c:tx>
          <c:spPr>
            <a:solidFill>
              <a:srgbClr val="0070C0"/>
            </a:solidFill>
            <a:ln>
              <a:solidFill>
                <a:schemeClr val="tx1"/>
              </a:solidFill>
            </a:ln>
            <a:effectLst/>
          </c:spPr>
          <c:invertIfNegative val="0"/>
          <c:errBars>
            <c:errBarType val="both"/>
            <c:errValType val="percentage"/>
            <c:noEndCap val="0"/>
            <c:val val="5"/>
            <c:spPr>
              <a:noFill/>
              <a:ln w="9525" cap="flat" cmpd="sng" algn="ctr">
                <a:solidFill>
                  <a:sysClr val="windowText" lastClr="000000"/>
                </a:solidFill>
                <a:round/>
              </a:ln>
              <a:effectLst/>
            </c:spPr>
          </c:errBars>
          <c:cat>
            <c:numRef>
              <c:f>Sheet4!$E$19:$E$23</c:f>
              <c:numCache>
                <c:formatCode>General</c:formatCode>
                <c:ptCount val="5"/>
                <c:pt idx="0">
                  <c:v>1</c:v>
                </c:pt>
                <c:pt idx="1">
                  <c:v>2</c:v>
                </c:pt>
                <c:pt idx="2">
                  <c:v>3</c:v>
                </c:pt>
                <c:pt idx="3">
                  <c:v>4</c:v>
                </c:pt>
                <c:pt idx="4">
                  <c:v>5</c:v>
                </c:pt>
              </c:numCache>
            </c:numRef>
          </c:cat>
          <c:val>
            <c:numRef>
              <c:f>Sheet4!$G$19:$G$23</c:f>
              <c:numCache>
                <c:formatCode>General</c:formatCode>
                <c:ptCount val="5"/>
                <c:pt idx="0">
                  <c:v>12</c:v>
                </c:pt>
                <c:pt idx="1">
                  <c:v>5.6</c:v>
                </c:pt>
                <c:pt idx="2">
                  <c:v>2</c:v>
                </c:pt>
                <c:pt idx="3">
                  <c:v>1</c:v>
                </c:pt>
                <c:pt idx="4">
                  <c:v>0.2</c:v>
                </c:pt>
              </c:numCache>
            </c:numRef>
          </c:val>
          <c:extLst>
            <c:ext xmlns:c16="http://schemas.microsoft.com/office/drawing/2014/chart" uri="{C3380CC4-5D6E-409C-BE32-E72D297353CC}">
              <c16:uniqueId val="{00000001-DB6F-48D6-879C-59D277A4EA69}"/>
            </c:ext>
          </c:extLst>
        </c:ser>
        <c:dLbls>
          <c:showLegendKey val="0"/>
          <c:showVal val="0"/>
          <c:showCatName val="0"/>
          <c:showSerName val="0"/>
          <c:showPercent val="0"/>
          <c:showBubbleSize val="0"/>
        </c:dLbls>
        <c:gapWidth val="219"/>
        <c:overlap val="-27"/>
        <c:axId val="291675112"/>
        <c:axId val="292037024"/>
      </c:barChart>
      <c:catAx>
        <c:axId val="291675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No of wash</a:t>
                </a:r>
              </a:p>
            </c:rich>
          </c:tx>
          <c:layout>
            <c:manualLayout>
              <c:xMode val="edge"/>
              <c:yMode val="edge"/>
              <c:x val="0.39468148059260416"/>
              <c:y val="0.901118468146027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2037024"/>
        <c:crosses val="autoZero"/>
        <c:auto val="1"/>
        <c:lblAlgn val="ctr"/>
        <c:lblOffset val="100"/>
        <c:noMultiLvlLbl val="0"/>
      </c:catAx>
      <c:valAx>
        <c:axId val="292037024"/>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 porphyrin</a:t>
                </a:r>
                <a:r>
                  <a:rPr lang="en-GB" sz="1200" b="1" baseline="0">
                    <a:solidFill>
                      <a:schemeClr val="tx1"/>
                    </a:solidFill>
                    <a:latin typeface="Arial" panose="020B0604020202020204" pitchFamily="34" charset="0"/>
                    <a:cs typeface="Arial" panose="020B0604020202020204" pitchFamily="34" charset="0"/>
                  </a:rPr>
                  <a:t> recovered</a:t>
                </a:r>
                <a:endParaRPr lang="en-GB" sz="1200" b="1">
                  <a:solidFill>
                    <a:schemeClr val="tx1"/>
                  </a:solidFill>
                  <a:latin typeface="Arial" panose="020B0604020202020204" pitchFamily="34" charset="0"/>
                  <a:cs typeface="Arial" panose="020B0604020202020204" pitchFamily="34" charset="0"/>
                </a:endParaRPr>
              </a:p>
            </c:rich>
          </c:tx>
          <c:layout>
            <c:manualLayout>
              <c:xMode val="edge"/>
              <c:yMode val="edge"/>
              <c:x val="7.8822519703758056E-3"/>
              <c:y val="0.227351129889251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1675112"/>
        <c:crosses val="autoZero"/>
        <c:crossBetween val="between"/>
      </c:valAx>
      <c:spPr>
        <a:noFill/>
        <a:ln>
          <a:noFill/>
        </a:ln>
        <a:effectLst/>
      </c:spPr>
    </c:plotArea>
    <c:legend>
      <c:legendPos val="b"/>
      <c:layout>
        <c:manualLayout>
          <c:xMode val="edge"/>
          <c:yMode val="edge"/>
          <c:x val="0.52868423540246579"/>
          <c:y val="0.10303975417706933"/>
          <c:w val="0.38807027203177374"/>
          <c:h val="0.2355329542140565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13677456984545"/>
          <c:y val="3.4712057425736256E-2"/>
          <c:w val="0.83119673374161573"/>
          <c:h val="0.81003490593498728"/>
        </c:manualLayout>
      </c:layout>
      <c:barChart>
        <c:barDir val="col"/>
        <c:grouping val="clustered"/>
        <c:varyColors val="0"/>
        <c:ser>
          <c:idx val="0"/>
          <c:order val="0"/>
          <c:tx>
            <c:strRef>
              <c:f>Sheet2!$H$29</c:f>
              <c:strCache>
                <c:ptCount val="1"/>
                <c:pt idx="0">
                  <c:v>Troph % uptake</c:v>
                </c:pt>
              </c:strCache>
            </c:strRef>
          </c:tx>
          <c:spPr>
            <a:solidFill>
              <a:sysClr val="window" lastClr="FFFFFF">
                <a:lumMod val="50000"/>
              </a:sysClr>
            </a:solidFill>
            <a:ln>
              <a:solidFill>
                <a:sysClr val="windowText" lastClr="000000"/>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Sheet2!$G$30:$G$34</c:f>
              <c:numCache>
                <c:formatCode>General</c:formatCode>
                <c:ptCount val="5"/>
                <c:pt idx="0">
                  <c:v>1</c:v>
                </c:pt>
                <c:pt idx="1">
                  <c:v>2</c:v>
                </c:pt>
                <c:pt idx="2">
                  <c:v>3</c:v>
                </c:pt>
                <c:pt idx="3">
                  <c:v>4</c:v>
                </c:pt>
                <c:pt idx="4">
                  <c:v>5</c:v>
                </c:pt>
              </c:numCache>
            </c:numRef>
          </c:cat>
          <c:val>
            <c:numRef>
              <c:f>Sheet2!$H$30:$H$34</c:f>
              <c:numCache>
                <c:formatCode>General</c:formatCode>
                <c:ptCount val="5"/>
                <c:pt idx="0">
                  <c:v>6.4</c:v>
                </c:pt>
                <c:pt idx="1">
                  <c:v>4</c:v>
                </c:pt>
                <c:pt idx="2">
                  <c:v>2.4</c:v>
                </c:pt>
                <c:pt idx="3">
                  <c:v>1.7</c:v>
                </c:pt>
                <c:pt idx="4">
                  <c:v>1</c:v>
                </c:pt>
              </c:numCache>
            </c:numRef>
          </c:val>
          <c:extLst>
            <c:ext xmlns:c16="http://schemas.microsoft.com/office/drawing/2014/chart" uri="{C3380CC4-5D6E-409C-BE32-E72D297353CC}">
              <c16:uniqueId val="{00000000-D25C-4854-9E9A-445A0316FD57}"/>
            </c:ext>
          </c:extLst>
        </c:ser>
        <c:ser>
          <c:idx val="1"/>
          <c:order val="1"/>
          <c:tx>
            <c:strRef>
              <c:f>Sheet2!$I$29</c:f>
              <c:strCache>
                <c:ptCount val="1"/>
                <c:pt idx="0">
                  <c:v>Cysts % uptake</c:v>
                </c:pt>
              </c:strCache>
            </c:strRef>
          </c:tx>
          <c:spPr>
            <a:solidFill>
              <a:srgbClr val="0070C0"/>
            </a:solidFill>
            <a:ln>
              <a:solidFill>
                <a:sysClr val="windowText" lastClr="000000"/>
              </a:solidFill>
            </a:ln>
            <a:effectLst/>
          </c:spPr>
          <c:invertIfNegative val="0"/>
          <c:errBars>
            <c:errBarType val="both"/>
            <c:errValType val="percentage"/>
            <c:noEndCap val="0"/>
            <c:val val="5"/>
            <c:spPr>
              <a:noFill/>
              <a:ln w="9525" cap="flat" cmpd="sng" algn="ctr">
                <a:solidFill>
                  <a:sysClr val="windowText" lastClr="000000"/>
                </a:solidFill>
                <a:round/>
              </a:ln>
              <a:effectLst/>
            </c:spPr>
          </c:errBars>
          <c:cat>
            <c:numRef>
              <c:f>Sheet2!$G$30:$G$34</c:f>
              <c:numCache>
                <c:formatCode>General</c:formatCode>
                <c:ptCount val="5"/>
                <c:pt idx="0">
                  <c:v>1</c:v>
                </c:pt>
                <c:pt idx="1">
                  <c:v>2</c:v>
                </c:pt>
                <c:pt idx="2">
                  <c:v>3</c:v>
                </c:pt>
                <c:pt idx="3">
                  <c:v>4</c:v>
                </c:pt>
                <c:pt idx="4">
                  <c:v>5</c:v>
                </c:pt>
              </c:numCache>
            </c:numRef>
          </c:cat>
          <c:val>
            <c:numRef>
              <c:f>Sheet2!$I$30:$I$34</c:f>
              <c:numCache>
                <c:formatCode>General</c:formatCode>
                <c:ptCount val="5"/>
                <c:pt idx="0">
                  <c:v>5.5</c:v>
                </c:pt>
                <c:pt idx="1">
                  <c:v>3.9</c:v>
                </c:pt>
                <c:pt idx="2">
                  <c:v>0.8</c:v>
                </c:pt>
                <c:pt idx="3">
                  <c:v>0.7</c:v>
                </c:pt>
                <c:pt idx="4">
                  <c:v>0.1</c:v>
                </c:pt>
              </c:numCache>
            </c:numRef>
          </c:val>
          <c:extLst>
            <c:ext xmlns:c16="http://schemas.microsoft.com/office/drawing/2014/chart" uri="{C3380CC4-5D6E-409C-BE32-E72D297353CC}">
              <c16:uniqueId val="{00000001-D25C-4854-9E9A-445A0316FD57}"/>
            </c:ext>
          </c:extLst>
        </c:ser>
        <c:dLbls>
          <c:showLegendKey val="0"/>
          <c:showVal val="0"/>
          <c:showCatName val="0"/>
          <c:showSerName val="0"/>
          <c:showPercent val="0"/>
          <c:showBubbleSize val="0"/>
        </c:dLbls>
        <c:gapWidth val="219"/>
        <c:overlap val="-27"/>
        <c:axId val="292037808"/>
        <c:axId val="292038200"/>
      </c:barChart>
      <c:catAx>
        <c:axId val="2920378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No of wash</a:t>
                </a:r>
              </a:p>
            </c:rich>
          </c:tx>
          <c:layout>
            <c:manualLayout>
              <c:xMode val="edge"/>
              <c:yMode val="edge"/>
              <c:x val="0.42609281518793984"/>
              <c:y val="0.9280164769711336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2038200"/>
        <c:crosses val="autoZero"/>
        <c:auto val="1"/>
        <c:lblAlgn val="ctr"/>
        <c:lblOffset val="100"/>
        <c:noMultiLvlLbl val="0"/>
      </c:catAx>
      <c:valAx>
        <c:axId val="292038200"/>
        <c:scaling>
          <c:orientation val="minMax"/>
          <c:min val="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 porphyrin recorvered</a:t>
                </a:r>
              </a:p>
            </c:rich>
          </c:tx>
          <c:layout>
            <c:manualLayout>
              <c:xMode val="edge"/>
              <c:yMode val="edge"/>
              <c:x val="5.2116891855030816E-2"/>
              <c:y val="0.2280592838290367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2037808"/>
        <c:crosses val="autoZero"/>
        <c:crossBetween val="between"/>
      </c:valAx>
      <c:spPr>
        <a:noFill/>
        <a:ln>
          <a:noFill/>
        </a:ln>
        <a:effectLst/>
      </c:spPr>
    </c:plotArea>
    <c:legend>
      <c:legendPos val="b"/>
      <c:layout>
        <c:manualLayout>
          <c:xMode val="edge"/>
          <c:yMode val="edge"/>
          <c:x val="0.61172703412073481"/>
          <c:y val="4.6874453193350839E-2"/>
          <c:w val="0.36321259842519688"/>
          <c:h val="0.2123848060659084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98622047244095"/>
          <c:y val="7.8296398517195678E-2"/>
          <c:w val="0.77245822397200359"/>
          <c:h val="0.76298742635466821"/>
        </c:manualLayout>
      </c:layout>
      <c:barChart>
        <c:barDir val="col"/>
        <c:grouping val="clustered"/>
        <c:varyColors val="0"/>
        <c:ser>
          <c:idx val="0"/>
          <c:order val="0"/>
          <c:tx>
            <c:strRef>
              <c:f>Sheet2!$H$40</c:f>
              <c:strCache>
                <c:ptCount val="1"/>
                <c:pt idx="0">
                  <c:v>Troph % uptake</c:v>
                </c:pt>
              </c:strCache>
            </c:strRef>
          </c:tx>
          <c:spPr>
            <a:solidFill>
              <a:sysClr val="window" lastClr="FFFFFF">
                <a:lumMod val="50000"/>
              </a:sysClr>
            </a:solidFill>
            <a:ln>
              <a:solidFill>
                <a:sysClr val="windowText" lastClr="000000"/>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Sheet2!$G$41:$G$45</c:f>
              <c:numCache>
                <c:formatCode>General</c:formatCode>
                <c:ptCount val="5"/>
                <c:pt idx="0">
                  <c:v>1</c:v>
                </c:pt>
                <c:pt idx="1">
                  <c:v>2</c:v>
                </c:pt>
                <c:pt idx="2">
                  <c:v>3</c:v>
                </c:pt>
                <c:pt idx="3">
                  <c:v>4</c:v>
                </c:pt>
                <c:pt idx="4">
                  <c:v>5</c:v>
                </c:pt>
              </c:numCache>
            </c:numRef>
          </c:cat>
          <c:val>
            <c:numRef>
              <c:f>Sheet2!$H$41:$H$45</c:f>
              <c:numCache>
                <c:formatCode>General</c:formatCode>
                <c:ptCount val="5"/>
                <c:pt idx="0">
                  <c:v>3.3</c:v>
                </c:pt>
                <c:pt idx="1">
                  <c:v>1.3</c:v>
                </c:pt>
                <c:pt idx="2">
                  <c:v>0.7</c:v>
                </c:pt>
                <c:pt idx="3">
                  <c:v>0.4</c:v>
                </c:pt>
                <c:pt idx="4">
                  <c:v>0.4</c:v>
                </c:pt>
              </c:numCache>
            </c:numRef>
          </c:val>
          <c:extLst>
            <c:ext xmlns:c16="http://schemas.microsoft.com/office/drawing/2014/chart" uri="{C3380CC4-5D6E-409C-BE32-E72D297353CC}">
              <c16:uniqueId val="{00000000-116D-4948-96A6-90E31F5EF585}"/>
            </c:ext>
          </c:extLst>
        </c:ser>
        <c:ser>
          <c:idx val="1"/>
          <c:order val="1"/>
          <c:tx>
            <c:strRef>
              <c:f>Sheet2!$I$40</c:f>
              <c:strCache>
                <c:ptCount val="1"/>
                <c:pt idx="0">
                  <c:v>Cysts % uptake</c:v>
                </c:pt>
              </c:strCache>
            </c:strRef>
          </c:tx>
          <c:spPr>
            <a:solidFill>
              <a:srgbClr val="0070C0"/>
            </a:solidFill>
            <a:ln>
              <a:solidFill>
                <a:sysClr val="windowText" lastClr="000000"/>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Sheet2!$G$41:$G$45</c:f>
              <c:numCache>
                <c:formatCode>General</c:formatCode>
                <c:ptCount val="5"/>
                <c:pt idx="0">
                  <c:v>1</c:v>
                </c:pt>
                <c:pt idx="1">
                  <c:v>2</c:v>
                </c:pt>
                <c:pt idx="2">
                  <c:v>3</c:v>
                </c:pt>
                <c:pt idx="3">
                  <c:v>4</c:v>
                </c:pt>
                <c:pt idx="4">
                  <c:v>5</c:v>
                </c:pt>
              </c:numCache>
            </c:numRef>
          </c:cat>
          <c:val>
            <c:numRef>
              <c:f>Sheet2!$I$41:$I$45</c:f>
              <c:numCache>
                <c:formatCode>General</c:formatCode>
                <c:ptCount val="5"/>
                <c:pt idx="0">
                  <c:v>0.6</c:v>
                </c:pt>
                <c:pt idx="1">
                  <c:v>0.6</c:v>
                </c:pt>
                <c:pt idx="2">
                  <c:v>0.4</c:v>
                </c:pt>
                <c:pt idx="3">
                  <c:v>0.3</c:v>
                </c:pt>
                <c:pt idx="4">
                  <c:v>0</c:v>
                </c:pt>
              </c:numCache>
            </c:numRef>
          </c:val>
          <c:extLst>
            <c:ext xmlns:c16="http://schemas.microsoft.com/office/drawing/2014/chart" uri="{C3380CC4-5D6E-409C-BE32-E72D297353CC}">
              <c16:uniqueId val="{00000001-116D-4948-96A6-90E31F5EF585}"/>
            </c:ext>
          </c:extLst>
        </c:ser>
        <c:dLbls>
          <c:showLegendKey val="0"/>
          <c:showVal val="0"/>
          <c:showCatName val="0"/>
          <c:showSerName val="0"/>
          <c:showPercent val="0"/>
          <c:showBubbleSize val="0"/>
        </c:dLbls>
        <c:gapWidth val="219"/>
        <c:overlap val="-27"/>
        <c:axId val="292038984"/>
        <c:axId val="292039376"/>
      </c:barChart>
      <c:catAx>
        <c:axId val="292038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No of wash</a:t>
                </a:r>
              </a:p>
            </c:rich>
          </c:tx>
          <c:layout>
            <c:manualLayout>
              <c:xMode val="edge"/>
              <c:yMode val="edge"/>
              <c:x val="0.43506255468066496"/>
              <c:y val="0.909722963956689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2039376"/>
        <c:crosses val="autoZero"/>
        <c:auto val="1"/>
        <c:lblAlgn val="ctr"/>
        <c:lblOffset val="100"/>
        <c:noMultiLvlLbl val="0"/>
      </c:catAx>
      <c:valAx>
        <c:axId val="29203937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 porphyrin recorvered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2038984"/>
        <c:crosses val="autoZero"/>
        <c:crossBetween val="between"/>
      </c:valAx>
      <c:spPr>
        <a:noFill/>
        <a:ln>
          <a:noFill/>
        </a:ln>
        <a:effectLst/>
      </c:spPr>
    </c:plotArea>
    <c:legend>
      <c:legendPos val="b"/>
      <c:layout>
        <c:manualLayout>
          <c:xMode val="edge"/>
          <c:yMode val="edge"/>
          <c:x val="0.59492168508760679"/>
          <c:y val="0.11059823436340672"/>
          <c:w val="0.36144512243885035"/>
          <c:h val="0.2441957626872316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981397329804047"/>
          <c:y val="0.1640868327448573"/>
          <c:w val="0.80263710889513851"/>
          <c:h val="0.66626178356624077"/>
        </c:manualLayout>
      </c:layout>
      <c:scatterChart>
        <c:scatterStyle val="lineMarker"/>
        <c:varyColors val="0"/>
        <c:ser>
          <c:idx val="0"/>
          <c:order val="0"/>
          <c:tx>
            <c:strRef>
              <c:f>'[Chart in Microsoft Word]Sheet1'!$E$16</c:f>
              <c:strCache>
                <c:ptCount val="1"/>
                <c:pt idx="0">
                  <c:v>% viability troph light</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errBars>
            <c:errDir val="y"/>
            <c:errBarType val="both"/>
            <c:errValType val="stdErr"/>
            <c:noEndCap val="0"/>
          </c:errBars>
          <c:xVal>
            <c:numRef>
              <c:f>'[Chart in Microsoft Word]Sheet1'!$D$17:$D$24</c:f>
              <c:numCache>
                <c:formatCode>General</c:formatCode>
                <c:ptCount val="8"/>
                <c:pt idx="0">
                  <c:v>50</c:v>
                </c:pt>
                <c:pt idx="1">
                  <c:v>25</c:v>
                </c:pt>
                <c:pt idx="2">
                  <c:v>12.5</c:v>
                </c:pt>
                <c:pt idx="3">
                  <c:v>6.25</c:v>
                </c:pt>
                <c:pt idx="4">
                  <c:v>3.125</c:v>
                </c:pt>
                <c:pt idx="5">
                  <c:v>1.5</c:v>
                </c:pt>
                <c:pt idx="6">
                  <c:v>0.7</c:v>
                </c:pt>
                <c:pt idx="7">
                  <c:v>0.3</c:v>
                </c:pt>
              </c:numCache>
            </c:numRef>
          </c:xVal>
          <c:yVal>
            <c:numRef>
              <c:f>'[Chart in Microsoft Word]Sheet1'!$E$17:$E$24</c:f>
              <c:numCache>
                <c:formatCode>General</c:formatCode>
                <c:ptCount val="8"/>
                <c:pt idx="0">
                  <c:v>62.1</c:v>
                </c:pt>
                <c:pt idx="1">
                  <c:v>67</c:v>
                </c:pt>
                <c:pt idx="2">
                  <c:v>66.7</c:v>
                </c:pt>
                <c:pt idx="3">
                  <c:v>66.3</c:v>
                </c:pt>
                <c:pt idx="4">
                  <c:v>66.2</c:v>
                </c:pt>
                <c:pt idx="5">
                  <c:v>66.599999999999994</c:v>
                </c:pt>
                <c:pt idx="6">
                  <c:v>65.400000000000006</c:v>
                </c:pt>
                <c:pt idx="7">
                  <c:v>64.2</c:v>
                </c:pt>
              </c:numCache>
            </c:numRef>
          </c:yVal>
          <c:smooth val="0"/>
          <c:extLst>
            <c:ext xmlns:c16="http://schemas.microsoft.com/office/drawing/2014/chart" uri="{C3380CC4-5D6E-409C-BE32-E72D297353CC}">
              <c16:uniqueId val="{00000000-5DF7-4E75-BE5B-AEA5A3CC591E}"/>
            </c:ext>
          </c:extLst>
        </c:ser>
        <c:ser>
          <c:idx val="1"/>
          <c:order val="1"/>
          <c:tx>
            <c:strRef>
              <c:f>'[Chart in Microsoft Word]Sheet1'!$F$16</c:f>
              <c:strCache>
                <c:ptCount val="1"/>
                <c:pt idx="0">
                  <c:v>% viability troph Dark</c:v>
                </c:pt>
              </c:strCache>
            </c:strRef>
          </c:tx>
          <c:spPr>
            <a:ln w="12700" cap="rnd">
              <a:solidFill>
                <a:srgbClr val="0070C0"/>
              </a:solidFill>
              <a:prstDash val="solid"/>
              <a:round/>
            </a:ln>
            <a:effectLst/>
          </c:spPr>
          <c:marker>
            <c:symbol val="circle"/>
            <c:size val="5"/>
            <c:spPr>
              <a:solidFill>
                <a:srgbClr val="0070C0"/>
              </a:solidFill>
              <a:ln w="12700">
                <a:solidFill>
                  <a:srgbClr val="0070C0"/>
                </a:solidFill>
                <a:prstDash val="solid"/>
              </a:ln>
              <a:effectLst/>
            </c:spPr>
          </c:marker>
          <c:errBars>
            <c:errDir val="y"/>
            <c:errBarType val="both"/>
            <c:errValType val="stdErr"/>
            <c:noEndCap val="0"/>
          </c:errBars>
          <c:xVal>
            <c:numRef>
              <c:f>'[Chart in Microsoft Word]Sheet1'!$D$17:$D$24</c:f>
              <c:numCache>
                <c:formatCode>General</c:formatCode>
                <c:ptCount val="8"/>
                <c:pt idx="0">
                  <c:v>50</c:v>
                </c:pt>
                <c:pt idx="1">
                  <c:v>25</c:v>
                </c:pt>
                <c:pt idx="2">
                  <c:v>12.5</c:v>
                </c:pt>
                <c:pt idx="3">
                  <c:v>6.25</c:v>
                </c:pt>
                <c:pt idx="4">
                  <c:v>3.125</c:v>
                </c:pt>
                <c:pt idx="5">
                  <c:v>1.5</c:v>
                </c:pt>
                <c:pt idx="6">
                  <c:v>0.7</c:v>
                </c:pt>
                <c:pt idx="7">
                  <c:v>0.3</c:v>
                </c:pt>
              </c:numCache>
            </c:numRef>
          </c:xVal>
          <c:yVal>
            <c:numRef>
              <c:f>'[Chart in Microsoft Word]Sheet1'!$F$17:$F$24</c:f>
              <c:numCache>
                <c:formatCode>General</c:formatCode>
                <c:ptCount val="8"/>
                <c:pt idx="0">
                  <c:v>54.4</c:v>
                </c:pt>
                <c:pt idx="1">
                  <c:v>70.5</c:v>
                </c:pt>
                <c:pt idx="2">
                  <c:v>71.900000000000006</c:v>
                </c:pt>
                <c:pt idx="3">
                  <c:v>72.599999999999994</c:v>
                </c:pt>
                <c:pt idx="4">
                  <c:v>80.7</c:v>
                </c:pt>
                <c:pt idx="5">
                  <c:v>80.599999999999994</c:v>
                </c:pt>
                <c:pt idx="6">
                  <c:v>100</c:v>
                </c:pt>
                <c:pt idx="7">
                  <c:v>100</c:v>
                </c:pt>
              </c:numCache>
            </c:numRef>
          </c:yVal>
          <c:smooth val="0"/>
          <c:extLst>
            <c:ext xmlns:c16="http://schemas.microsoft.com/office/drawing/2014/chart" uri="{C3380CC4-5D6E-409C-BE32-E72D297353CC}">
              <c16:uniqueId val="{00000001-5DF7-4E75-BE5B-AEA5A3CC591E}"/>
            </c:ext>
          </c:extLst>
        </c:ser>
        <c:dLbls>
          <c:showLegendKey val="0"/>
          <c:showVal val="0"/>
          <c:showCatName val="0"/>
          <c:showSerName val="0"/>
          <c:showPercent val="0"/>
          <c:showBubbleSize val="0"/>
        </c:dLbls>
        <c:axId val="292040160"/>
        <c:axId val="292040552"/>
      </c:scatterChart>
      <c:valAx>
        <c:axId val="292040160"/>
        <c:scaling>
          <c:orientation val="minMax"/>
        </c:scaling>
        <c:delete val="0"/>
        <c:axPos val="b"/>
        <c:title>
          <c:tx>
            <c:rich>
              <a:bodyPr/>
              <a:lstStyle/>
              <a:p>
                <a:pPr>
                  <a:defRPr>
                    <a:latin typeface="Arial" panose="020B0604020202020204" pitchFamily="34" charset="0"/>
                    <a:cs typeface="Arial" panose="020B0604020202020204" pitchFamily="34" charset="0"/>
                  </a:defRPr>
                </a:pPr>
                <a:r>
                  <a:rPr lang="en-GB" sz="1200">
                    <a:latin typeface="Arial" panose="020B0604020202020204" pitchFamily="34" charset="0"/>
                    <a:cs typeface="Arial" panose="020B0604020202020204" pitchFamily="34" charset="0"/>
                  </a:rPr>
                  <a:t>Porphyrin (µM)</a:t>
                </a:r>
              </a:p>
            </c:rich>
          </c:tx>
          <c:layout>
            <c:manualLayout>
              <c:xMode val="edge"/>
              <c:yMode val="edge"/>
              <c:x val="0.36406544339615204"/>
              <c:y val="0.90994639065574001"/>
            </c:manualLayout>
          </c:layout>
          <c:overlay val="0"/>
        </c:title>
        <c:numFmt formatCode="General" sourceLinked="1"/>
        <c:majorTickMark val="out"/>
        <c:minorTickMark val="none"/>
        <c:tickLblPos val="nextTo"/>
        <c:spPr>
          <a:noFill/>
          <a:ln w="19050" cap="flat" cmpd="sng" algn="ctr">
            <a:solidFill>
              <a:sysClr val="windowText" lastClr="000000"/>
            </a:solidFill>
            <a:round/>
          </a:ln>
          <a:effectLst/>
        </c:spPr>
        <c:txPr>
          <a:bodyPr rot="0" vert="horz"/>
          <a:lstStyle/>
          <a:p>
            <a:pPr>
              <a:defRPr sz="1200" b="1" i="0" u="none" strike="noStrike" baseline="0">
                <a:solidFill>
                  <a:srgbClr val="000000"/>
                </a:solidFill>
                <a:latin typeface="Times New Roman"/>
                <a:ea typeface="Times New Roman"/>
                <a:cs typeface="Times New Roman"/>
              </a:defRPr>
            </a:pPr>
            <a:endParaRPr lang="en-US"/>
          </a:p>
        </c:txPr>
        <c:crossAx val="292040552"/>
        <c:crosses val="autoZero"/>
        <c:crossBetween val="midCat"/>
      </c:valAx>
      <c:valAx>
        <c:axId val="292040552"/>
        <c:scaling>
          <c:orientation val="minMax"/>
        </c:scaling>
        <c:delete val="0"/>
        <c:axPos val="l"/>
        <c:title>
          <c:tx>
            <c:rich>
              <a:bodyPr/>
              <a:lstStyle/>
              <a:p>
                <a:pPr>
                  <a:defRPr>
                    <a:latin typeface="Arial" panose="020B0604020202020204" pitchFamily="34" charset="0"/>
                    <a:cs typeface="Arial" panose="020B0604020202020204" pitchFamily="34" charset="0"/>
                  </a:defRPr>
                </a:pPr>
                <a:r>
                  <a:rPr lang="en-GB" sz="1200">
                    <a:latin typeface="Arial" panose="020B0604020202020204" pitchFamily="34" charset="0"/>
                    <a:cs typeface="Arial" panose="020B0604020202020204" pitchFamily="34" charset="0"/>
                  </a:rPr>
                  <a:t>% viability</a:t>
                </a:r>
              </a:p>
            </c:rich>
          </c:tx>
          <c:layout>
            <c:manualLayout>
              <c:xMode val="edge"/>
              <c:yMode val="edge"/>
              <c:x val="2.0943051541892087E-2"/>
              <c:y val="0.36964033035517257"/>
            </c:manualLayout>
          </c:layout>
          <c:overlay val="0"/>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2040160"/>
        <c:crosses val="autoZero"/>
        <c:crossBetween val="midCat"/>
      </c:valAx>
      <c:spPr>
        <a:noFill/>
        <a:ln w="25400">
          <a:noFill/>
        </a:ln>
      </c:spPr>
    </c:plotArea>
    <c:legend>
      <c:legendPos val="b"/>
      <c:layout>
        <c:manualLayout>
          <c:xMode val="edge"/>
          <c:yMode val="edge"/>
          <c:x val="0.53012986354896552"/>
          <c:y val="1.8549885988660871E-2"/>
          <c:w val="0.42069718654412724"/>
          <c:h val="0.21220268505087417"/>
        </c:manualLayout>
      </c:layout>
      <c:overlay val="0"/>
      <c:spPr>
        <a:noFill/>
        <a:ln w="25400">
          <a:noFill/>
        </a:ln>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89724859235218"/>
          <c:y val="0.16839412769186984"/>
          <c:w val="0.76842023804311421"/>
          <c:h val="0.68071198178540926"/>
        </c:manualLayout>
      </c:layout>
      <c:scatterChart>
        <c:scatterStyle val="lineMarker"/>
        <c:varyColors val="0"/>
        <c:ser>
          <c:idx val="0"/>
          <c:order val="0"/>
          <c:tx>
            <c:strRef>
              <c:f>'[Chart in Microsoft Word]Sheet1'!$E$65</c:f>
              <c:strCache>
                <c:ptCount val="1"/>
                <c:pt idx="0">
                  <c:v>%viability cyst dark</c:v>
                </c:pt>
              </c:strCache>
            </c:strRef>
          </c:tx>
          <c:spPr>
            <a:ln w="12700" cap="rnd">
              <a:solidFill>
                <a:srgbClr val="00B0F0"/>
              </a:solidFill>
              <a:prstDash val="solid"/>
              <a:round/>
            </a:ln>
            <a:effectLst/>
          </c:spPr>
          <c:marker>
            <c:symbol val="circle"/>
            <c:size val="5"/>
            <c:spPr>
              <a:solidFill>
                <a:srgbClr val="00B0F0"/>
              </a:solidFill>
              <a:ln w="12700">
                <a:solidFill>
                  <a:srgbClr val="00B0F0"/>
                </a:solidFill>
                <a:prstDash val="solid"/>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xVal>
            <c:numRef>
              <c:f>'[Chart in Microsoft Word]Sheet1'!$D$66:$D$73</c:f>
              <c:numCache>
                <c:formatCode>General</c:formatCode>
                <c:ptCount val="8"/>
                <c:pt idx="0">
                  <c:v>50</c:v>
                </c:pt>
                <c:pt idx="1">
                  <c:v>25</c:v>
                </c:pt>
                <c:pt idx="2">
                  <c:v>12.5</c:v>
                </c:pt>
                <c:pt idx="3">
                  <c:v>6.25</c:v>
                </c:pt>
                <c:pt idx="4">
                  <c:v>3.125</c:v>
                </c:pt>
                <c:pt idx="5">
                  <c:v>1.5</c:v>
                </c:pt>
                <c:pt idx="6">
                  <c:v>0.7</c:v>
                </c:pt>
                <c:pt idx="7">
                  <c:v>0.3</c:v>
                </c:pt>
              </c:numCache>
            </c:numRef>
          </c:xVal>
          <c:yVal>
            <c:numRef>
              <c:f>'[Chart in Microsoft Word]Sheet1'!$E$66:$E$73</c:f>
              <c:numCache>
                <c:formatCode>General</c:formatCode>
                <c:ptCount val="8"/>
                <c:pt idx="0">
                  <c:v>92.8</c:v>
                </c:pt>
                <c:pt idx="1">
                  <c:v>90</c:v>
                </c:pt>
                <c:pt idx="2">
                  <c:v>104</c:v>
                </c:pt>
                <c:pt idx="3">
                  <c:v>109</c:v>
                </c:pt>
                <c:pt idx="4">
                  <c:v>103</c:v>
                </c:pt>
                <c:pt idx="5">
                  <c:v>102.8</c:v>
                </c:pt>
                <c:pt idx="6">
                  <c:v>96.4</c:v>
                </c:pt>
                <c:pt idx="7">
                  <c:v>101</c:v>
                </c:pt>
              </c:numCache>
            </c:numRef>
          </c:yVal>
          <c:smooth val="0"/>
          <c:extLst>
            <c:ext xmlns:c16="http://schemas.microsoft.com/office/drawing/2014/chart" uri="{C3380CC4-5D6E-409C-BE32-E72D297353CC}">
              <c16:uniqueId val="{00000000-D231-4ABE-997F-DA9E224C1DEC}"/>
            </c:ext>
          </c:extLst>
        </c:ser>
        <c:ser>
          <c:idx val="1"/>
          <c:order val="1"/>
          <c:tx>
            <c:strRef>
              <c:f>'[Chart in Microsoft Word]Sheet1'!$F$65</c:f>
              <c:strCache>
                <c:ptCount val="1"/>
                <c:pt idx="0">
                  <c:v>% viability cyst light</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xVal>
            <c:numRef>
              <c:f>'[Chart in Microsoft Word]Sheet1'!$D$66:$D$73</c:f>
              <c:numCache>
                <c:formatCode>General</c:formatCode>
                <c:ptCount val="8"/>
                <c:pt idx="0">
                  <c:v>50</c:v>
                </c:pt>
                <c:pt idx="1">
                  <c:v>25</c:v>
                </c:pt>
                <c:pt idx="2">
                  <c:v>12.5</c:v>
                </c:pt>
                <c:pt idx="3">
                  <c:v>6.25</c:v>
                </c:pt>
                <c:pt idx="4">
                  <c:v>3.125</c:v>
                </c:pt>
                <c:pt idx="5">
                  <c:v>1.5</c:v>
                </c:pt>
                <c:pt idx="6">
                  <c:v>0.7</c:v>
                </c:pt>
                <c:pt idx="7">
                  <c:v>0.3</c:v>
                </c:pt>
              </c:numCache>
            </c:numRef>
          </c:xVal>
          <c:yVal>
            <c:numRef>
              <c:f>'[Chart in Microsoft Word]Sheet1'!$F$66:$F$73</c:f>
              <c:numCache>
                <c:formatCode>General</c:formatCode>
                <c:ptCount val="8"/>
                <c:pt idx="0">
                  <c:v>97.9</c:v>
                </c:pt>
                <c:pt idx="1">
                  <c:v>101</c:v>
                </c:pt>
                <c:pt idx="2">
                  <c:v>103</c:v>
                </c:pt>
                <c:pt idx="3">
                  <c:v>89</c:v>
                </c:pt>
                <c:pt idx="4">
                  <c:v>91.5</c:v>
                </c:pt>
                <c:pt idx="5">
                  <c:v>98.5</c:v>
                </c:pt>
                <c:pt idx="6">
                  <c:v>109</c:v>
                </c:pt>
                <c:pt idx="7">
                  <c:v>97.5</c:v>
                </c:pt>
              </c:numCache>
            </c:numRef>
          </c:yVal>
          <c:smooth val="0"/>
          <c:extLst>
            <c:ext xmlns:c16="http://schemas.microsoft.com/office/drawing/2014/chart" uri="{C3380CC4-5D6E-409C-BE32-E72D297353CC}">
              <c16:uniqueId val="{00000001-D231-4ABE-997F-DA9E224C1DEC}"/>
            </c:ext>
          </c:extLst>
        </c:ser>
        <c:dLbls>
          <c:showLegendKey val="0"/>
          <c:showVal val="0"/>
          <c:showCatName val="0"/>
          <c:showSerName val="0"/>
          <c:showPercent val="0"/>
          <c:showBubbleSize val="0"/>
        </c:dLbls>
        <c:axId val="292360016"/>
        <c:axId val="292360408"/>
      </c:scatterChart>
      <c:valAx>
        <c:axId val="292360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ysClr val="windowText" lastClr="000000"/>
                    </a:solidFill>
                    <a:latin typeface="Arial" panose="020B0604020202020204" pitchFamily="34" charset="0"/>
                    <a:cs typeface="Arial" panose="020B0604020202020204" pitchFamily="34" charset="0"/>
                  </a:rPr>
                  <a:t>Porphyrin (µM)</a:t>
                </a:r>
              </a:p>
            </c:rich>
          </c:tx>
          <c:layout>
            <c:manualLayout>
              <c:xMode val="edge"/>
              <c:yMode val="edge"/>
              <c:x val="0.3480077405222225"/>
              <c:y val="0.92918532397305753"/>
            </c:manualLayout>
          </c:layout>
          <c:overlay val="0"/>
          <c:spPr>
            <a:noFill/>
            <a:ln w="25400">
              <a:noFill/>
            </a:ln>
          </c:spPr>
        </c:title>
        <c:numFmt formatCode="General" sourceLinked="1"/>
        <c:majorTickMark val="out"/>
        <c:minorTickMark val="none"/>
        <c:tickLblPos val="nextTo"/>
        <c:spPr>
          <a:noFill/>
          <a:ln w="19050" cap="flat" cmpd="sng" algn="ctr">
            <a:solidFill>
              <a:sysClr val="windowText" lastClr="000000"/>
            </a:solidFill>
            <a:round/>
          </a:ln>
          <a:effectLst/>
        </c:spPr>
        <c:txPr>
          <a:bodyPr rot="0" vert="horz"/>
          <a:lstStyle/>
          <a:p>
            <a:pPr>
              <a:defRPr sz="1200" b="1"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292360408"/>
        <c:crosses val="autoZero"/>
        <c:crossBetween val="midCat"/>
      </c:valAx>
      <c:valAx>
        <c:axId val="292360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 Viability</a:t>
                </a:r>
              </a:p>
            </c:rich>
          </c:tx>
          <c:layout>
            <c:manualLayout>
              <c:xMode val="edge"/>
              <c:yMode val="edge"/>
              <c:x val="1.105857883191904E-2"/>
              <c:y val="0.40144545492980116"/>
            </c:manualLayout>
          </c:layout>
          <c:overlay val="0"/>
          <c:spPr>
            <a:noFill/>
            <a:ln w="25400">
              <a:noFill/>
            </a:ln>
          </c:sp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2360016"/>
        <c:crosses val="autoZero"/>
        <c:crossBetween val="midCat"/>
      </c:valAx>
      <c:spPr>
        <a:noFill/>
        <a:ln w="25400">
          <a:noFill/>
        </a:ln>
      </c:spPr>
    </c:plotArea>
    <c:legend>
      <c:legendPos val="b"/>
      <c:layout>
        <c:manualLayout>
          <c:xMode val="edge"/>
          <c:yMode val="edge"/>
          <c:x val="0.61462792311078829"/>
          <c:y val="1.1487433933772011E-3"/>
          <c:w val="0.34763630961224185"/>
          <c:h val="0.22357584597817981"/>
        </c:manualLayout>
      </c:layout>
      <c:overlay val="0"/>
      <c:spPr>
        <a:noFill/>
        <a:ln w="25400">
          <a:noFill/>
        </a:ln>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41438723825146"/>
          <c:y val="0.16105578352001773"/>
          <c:w val="0.81003734613638201"/>
          <c:h val="0.69202442409930542"/>
        </c:manualLayout>
      </c:layout>
      <c:scatterChart>
        <c:scatterStyle val="lineMarker"/>
        <c:varyColors val="0"/>
        <c:ser>
          <c:idx val="0"/>
          <c:order val="0"/>
          <c:tx>
            <c:strRef>
              <c:f>Sheet2!$E$28</c:f>
              <c:strCache>
                <c:ptCount val="1"/>
                <c:pt idx="0">
                  <c:v>% viability troph light</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errBars>
            <c:errDir val="y"/>
            <c:errBarType val="both"/>
            <c:errValType val="percentage"/>
            <c:noEndCap val="0"/>
            <c:val val="5"/>
          </c:errBars>
          <c:xVal>
            <c:numRef>
              <c:f>Sheet2!$D$29:$D$36</c:f>
              <c:numCache>
                <c:formatCode>General</c:formatCode>
                <c:ptCount val="8"/>
                <c:pt idx="0">
                  <c:v>50</c:v>
                </c:pt>
                <c:pt idx="1">
                  <c:v>25</c:v>
                </c:pt>
                <c:pt idx="2">
                  <c:v>12.5</c:v>
                </c:pt>
                <c:pt idx="3">
                  <c:v>6.25</c:v>
                </c:pt>
                <c:pt idx="4">
                  <c:v>3.125</c:v>
                </c:pt>
                <c:pt idx="5">
                  <c:v>1.5625</c:v>
                </c:pt>
                <c:pt idx="6">
                  <c:v>0.7</c:v>
                </c:pt>
              </c:numCache>
            </c:numRef>
          </c:xVal>
          <c:yVal>
            <c:numRef>
              <c:f>Sheet2!$E$29:$E$36</c:f>
              <c:numCache>
                <c:formatCode>General</c:formatCode>
                <c:ptCount val="8"/>
                <c:pt idx="0">
                  <c:v>4.4000000000000004</c:v>
                </c:pt>
                <c:pt idx="1">
                  <c:v>11.8</c:v>
                </c:pt>
                <c:pt idx="2">
                  <c:v>39.5</c:v>
                </c:pt>
                <c:pt idx="3">
                  <c:v>89.6</c:v>
                </c:pt>
                <c:pt idx="4">
                  <c:v>89.7</c:v>
                </c:pt>
                <c:pt idx="5">
                  <c:v>86.1</c:v>
                </c:pt>
                <c:pt idx="6">
                  <c:v>94.6</c:v>
                </c:pt>
              </c:numCache>
            </c:numRef>
          </c:yVal>
          <c:smooth val="0"/>
          <c:extLst>
            <c:ext xmlns:c16="http://schemas.microsoft.com/office/drawing/2014/chart" uri="{C3380CC4-5D6E-409C-BE32-E72D297353CC}">
              <c16:uniqueId val="{00000000-649C-4B9D-8176-BC6522CED462}"/>
            </c:ext>
          </c:extLst>
        </c:ser>
        <c:ser>
          <c:idx val="1"/>
          <c:order val="1"/>
          <c:tx>
            <c:strRef>
              <c:f>Sheet2!$F$28</c:f>
              <c:strCache>
                <c:ptCount val="1"/>
                <c:pt idx="0">
                  <c:v>% viability troph dark</c:v>
                </c:pt>
              </c:strCache>
            </c:strRef>
          </c:tx>
          <c:spPr>
            <a:ln w="12700" cap="rnd">
              <a:solidFill>
                <a:srgbClr val="0070C0"/>
              </a:solidFill>
              <a:prstDash val="solid"/>
              <a:round/>
            </a:ln>
            <a:effectLst/>
          </c:spPr>
          <c:marker>
            <c:symbol val="circle"/>
            <c:size val="5"/>
            <c:spPr>
              <a:solidFill>
                <a:srgbClr val="0070C0"/>
              </a:solidFill>
              <a:ln w="12700">
                <a:solidFill>
                  <a:srgbClr val="0070C0"/>
                </a:solidFill>
                <a:prstDash val="solid"/>
              </a:ln>
              <a:effectLst/>
            </c:spPr>
          </c:marker>
          <c:errBars>
            <c:errDir val="y"/>
            <c:errBarType val="both"/>
            <c:errValType val="percentage"/>
            <c:noEndCap val="0"/>
            <c:val val="5"/>
          </c:errBars>
          <c:xVal>
            <c:numRef>
              <c:f>Sheet2!$D$29:$D$36</c:f>
              <c:numCache>
                <c:formatCode>General</c:formatCode>
                <c:ptCount val="8"/>
                <c:pt idx="0">
                  <c:v>50</c:v>
                </c:pt>
                <c:pt idx="1">
                  <c:v>25</c:v>
                </c:pt>
                <c:pt idx="2">
                  <c:v>12.5</c:v>
                </c:pt>
                <c:pt idx="3">
                  <c:v>6.25</c:v>
                </c:pt>
                <c:pt idx="4">
                  <c:v>3.125</c:v>
                </c:pt>
                <c:pt idx="5">
                  <c:v>1.5625</c:v>
                </c:pt>
                <c:pt idx="6">
                  <c:v>0.7</c:v>
                </c:pt>
              </c:numCache>
            </c:numRef>
          </c:xVal>
          <c:yVal>
            <c:numRef>
              <c:f>Sheet2!$F$29:$F$36</c:f>
              <c:numCache>
                <c:formatCode>General</c:formatCode>
                <c:ptCount val="8"/>
                <c:pt idx="0">
                  <c:v>87.8</c:v>
                </c:pt>
                <c:pt idx="1">
                  <c:v>80.7</c:v>
                </c:pt>
                <c:pt idx="2">
                  <c:v>86.7</c:v>
                </c:pt>
                <c:pt idx="3">
                  <c:v>88</c:v>
                </c:pt>
                <c:pt idx="4">
                  <c:v>97.4</c:v>
                </c:pt>
                <c:pt idx="5">
                  <c:v>89.1</c:v>
                </c:pt>
                <c:pt idx="6">
                  <c:v>90.6</c:v>
                </c:pt>
              </c:numCache>
            </c:numRef>
          </c:yVal>
          <c:smooth val="0"/>
          <c:extLst>
            <c:ext xmlns:c16="http://schemas.microsoft.com/office/drawing/2014/chart" uri="{C3380CC4-5D6E-409C-BE32-E72D297353CC}">
              <c16:uniqueId val="{00000001-649C-4B9D-8176-BC6522CED462}"/>
            </c:ext>
          </c:extLst>
        </c:ser>
        <c:dLbls>
          <c:showLegendKey val="0"/>
          <c:showVal val="0"/>
          <c:showCatName val="0"/>
          <c:showSerName val="0"/>
          <c:showPercent val="0"/>
          <c:showBubbleSize val="0"/>
        </c:dLbls>
        <c:axId val="292361192"/>
        <c:axId val="292361584"/>
      </c:scatterChart>
      <c:valAx>
        <c:axId val="292361192"/>
        <c:scaling>
          <c:orientation val="minMax"/>
        </c:scaling>
        <c:delete val="0"/>
        <c:axPos val="b"/>
        <c:title>
          <c:tx>
            <c:rich>
              <a:bodyPr/>
              <a:lstStyle/>
              <a:p>
                <a:pPr>
                  <a:defRPr>
                    <a:latin typeface="Arial" panose="020B0604020202020204" pitchFamily="34" charset="0"/>
                    <a:cs typeface="Arial" panose="020B0604020202020204" pitchFamily="34" charset="0"/>
                  </a:defRPr>
                </a:pPr>
                <a:r>
                  <a:rPr lang="en-GB" sz="1200">
                    <a:latin typeface="Arial" panose="020B0604020202020204" pitchFamily="34" charset="0"/>
                    <a:cs typeface="Arial" panose="020B0604020202020204" pitchFamily="34" charset="0"/>
                  </a:rPr>
                  <a:t>Porphyrin (µM)</a:t>
                </a:r>
              </a:p>
            </c:rich>
          </c:tx>
          <c:layout>
            <c:manualLayout>
              <c:xMode val="edge"/>
              <c:yMode val="edge"/>
              <c:x val="0.39456404752716395"/>
              <c:y val="0.92632493785958858"/>
            </c:manualLayout>
          </c:layout>
          <c:overlay val="0"/>
        </c:title>
        <c:numFmt formatCode="General" sourceLinked="1"/>
        <c:majorTickMark val="out"/>
        <c:minorTickMark val="none"/>
        <c:tickLblPos val="nextTo"/>
        <c:spPr>
          <a:noFill/>
          <a:ln w="19050" cap="flat" cmpd="sng" algn="ctr">
            <a:solidFill>
              <a:sysClr val="windowText" lastClr="000000"/>
            </a:solidFill>
            <a:round/>
          </a:ln>
          <a:effectLst/>
        </c:spPr>
        <c:txPr>
          <a:bodyPr rot="0" vert="horz"/>
          <a:lstStyle/>
          <a:p>
            <a:pPr>
              <a:defRPr sz="1200" b="1"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292361584"/>
        <c:crossesAt val="1"/>
        <c:crossBetween val="midCat"/>
      </c:valAx>
      <c:valAx>
        <c:axId val="292361584"/>
        <c:scaling>
          <c:orientation val="minMax"/>
          <c:min val="0"/>
        </c:scaling>
        <c:delete val="0"/>
        <c:axPos val="l"/>
        <c:title>
          <c:tx>
            <c:rich>
              <a:bodyPr/>
              <a:lstStyle/>
              <a:p>
                <a:pPr>
                  <a:defRPr>
                    <a:latin typeface="Arial" panose="020B0604020202020204" pitchFamily="34" charset="0"/>
                    <a:cs typeface="Arial" panose="020B0604020202020204" pitchFamily="34" charset="0"/>
                  </a:defRPr>
                </a:pPr>
                <a:r>
                  <a:rPr lang="en-GB" sz="1200">
                    <a:latin typeface="Arial" panose="020B0604020202020204" pitchFamily="34" charset="0"/>
                    <a:cs typeface="Arial" panose="020B0604020202020204" pitchFamily="34" charset="0"/>
                  </a:rPr>
                  <a:t>% viability</a:t>
                </a:r>
              </a:p>
            </c:rich>
          </c:tx>
          <c:layout>
            <c:manualLayout>
              <c:xMode val="edge"/>
              <c:yMode val="edge"/>
              <c:x val="1.1432810393559992E-2"/>
              <c:y val="0.39176210928179434"/>
            </c:manualLayout>
          </c:layout>
          <c:overlay val="0"/>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2361192"/>
        <c:crossesAt val="0.1"/>
        <c:crossBetween val="midCat"/>
      </c:valAx>
      <c:spPr>
        <a:noFill/>
        <a:ln w="25400">
          <a:noFill/>
        </a:ln>
      </c:spPr>
    </c:plotArea>
    <c:legend>
      <c:legendPos val="b"/>
      <c:layout>
        <c:manualLayout>
          <c:xMode val="edge"/>
          <c:yMode val="edge"/>
          <c:x val="0.48456859899037907"/>
          <c:y val="5.3378270897955937E-2"/>
          <c:w val="0.47262955303507115"/>
          <c:h val="0.22205818022747156"/>
        </c:manualLayout>
      </c:layout>
      <c:overlay val="0"/>
      <c:spPr>
        <a:noFill/>
        <a:ln w="25400">
          <a:noFill/>
        </a:ln>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358245844269466"/>
          <c:y val="0.1228373887943342"/>
          <c:w val="0.73289282589676297"/>
          <c:h val="0.71497259992144691"/>
        </c:manualLayout>
      </c:layout>
      <c:scatterChart>
        <c:scatterStyle val="lineMarker"/>
        <c:varyColors val="0"/>
        <c:ser>
          <c:idx val="0"/>
          <c:order val="0"/>
          <c:tx>
            <c:strRef>
              <c:f>Sheet2!$E$73</c:f>
              <c:strCache>
                <c:ptCount val="1"/>
                <c:pt idx="0">
                  <c:v>% viability cyst light</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errBars>
            <c:errDir val="y"/>
            <c:errBarType val="both"/>
            <c:errValType val="percentage"/>
            <c:noEndCap val="0"/>
            <c:val val="5"/>
          </c:errBars>
          <c:xVal>
            <c:numRef>
              <c:f>Sheet2!$D$74:$D$81</c:f>
              <c:numCache>
                <c:formatCode>General</c:formatCode>
                <c:ptCount val="8"/>
                <c:pt idx="0">
                  <c:v>50</c:v>
                </c:pt>
                <c:pt idx="1">
                  <c:v>25</c:v>
                </c:pt>
                <c:pt idx="2">
                  <c:v>12.5</c:v>
                </c:pt>
                <c:pt idx="3">
                  <c:v>6.25</c:v>
                </c:pt>
                <c:pt idx="4">
                  <c:v>3.125</c:v>
                </c:pt>
                <c:pt idx="5">
                  <c:v>1.5625</c:v>
                </c:pt>
                <c:pt idx="6">
                  <c:v>0.7</c:v>
                </c:pt>
              </c:numCache>
            </c:numRef>
          </c:xVal>
          <c:yVal>
            <c:numRef>
              <c:f>Sheet2!$E$74:$E$81</c:f>
              <c:numCache>
                <c:formatCode>General</c:formatCode>
                <c:ptCount val="8"/>
                <c:pt idx="0">
                  <c:v>12.1</c:v>
                </c:pt>
                <c:pt idx="1">
                  <c:v>20.3</c:v>
                </c:pt>
                <c:pt idx="2">
                  <c:v>47.2</c:v>
                </c:pt>
                <c:pt idx="3">
                  <c:v>93.2</c:v>
                </c:pt>
                <c:pt idx="4">
                  <c:v>96.6</c:v>
                </c:pt>
                <c:pt idx="5">
                  <c:v>100.7</c:v>
                </c:pt>
                <c:pt idx="6">
                  <c:v>98.2</c:v>
                </c:pt>
              </c:numCache>
            </c:numRef>
          </c:yVal>
          <c:smooth val="0"/>
          <c:extLst>
            <c:ext xmlns:c16="http://schemas.microsoft.com/office/drawing/2014/chart" uri="{C3380CC4-5D6E-409C-BE32-E72D297353CC}">
              <c16:uniqueId val="{00000000-C6F3-4595-A633-EB0715182B51}"/>
            </c:ext>
          </c:extLst>
        </c:ser>
        <c:ser>
          <c:idx val="1"/>
          <c:order val="1"/>
          <c:tx>
            <c:strRef>
              <c:f>Sheet2!$F$73</c:f>
              <c:strCache>
                <c:ptCount val="1"/>
                <c:pt idx="0">
                  <c:v>% viability cyst dark</c:v>
                </c:pt>
              </c:strCache>
            </c:strRef>
          </c:tx>
          <c:spPr>
            <a:ln w="12700" cap="rnd">
              <a:solidFill>
                <a:srgbClr val="0070C0"/>
              </a:solidFill>
              <a:prstDash val="solid"/>
              <a:round/>
            </a:ln>
            <a:effectLst/>
          </c:spPr>
          <c:marker>
            <c:symbol val="circle"/>
            <c:size val="5"/>
            <c:spPr>
              <a:solidFill>
                <a:srgbClr val="0070C0"/>
              </a:solidFill>
              <a:ln w="12700">
                <a:solidFill>
                  <a:srgbClr val="0070C0"/>
                </a:solidFill>
                <a:prstDash val="solid"/>
              </a:ln>
              <a:effectLst/>
            </c:spPr>
          </c:marker>
          <c:errBars>
            <c:errDir val="y"/>
            <c:errBarType val="both"/>
            <c:errValType val="percentage"/>
            <c:noEndCap val="0"/>
            <c:val val="5"/>
          </c:errBars>
          <c:xVal>
            <c:numRef>
              <c:f>Sheet2!$D$74:$D$81</c:f>
              <c:numCache>
                <c:formatCode>General</c:formatCode>
                <c:ptCount val="8"/>
                <c:pt idx="0">
                  <c:v>50</c:v>
                </c:pt>
                <c:pt idx="1">
                  <c:v>25</c:v>
                </c:pt>
                <c:pt idx="2">
                  <c:v>12.5</c:v>
                </c:pt>
                <c:pt idx="3">
                  <c:v>6.25</c:v>
                </c:pt>
                <c:pt idx="4">
                  <c:v>3.125</c:v>
                </c:pt>
                <c:pt idx="5">
                  <c:v>1.5625</c:v>
                </c:pt>
                <c:pt idx="6">
                  <c:v>0.7</c:v>
                </c:pt>
              </c:numCache>
            </c:numRef>
          </c:xVal>
          <c:yVal>
            <c:numRef>
              <c:f>Sheet2!$F$74:$F$81</c:f>
              <c:numCache>
                <c:formatCode>General</c:formatCode>
                <c:ptCount val="8"/>
                <c:pt idx="0">
                  <c:v>88.6</c:v>
                </c:pt>
                <c:pt idx="1">
                  <c:v>93.2</c:v>
                </c:pt>
                <c:pt idx="2">
                  <c:v>98.1</c:v>
                </c:pt>
                <c:pt idx="3">
                  <c:v>94.2</c:v>
                </c:pt>
                <c:pt idx="4">
                  <c:v>91.4</c:v>
                </c:pt>
                <c:pt idx="5">
                  <c:v>91.5</c:v>
                </c:pt>
                <c:pt idx="6">
                  <c:v>87.3</c:v>
                </c:pt>
              </c:numCache>
            </c:numRef>
          </c:yVal>
          <c:smooth val="0"/>
          <c:extLst>
            <c:ext xmlns:c16="http://schemas.microsoft.com/office/drawing/2014/chart" uri="{C3380CC4-5D6E-409C-BE32-E72D297353CC}">
              <c16:uniqueId val="{00000001-C6F3-4595-A633-EB0715182B51}"/>
            </c:ext>
          </c:extLst>
        </c:ser>
        <c:dLbls>
          <c:showLegendKey val="0"/>
          <c:showVal val="0"/>
          <c:showCatName val="0"/>
          <c:showSerName val="0"/>
          <c:showPercent val="0"/>
          <c:showBubbleSize val="0"/>
        </c:dLbls>
        <c:axId val="292362368"/>
        <c:axId val="292362760"/>
      </c:scatterChart>
      <c:valAx>
        <c:axId val="292362368"/>
        <c:scaling>
          <c:orientation val="minMax"/>
        </c:scaling>
        <c:delete val="0"/>
        <c:axPos val="b"/>
        <c:title>
          <c:tx>
            <c:rich>
              <a:bodyPr/>
              <a:lstStyle/>
              <a:p>
                <a:pPr>
                  <a:defRPr>
                    <a:latin typeface="Arial" panose="020B0604020202020204" pitchFamily="34" charset="0"/>
                    <a:cs typeface="Arial" panose="020B0604020202020204" pitchFamily="34" charset="0"/>
                  </a:defRPr>
                </a:pPr>
                <a:r>
                  <a:rPr lang="en-GB" sz="1200">
                    <a:latin typeface="Arial" panose="020B0604020202020204" pitchFamily="34" charset="0"/>
                    <a:cs typeface="Arial" panose="020B0604020202020204" pitchFamily="34" charset="0"/>
                  </a:rPr>
                  <a:t>Porphyrin (µM)</a:t>
                </a:r>
              </a:p>
            </c:rich>
          </c:tx>
          <c:layout>
            <c:manualLayout>
              <c:xMode val="edge"/>
              <c:yMode val="edge"/>
              <c:x val="0.40037599441136462"/>
              <c:y val="0.91776410371506401"/>
            </c:manualLayout>
          </c:layout>
          <c:overlay val="0"/>
        </c:title>
        <c:numFmt formatCode="General" sourceLinked="1"/>
        <c:majorTickMark val="out"/>
        <c:minorTickMark val="none"/>
        <c:tickLblPos val="nextTo"/>
        <c:spPr>
          <a:noFill/>
          <a:ln w="19050" cap="flat" cmpd="sng" algn="ctr">
            <a:solidFill>
              <a:sysClr val="windowText" lastClr="000000"/>
            </a:solidFill>
            <a:round/>
          </a:ln>
          <a:effectLst/>
        </c:spPr>
        <c:txPr>
          <a:bodyPr rot="0" vert="horz"/>
          <a:lstStyle/>
          <a:p>
            <a:pPr>
              <a:defRPr sz="1200" b="1"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crossAx val="292362760"/>
        <c:crosses val="autoZero"/>
        <c:crossBetween val="midCat"/>
      </c:valAx>
      <c:valAx>
        <c:axId val="292362760"/>
        <c:scaling>
          <c:orientation val="minMax"/>
          <c:min val="0"/>
        </c:scaling>
        <c:delete val="0"/>
        <c:axPos val="l"/>
        <c:title>
          <c:tx>
            <c:rich>
              <a:bodyPr/>
              <a:lstStyle/>
              <a:p>
                <a:pPr>
                  <a:defRPr>
                    <a:latin typeface="Arial" panose="020B0604020202020204" pitchFamily="34" charset="0"/>
                    <a:cs typeface="Arial" panose="020B0604020202020204" pitchFamily="34" charset="0"/>
                  </a:defRPr>
                </a:pPr>
                <a:r>
                  <a:rPr lang="en-GB" sz="1200">
                    <a:latin typeface="Arial" panose="020B0604020202020204" pitchFamily="34" charset="0"/>
                    <a:cs typeface="Arial" panose="020B0604020202020204" pitchFamily="34" charset="0"/>
                  </a:rPr>
                  <a:t>% viability</a:t>
                </a:r>
              </a:p>
            </c:rich>
          </c:tx>
          <c:overlay val="0"/>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2362368"/>
        <c:crossesAt val="0.1"/>
        <c:crossBetween val="midCat"/>
      </c:valAx>
      <c:spPr>
        <a:noFill/>
        <a:ln w="25400">
          <a:noFill/>
        </a:ln>
      </c:spPr>
    </c:plotArea>
    <c:legend>
      <c:legendPos val="b"/>
      <c:layout>
        <c:manualLayout>
          <c:xMode val="edge"/>
          <c:yMode val="edge"/>
          <c:x val="0.55578301117100548"/>
          <c:y val="2.5805215906453236E-3"/>
          <c:w val="0.42598550091116044"/>
          <c:h val="0.24677045239474935"/>
        </c:manualLayout>
      </c:layout>
      <c:overlay val="0"/>
      <c:spPr>
        <a:noFill/>
        <a:ln w="25400">
          <a:noFill/>
        </a:ln>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32486877372012"/>
          <c:y val="0.15078606624143717"/>
          <c:w val="0.76983046591803961"/>
          <c:h val="0.72287515078139253"/>
        </c:manualLayout>
      </c:layout>
      <c:scatterChart>
        <c:scatterStyle val="lineMarker"/>
        <c:varyColors val="0"/>
        <c:ser>
          <c:idx val="0"/>
          <c:order val="0"/>
          <c:tx>
            <c:strRef>
              <c:f>sheet3!$E$26</c:f>
              <c:strCache>
                <c:ptCount val="1"/>
                <c:pt idx="0">
                  <c:v>% viability Troph dark</c:v>
                </c:pt>
              </c:strCache>
            </c:strRef>
          </c:tx>
          <c:spPr>
            <a:ln w="12700" cap="rnd">
              <a:solidFill>
                <a:srgbClr val="0070C0"/>
              </a:solidFill>
              <a:prstDash val="solid"/>
              <a:round/>
            </a:ln>
            <a:effectLst/>
          </c:spPr>
          <c:marker>
            <c:symbol val="circle"/>
            <c:size val="5"/>
            <c:spPr>
              <a:solidFill>
                <a:srgbClr val="0070C0"/>
              </a:solidFill>
              <a:ln w="12700">
                <a:solidFill>
                  <a:srgbClr val="0070C0"/>
                </a:solidFill>
                <a:prstDash val="solid"/>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sheet3!$D$27:$D$34</c:f>
              <c:numCache>
                <c:formatCode>General</c:formatCode>
                <c:ptCount val="8"/>
                <c:pt idx="0">
                  <c:v>50</c:v>
                </c:pt>
                <c:pt idx="1">
                  <c:v>25</c:v>
                </c:pt>
                <c:pt idx="2">
                  <c:v>12.5</c:v>
                </c:pt>
                <c:pt idx="3">
                  <c:v>6.25</c:v>
                </c:pt>
                <c:pt idx="4">
                  <c:v>3.125</c:v>
                </c:pt>
                <c:pt idx="5">
                  <c:v>1.56</c:v>
                </c:pt>
                <c:pt idx="6">
                  <c:v>0.7</c:v>
                </c:pt>
                <c:pt idx="7">
                  <c:v>0.3</c:v>
                </c:pt>
              </c:numCache>
            </c:numRef>
          </c:xVal>
          <c:yVal>
            <c:numRef>
              <c:f>sheet3!$E$27:$E$34</c:f>
              <c:numCache>
                <c:formatCode>General</c:formatCode>
                <c:ptCount val="8"/>
                <c:pt idx="0">
                  <c:v>104</c:v>
                </c:pt>
                <c:pt idx="1">
                  <c:v>116</c:v>
                </c:pt>
                <c:pt idx="2">
                  <c:v>108</c:v>
                </c:pt>
                <c:pt idx="3">
                  <c:v>99</c:v>
                </c:pt>
                <c:pt idx="4">
                  <c:v>100</c:v>
                </c:pt>
                <c:pt idx="5">
                  <c:v>106</c:v>
                </c:pt>
                <c:pt idx="6">
                  <c:v>99</c:v>
                </c:pt>
                <c:pt idx="7">
                  <c:v>111</c:v>
                </c:pt>
              </c:numCache>
            </c:numRef>
          </c:yVal>
          <c:smooth val="0"/>
          <c:extLst>
            <c:ext xmlns:c16="http://schemas.microsoft.com/office/drawing/2014/chart" uri="{C3380CC4-5D6E-409C-BE32-E72D297353CC}">
              <c16:uniqueId val="{00000000-1A2E-4C76-BA0F-A10E6CB1885A}"/>
            </c:ext>
          </c:extLst>
        </c:ser>
        <c:ser>
          <c:idx val="1"/>
          <c:order val="1"/>
          <c:tx>
            <c:strRef>
              <c:f>sheet3!$F$26</c:f>
              <c:strCache>
                <c:ptCount val="1"/>
                <c:pt idx="0">
                  <c:v>% viability troph ligh</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sheet3!$D$27:$D$34</c:f>
              <c:numCache>
                <c:formatCode>General</c:formatCode>
                <c:ptCount val="8"/>
                <c:pt idx="0">
                  <c:v>50</c:v>
                </c:pt>
                <c:pt idx="1">
                  <c:v>25</c:v>
                </c:pt>
                <c:pt idx="2">
                  <c:v>12.5</c:v>
                </c:pt>
                <c:pt idx="3">
                  <c:v>6.25</c:v>
                </c:pt>
                <c:pt idx="4">
                  <c:v>3.125</c:v>
                </c:pt>
                <c:pt idx="5">
                  <c:v>1.56</c:v>
                </c:pt>
                <c:pt idx="6">
                  <c:v>0.7</c:v>
                </c:pt>
                <c:pt idx="7">
                  <c:v>0.3</c:v>
                </c:pt>
              </c:numCache>
            </c:numRef>
          </c:xVal>
          <c:yVal>
            <c:numRef>
              <c:f>sheet3!$F$27:$F$34</c:f>
              <c:numCache>
                <c:formatCode>General</c:formatCode>
                <c:ptCount val="8"/>
                <c:pt idx="0">
                  <c:v>20.5</c:v>
                </c:pt>
                <c:pt idx="1">
                  <c:v>21.9</c:v>
                </c:pt>
                <c:pt idx="2">
                  <c:v>41.4</c:v>
                </c:pt>
                <c:pt idx="3">
                  <c:v>45.9</c:v>
                </c:pt>
                <c:pt idx="4">
                  <c:v>59.5</c:v>
                </c:pt>
                <c:pt idx="5">
                  <c:v>98.1</c:v>
                </c:pt>
                <c:pt idx="6">
                  <c:v>99.3</c:v>
                </c:pt>
                <c:pt idx="7">
                  <c:v>98.5</c:v>
                </c:pt>
              </c:numCache>
            </c:numRef>
          </c:yVal>
          <c:smooth val="0"/>
          <c:extLst>
            <c:ext xmlns:c16="http://schemas.microsoft.com/office/drawing/2014/chart" uri="{C3380CC4-5D6E-409C-BE32-E72D297353CC}">
              <c16:uniqueId val="{00000001-1A2E-4C76-BA0F-A10E6CB1885A}"/>
            </c:ext>
          </c:extLst>
        </c:ser>
        <c:dLbls>
          <c:showLegendKey val="0"/>
          <c:showVal val="0"/>
          <c:showCatName val="0"/>
          <c:showSerName val="0"/>
          <c:showPercent val="0"/>
          <c:showBubbleSize val="0"/>
        </c:dLbls>
        <c:axId val="292363544"/>
        <c:axId val="292363936"/>
      </c:scatterChart>
      <c:valAx>
        <c:axId val="292363544"/>
        <c:scaling>
          <c:orientation val="minMax"/>
        </c:scaling>
        <c:delete val="0"/>
        <c:axPos val="b"/>
        <c:title>
          <c:tx>
            <c:rich>
              <a:bodyPr/>
              <a:lstStyle/>
              <a:p>
                <a:pPr>
                  <a:defRPr>
                    <a:latin typeface="Arial" panose="020B0604020202020204" pitchFamily="34" charset="0"/>
                    <a:cs typeface="Arial" panose="020B0604020202020204" pitchFamily="34" charset="0"/>
                  </a:defRPr>
                </a:pPr>
                <a:r>
                  <a:rPr lang="en-GB" sz="1200">
                    <a:latin typeface="Arial" panose="020B0604020202020204" pitchFamily="34" charset="0"/>
                    <a:cs typeface="Arial" panose="020B0604020202020204" pitchFamily="34" charset="0"/>
                  </a:rPr>
                  <a:t>Porphyrin (µM)</a:t>
                </a:r>
              </a:p>
            </c:rich>
          </c:tx>
          <c:layout>
            <c:manualLayout>
              <c:xMode val="edge"/>
              <c:yMode val="edge"/>
              <c:x val="0.39296687564404098"/>
              <c:y val="0.94429424159593978"/>
            </c:manualLayout>
          </c:layout>
          <c:overlay val="0"/>
        </c:title>
        <c:numFmt formatCode="General" sourceLinked="1"/>
        <c:majorTickMark val="out"/>
        <c:minorTickMark val="none"/>
        <c:tickLblPos val="nextTo"/>
        <c:spPr>
          <a:noFill/>
          <a:ln w="19050" cap="flat" cmpd="sng" algn="ctr">
            <a:solidFill>
              <a:sysClr val="windowText" lastClr="000000"/>
            </a:solidFill>
            <a:round/>
          </a:ln>
          <a:effectLst/>
        </c:spPr>
        <c:txPr>
          <a:bodyPr rot="0" vert="horz"/>
          <a:lstStyle/>
          <a:p>
            <a:pPr>
              <a:defRPr sz="1200" b="1" i="0" u="none" strike="noStrike" baseline="0">
                <a:solidFill>
                  <a:srgbClr val="333333"/>
                </a:solidFill>
                <a:latin typeface="Arial" panose="020B0604020202020204" pitchFamily="34" charset="0"/>
                <a:ea typeface="Calibri"/>
                <a:cs typeface="Arial" panose="020B0604020202020204" pitchFamily="34" charset="0"/>
              </a:defRPr>
            </a:pPr>
            <a:endParaRPr lang="en-US"/>
          </a:p>
        </c:txPr>
        <c:crossAx val="292363936"/>
        <c:crossesAt val="0.1"/>
        <c:crossBetween val="midCat"/>
      </c:valAx>
      <c:valAx>
        <c:axId val="292363936"/>
        <c:scaling>
          <c:orientation val="minMax"/>
        </c:scaling>
        <c:delete val="0"/>
        <c:axPos val="l"/>
        <c:title>
          <c:tx>
            <c:rich>
              <a:bodyPr/>
              <a:lstStyle/>
              <a:p>
                <a:pPr>
                  <a:defRPr>
                    <a:latin typeface="Arial" panose="020B0604020202020204" pitchFamily="34" charset="0"/>
                    <a:cs typeface="Arial" panose="020B0604020202020204" pitchFamily="34" charset="0"/>
                  </a:defRPr>
                </a:pPr>
                <a:r>
                  <a:rPr lang="en-GB" sz="1200">
                    <a:latin typeface="Arial" panose="020B0604020202020204" pitchFamily="34" charset="0"/>
                    <a:cs typeface="Arial" panose="020B0604020202020204" pitchFamily="34" charset="0"/>
                  </a:rPr>
                  <a:t>% viability</a:t>
                </a:r>
              </a:p>
            </c:rich>
          </c:tx>
          <c:layout>
            <c:manualLayout>
              <c:xMode val="edge"/>
              <c:yMode val="edge"/>
              <c:x val="4.1806085150990539E-2"/>
              <c:y val="0.39969234443375218"/>
            </c:manualLayout>
          </c:layout>
          <c:overlay val="0"/>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2363544"/>
        <c:crossesAt val="0.1"/>
        <c:crossBetween val="midCat"/>
      </c:valAx>
      <c:spPr>
        <a:noFill/>
        <a:ln w="25400">
          <a:noFill/>
        </a:ln>
      </c:spPr>
    </c:plotArea>
    <c:legend>
      <c:legendPos val="b"/>
      <c:layout>
        <c:manualLayout>
          <c:xMode val="edge"/>
          <c:yMode val="edge"/>
          <c:x val="0.57160936330922441"/>
          <c:y val="3.7615193934091573E-2"/>
          <c:w val="0.39219154166815129"/>
          <c:h val="0.20312554680664913"/>
        </c:manualLayout>
      </c:layout>
      <c:overlay val="0"/>
      <c:spPr>
        <a:noFill/>
        <a:ln w="25400">
          <a:noFill/>
        </a:ln>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172186882487237"/>
          <c:y val="0.10323164917857923"/>
          <c:w val="0.78813023415581585"/>
          <c:h val="0.75797047156566533"/>
        </c:manualLayout>
      </c:layout>
      <c:scatterChart>
        <c:scatterStyle val="lineMarker"/>
        <c:varyColors val="0"/>
        <c:ser>
          <c:idx val="0"/>
          <c:order val="0"/>
          <c:tx>
            <c:strRef>
              <c:f>sheet3!$E$56</c:f>
              <c:strCache>
                <c:ptCount val="1"/>
                <c:pt idx="0">
                  <c:v>% viability cyst dark</c:v>
                </c:pt>
              </c:strCache>
            </c:strRef>
          </c:tx>
          <c:spPr>
            <a:ln w="12700" cap="rnd">
              <a:solidFill>
                <a:srgbClr val="0070C0"/>
              </a:solidFill>
              <a:prstDash val="solid"/>
              <a:round/>
            </a:ln>
            <a:effectLst/>
          </c:spPr>
          <c:marker>
            <c:symbol val="circle"/>
            <c:size val="5"/>
            <c:spPr>
              <a:solidFill>
                <a:srgbClr val="0070C0"/>
              </a:solidFill>
              <a:ln w="12700">
                <a:solidFill>
                  <a:srgbClr val="0070C0"/>
                </a:solidFill>
                <a:prstDash val="solid"/>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xVal>
            <c:numRef>
              <c:f>sheet3!$D$57:$D$64</c:f>
              <c:numCache>
                <c:formatCode>General</c:formatCode>
                <c:ptCount val="8"/>
                <c:pt idx="0">
                  <c:v>50</c:v>
                </c:pt>
                <c:pt idx="1">
                  <c:v>25</c:v>
                </c:pt>
                <c:pt idx="2">
                  <c:v>12.5</c:v>
                </c:pt>
                <c:pt idx="3">
                  <c:v>6.25</c:v>
                </c:pt>
                <c:pt idx="4">
                  <c:v>3.125</c:v>
                </c:pt>
                <c:pt idx="5">
                  <c:v>1.56</c:v>
                </c:pt>
                <c:pt idx="6">
                  <c:v>0.7</c:v>
                </c:pt>
                <c:pt idx="7">
                  <c:v>0.3</c:v>
                </c:pt>
              </c:numCache>
            </c:numRef>
          </c:xVal>
          <c:yVal>
            <c:numRef>
              <c:f>sheet3!$E$57:$E$64</c:f>
              <c:numCache>
                <c:formatCode>General</c:formatCode>
                <c:ptCount val="8"/>
                <c:pt idx="0">
                  <c:v>96.5</c:v>
                </c:pt>
                <c:pt idx="1">
                  <c:v>88.4</c:v>
                </c:pt>
                <c:pt idx="2">
                  <c:v>86.7</c:v>
                </c:pt>
                <c:pt idx="3">
                  <c:v>95.6</c:v>
                </c:pt>
                <c:pt idx="4">
                  <c:v>91.4</c:v>
                </c:pt>
                <c:pt idx="5">
                  <c:v>90.7</c:v>
                </c:pt>
                <c:pt idx="6">
                  <c:v>91.1</c:v>
                </c:pt>
                <c:pt idx="7">
                  <c:v>105.5</c:v>
                </c:pt>
              </c:numCache>
            </c:numRef>
          </c:yVal>
          <c:smooth val="0"/>
          <c:extLst>
            <c:ext xmlns:c16="http://schemas.microsoft.com/office/drawing/2014/chart" uri="{C3380CC4-5D6E-409C-BE32-E72D297353CC}">
              <c16:uniqueId val="{00000000-6712-4ECC-87CC-50A270218CD4}"/>
            </c:ext>
          </c:extLst>
        </c:ser>
        <c:ser>
          <c:idx val="1"/>
          <c:order val="1"/>
          <c:tx>
            <c:strRef>
              <c:f>sheet3!$F$56</c:f>
              <c:strCache>
                <c:ptCount val="1"/>
                <c:pt idx="0">
                  <c:v>% viability cyst light</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sheet3!$D$57:$D$64</c:f>
              <c:numCache>
                <c:formatCode>General</c:formatCode>
                <c:ptCount val="8"/>
                <c:pt idx="0">
                  <c:v>50</c:v>
                </c:pt>
                <c:pt idx="1">
                  <c:v>25</c:v>
                </c:pt>
                <c:pt idx="2">
                  <c:v>12.5</c:v>
                </c:pt>
                <c:pt idx="3">
                  <c:v>6.25</c:v>
                </c:pt>
                <c:pt idx="4">
                  <c:v>3.125</c:v>
                </c:pt>
                <c:pt idx="5">
                  <c:v>1.56</c:v>
                </c:pt>
                <c:pt idx="6">
                  <c:v>0.7</c:v>
                </c:pt>
                <c:pt idx="7">
                  <c:v>0.3</c:v>
                </c:pt>
              </c:numCache>
            </c:numRef>
          </c:xVal>
          <c:yVal>
            <c:numRef>
              <c:f>sheet3!$F$57:$F$64</c:f>
              <c:numCache>
                <c:formatCode>General</c:formatCode>
                <c:ptCount val="8"/>
                <c:pt idx="0">
                  <c:v>23.9</c:v>
                </c:pt>
                <c:pt idx="1">
                  <c:v>47.4</c:v>
                </c:pt>
                <c:pt idx="2">
                  <c:v>69.5</c:v>
                </c:pt>
                <c:pt idx="3">
                  <c:v>78.7</c:v>
                </c:pt>
                <c:pt idx="4">
                  <c:v>86.3</c:v>
                </c:pt>
                <c:pt idx="5">
                  <c:v>98</c:v>
                </c:pt>
                <c:pt idx="6">
                  <c:v>103</c:v>
                </c:pt>
                <c:pt idx="7">
                  <c:v>108</c:v>
                </c:pt>
              </c:numCache>
            </c:numRef>
          </c:yVal>
          <c:smooth val="0"/>
          <c:extLst>
            <c:ext xmlns:c16="http://schemas.microsoft.com/office/drawing/2014/chart" uri="{C3380CC4-5D6E-409C-BE32-E72D297353CC}">
              <c16:uniqueId val="{00000001-6712-4ECC-87CC-50A270218CD4}"/>
            </c:ext>
          </c:extLst>
        </c:ser>
        <c:dLbls>
          <c:showLegendKey val="0"/>
          <c:showVal val="0"/>
          <c:showCatName val="0"/>
          <c:showSerName val="0"/>
          <c:showPercent val="0"/>
          <c:showBubbleSize val="0"/>
        </c:dLbls>
        <c:axId val="292364720"/>
        <c:axId val="292365112"/>
      </c:scatterChart>
      <c:valAx>
        <c:axId val="292364720"/>
        <c:scaling>
          <c:orientation val="minMax"/>
        </c:scaling>
        <c:delete val="0"/>
        <c:axPos val="b"/>
        <c:title>
          <c:tx>
            <c:rich>
              <a:bodyPr/>
              <a:lstStyle/>
              <a:p>
                <a:pPr>
                  <a:defRPr sz="1200">
                    <a:latin typeface="Arial" panose="020B0604020202020204" pitchFamily="34" charset="0"/>
                    <a:cs typeface="Arial" panose="020B0604020202020204" pitchFamily="34" charset="0"/>
                  </a:defRPr>
                </a:pPr>
                <a:r>
                  <a:rPr lang="en-GB" sz="1200">
                    <a:latin typeface="Arial" panose="020B0604020202020204" pitchFamily="34" charset="0"/>
                    <a:cs typeface="Arial" panose="020B0604020202020204" pitchFamily="34" charset="0"/>
                  </a:rPr>
                  <a:t>Porphyrin (µM)</a:t>
                </a:r>
              </a:p>
            </c:rich>
          </c:tx>
          <c:layout>
            <c:manualLayout>
              <c:xMode val="edge"/>
              <c:yMode val="edge"/>
              <c:x val="0.38328237828730582"/>
              <c:y val="0.93687052092926804"/>
            </c:manualLayout>
          </c:layout>
          <c:overlay val="0"/>
        </c:title>
        <c:numFmt formatCode="General" sourceLinked="1"/>
        <c:majorTickMark val="out"/>
        <c:minorTickMark val="none"/>
        <c:tickLblPos val="nextTo"/>
        <c:spPr>
          <a:noFill/>
          <a:ln w="19050" cap="flat" cmpd="sng" algn="ctr">
            <a:solidFill>
              <a:sysClr val="windowText" lastClr="000000"/>
            </a:solidFill>
            <a:round/>
          </a:ln>
          <a:effectLst/>
        </c:spPr>
        <c:txPr>
          <a:bodyPr rot="0" vert="horz"/>
          <a:lstStyle/>
          <a:p>
            <a:pPr>
              <a:defRPr sz="1200" b="1" i="0" u="none" strike="noStrike" baseline="0">
                <a:solidFill>
                  <a:srgbClr val="333333"/>
                </a:solidFill>
                <a:latin typeface="Arial" panose="020B0604020202020204" pitchFamily="34" charset="0"/>
                <a:ea typeface="Calibri"/>
                <a:cs typeface="Arial" panose="020B0604020202020204" pitchFamily="34" charset="0"/>
              </a:defRPr>
            </a:pPr>
            <a:endParaRPr lang="en-US"/>
          </a:p>
        </c:txPr>
        <c:crossAx val="292365112"/>
        <c:crosses val="autoZero"/>
        <c:crossBetween val="midCat"/>
      </c:valAx>
      <c:valAx>
        <c:axId val="292365112"/>
        <c:scaling>
          <c:orientation val="minMax"/>
        </c:scaling>
        <c:delete val="0"/>
        <c:axPos val="l"/>
        <c:title>
          <c:tx>
            <c:rich>
              <a:bodyPr/>
              <a:lstStyle/>
              <a:p>
                <a:pPr>
                  <a:defRPr>
                    <a:latin typeface="Arial" panose="020B0604020202020204" pitchFamily="34" charset="0"/>
                    <a:cs typeface="Arial" panose="020B0604020202020204" pitchFamily="34" charset="0"/>
                  </a:defRPr>
                </a:pPr>
                <a:r>
                  <a:rPr lang="en-GB" sz="1200">
                    <a:latin typeface="Arial" panose="020B0604020202020204" pitchFamily="34" charset="0"/>
                    <a:cs typeface="Arial" panose="020B0604020202020204" pitchFamily="34" charset="0"/>
                  </a:rPr>
                  <a:t>% Viability</a:t>
                </a:r>
              </a:p>
            </c:rich>
          </c:tx>
          <c:layout>
            <c:manualLayout>
              <c:xMode val="edge"/>
              <c:yMode val="edge"/>
              <c:x val="1.7133178575441728E-2"/>
              <c:y val="0.40099011634217135"/>
            </c:manualLayout>
          </c:layout>
          <c:overlay val="0"/>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2364720"/>
        <c:crossesAt val="0.1"/>
        <c:crossBetween val="midCat"/>
      </c:valAx>
      <c:spPr>
        <a:noFill/>
        <a:ln w="25400">
          <a:noFill/>
        </a:ln>
      </c:spPr>
    </c:plotArea>
    <c:legend>
      <c:legendPos val="b"/>
      <c:layout>
        <c:manualLayout>
          <c:xMode val="edge"/>
          <c:yMode val="edge"/>
          <c:x val="0.63120345602732675"/>
          <c:y val="4.6232192674028956E-2"/>
          <c:w val="0.36879654397267325"/>
          <c:h val="0.18544264319901188"/>
        </c:manualLayout>
      </c:layout>
      <c:overlay val="0"/>
      <c:spPr>
        <a:noFill/>
        <a:ln w="25400">
          <a:noFill/>
        </a:ln>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81711407695662"/>
          <c:y val="6.8847119916462043E-2"/>
          <c:w val="0.73160368467455084"/>
          <c:h val="0.75927384076990379"/>
        </c:manualLayout>
      </c:layout>
      <c:scatterChart>
        <c:scatterStyle val="lineMarker"/>
        <c:varyColors val="0"/>
        <c:ser>
          <c:idx val="0"/>
          <c:order val="0"/>
          <c:tx>
            <c:strRef>
              <c:f>'[Chart in Microsoft Word]Sheet2'!$F$15</c:f>
              <c:strCache>
                <c:ptCount val="1"/>
                <c:pt idx="0">
                  <c:v>Fluorecence</c:v>
                </c:pt>
              </c:strCache>
            </c:strRef>
          </c:tx>
          <c:spPr>
            <a:ln w="19050" cap="rnd">
              <a:noFill/>
              <a:round/>
            </a:ln>
            <a:effectLst/>
          </c:spPr>
          <c:marker>
            <c:symbol val="none"/>
          </c:marker>
          <c:trendline>
            <c:spPr>
              <a:ln w="12700" cap="rnd">
                <a:solidFill>
                  <a:schemeClr val="tx1"/>
                </a:solidFill>
                <a:prstDash val="solid"/>
              </a:ln>
              <a:effectLst/>
            </c:spPr>
            <c:trendlineType val="linear"/>
            <c:dispRSqr val="0"/>
            <c:dispEq val="0"/>
          </c:trendline>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'[Chart in Microsoft Word]Sheet2'!$E$16:$E$20</c:f>
              <c:numCache>
                <c:formatCode>General</c:formatCode>
                <c:ptCount val="5"/>
                <c:pt idx="0">
                  <c:v>1000000</c:v>
                </c:pt>
                <c:pt idx="1">
                  <c:v>500000</c:v>
                </c:pt>
                <c:pt idx="2">
                  <c:v>250000</c:v>
                </c:pt>
                <c:pt idx="3">
                  <c:v>125000</c:v>
                </c:pt>
                <c:pt idx="4">
                  <c:v>6250</c:v>
                </c:pt>
              </c:numCache>
            </c:numRef>
          </c:xVal>
          <c:yVal>
            <c:numRef>
              <c:f>'[Chart in Microsoft Word]Sheet2'!$F$16:$F$20</c:f>
              <c:numCache>
                <c:formatCode>General</c:formatCode>
                <c:ptCount val="5"/>
                <c:pt idx="0">
                  <c:v>83212</c:v>
                </c:pt>
                <c:pt idx="1">
                  <c:v>44656.25</c:v>
                </c:pt>
                <c:pt idx="2">
                  <c:v>42009.25</c:v>
                </c:pt>
                <c:pt idx="3">
                  <c:v>31509.25</c:v>
                </c:pt>
                <c:pt idx="4">
                  <c:v>23354</c:v>
                </c:pt>
              </c:numCache>
            </c:numRef>
          </c:yVal>
          <c:smooth val="0"/>
          <c:extLst>
            <c:ext xmlns:c16="http://schemas.microsoft.com/office/drawing/2014/chart" uri="{C3380CC4-5D6E-409C-BE32-E72D297353CC}">
              <c16:uniqueId val="{00000000-0187-41B6-B5DE-345FDC12BCB3}"/>
            </c:ext>
          </c:extLst>
        </c:ser>
        <c:dLbls>
          <c:showLegendKey val="0"/>
          <c:showVal val="0"/>
          <c:showCatName val="0"/>
          <c:showSerName val="0"/>
          <c:showPercent val="0"/>
          <c:showBubbleSize val="0"/>
        </c:dLbls>
        <c:axId val="289556856"/>
        <c:axId val="289557248"/>
      </c:scatterChart>
      <c:valAx>
        <c:axId val="289556856"/>
        <c:scaling>
          <c:orientation val="minMax"/>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100" b="1">
                    <a:solidFill>
                      <a:schemeClr val="tx1"/>
                    </a:solidFill>
                    <a:latin typeface="Arial" panose="020B0604020202020204" pitchFamily="34" charset="0"/>
                    <a:cs typeface="Arial" panose="020B0604020202020204" pitchFamily="34" charset="0"/>
                  </a:rPr>
                  <a:t>Cell number (mL</a:t>
                </a:r>
                <a:r>
                  <a:rPr lang="en-GB" sz="1100" b="1">
                    <a:latin typeface="Arial" panose="020B0604020202020204" pitchFamily="34" charset="0"/>
                    <a:cs typeface="Arial" panose="020B0604020202020204" pitchFamily="34" charset="0"/>
                  </a:rPr>
                  <a:t>)</a:t>
                </a:r>
              </a:p>
            </c:rich>
          </c:tx>
          <c:layout>
            <c:manualLayout>
              <c:xMode val="edge"/>
              <c:yMode val="edge"/>
              <c:x val="0.41646307725047882"/>
              <c:y val="0.931705767548287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9557248"/>
        <c:crossesAt val="0"/>
        <c:crossBetween val="midCat"/>
      </c:valAx>
      <c:valAx>
        <c:axId val="289557248"/>
        <c:scaling>
          <c:orientation val="minMax"/>
          <c:min val="20000"/>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GB" sz="1100" b="1">
                    <a:solidFill>
                      <a:schemeClr val="tx1"/>
                    </a:solidFill>
                    <a:latin typeface="Arial" panose="020B0604020202020204" pitchFamily="34" charset="0"/>
                    <a:cs typeface="Arial" panose="020B0604020202020204" pitchFamily="34" charset="0"/>
                  </a:rPr>
                  <a:t>Fluorecence</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95568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56734571944605"/>
          <c:y val="0.10447943149683458"/>
          <c:w val="0.75846970573161476"/>
          <c:h val="0.76167001662763734"/>
        </c:manualLayout>
      </c:layout>
      <c:scatterChart>
        <c:scatterStyle val="lineMarker"/>
        <c:varyColors val="0"/>
        <c:ser>
          <c:idx val="0"/>
          <c:order val="0"/>
          <c:tx>
            <c:strRef>
              <c:f>Sheet2!$J$23</c:f>
              <c:strCache>
                <c:ptCount val="1"/>
                <c:pt idx="0">
                  <c:v>% viability troph light</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Sheet2!$I$24:$I$31</c:f>
              <c:numCache>
                <c:formatCode>General</c:formatCode>
                <c:ptCount val="8"/>
                <c:pt idx="0">
                  <c:v>100</c:v>
                </c:pt>
                <c:pt idx="1">
                  <c:v>50</c:v>
                </c:pt>
                <c:pt idx="2">
                  <c:v>25</c:v>
                </c:pt>
                <c:pt idx="3">
                  <c:v>12.5</c:v>
                </c:pt>
                <c:pt idx="4">
                  <c:v>6.25</c:v>
                </c:pt>
                <c:pt idx="5">
                  <c:v>3.125</c:v>
                </c:pt>
                <c:pt idx="6">
                  <c:v>1.5</c:v>
                </c:pt>
                <c:pt idx="7">
                  <c:v>0.7</c:v>
                </c:pt>
              </c:numCache>
            </c:numRef>
          </c:xVal>
          <c:yVal>
            <c:numRef>
              <c:f>Sheet2!$J$24:$J$31</c:f>
              <c:numCache>
                <c:formatCode>General</c:formatCode>
                <c:ptCount val="8"/>
                <c:pt idx="0">
                  <c:v>62</c:v>
                </c:pt>
                <c:pt idx="1">
                  <c:v>64</c:v>
                </c:pt>
                <c:pt idx="2">
                  <c:v>70</c:v>
                </c:pt>
                <c:pt idx="3">
                  <c:v>72</c:v>
                </c:pt>
                <c:pt idx="4">
                  <c:v>86</c:v>
                </c:pt>
                <c:pt idx="5">
                  <c:v>83</c:v>
                </c:pt>
                <c:pt idx="6">
                  <c:v>90</c:v>
                </c:pt>
                <c:pt idx="7">
                  <c:v>92</c:v>
                </c:pt>
              </c:numCache>
            </c:numRef>
          </c:yVal>
          <c:smooth val="0"/>
          <c:extLst>
            <c:ext xmlns:c16="http://schemas.microsoft.com/office/drawing/2014/chart" uri="{C3380CC4-5D6E-409C-BE32-E72D297353CC}">
              <c16:uniqueId val="{00000000-101B-41D8-82CA-291F5F365874}"/>
            </c:ext>
          </c:extLst>
        </c:ser>
        <c:ser>
          <c:idx val="1"/>
          <c:order val="1"/>
          <c:tx>
            <c:strRef>
              <c:f>Sheet2!$K$23</c:f>
              <c:strCache>
                <c:ptCount val="1"/>
                <c:pt idx="0">
                  <c:v>% viability trogh dark</c:v>
                </c:pt>
              </c:strCache>
            </c:strRef>
          </c:tx>
          <c:spPr>
            <a:ln w="12700" cap="rnd">
              <a:solidFill>
                <a:srgbClr val="0070C0"/>
              </a:solidFill>
              <a:prstDash val="solid"/>
              <a:round/>
            </a:ln>
            <a:effectLst/>
          </c:spPr>
          <c:marker>
            <c:symbol val="circle"/>
            <c:size val="5"/>
            <c:spPr>
              <a:solidFill>
                <a:srgbClr val="0070C0"/>
              </a:solidFill>
              <a:ln w="12700">
                <a:solidFill>
                  <a:srgbClr val="0070C0"/>
                </a:solidFill>
                <a:prstDash val="solid"/>
              </a:ln>
              <a:effectLst/>
            </c:spPr>
          </c:marker>
          <c:errBars>
            <c:errDir val="x"/>
            <c:errBarType val="both"/>
            <c:errValType val="percentage"/>
            <c:noEndCap val="0"/>
            <c:val val="5"/>
            <c:spPr>
              <a:noFill/>
              <a:ln w="9525" cap="flat" cmpd="sng" algn="ctr">
                <a:solidFill>
                  <a:schemeClr val="tx1">
                    <a:lumMod val="65000"/>
                    <a:lumOff val="35000"/>
                  </a:schemeClr>
                </a:solidFill>
                <a:round/>
              </a:ln>
              <a:effectLst/>
            </c:spPr>
          </c:errBars>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Sheet2!$I$24:$I$31</c:f>
              <c:numCache>
                <c:formatCode>General</c:formatCode>
                <c:ptCount val="8"/>
                <c:pt idx="0">
                  <c:v>100</c:v>
                </c:pt>
                <c:pt idx="1">
                  <c:v>50</c:v>
                </c:pt>
                <c:pt idx="2">
                  <c:v>25</c:v>
                </c:pt>
                <c:pt idx="3">
                  <c:v>12.5</c:v>
                </c:pt>
                <c:pt idx="4">
                  <c:v>6.25</c:v>
                </c:pt>
                <c:pt idx="5">
                  <c:v>3.125</c:v>
                </c:pt>
                <c:pt idx="6">
                  <c:v>1.5</c:v>
                </c:pt>
                <c:pt idx="7">
                  <c:v>0.7</c:v>
                </c:pt>
              </c:numCache>
            </c:numRef>
          </c:xVal>
          <c:yVal>
            <c:numRef>
              <c:f>Sheet2!$K$24:$K$31</c:f>
              <c:numCache>
                <c:formatCode>General</c:formatCode>
                <c:ptCount val="8"/>
                <c:pt idx="0">
                  <c:v>104</c:v>
                </c:pt>
                <c:pt idx="1">
                  <c:v>96</c:v>
                </c:pt>
                <c:pt idx="2">
                  <c:v>96</c:v>
                </c:pt>
                <c:pt idx="3">
                  <c:v>102</c:v>
                </c:pt>
                <c:pt idx="4">
                  <c:v>99</c:v>
                </c:pt>
                <c:pt idx="5">
                  <c:v>100</c:v>
                </c:pt>
                <c:pt idx="6">
                  <c:v>98</c:v>
                </c:pt>
                <c:pt idx="7">
                  <c:v>102</c:v>
                </c:pt>
              </c:numCache>
            </c:numRef>
          </c:yVal>
          <c:smooth val="0"/>
          <c:extLst>
            <c:ext xmlns:c16="http://schemas.microsoft.com/office/drawing/2014/chart" uri="{C3380CC4-5D6E-409C-BE32-E72D297353CC}">
              <c16:uniqueId val="{00000001-101B-41D8-82CA-291F5F365874}"/>
            </c:ext>
          </c:extLst>
        </c:ser>
        <c:dLbls>
          <c:showLegendKey val="0"/>
          <c:showVal val="0"/>
          <c:showCatName val="0"/>
          <c:showSerName val="0"/>
          <c:showPercent val="0"/>
          <c:showBubbleSize val="0"/>
        </c:dLbls>
        <c:axId val="292365896"/>
        <c:axId val="292366288"/>
      </c:scatterChart>
      <c:valAx>
        <c:axId val="292365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Porphyrin (µM)</a:t>
                </a:r>
              </a:p>
            </c:rich>
          </c:tx>
          <c:layout>
            <c:manualLayout>
              <c:xMode val="edge"/>
              <c:yMode val="edge"/>
              <c:x val="0.38072895727940054"/>
              <c:y val="0.934802069365546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2366288"/>
        <c:crosses val="autoZero"/>
        <c:crossBetween val="midCat"/>
      </c:valAx>
      <c:valAx>
        <c:axId val="2923662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 viability</a:t>
                </a:r>
              </a:p>
            </c:rich>
          </c:tx>
          <c:layout>
            <c:manualLayout>
              <c:xMode val="edge"/>
              <c:yMode val="edge"/>
              <c:x val="3.2183688746163501E-2"/>
              <c:y val="0.41193313779410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2365896"/>
        <c:crosses val="autoZero"/>
        <c:crossBetween val="midCat"/>
        <c:majorUnit val="20"/>
      </c:valAx>
      <c:spPr>
        <a:noFill/>
        <a:ln>
          <a:noFill/>
        </a:ln>
        <a:effectLst/>
      </c:spPr>
    </c:plotArea>
    <c:legend>
      <c:legendPos val="b"/>
      <c:layout>
        <c:manualLayout>
          <c:xMode val="edge"/>
          <c:yMode val="edge"/>
          <c:x val="0.59289523184601933"/>
          <c:y val="9.8374161563137847E-3"/>
          <c:w val="0.40587620297462818"/>
          <c:h val="0.20806014517646373"/>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61393447854444"/>
          <c:y val="0.12195002321039125"/>
          <c:w val="0.72415975304718094"/>
          <c:h val="0.71844856990206596"/>
        </c:manualLayout>
      </c:layout>
      <c:scatterChart>
        <c:scatterStyle val="lineMarker"/>
        <c:varyColors val="0"/>
        <c:ser>
          <c:idx val="0"/>
          <c:order val="0"/>
          <c:tx>
            <c:strRef>
              <c:f>Sheet1!$Q$27</c:f>
              <c:strCache>
                <c:ptCount val="1"/>
                <c:pt idx="0">
                  <c:v>% viability cyst dark</c:v>
                </c:pt>
              </c:strCache>
            </c:strRef>
          </c:tx>
          <c:spPr>
            <a:ln w="12700" cap="rnd">
              <a:solidFill>
                <a:srgbClr val="0070C0"/>
              </a:solidFill>
              <a:prstDash val="solid"/>
              <a:round/>
            </a:ln>
            <a:effectLst/>
          </c:spPr>
          <c:marker>
            <c:symbol val="circle"/>
            <c:size val="5"/>
            <c:spPr>
              <a:solidFill>
                <a:srgbClr val="0070C0"/>
              </a:solidFill>
              <a:ln w="12700">
                <a:solidFill>
                  <a:srgbClr val="0070C0"/>
                </a:solidFill>
                <a:prstDash val="solid"/>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Sheet1!$P$28:$P$35</c:f>
              <c:numCache>
                <c:formatCode>General</c:formatCode>
                <c:ptCount val="8"/>
                <c:pt idx="0">
                  <c:v>100</c:v>
                </c:pt>
                <c:pt idx="1">
                  <c:v>50</c:v>
                </c:pt>
                <c:pt idx="2">
                  <c:v>25</c:v>
                </c:pt>
                <c:pt idx="3">
                  <c:v>12.5</c:v>
                </c:pt>
                <c:pt idx="4">
                  <c:v>6.25</c:v>
                </c:pt>
                <c:pt idx="5">
                  <c:v>3.125</c:v>
                </c:pt>
                <c:pt idx="6">
                  <c:v>1.5</c:v>
                </c:pt>
                <c:pt idx="7">
                  <c:v>0.7</c:v>
                </c:pt>
              </c:numCache>
            </c:numRef>
          </c:xVal>
          <c:yVal>
            <c:numRef>
              <c:f>Sheet1!$Q$28:$Q$35</c:f>
              <c:numCache>
                <c:formatCode>General</c:formatCode>
                <c:ptCount val="8"/>
                <c:pt idx="0">
                  <c:v>101</c:v>
                </c:pt>
                <c:pt idx="1">
                  <c:v>107</c:v>
                </c:pt>
                <c:pt idx="2">
                  <c:v>107</c:v>
                </c:pt>
                <c:pt idx="3">
                  <c:v>107</c:v>
                </c:pt>
                <c:pt idx="4">
                  <c:v>94</c:v>
                </c:pt>
                <c:pt idx="5">
                  <c:v>99</c:v>
                </c:pt>
                <c:pt idx="6">
                  <c:v>95</c:v>
                </c:pt>
                <c:pt idx="7">
                  <c:v>96</c:v>
                </c:pt>
              </c:numCache>
            </c:numRef>
          </c:yVal>
          <c:smooth val="0"/>
          <c:extLst>
            <c:ext xmlns:c16="http://schemas.microsoft.com/office/drawing/2014/chart" uri="{C3380CC4-5D6E-409C-BE32-E72D297353CC}">
              <c16:uniqueId val="{00000000-04B3-4C27-931A-69AFE1CA3833}"/>
            </c:ext>
          </c:extLst>
        </c:ser>
        <c:ser>
          <c:idx val="1"/>
          <c:order val="1"/>
          <c:tx>
            <c:strRef>
              <c:f>Sheet1!$R$27</c:f>
              <c:strCache>
                <c:ptCount val="1"/>
                <c:pt idx="0">
                  <c:v>% viability Cyst light</c:v>
                </c:pt>
              </c:strCache>
            </c:strRef>
          </c:tx>
          <c:spPr>
            <a:ln w="12700" cap="rnd">
              <a:solidFill>
                <a:srgbClr val="FF0000"/>
              </a:solidFill>
              <a:round/>
            </a:ln>
            <a:effectLst/>
          </c:spPr>
          <c:marker>
            <c:symbol val="circle"/>
            <c:size val="5"/>
            <c:spPr>
              <a:solidFill>
                <a:srgbClr val="FF0000"/>
              </a:solidFill>
              <a:ln w="12700">
                <a:solidFill>
                  <a:srgbClr val="FF0000"/>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Sheet1!$P$28:$P$35</c:f>
              <c:numCache>
                <c:formatCode>General</c:formatCode>
                <c:ptCount val="8"/>
                <c:pt idx="0">
                  <c:v>100</c:v>
                </c:pt>
                <c:pt idx="1">
                  <c:v>50</c:v>
                </c:pt>
                <c:pt idx="2">
                  <c:v>25</c:v>
                </c:pt>
                <c:pt idx="3">
                  <c:v>12.5</c:v>
                </c:pt>
                <c:pt idx="4">
                  <c:v>6.25</c:v>
                </c:pt>
                <c:pt idx="5">
                  <c:v>3.125</c:v>
                </c:pt>
                <c:pt idx="6">
                  <c:v>1.5</c:v>
                </c:pt>
                <c:pt idx="7">
                  <c:v>0.7</c:v>
                </c:pt>
              </c:numCache>
            </c:numRef>
          </c:xVal>
          <c:yVal>
            <c:numRef>
              <c:f>Sheet1!$R$28:$R$35</c:f>
              <c:numCache>
                <c:formatCode>General</c:formatCode>
                <c:ptCount val="8"/>
                <c:pt idx="0">
                  <c:v>99</c:v>
                </c:pt>
                <c:pt idx="1">
                  <c:v>107</c:v>
                </c:pt>
                <c:pt idx="2">
                  <c:v>103</c:v>
                </c:pt>
                <c:pt idx="3">
                  <c:v>96.9</c:v>
                </c:pt>
                <c:pt idx="4">
                  <c:v>90.5</c:v>
                </c:pt>
                <c:pt idx="5">
                  <c:v>97</c:v>
                </c:pt>
                <c:pt idx="6">
                  <c:v>98.3</c:v>
                </c:pt>
                <c:pt idx="7">
                  <c:v>95</c:v>
                </c:pt>
              </c:numCache>
            </c:numRef>
          </c:yVal>
          <c:smooth val="0"/>
          <c:extLst>
            <c:ext xmlns:c16="http://schemas.microsoft.com/office/drawing/2014/chart" uri="{C3380CC4-5D6E-409C-BE32-E72D297353CC}">
              <c16:uniqueId val="{00000001-04B3-4C27-931A-69AFE1CA3833}"/>
            </c:ext>
          </c:extLst>
        </c:ser>
        <c:dLbls>
          <c:showLegendKey val="0"/>
          <c:showVal val="0"/>
          <c:showCatName val="0"/>
          <c:showSerName val="0"/>
          <c:showPercent val="0"/>
          <c:showBubbleSize val="0"/>
        </c:dLbls>
        <c:axId val="292367072"/>
        <c:axId val="293845808"/>
      </c:scatterChart>
      <c:valAx>
        <c:axId val="29236707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Porphyrin (µM)</a:t>
                </a:r>
              </a:p>
            </c:rich>
          </c:tx>
          <c:layout>
            <c:manualLayout>
              <c:xMode val="edge"/>
              <c:yMode val="edge"/>
              <c:x val="0.39291180187188268"/>
              <c:y val="0.9174617468029262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3845808"/>
        <c:crosses val="autoZero"/>
        <c:crossBetween val="midCat"/>
      </c:valAx>
      <c:valAx>
        <c:axId val="293845808"/>
        <c:scaling>
          <c:orientation val="minMax"/>
          <c:min val="20"/>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 viability</a:t>
                </a:r>
              </a:p>
            </c:rich>
          </c:tx>
          <c:layout>
            <c:manualLayout>
              <c:xMode val="edge"/>
              <c:yMode val="edge"/>
              <c:x val="5.0056764418770723E-2"/>
              <c:y val="0.40615281821696647"/>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2367072"/>
        <c:crosses val="autoZero"/>
        <c:crossBetween val="midCat"/>
        <c:majorUnit val="20"/>
      </c:valAx>
      <c:spPr>
        <a:noFill/>
        <a:ln>
          <a:noFill/>
        </a:ln>
        <a:effectLst/>
      </c:spPr>
    </c:plotArea>
    <c:legend>
      <c:legendPos val="b"/>
      <c:layout>
        <c:manualLayout>
          <c:xMode val="edge"/>
          <c:yMode val="edge"/>
          <c:x val="0.60805529058532426"/>
          <c:y val="4.1857467284674502E-3"/>
          <c:w val="0.38787620297462816"/>
          <c:h val="0.2314548779806779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97375328083988"/>
          <c:y val="0.11788217183765667"/>
          <c:w val="0.69615195047183975"/>
          <c:h val="0.71922217075806683"/>
        </c:manualLayout>
      </c:layout>
      <c:scatterChart>
        <c:scatterStyle val="lineMarker"/>
        <c:varyColors val="0"/>
        <c:ser>
          <c:idx val="0"/>
          <c:order val="0"/>
          <c:tx>
            <c:strRef>
              <c:f>Sheet1!$C$9</c:f>
              <c:strCache>
                <c:ptCount val="1"/>
                <c:pt idx="0">
                  <c:v>Lum</c:v>
                </c:pt>
              </c:strCache>
            </c:strRef>
          </c:tx>
          <c:spPr>
            <a:ln w="19050" cap="rnd">
              <a:noFill/>
              <a:round/>
            </a:ln>
            <a:effectLst/>
          </c:spPr>
          <c:marker>
            <c:symbol val="circle"/>
            <c:size val="5"/>
            <c:spPr>
              <a:solidFill>
                <a:schemeClr val="tx1"/>
              </a:solidFill>
              <a:ln w="9525">
                <a:noFill/>
              </a:ln>
              <a:effectLst/>
            </c:spPr>
          </c:marker>
          <c:trendline>
            <c:trendlineType val="linear"/>
            <c:dispRSqr val="0"/>
            <c:dispEq val="0"/>
          </c:trendline>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Sheet1!$B$10:$B$14</c:f>
              <c:numCache>
                <c:formatCode>General</c:formatCode>
                <c:ptCount val="5"/>
                <c:pt idx="0">
                  <c:v>5</c:v>
                </c:pt>
                <c:pt idx="1">
                  <c:v>2.5</c:v>
                </c:pt>
                <c:pt idx="2">
                  <c:v>1.25</c:v>
                </c:pt>
                <c:pt idx="3">
                  <c:v>0.62500000000000022</c:v>
                </c:pt>
                <c:pt idx="4">
                  <c:v>0.31250000000000011</c:v>
                </c:pt>
              </c:numCache>
            </c:numRef>
          </c:xVal>
          <c:yVal>
            <c:numRef>
              <c:f>Sheet1!$C$10:$C$14</c:f>
              <c:numCache>
                <c:formatCode>General</c:formatCode>
                <c:ptCount val="5"/>
                <c:pt idx="0">
                  <c:v>7741157</c:v>
                </c:pt>
                <c:pt idx="1">
                  <c:v>3951458</c:v>
                </c:pt>
                <c:pt idx="2">
                  <c:v>2195903</c:v>
                </c:pt>
                <c:pt idx="3">
                  <c:v>1010665</c:v>
                </c:pt>
                <c:pt idx="4">
                  <c:v>437652.3</c:v>
                </c:pt>
              </c:numCache>
            </c:numRef>
          </c:yVal>
          <c:smooth val="0"/>
          <c:extLst>
            <c:ext xmlns:c16="http://schemas.microsoft.com/office/drawing/2014/chart" uri="{C3380CC4-5D6E-409C-BE32-E72D297353CC}">
              <c16:uniqueId val="{00000000-DED9-4B60-9B7F-5FBEEA052636}"/>
            </c:ext>
          </c:extLst>
        </c:ser>
        <c:dLbls>
          <c:showLegendKey val="0"/>
          <c:showVal val="0"/>
          <c:showCatName val="0"/>
          <c:showSerName val="0"/>
          <c:showPercent val="0"/>
          <c:showBubbleSize val="0"/>
        </c:dLbls>
        <c:axId val="293846200"/>
        <c:axId val="293846592"/>
      </c:scatterChart>
      <c:valAx>
        <c:axId val="293846200"/>
        <c:scaling>
          <c:orientation val="minMax"/>
        </c:scaling>
        <c:delete val="0"/>
        <c:axPos val="b"/>
        <c:title>
          <c:tx>
            <c:rich>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ATP Conc.(µg/ml)</a:t>
                </a:r>
              </a:p>
            </c:rich>
          </c:tx>
          <c:layout>
            <c:manualLayout>
              <c:xMode val="edge"/>
              <c:yMode val="edge"/>
              <c:x val="0.43982002249718782"/>
              <c:y val="0.92950863679874718"/>
            </c:manualLayout>
          </c:layout>
          <c:overlay val="0"/>
          <c:spPr>
            <a:noFill/>
            <a:ln>
              <a:noFill/>
            </a:ln>
            <a:effectLst/>
          </c:sp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lang="en-US"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3846592"/>
        <c:crosses val="autoZero"/>
        <c:crossBetween val="midCat"/>
      </c:valAx>
      <c:valAx>
        <c:axId val="293846592"/>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Relatiive light Unit</a:t>
                </a:r>
              </a:p>
            </c:rich>
          </c:tx>
          <c:layout>
            <c:manualLayout>
              <c:xMode val="edge"/>
              <c:yMode val="edge"/>
              <c:x val="1.31395884674721E-2"/>
              <c:y val="0.25770047861664352"/>
            </c:manualLayout>
          </c:layout>
          <c:overlay val="0"/>
          <c:spPr>
            <a:noFill/>
            <a:ln>
              <a:noFill/>
            </a:ln>
            <a:effectLst/>
          </c:sp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lang="en-US"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38462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74888007420125"/>
          <c:y val="8.593005604029226E-2"/>
          <c:w val="0.73330708661417321"/>
          <c:h val="0.70556685819677945"/>
        </c:manualLayout>
      </c:layout>
      <c:scatterChart>
        <c:scatterStyle val="smoothMarker"/>
        <c:varyColors val="0"/>
        <c:ser>
          <c:idx val="0"/>
          <c:order val="0"/>
          <c:tx>
            <c:strRef>
              <c:f>Sheet1!$F$9</c:f>
              <c:strCache>
                <c:ptCount val="1"/>
                <c:pt idx="0">
                  <c:v>lum</c:v>
                </c:pt>
              </c:strCache>
            </c:strRef>
          </c:tx>
          <c:spPr>
            <a:ln w="25400" cap="rnd">
              <a:noFill/>
              <a:round/>
            </a:ln>
            <a:effectLst/>
          </c:spPr>
          <c:marker>
            <c:symbol val="diamond"/>
            <c:size val="6"/>
            <c:spPr>
              <a:solidFill>
                <a:schemeClr val="tx1"/>
              </a:solidFill>
              <a:ln w="9525">
                <a:solidFill>
                  <a:schemeClr val="accent1"/>
                </a:solidFill>
                <a:round/>
              </a:ln>
              <a:effectLst/>
            </c:spPr>
          </c:marker>
          <c:trendline>
            <c:spPr>
              <a:ln w="12700" cap="rnd">
                <a:solidFill>
                  <a:schemeClr val="tx1"/>
                </a:solidFill>
              </a:ln>
              <a:effectLst/>
            </c:spPr>
            <c:trendlineType val="linear"/>
            <c:dispRSqr val="1"/>
            <c:dispEq val="0"/>
            <c:trendlineLbl>
              <c:layout>
                <c:manualLayout>
                  <c:x val="-0.11127918220748723"/>
                  <c:y val="8.843867489536781E-3"/>
                </c:manualLayout>
              </c:layout>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errBars>
            <c:errDir val="y"/>
            <c:errBarType val="both"/>
            <c:errValType val="percentage"/>
            <c:noEndCap val="0"/>
            <c:val val="5"/>
            <c:spPr>
              <a:noFill/>
              <a:ln w="9525">
                <a:solidFill>
                  <a:schemeClr val="tx1">
                    <a:lumMod val="65000"/>
                    <a:lumOff val="35000"/>
                  </a:schemeClr>
                </a:solidFill>
                <a:round/>
              </a:ln>
              <a:effectLst/>
            </c:spPr>
          </c:errBars>
          <c:xVal>
            <c:numRef>
              <c:f>Sheet1!$E$10:$E$15</c:f>
              <c:numCache>
                <c:formatCode>General</c:formatCode>
                <c:ptCount val="6"/>
                <c:pt idx="0">
                  <c:v>0.625</c:v>
                </c:pt>
                <c:pt idx="1">
                  <c:v>0.3125</c:v>
                </c:pt>
                <c:pt idx="2">
                  <c:v>0.156</c:v>
                </c:pt>
                <c:pt idx="3">
                  <c:v>7.8E-2</c:v>
                </c:pt>
                <c:pt idx="4">
                  <c:v>3.9E-2</c:v>
                </c:pt>
                <c:pt idx="5">
                  <c:v>1.9E-2</c:v>
                </c:pt>
              </c:numCache>
            </c:numRef>
          </c:xVal>
          <c:yVal>
            <c:numRef>
              <c:f>Sheet1!$F$10:$F$15</c:f>
              <c:numCache>
                <c:formatCode>General</c:formatCode>
                <c:ptCount val="6"/>
                <c:pt idx="0">
                  <c:v>1010665</c:v>
                </c:pt>
                <c:pt idx="1">
                  <c:v>437652.3</c:v>
                </c:pt>
                <c:pt idx="2">
                  <c:v>238757.8</c:v>
                </c:pt>
                <c:pt idx="3">
                  <c:v>135593.29999999999</c:v>
                </c:pt>
                <c:pt idx="4">
                  <c:v>71860.25</c:v>
                </c:pt>
                <c:pt idx="5">
                  <c:v>36221</c:v>
                </c:pt>
              </c:numCache>
            </c:numRef>
          </c:yVal>
          <c:smooth val="0"/>
          <c:extLst>
            <c:ext xmlns:c16="http://schemas.microsoft.com/office/drawing/2014/chart" uri="{C3380CC4-5D6E-409C-BE32-E72D297353CC}">
              <c16:uniqueId val="{00000000-C5AD-4981-B699-A62AA5FC4206}"/>
            </c:ext>
          </c:extLst>
        </c:ser>
        <c:dLbls>
          <c:showLegendKey val="0"/>
          <c:showVal val="0"/>
          <c:showCatName val="0"/>
          <c:showSerName val="0"/>
          <c:showPercent val="0"/>
          <c:showBubbleSize val="0"/>
        </c:dLbls>
        <c:axId val="293847376"/>
        <c:axId val="293847768"/>
      </c:scatterChart>
      <c:valAx>
        <c:axId val="293847376"/>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GB" sz="1200" b="1" cap="none" baseline="0">
                    <a:solidFill>
                      <a:schemeClr val="tx1"/>
                    </a:solidFill>
                    <a:latin typeface="Arial" panose="020B0604020202020204" pitchFamily="34" charset="0"/>
                    <a:cs typeface="Arial" panose="020B0604020202020204" pitchFamily="34" charset="0"/>
                  </a:rPr>
                  <a:t>ATP Conc.(µg/ml)</a:t>
                </a:r>
              </a:p>
            </c:rich>
          </c:tx>
          <c:layout>
            <c:manualLayout>
              <c:xMode val="edge"/>
              <c:yMode val="edge"/>
              <c:x val="0.44688946776389793"/>
              <c:y val="0.89878584095906933"/>
            </c:manualLayout>
          </c:layout>
          <c:overlay val="0"/>
          <c:spPr>
            <a:noFill/>
            <a:ln>
              <a:noFill/>
            </a:ln>
            <a:effectLst/>
          </c:spPr>
          <c:txPr>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3847768"/>
        <c:crosses val="autoZero"/>
        <c:crossBetween val="midCat"/>
      </c:valAx>
      <c:valAx>
        <c:axId val="29384776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GB" sz="1200" b="1" cap="none" baseline="0">
                    <a:solidFill>
                      <a:schemeClr val="tx1"/>
                    </a:solidFill>
                    <a:latin typeface="Arial" panose="020B0604020202020204" pitchFamily="34" charset="0"/>
                    <a:cs typeface="Arial" panose="020B0604020202020204" pitchFamily="34" charset="0"/>
                  </a:rPr>
                  <a:t>Relative light unit</a:t>
                </a:r>
              </a:p>
            </c:rich>
          </c:tx>
          <c:layout>
            <c:manualLayout>
              <c:xMode val="edge"/>
              <c:yMode val="edge"/>
              <c:x val="1.7613521993961281E-2"/>
              <c:y val="0.2513215577782507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3847376"/>
        <c:crosses val="autoZero"/>
        <c:crossBetween val="midCat"/>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26935695538058"/>
          <c:y val="3.5010360547036885E-2"/>
          <c:w val="0.7002657480314961"/>
          <c:h val="0.79382759286990967"/>
        </c:manualLayout>
      </c:layout>
      <c:scatterChart>
        <c:scatterStyle val="lineMarker"/>
        <c:varyColors val="0"/>
        <c:ser>
          <c:idx val="0"/>
          <c:order val="0"/>
          <c:tx>
            <c:strRef>
              <c:f>Sheet1!$D$12</c:f>
              <c:strCache>
                <c:ptCount val="1"/>
                <c:pt idx="0">
                  <c:v>RLU T</c:v>
                </c:pt>
              </c:strCache>
            </c:strRef>
          </c:tx>
          <c:spPr>
            <a:ln w="19050" cap="rnd">
              <a:noFill/>
              <a:round/>
            </a:ln>
            <a:effectLst/>
          </c:spPr>
          <c:marker>
            <c:symbol val="circle"/>
            <c:size val="5"/>
            <c:spPr>
              <a:solidFill>
                <a:schemeClr val="tx1"/>
              </a:solidFill>
              <a:ln w="9525">
                <a:noFill/>
              </a:ln>
              <a:effectLst/>
            </c:spPr>
          </c:marker>
          <c:trendline>
            <c:trendlineType val="linear"/>
            <c:dispRSqr val="0"/>
            <c:dispEq val="0"/>
          </c:trendline>
          <c:errBars>
            <c:errDir val="y"/>
            <c:errBarType val="both"/>
            <c:errValType val="percentage"/>
            <c:noEndCap val="0"/>
            <c:val val="5"/>
          </c:errBars>
          <c:xVal>
            <c:numRef>
              <c:f>Sheet1!$C$13:$C$20</c:f>
              <c:numCache>
                <c:formatCode>General</c:formatCode>
                <c:ptCount val="8"/>
                <c:pt idx="1">
                  <c:v>1000000</c:v>
                </c:pt>
                <c:pt idx="2">
                  <c:v>500000</c:v>
                </c:pt>
                <c:pt idx="3">
                  <c:v>250000</c:v>
                </c:pt>
                <c:pt idx="4">
                  <c:v>125000</c:v>
                </c:pt>
                <c:pt idx="5">
                  <c:v>62500</c:v>
                </c:pt>
                <c:pt idx="6">
                  <c:v>31250</c:v>
                </c:pt>
                <c:pt idx="7">
                  <c:v>15625</c:v>
                </c:pt>
              </c:numCache>
            </c:numRef>
          </c:xVal>
          <c:yVal>
            <c:numRef>
              <c:f>Sheet1!$D$13:$D$20</c:f>
              <c:numCache>
                <c:formatCode>General</c:formatCode>
                <c:ptCount val="8"/>
                <c:pt idx="1">
                  <c:v>4672635</c:v>
                </c:pt>
                <c:pt idx="2">
                  <c:v>2131057</c:v>
                </c:pt>
                <c:pt idx="3">
                  <c:v>1021280</c:v>
                </c:pt>
                <c:pt idx="4">
                  <c:v>527861</c:v>
                </c:pt>
                <c:pt idx="5">
                  <c:v>215445</c:v>
                </c:pt>
                <c:pt idx="6">
                  <c:v>154008</c:v>
                </c:pt>
                <c:pt idx="7">
                  <c:v>92990</c:v>
                </c:pt>
              </c:numCache>
            </c:numRef>
          </c:yVal>
          <c:smooth val="0"/>
          <c:extLst>
            <c:ext xmlns:c16="http://schemas.microsoft.com/office/drawing/2014/chart" uri="{C3380CC4-5D6E-409C-BE32-E72D297353CC}">
              <c16:uniqueId val="{00000000-0193-42C9-9D79-827FCCC7E2F8}"/>
            </c:ext>
          </c:extLst>
        </c:ser>
        <c:dLbls>
          <c:showLegendKey val="0"/>
          <c:showVal val="0"/>
          <c:showCatName val="0"/>
          <c:showSerName val="0"/>
          <c:showPercent val="0"/>
          <c:showBubbleSize val="0"/>
        </c:dLbls>
        <c:axId val="293848552"/>
        <c:axId val="293848944"/>
      </c:scatterChart>
      <c:valAx>
        <c:axId val="293848552"/>
        <c:scaling>
          <c:orientation val="minMax"/>
        </c:scaling>
        <c:delete val="0"/>
        <c:axPos val="b"/>
        <c:title>
          <c:tx>
            <c:rich>
              <a:bodyPr rot="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r>
                  <a:rPr lang="en-GB" sz="1200" b="1">
                    <a:solidFill>
                      <a:sysClr val="windowText" lastClr="000000"/>
                    </a:solidFill>
                    <a:latin typeface="Arial" panose="020B0604020202020204" pitchFamily="34" charset="0"/>
                    <a:cs typeface="Arial" panose="020B0604020202020204" pitchFamily="34" charset="0"/>
                  </a:rPr>
                  <a:t>Cell</a:t>
                </a:r>
                <a:r>
                  <a:rPr lang="en-GB" sz="1200" b="1" baseline="0">
                    <a:solidFill>
                      <a:sysClr val="windowText" lastClr="000000"/>
                    </a:solidFill>
                    <a:latin typeface="Arial" panose="020B0604020202020204" pitchFamily="34" charset="0"/>
                    <a:cs typeface="Arial" panose="020B0604020202020204" pitchFamily="34" charset="0"/>
                  </a:rPr>
                  <a:t> number /ml</a:t>
                </a:r>
                <a:endParaRPr lang="en-GB" sz="12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6369443077427819"/>
              <c:y val="0.92789478769141576"/>
            </c:manualLayout>
          </c:layout>
          <c:overlay val="0"/>
          <c:spPr>
            <a:noFill/>
            <a:ln>
              <a:noFill/>
            </a:ln>
            <a:effectLst/>
          </c:spPr>
        </c:title>
        <c:numFmt formatCode="General" sourceLinked="1"/>
        <c:majorTickMark val="out"/>
        <c:minorTickMark val="none"/>
        <c:tickLblPos val="nextTo"/>
        <c:spPr>
          <a:noFill/>
          <a:ln w="19050" cap="flat" cmpd="sng" algn="ctr">
            <a:solidFill>
              <a:schemeClr val="tx1"/>
            </a:solidFill>
            <a:round/>
          </a:ln>
          <a:effectLst/>
        </c:spPr>
        <c:txPr>
          <a:bodyPr rot="0" vert="horz"/>
          <a:lstStyle/>
          <a:p>
            <a:pPr>
              <a:defRPr lang="en-US" sz="1200" b="1" i="0" u="none" strike="noStrike" baseline="0">
                <a:solidFill>
                  <a:sysClr val="windowText" lastClr="000000"/>
                </a:solidFill>
                <a:latin typeface="Arial" panose="020B0604020202020204" pitchFamily="34" charset="0"/>
                <a:ea typeface="Calibri"/>
                <a:cs typeface="Arial" panose="020B0604020202020204" pitchFamily="34" charset="0"/>
              </a:defRPr>
            </a:pPr>
            <a:endParaRPr lang="en-US"/>
          </a:p>
        </c:txPr>
        <c:crossAx val="293848944"/>
        <c:crosses val="autoZero"/>
        <c:crossBetween val="midCat"/>
      </c:valAx>
      <c:valAx>
        <c:axId val="293848944"/>
        <c:scaling>
          <c:orientation val="minMax"/>
        </c:scaling>
        <c:delete val="0"/>
        <c:axPos val="l"/>
        <c:title>
          <c:tx>
            <c:rich>
              <a:bodyPr rot="-5400000" spcFirstLastPara="1" vertOverflow="ellipsis" vert="horz" wrap="square" anchor="ctr" anchorCtr="1"/>
              <a:lstStyle/>
              <a:p>
                <a:pPr>
                  <a:defRPr lang="en-US" sz="1000" b="1" i="0" u="none" strike="noStrike" kern="1200" baseline="0">
                    <a:solidFill>
                      <a:sysClr val="windowText" lastClr="000000"/>
                    </a:solidFill>
                    <a:latin typeface="+mn-lt"/>
                    <a:ea typeface="+mn-ea"/>
                    <a:cs typeface="+mn-cs"/>
                  </a:defRPr>
                </a:pPr>
                <a:r>
                  <a:rPr lang="en-GB" sz="1200" b="1">
                    <a:solidFill>
                      <a:sysClr val="windowText" lastClr="000000"/>
                    </a:solidFill>
                    <a:latin typeface="Arial" panose="020B0604020202020204" pitchFamily="34" charset="0"/>
                    <a:cs typeface="Arial" panose="020B0604020202020204" pitchFamily="34" charset="0"/>
                  </a:rPr>
                  <a:t>Relative light unit</a:t>
                </a:r>
              </a:p>
            </c:rich>
          </c:tx>
          <c:layout>
            <c:manualLayout>
              <c:xMode val="edge"/>
              <c:yMode val="edge"/>
              <c:x val="1.6871514107611549E-2"/>
              <c:y val="0.2165278851263224"/>
            </c:manualLayout>
          </c:layout>
          <c:overlay val="0"/>
          <c:spPr>
            <a:noFill/>
            <a:ln>
              <a:noFill/>
            </a:ln>
            <a:effectLst/>
          </c:sp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lang="en-US"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3848552"/>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76374606179691"/>
          <c:y val="4.9287743141696337E-2"/>
          <c:w val="0.68804509760166621"/>
          <c:h val="0.78887306783715383"/>
        </c:manualLayout>
      </c:layout>
      <c:scatterChart>
        <c:scatterStyle val="lineMarker"/>
        <c:varyColors val="0"/>
        <c:ser>
          <c:idx val="0"/>
          <c:order val="0"/>
          <c:tx>
            <c:strRef>
              <c:f>Sheet1!$E$12</c:f>
              <c:strCache>
                <c:ptCount val="1"/>
                <c:pt idx="0">
                  <c:v>RLU C</c:v>
                </c:pt>
              </c:strCache>
            </c:strRef>
          </c:tx>
          <c:spPr>
            <a:ln>
              <a:noFill/>
            </a:ln>
          </c:spPr>
          <c:marker>
            <c:spPr>
              <a:solidFill>
                <a:sysClr val="windowText" lastClr="000000"/>
              </a:solidFill>
              <a:ln>
                <a:noFill/>
              </a:ln>
            </c:spPr>
          </c:marker>
          <c:dPt>
            <c:idx val="2"/>
            <c:marker>
              <c:spPr>
                <a:solidFill>
                  <a:sysClr val="windowText" lastClr="000000"/>
                </a:solidFill>
                <a:ln w="19050">
                  <a:noFill/>
                </a:ln>
              </c:spPr>
            </c:marker>
            <c:bubble3D val="0"/>
            <c:spPr>
              <a:ln w="19050">
                <a:noFill/>
              </a:ln>
            </c:spPr>
            <c:extLst>
              <c:ext xmlns:c16="http://schemas.microsoft.com/office/drawing/2014/chart" uri="{C3380CC4-5D6E-409C-BE32-E72D297353CC}">
                <c16:uniqueId val="{00000001-D56E-4AE6-A64F-22736EE08246}"/>
              </c:ext>
            </c:extLst>
          </c:dPt>
          <c:trendline>
            <c:trendlineType val="linear"/>
            <c:dispRSqr val="0"/>
            <c:dispEq val="0"/>
          </c:trendline>
          <c:errBars>
            <c:errDir val="y"/>
            <c:errBarType val="both"/>
            <c:errValType val="percentage"/>
            <c:noEndCap val="0"/>
            <c:val val="5"/>
          </c:errBars>
          <c:xVal>
            <c:numRef>
              <c:f>Sheet1!$C$13:$C$21</c:f>
              <c:numCache>
                <c:formatCode>General</c:formatCode>
                <c:ptCount val="9"/>
                <c:pt idx="1">
                  <c:v>1000000</c:v>
                </c:pt>
                <c:pt idx="2">
                  <c:v>500000</c:v>
                </c:pt>
                <c:pt idx="3">
                  <c:v>250000</c:v>
                </c:pt>
                <c:pt idx="4">
                  <c:v>125000</c:v>
                </c:pt>
                <c:pt idx="5">
                  <c:v>62500</c:v>
                </c:pt>
                <c:pt idx="6">
                  <c:v>31250</c:v>
                </c:pt>
                <c:pt idx="7">
                  <c:v>15625</c:v>
                </c:pt>
                <c:pt idx="8">
                  <c:v>0</c:v>
                </c:pt>
              </c:numCache>
            </c:numRef>
          </c:xVal>
          <c:yVal>
            <c:numRef>
              <c:f>Sheet1!$E$13:$E$21</c:f>
              <c:numCache>
                <c:formatCode>General</c:formatCode>
                <c:ptCount val="9"/>
                <c:pt idx="1">
                  <c:v>785258</c:v>
                </c:pt>
                <c:pt idx="2">
                  <c:v>330313</c:v>
                </c:pt>
                <c:pt idx="3">
                  <c:v>130257</c:v>
                </c:pt>
                <c:pt idx="4">
                  <c:v>64998</c:v>
                </c:pt>
                <c:pt idx="5">
                  <c:v>36984</c:v>
                </c:pt>
                <c:pt idx="6">
                  <c:v>22910</c:v>
                </c:pt>
                <c:pt idx="7">
                  <c:v>13303</c:v>
                </c:pt>
                <c:pt idx="8">
                  <c:v>8851</c:v>
                </c:pt>
              </c:numCache>
            </c:numRef>
          </c:yVal>
          <c:smooth val="0"/>
          <c:extLst>
            <c:ext xmlns:c16="http://schemas.microsoft.com/office/drawing/2014/chart" uri="{C3380CC4-5D6E-409C-BE32-E72D297353CC}">
              <c16:uniqueId val="{00000000-916A-4699-B15E-BC394F9B3F52}"/>
            </c:ext>
          </c:extLst>
        </c:ser>
        <c:dLbls>
          <c:showLegendKey val="0"/>
          <c:showVal val="0"/>
          <c:showCatName val="0"/>
          <c:showSerName val="0"/>
          <c:showPercent val="0"/>
          <c:showBubbleSize val="0"/>
        </c:dLbls>
        <c:axId val="293849728"/>
        <c:axId val="293850120"/>
      </c:scatterChart>
      <c:valAx>
        <c:axId val="293849728"/>
        <c:scaling>
          <c:orientation val="minMax"/>
        </c:scaling>
        <c:delete val="0"/>
        <c:axPos val="b"/>
        <c:title>
          <c:tx>
            <c:rich>
              <a:bodyPr/>
              <a:lstStyle/>
              <a:p>
                <a:pPr>
                  <a:defRPr lang="en-US"/>
                </a:pPr>
                <a:r>
                  <a:rPr lang="en-GB" sz="1200" b="1">
                    <a:solidFill>
                      <a:sysClr val="windowText" lastClr="000000"/>
                    </a:solidFill>
                    <a:latin typeface="Arial" panose="020B0604020202020204" pitchFamily="34" charset="0"/>
                    <a:cs typeface="Arial" panose="020B0604020202020204" pitchFamily="34" charset="0"/>
                  </a:rPr>
                  <a:t>Cell number /ml</a:t>
                </a:r>
              </a:p>
            </c:rich>
          </c:tx>
          <c:layout>
            <c:manualLayout>
              <c:xMode val="edge"/>
              <c:yMode val="edge"/>
              <c:x val="0.4300226132935569"/>
              <c:y val="0.93164146262539105"/>
            </c:manualLayout>
          </c:layout>
          <c:overlay val="0"/>
        </c:title>
        <c:numFmt formatCode="General" sourceLinked="1"/>
        <c:majorTickMark val="out"/>
        <c:minorTickMark val="none"/>
        <c:tickLblPos val="nextTo"/>
        <c:spPr>
          <a:ln w="19050">
            <a:solidFill>
              <a:sysClr val="windowText" lastClr="000000"/>
            </a:solidFill>
          </a:ln>
        </c:spPr>
        <c:txPr>
          <a:bodyPr rot="0" vert="horz"/>
          <a:lstStyle/>
          <a:p>
            <a:pPr>
              <a:defRPr lang="en-US" sz="1200" b="1" i="0" u="none" strike="noStrike" baseline="0">
                <a:solidFill>
                  <a:sysClr val="windowText" lastClr="000000"/>
                </a:solidFill>
                <a:latin typeface="Arial" panose="020B0604020202020204" pitchFamily="34" charset="0"/>
                <a:ea typeface="Calibri"/>
                <a:cs typeface="Arial" panose="020B0604020202020204" pitchFamily="34" charset="0"/>
              </a:defRPr>
            </a:pPr>
            <a:endParaRPr lang="en-US"/>
          </a:p>
        </c:txPr>
        <c:crossAx val="293850120"/>
        <c:crosses val="autoZero"/>
        <c:crossBetween val="midCat"/>
      </c:valAx>
      <c:valAx>
        <c:axId val="293850120"/>
        <c:scaling>
          <c:orientation val="minMax"/>
          <c:min val="0"/>
        </c:scaling>
        <c:delete val="0"/>
        <c:axPos val="l"/>
        <c:title>
          <c:tx>
            <c:rich>
              <a:bodyPr/>
              <a:lstStyle/>
              <a:p>
                <a:pPr>
                  <a:defRPr lang="en-US"/>
                </a:pPr>
                <a:r>
                  <a:rPr lang="en-GB" sz="1200">
                    <a:latin typeface="Arial" panose="020B0604020202020204" pitchFamily="34" charset="0"/>
                    <a:cs typeface="Arial" panose="020B0604020202020204" pitchFamily="34" charset="0"/>
                  </a:rPr>
                  <a:t>Relative light unit</a:t>
                </a:r>
              </a:p>
            </c:rich>
          </c:tx>
          <c:layout>
            <c:manualLayout>
              <c:xMode val="edge"/>
              <c:yMode val="edge"/>
              <c:x val="1.7531852234317705E-2"/>
              <c:y val="0.2364945888613238"/>
            </c:manualLayout>
          </c:layout>
          <c:overlay val="0"/>
        </c:title>
        <c:numFmt formatCode="General" sourceLinked="1"/>
        <c:majorTickMark val="out"/>
        <c:minorTickMark val="none"/>
        <c:tickLblPos val="nextTo"/>
        <c:spPr>
          <a:ln w="19050">
            <a:solidFill>
              <a:sysClr val="windowText" lastClr="000000"/>
            </a:solidFill>
          </a:ln>
        </c:spPr>
        <c:txPr>
          <a:bodyPr/>
          <a:lstStyle/>
          <a:p>
            <a:pPr>
              <a:defRPr lang="en-US" sz="1200" b="1">
                <a:solidFill>
                  <a:sysClr val="windowText" lastClr="000000"/>
                </a:solidFill>
                <a:latin typeface="Arial" panose="020B0604020202020204" pitchFamily="34" charset="0"/>
                <a:cs typeface="Arial" panose="020B0604020202020204" pitchFamily="34" charset="0"/>
              </a:defRPr>
            </a:pPr>
            <a:endParaRPr lang="en-US"/>
          </a:p>
        </c:txPr>
        <c:crossAx val="293849728"/>
        <c:crosses val="autoZero"/>
        <c:crossBetween val="midCat"/>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29714296465633"/>
          <c:y val="5.3912219305920092E-2"/>
          <c:w val="0.73651643006989731"/>
          <c:h val="0.74046064910915821"/>
        </c:manualLayout>
      </c:layout>
      <c:barChart>
        <c:barDir val="col"/>
        <c:grouping val="clustered"/>
        <c:varyColors val="0"/>
        <c:ser>
          <c:idx val="0"/>
          <c:order val="0"/>
          <c:tx>
            <c:strRef>
              <c:f>Sheet3!$E$3</c:f>
              <c:strCache>
                <c:ptCount val="1"/>
                <c:pt idx="0">
                  <c:v>% viability</c:v>
                </c:pt>
              </c:strCache>
            </c:strRef>
          </c:tx>
          <c:spPr>
            <a:solidFill>
              <a:schemeClr val="bg1">
                <a:lumMod val="85000"/>
              </a:schemeClr>
            </a:solidFill>
            <a:ln>
              <a:solidFill>
                <a:schemeClr val="tx1"/>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Sheet3!$D$4:$D$7</c:f>
              <c:numCache>
                <c:formatCode>General</c:formatCode>
                <c:ptCount val="4"/>
                <c:pt idx="0">
                  <c:v>100</c:v>
                </c:pt>
                <c:pt idx="1">
                  <c:v>10</c:v>
                </c:pt>
                <c:pt idx="2">
                  <c:v>1</c:v>
                </c:pt>
                <c:pt idx="3">
                  <c:v>0.1</c:v>
                </c:pt>
              </c:numCache>
            </c:numRef>
          </c:cat>
          <c:val>
            <c:numRef>
              <c:f>Sheet3!$E$4:$E$7</c:f>
              <c:numCache>
                <c:formatCode>General</c:formatCode>
                <c:ptCount val="4"/>
                <c:pt idx="0">
                  <c:v>7</c:v>
                </c:pt>
                <c:pt idx="1">
                  <c:v>41.6</c:v>
                </c:pt>
                <c:pt idx="2">
                  <c:v>72.8</c:v>
                </c:pt>
                <c:pt idx="3">
                  <c:v>96</c:v>
                </c:pt>
              </c:numCache>
            </c:numRef>
          </c:val>
          <c:extLst>
            <c:ext xmlns:c16="http://schemas.microsoft.com/office/drawing/2014/chart" uri="{C3380CC4-5D6E-409C-BE32-E72D297353CC}">
              <c16:uniqueId val="{00000000-7AD6-4331-8875-9AC28947AEFA}"/>
            </c:ext>
          </c:extLst>
        </c:ser>
        <c:dLbls>
          <c:showLegendKey val="0"/>
          <c:showVal val="0"/>
          <c:showCatName val="0"/>
          <c:showSerName val="0"/>
          <c:showPercent val="0"/>
          <c:showBubbleSize val="0"/>
        </c:dLbls>
        <c:gapWidth val="219"/>
        <c:overlap val="-27"/>
        <c:axId val="289558032"/>
        <c:axId val="289586992"/>
      </c:barChart>
      <c:catAx>
        <c:axId val="289558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H</a:t>
                </a:r>
                <a:r>
                  <a:rPr lang="en-GB" sz="1200" b="1" baseline="-25000">
                    <a:solidFill>
                      <a:schemeClr val="tx1"/>
                    </a:solidFill>
                    <a:latin typeface="Arial" panose="020B0604020202020204" pitchFamily="34" charset="0"/>
                    <a:cs typeface="Arial" panose="020B0604020202020204" pitchFamily="34" charset="0"/>
                  </a:rPr>
                  <a:t>2</a:t>
                </a:r>
                <a:r>
                  <a:rPr lang="en-GB" sz="1200" b="1" baseline="0">
                    <a:solidFill>
                      <a:schemeClr val="tx1"/>
                    </a:solidFill>
                    <a:latin typeface="Arial" panose="020B0604020202020204" pitchFamily="34" charset="0"/>
                    <a:cs typeface="Arial" panose="020B0604020202020204" pitchFamily="34" charset="0"/>
                  </a:rPr>
                  <a:t>O</a:t>
                </a:r>
                <a:r>
                  <a:rPr lang="en-GB" sz="1200" b="1" baseline="-25000">
                    <a:solidFill>
                      <a:schemeClr val="tx1"/>
                    </a:solidFill>
                    <a:latin typeface="Arial" panose="020B0604020202020204" pitchFamily="34" charset="0"/>
                    <a:cs typeface="Arial" panose="020B0604020202020204" pitchFamily="34" charset="0"/>
                  </a:rPr>
                  <a:t>2</a:t>
                </a:r>
                <a:r>
                  <a:rPr lang="en-GB" sz="1200" b="1" baseline="0">
                    <a:solidFill>
                      <a:schemeClr val="tx1"/>
                    </a:solidFill>
                    <a:latin typeface="Arial" panose="020B0604020202020204" pitchFamily="34" charset="0"/>
                    <a:cs typeface="Arial" panose="020B0604020202020204" pitchFamily="34" charset="0"/>
                  </a:rPr>
                  <a:t> (mM)</a:t>
                </a:r>
                <a:endParaRPr lang="en-GB" sz="1200" b="1">
                  <a:solidFill>
                    <a:schemeClr val="tx1"/>
                  </a:solidFill>
                  <a:latin typeface="Arial" panose="020B0604020202020204" pitchFamily="34" charset="0"/>
                  <a:cs typeface="Arial" panose="020B0604020202020204" pitchFamily="34" charset="0"/>
                </a:endParaRPr>
              </a:p>
            </c:rich>
          </c:tx>
          <c:layout>
            <c:manualLayout>
              <c:xMode val="edge"/>
              <c:yMode val="edge"/>
              <c:x val="0.38179518065140122"/>
              <c:y val="0.898958620424994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9586992"/>
        <c:crosses val="autoZero"/>
        <c:auto val="1"/>
        <c:lblAlgn val="ctr"/>
        <c:lblOffset val="100"/>
        <c:noMultiLvlLbl val="0"/>
      </c:catAx>
      <c:valAx>
        <c:axId val="2895869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 viability</a:t>
                </a:r>
              </a:p>
            </c:rich>
          </c:tx>
          <c:layout>
            <c:manualLayout>
              <c:xMode val="edge"/>
              <c:yMode val="edge"/>
              <c:x val="1.481123999285036E-2"/>
              <c:y val="0.347542986752640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9558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22918180282884"/>
          <c:y val="0.16959388273187162"/>
          <c:w val="0.67461805866464764"/>
          <c:h val="0.68157775360047224"/>
        </c:manualLayout>
      </c:layout>
      <c:scatterChart>
        <c:scatterStyle val="lineMarker"/>
        <c:varyColors val="0"/>
        <c:ser>
          <c:idx val="0"/>
          <c:order val="0"/>
          <c:tx>
            <c:strRef>
              <c:f>'[Chart in Microsoft Word]Sheet1'!$D$24</c:f>
              <c:strCache>
                <c:ptCount val="1"/>
                <c:pt idx="0">
                  <c:v>Fluorecence</c:v>
                </c:pt>
              </c:strCache>
            </c:strRef>
          </c:tx>
          <c:spPr>
            <a:ln w="12700" cap="rnd">
              <a:solidFill>
                <a:schemeClr val="tx1"/>
              </a:solidFill>
              <a:round/>
            </a:ln>
            <a:effectLst/>
          </c:spPr>
          <c:marker>
            <c:symbol val="circle"/>
            <c:size val="5"/>
            <c:spPr>
              <a:solidFill>
                <a:schemeClr val="tx1"/>
              </a:solidFill>
              <a:ln w="12700">
                <a:solidFill>
                  <a:schemeClr val="tx1"/>
                </a:solidFill>
              </a:ln>
              <a:effectLst/>
            </c:spPr>
          </c:marker>
          <c:errBars>
            <c:errDir val="y"/>
            <c:errBarType val="both"/>
            <c:errValType val="cust"/>
            <c:noEndCap val="0"/>
            <c:plus>
              <c:numRef>
                <c:f>'[Chart in Microsoft Word]Sheet1'!$C$11:$G$11</c:f>
                <c:numCache>
                  <c:formatCode>General</c:formatCode>
                  <c:ptCount val="5"/>
                  <c:pt idx="0">
                    <c:v>10791.601406495083</c:v>
                  </c:pt>
                  <c:pt idx="1">
                    <c:v>11120.624184370228</c:v>
                  </c:pt>
                  <c:pt idx="2">
                    <c:v>5263.51158923394</c:v>
                  </c:pt>
                  <c:pt idx="3">
                    <c:v>1246.1491015658332</c:v>
                  </c:pt>
                  <c:pt idx="4">
                    <c:v>386.92850330088976</c:v>
                  </c:pt>
                </c:numCache>
              </c:numRef>
            </c:plus>
            <c:minus>
              <c:numRef>
                <c:f>'[Chart in Microsoft Word]Sheet1'!$C$11:$G$11</c:f>
                <c:numCache>
                  <c:formatCode>General</c:formatCode>
                  <c:ptCount val="5"/>
                  <c:pt idx="0">
                    <c:v>10791.601406495083</c:v>
                  </c:pt>
                  <c:pt idx="1">
                    <c:v>11120.624184370228</c:v>
                  </c:pt>
                  <c:pt idx="2">
                    <c:v>5263.51158923394</c:v>
                  </c:pt>
                  <c:pt idx="3">
                    <c:v>1246.1491015658332</c:v>
                  </c:pt>
                  <c:pt idx="4">
                    <c:v>386.92850330088976</c:v>
                  </c:pt>
                </c:numCache>
              </c:numRef>
            </c:minus>
            <c:spPr>
              <a:noFill/>
              <a:ln w="9525" cap="flat" cmpd="sng" algn="ctr">
                <a:solidFill>
                  <a:schemeClr val="tx1">
                    <a:lumMod val="65000"/>
                    <a:lumOff val="35000"/>
                  </a:schemeClr>
                </a:solidFill>
                <a:round/>
              </a:ln>
              <a:effectLst/>
            </c:spPr>
          </c:errBars>
          <c:xVal>
            <c:numRef>
              <c:f>'[Chart in Microsoft Word]Sheet1'!$C$25:$C$29</c:f>
              <c:numCache>
                <c:formatCode>General</c:formatCode>
                <c:ptCount val="5"/>
                <c:pt idx="0">
                  <c:v>1000000</c:v>
                </c:pt>
                <c:pt idx="1">
                  <c:v>500000</c:v>
                </c:pt>
                <c:pt idx="2">
                  <c:v>250000</c:v>
                </c:pt>
                <c:pt idx="3">
                  <c:v>125000</c:v>
                </c:pt>
                <c:pt idx="4">
                  <c:v>6250</c:v>
                </c:pt>
              </c:numCache>
            </c:numRef>
          </c:xVal>
          <c:yVal>
            <c:numRef>
              <c:f>'[Chart in Microsoft Word]Sheet1'!$D$25:$D$29</c:f>
              <c:numCache>
                <c:formatCode>General</c:formatCode>
                <c:ptCount val="5"/>
                <c:pt idx="0">
                  <c:v>26712</c:v>
                </c:pt>
                <c:pt idx="1">
                  <c:v>26906</c:v>
                </c:pt>
                <c:pt idx="2">
                  <c:v>21509</c:v>
                </c:pt>
                <c:pt idx="3">
                  <c:v>9009</c:v>
                </c:pt>
                <c:pt idx="4">
                  <c:v>2216</c:v>
                </c:pt>
              </c:numCache>
            </c:numRef>
          </c:yVal>
          <c:smooth val="0"/>
          <c:extLst>
            <c:ext xmlns:c16="http://schemas.microsoft.com/office/drawing/2014/chart" uri="{C3380CC4-5D6E-409C-BE32-E72D297353CC}">
              <c16:uniqueId val="{00000000-F3F5-454E-A342-F12ED4D6F616}"/>
            </c:ext>
          </c:extLst>
        </c:ser>
        <c:dLbls>
          <c:showLegendKey val="0"/>
          <c:showVal val="0"/>
          <c:showCatName val="0"/>
          <c:showSerName val="0"/>
          <c:showPercent val="0"/>
          <c:showBubbleSize val="0"/>
        </c:dLbls>
        <c:axId val="289588168"/>
        <c:axId val="289588560"/>
      </c:scatterChart>
      <c:valAx>
        <c:axId val="289588168"/>
        <c:scaling>
          <c:orientation val="minMax"/>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Cysts /mL</a:t>
                </a:r>
              </a:p>
            </c:rich>
          </c:tx>
          <c:layout>
            <c:manualLayout>
              <c:xMode val="edge"/>
              <c:yMode val="edge"/>
              <c:x val="0.45763326216347311"/>
              <c:y val="0.945319539975535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9588560"/>
        <c:crosses val="autoZero"/>
        <c:crossBetween val="midCat"/>
      </c:valAx>
      <c:valAx>
        <c:axId val="289588560"/>
        <c:scaling>
          <c:orientation val="minMax"/>
          <c:min val="1000"/>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Fluorecence</a:t>
                </a:r>
              </a:p>
            </c:rich>
          </c:tx>
          <c:layout>
            <c:manualLayout>
              <c:xMode val="edge"/>
              <c:yMode val="edge"/>
              <c:x val="3.2203228482450059E-2"/>
              <c:y val="0.39630038048522626"/>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95881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48917714966904"/>
          <c:y val="0.11232813280725031"/>
          <c:w val="0.65370604197383708"/>
          <c:h val="0.75059465164983907"/>
        </c:manualLayout>
      </c:layout>
      <c:scatterChart>
        <c:scatterStyle val="lineMarker"/>
        <c:varyColors val="0"/>
        <c:ser>
          <c:idx val="0"/>
          <c:order val="0"/>
          <c:tx>
            <c:strRef>
              <c:f>Sheet1!$C$9</c:f>
              <c:strCache>
                <c:ptCount val="1"/>
                <c:pt idx="0">
                  <c:v>Lum</c:v>
                </c:pt>
              </c:strCache>
            </c:strRef>
          </c:tx>
          <c:spPr>
            <a:ln w="19050" cap="rnd">
              <a:noFill/>
              <a:round/>
            </a:ln>
            <a:effectLst/>
          </c:spPr>
          <c:marker>
            <c:symbol val="circle"/>
            <c:size val="5"/>
            <c:spPr>
              <a:solidFill>
                <a:schemeClr val="tx1"/>
              </a:solidFill>
              <a:ln w="9525">
                <a:noFill/>
              </a:ln>
              <a:effectLst/>
            </c:spPr>
          </c:marker>
          <c:trendline>
            <c:spPr>
              <a:ln w="12700" cap="rnd">
                <a:solidFill>
                  <a:sysClr val="windowText" lastClr="000000"/>
                </a:solidFill>
                <a:prstDash val="solid"/>
              </a:ln>
              <a:effectLst/>
            </c:spPr>
            <c:trendlineType val="linear"/>
            <c:dispRSqr val="0"/>
            <c:dispEq val="0"/>
          </c:trendline>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Sheet1!$B$10:$B$14</c:f>
              <c:numCache>
                <c:formatCode>General</c:formatCode>
                <c:ptCount val="5"/>
                <c:pt idx="0">
                  <c:v>5</c:v>
                </c:pt>
                <c:pt idx="1">
                  <c:v>2.5</c:v>
                </c:pt>
                <c:pt idx="2">
                  <c:v>1.25</c:v>
                </c:pt>
                <c:pt idx="3">
                  <c:v>0.625</c:v>
                </c:pt>
                <c:pt idx="4">
                  <c:v>0.3125</c:v>
                </c:pt>
              </c:numCache>
            </c:numRef>
          </c:xVal>
          <c:yVal>
            <c:numRef>
              <c:f>Sheet1!$C$10:$C$14</c:f>
              <c:numCache>
                <c:formatCode>General</c:formatCode>
                <c:ptCount val="5"/>
                <c:pt idx="0">
                  <c:v>7741157</c:v>
                </c:pt>
                <c:pt idx="1">
                  <c:v>3951458</c:v>
                </c:pt>
                <c:pt idx="2">
                  <c:v>2195903</c:v>
                </c:pt>
                <c:pt idx="3">
                  <c:v>1010665</c:v>
                </c:pt>
                <c:pt idx="4">
                  <c:v>437652.3</c:v>
                </c:pt>
              </c:numCache>
            </c:numRef>
          </c:yVal>
          <c:smooth val="0"/>
          <c:extLst>
            <c:ext xmlns:c16="http://schemas.microsoft.com/office/drawing/2014/chart" uri="{C3380CC4-5D6E-409C-BE32-E72D297353CC}">
              <c16:uniqueId val="{00000000-DED9-4B60-9B7F-5FBEEA052636}"/>
            </c:ext>
          </c:extLst>
        </c:ser>
        <c:dLbls>
          <c:showLegendKey val="0"/>
          <c:showVal val="0"/>
          <c:showCatName val="0"/>
          <c:showSerName val="0"/>
          <c:showPercent val="0"/>
          <c:showBubbleSize val="0"/>
        </c:dLbls>
        <c:axId val="289587776"/>
        <c:axId val="289589344"/>
      </c:scatterChart>
      <c:valAx>
        <c:axId val="28958777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ATP </a:t>
                </a:r>
                <a:r>
                  <a:rPr lang="en-GB" sz="1200" b="1" baseline="0">
                    <a:solidFill>
                      <a:schemeClr val="tx1"/>
                    </a:solidFill>
                    <a:latin typeface="Arial" panose="020B0604020202020204" pitchFamily="34" charset="0"/>
                    <a:cs typeface="Arial" panose="020B0604020202020204" pitchFamily="34" charset="0"/>
                  </a:rPr>
                  <a:t> </a:t>
                </a:r>
                <a:r>
                  <a:rPr lang="en-GB" sz="1200" b="1">
                    <a:solidFill>
                      <a:schemeClr val="tx1"/>
                    </a:solidFill>
                    <a:latin typeface="Arial" panose="020B0604020202020204" pitchFamily="34" charset="0"/>
                    <a:cs typeface="Arial" panose="020B0604020202020204" pitchFamily="34" charset="0"/>
                  </a:rPr>
                  <a:t>(µg/mL)</a:t>
                </a:r>
              </a:p>
            </c:rich>
          </c:tx>
          <c:layout>
            <c:manualLayout>
              <c:xMode val="edge"/>
              <c:yMode val="edge"/>
              <c:x val="0.43982002249718782"/>
              <c:y val="0.9295086367987469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9589344"/>
        <c:crosses val="autoZero"/>
        <c:crossBetween val="midCat"/>
      </c:valAx>
      <c:valAx>
        <c:axId val="2895893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Relatiive light Unit</a:t>
                </a:r>
              </a:p>
            </c:rich>
          </c:tx>
          <c:layout>
            <c:manualLayout>
              <c:xMode val="edge"/>
              <c:yMode val="edge"/>
              <c:x val="2.4198481663895597E-3"/>
              <c:y val="0.327632088199472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95877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5189250807456"/>
          <c:y val="8.223896516818055E-2"/>
          <c:w val="0.72192755061113334"/>
          <c:h val="0.75764096298307537"/>
        </c:manualLayout>
      </c:layout>
      <c:barChart>
        <c:barDir val="col"/>
        <c:grouping val="clustered"/>
        <c:varyColors val="0"/>
        <c:ser>
          <c:idx val="0"/>
          <c:order val="0"/>
          <c:spPr>
            <a:solidFill>
              <a:schemeClr val="bg1">
                <a:lumMod val="65000"/>
              </a:schemeClr>
            </a:solidFill>
            <a:ln>
              <a:solidFill>
                <a:sysClr val="windowText" lastClr="000000"/>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'[Chart in Microsoft Word]Sheet1'!$I$1:$I$5</c:f>
              <c:strCache>
                <c:ptCount val="5"/>
                <c:pt idx="0">
                  <c:v>LYZ</c:v>
                </c:pt>
                <c:pt idx="1">
                  <c:v>DTG</c:v>
                </c:pt>
                <c:pt idx="2">
                  <c:v>SONI</c:v>
                </c:pt>
                <c:pt idx="3">
                  <c:v>Control</c:v>
                </c:pt>
                <c:pt idx="4">
                  <c:v>ATP </c:v>
                </c:pt>
              </c:strCache>
            </c:strRef>
          </c:cat>
          <c:val>
            <c:numRef>
              <c:f>'[Chart in Microsoft Word]Sheet1'!$J$1:$J$5</c:f>
              <c:numCache>
                <c:formatCode>General</c:formatCode>
                <c:ptCount val="5"/>
                <c:pt idx="0">
                  <c:v>2035280</c:v>
                </c:pt>
                <c:pt idx="1">
                  <c:v>992089</c:v>
                </c:pt>
                <c:pt idx="2">
                  <c:v>1107901</c:v>
                </c:pt>
                <c:pt idx="3">
                  <c:v>94870</c:v>
                </c:pt>
                <c:pt idx="4">
                  <c:v>2162978</c:v>
                </c:pt>
              </c:numCache>
            </c:numRef>
          </c:val>
          <c:extLst>
            <c:ext xmlns:c16="http://schemas.microsoft.com/office/drawing/2014/chart" uri="{C3380CC4-5D6E-409C-BE32-E72D297353CC}">
              <c16:uniqueId val="{00000000-D8A3-45DE-9029-30FEF49F7F04}"/>
            </c:ext>
          </c:extLst>
        </c:ser>
        <c:dLbls>
          <c:showLegendKey val="0"/>
          <c:showVal val="0"/>
          <c:showCatName val="0"/>
          <c:showSerName val="0"/>
          <c:showPercent val="0"/>
          <c:showBubbleSize val="0"/>
        </c:dLbls>
        <c:gapWidth val="179"/>
        <c:overlap val="-20"/>
        <c:axId val="289590128"/>
        <c:axId val="289590520"/>
      </c:barChart>
      <c:catAx>
        <c:axId val="289590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Lysis method</a:t>
                </a:r>
              </a:p>
            </c:rich>
          </c:tx>
          <c:layout>
            <c:manualLayout>
              <c:xMode val="edge"/>
              <c:yMode val="edge"/>
              <c:x val="0.4282993571085138"/>
              <c:y val="0.932263603543809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9590520"/>
        <c:crosses val="autoZero"/>
        <c:auto val="1"/>
        <c:lblAlgn val="ctr"/>
        <c:lblOffset val="100"/>
        <c:noMultiLvlLbl val="0"/>
      </c:catAx>
      <c:valAx>
        <c:axId val="289590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Relative light unit</a:t>
                </a:r>
              </a:p>
            </c:rich>
          </c:tx>
          <c:layout>
            <c:manualLayout>
              <c:xMode val="edge"/>
              <c:yMode val="edge"/>
              <c:x val="1.1503029279517006E-2"/>
              <c:y val="0.298195922016298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89590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36538486298183"/>
          <c:y val="0.13907488625559858"/>
          <c:w val="0.73429946186065354"/>
          <c:h val="0.6725322506654019"/>
        </c:manualLayout>
      </c:layout>
      <c:barChart>
        <c:barDir val="col"/>
        <c:grouping val="clustered"/>
        <c:varyColors val="0"/>
        <c:ser>
          <c:idx val="0"/>
          <c:order val="0"/>
          <c:tx>
            <c:strRef>
              <c:f>Sheet1!$C$1</c:f>
              <c:strCache>
                <c:ptCount val="1"/>
                <c:pt idx="0">
                  <c:v>%age lysis cysts</c:v>
                </c:pt>
              </c:strCache>
            </c:strRef>
          </c:tx>
          <c:spPr>
            <a:solidFill>
              <a:schemeClr val="bg1">
                <a:lumMod val="65000"/>
              </a:schemeClr>
            </a:solidFill>
            <a:ln>
              <a:solidFill>
                <a:schemeClr val="tx1"/>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numRef>
              <c:f>Sheet1!$B$2:$B$7</c:f>
              <c:numCache>
                <c:formatCode>General</c:formatCode>
                <c:ptCount val="6"/>
                <c:pt idx="0">
                  <c:v>5</c:v>
                </c:pt>
                <c:pt idx="1">
                  <c:v>10</c:v>
                </c:pt>
                <c:pt idx="2">
                  <c:v>15</c:v>
                </c:pt>
                <c:pt idx="3">
                  <c:v>20</c:v>
                </c:pt>
                <c:pt idx="4">
                  <c:v>30</c:v>
                </c:pt>
                <c:pt idx="5">
                  <c:v>40</c:v>
                </c:pt>
              </c:numCache>
            </c:numRef>
          </c:cat>
          <c:val>
            <c:numRef>
              <c:f>Sheet1!$C$2:$C$7</c:f>
              <c:numCache>
                <c:formatCode>General</c:formatCode>
                <c:ptCount val="6"/>
                <c:pt idx="0">
                  <c:v>0</c:v>
                </c:pt>
                <c:pt idx="1">
                  <c:v>0</c:v>
                </c:pt>
                <c:pt idx="2">
                  <c:v>5</c:v>
                </c:pt>
                <c:pt idx="3">
                  <c:v>25</c:v>
                </c:pt>
                <c:pt idx="4">
                  <c:v>82</c:v>
                </c:pt>
                <c:pt idx="5">
                  <c:v>94</c:v>
                </c:pt>
              </c:numCache>
            </c:numRef>
          </c:val>
          <c:extLst>
            <c:ext xmlns:c16="http://schemas.microsoft.com/office/drawing/2014/chart" uri="{C3380CC4-5D6E-409C-BE32-E72D297353CC}">
              <c16:uniqueId val="{00000000-770A-4A22-B5BA-91DF31B3E0BA}"/>
            </c:ext>
          </c:extLst>
        </c:ser>
        <c:dLbls>
          <c:showLegendKey val="0"/>
          <c:showVal val="0"/>
          <c:showCatName val="0"/>
          <c:showSerName val="0"/>
          <c:showPercent val="0"/>
          <c:showBubbleSize val="0"/>
        </c:dLbls>
        <c:gapWidth val="219"/>
        <c:overlap val="-27"/>
        <c:axId val="290037952"/>
        <c:axId val="290038344"/>
      </c:barChart>
      <c:catAx>
        <c:axId val="29003795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dirty="0">
                    <a:solidFill>
                      <a:sysClr val="windowText" lastClr="000000"/>
                    </a:solidFill>
                    <a:latin typeface="Arial" panose="020B0604020202020204" pitchFamily="34" charset="0"/>
                    <a:cs typeface="Arial" panose="020B0604020202020204" pitchFamily="34" charset="0"/>
                  </a:rPr>
                  <a:t>Incubation time</a:t>
                </a:r>
                <a:r>
                  <a:rPr lang="en-GB" sz="1200" b="1" baseline="0" dirty="0">
                    <a:solidFill>
                      <a:sysClr val="windowText" lastClr="000000"/>
                    </a:solidFill>
                    <a:latin typeface="Arial" panose="020B0604020202020204" pitchFamily="34" charset="0"/>
                    <a:cs typeface="Arial" panose="020B0604020202020204" pitchFamily="34" charset="0"/>
                  </a:rPr>
                  <a:t> (min.</a:t>
                </a:r>
                <a:r>
                  <a:rPr lang="en-GB" sz="1200" b="1" baseline="0" dirty="0">
                    <a:latin typeface="Arial" panose="020B0604020202020204" pitchFamily="34" charset="0"/>
                    <a:cs typeface="Arial" panose="020B0604020202020204" pitchFamily="34" charset="0"/>
                  </a:rPr>
                  <a:t>)</a:t>
                </a:r>
                <a:endParaRPr lang="en-GB" sz="1200" b="1" dirty="0">
                  <a:latin typeface="Arial" panose="020B0604020202020204" pitchFamily="34" charset="0"/>
                  <a:cs typeface="Arial" panose="020B0604020202020204" pitchFamily="34" charset="0"/>
                </a:endParaRPr>
              </a:p>
            </c:rich>
          </c:tx>
          <c:layout>
            <c:manualLayout>
              <c:xMode val="edge"/>
              <c:yMode val="edge"/>
              <c:x val="0.32750394086201784"/>
              <c:y val="0.9093263401639124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0038344"/>
        <c:crosses val="autoZero"/>
        <c:auto val="1"/>
        <c:lblAlgn val="ctr"/>
        <c:lblOffset val="100"/>
        <c:noMultiLvlLbl val="0"/>
      </c:catAx>
      <c:valAx>
        <c:axId val="290038344"/>
        <c:scaling>
          <c:orientation val="minMax"/>
          <c:max val="10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dirty="0">
                    <a:solidFill>
                      <a:schemeClr val="tx1"/>
                    </a:solidFill>
                    <a:latin typeface="Arial" panose="020B0604020202020204" pitchFamily="34" charset="0"/>
                    <a:cs typeface="Arial" panose="020B0604020202020204" pitchFamily="34" charset="0"/>
                  </a:rPr>
                  <a:t>Percentage lysis</a:t>
                </a:r>
              </a:p>
            </c:rich>
          </c:tx>
          <c:layout>
            <c:manualLayout>
              <c:xMode val="edge"/>
              <c:yMode val="edge"/>
              <c:x val="9.9309305180922229E-3"/>
              <c:y val="0.2475251105979244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a:solidFill>
              <a:sysClr val="windowText" lastClr="000000"/>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0037952"/>
        <c:crosses val="autoZero"/>
        <c:crossBetween val="between"/>
        <c:majorUnit val="2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06719554792493"/>
          <c:y val="3.5010360547036878E-2"/>
          <c:w val="0.70134252955222698"/>
          <c:h val="0.81299946924916922"/>
        </c:manualLayout>
      </c:layout>
      <c:scatterChart>
        <c:scatterStyle val="lineMarker"/>
        <c:varyColors val="0"/>
        <c:ser>
          <c:idx val="0"/>
          <c:order val="0"/>
          <c:tx>
            <c:strRef>
              <c:f>Sheet1!$D$12</c:f>
              <c:strCache>
                <c:ptCount val="1"/>
                <c:pt idx="0">
                  <c:v>RLU T</c:v>
                </c:pt>
              </c:strCache>
            </c:strRef>
          </c:tx>
          <c:spPr>
            <a:ln w="19050" cap="rnd">
              <a:solidFill>
                <a:schemeClr val="bg1"/>
              </a:solidFill>
              <a:round/>
            </a:ln>
            <a:effectLst/>
          </c:spPr>
          <c:marker>
            <c:symbol val="circle"/>
            <c:size val="5"/>
            <c:spPr>
              <a:solidFill>
                <a:schemeClr val="tx1"/>
              </a:solidFill>
              <a:ln w="9525">
                <a:solidFill>
                  <a:schemeClr val="bg1"/>
                </a:solidFill>
              </a:ln>
              <a:effectLst/>
            </c:spPr>
          </c:marker>
          <c:trendline>
            <c:trendlineType val="linear"/>
            <c:dispRSqr val="0"/>
            <c:dispEq val="0"/>
          </c:trendline>
          <c:errBars>
            <c:errDir val="y"/>
            <c:errBarType val="both"/>
            <c:errValType val="percentage"/>
            <c:noEndCap val="0"/>
            <c:val val="5"/>
          </c:errBars>
          <c:xVal>
            <c:numRef>
              <c:f>Sheet1!$C$13:$C$20</c:f>
              <c:numCache>
                <c:formatCode>General</c:formatCode>
                <c:ptCount val="8"/>
                <c:pt idx="1">
                  <c:v>1000000</c:v>
                </c:pt>
                <c:pt idx="2">
                  <c:v>500000</c:v>
                </c:pt>
                <c:pt idx="3">
                  <c:v>250000</c:v>
                </c:pt>
                <c:pt idx="4">
                  <c:v>125000</c:v>
                </c:pt>
                <c:pt idx="5">
                  <c:v>62500</c:v>
                </c:pt>
                <c:pt idx="6">
                  <c:v>31250</c:v>
                </c:pt>
                <c:pt idx="7">
                  <c:v>15625</c:v>
                </c:pt>
              </c:numCache>
            </c:numRef>
          </c:xVal>
          <c:yVal>
            <c:numRef>
              <c:f>Sheet1!$D$13:$D$20</c:f>
              <c:numCache>
                <c:formatCode>General</c:formatCode>
                <c:ptCount val="8"/>
                <c:pt idx="1">
                  <c:v>4672635</c:v>
                </c:pt>
                <c:pt idx="2">
                  <c:v>2131057</c:v>
                </c:pt>
                <c:pt idx="3">
                  <c:v>1021280</c:v>
                </c:pt>
                <c:pt idx="4">
                  <c:v>527861</c:v>
                </c:pt>
                <c:pt idx="5">
                  <c:v>215445</c:v>
                </c:pt>
                <c:pt idx="6">
                  <c:v>154008</c:v>
                </c:pt>
                <c:pt idx="7">
                  <c:v>92990</c:v>
                </c:pt>
              </c:numCache>
            </c:numRef>
          </c:yVal>
          <c:smooth val="0"/>
          <c:extLst>
            <c:ext xmlns:c16="http://schemas.microsoft.com/office/drawing/2014/chart" uri="{C3380CC4-5D6E-409C-BE32-E72D297353CC}">
              <c16:uniqueId val="{00000000-82C6-4A4E-A164-D7CF9D9C878F}"/>
            </c:ext>
          </c:extLst>
        </c:ser>
        <c:dLbls>
          <c:showLegendKey val="0"/>
          <c:showVal val="0"/>
          <c:showCatName val="0"/>
          <c:showSerName val="0"/>
          <c:showPercent val="0"/>
          <c:showBubbleSize val="0"/>
        </c:dLbls>
        <c:axId val="290039128"/>
        <c:axId val="290039520"/>
      </c:scatterChart>
      <c:valAx>
        <c:axId val="2900391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sz="1200" b="1">
                    <a:solidFill>
                      <a:sysClr val="windowText" lastClr="000000"/>
                    </a:solidFill>
                    <a:latin typeface="Arial" panose="020B0604020202020204" pitchFamily="34" charset="0"/>
                    <a:cs typeface="Arial" panose="020B0604020202020204" pitchFamily="34" charset="0"/>
                  </a:rPr>
                  <a:t>Cell</a:t>
                </a:r>
                <a:r>
                  <a:rPr lang="en-GB" sz="1200" b="1" baseline="0">
                    <a:solidFill>
                      <a:sysClr val="windowText" lastClr="000000"/>
                    </a:solidFill>
                    <a:latin typeface="Arial" panose="020B0604020202020204" pitchFamily="34" charset="0"/>
                    <a:cs typeface="Arial" panose="020B0604020202020204" pitchFamily="34" charset="0"/>
                  </a:rPr>
                  <a:t> number /ml</a:t>
                </a:r>
                <a:endParaRPr lang="en-GB" sz="12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3594329767376583"/>
              <c:y val="0.93721901105852068"/>
            </c:manualLayout>
          </c:layout>
          <c:overlay val="0"/>
          <c:spPr>
            <a:noFill/>
            <a:ln>
              <a:noFill/>
            </a:ln>
            <a:effectLst/>
          </c:spPr>
        </c:title>
        <c:numFmt formatCode="General" sourceLinked="1"/>
        <c:majorTickMark val="out"/>
        <c:minorTickMark val="none"/>
        <c:tickLblPos val="nextTo"/>
        <c:spPr>
          <a:noFill/>
          <a:ln w="19050" cap="flat" cmpd="sng" algn="ctr">
            <a:solidFill>
              <a:schemeClr val="tx1"/>
            </a:solidFill>
            <a:round/>
          </a:ln>
          <a:effectLst/>
        </c:spPr>
        <c:txPr>
          <a:bodyPr rot="0" vert="horz"/>
          <a:lstStyle/>
          <a:p>
            <a:pPr>
              <a:defRPr sz="1200" b="1" i="0" u="none" strike="noStrike" baseline="0">
                <a:solidFill>
                  <a:sysClr val="windowText" lastClr="000000"/>
                </a:solidFill>
                <a:latin typeface="Arial" panose="020B0604020202020204" pitchFamily="34" charset="0"/>
                <a:ea typeface="Calibri"/>
                <a:cs typeface="Arial" panose="020B0604020202020204" pitchFamily="34" charset="0"/>
              </a:defRPr>
            </a:pPr>
            <a:endParaRPr lang="en-US"/>
          </a:p>
        </c:txPr>
        <c:crossAx val="290039520"/>
        <c:crosses val="autoZero"/>
        <c:crossBetween val="midCat"/>
      </c:valAx>
      <c:valAx>
        <c:axId val="29003952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sz="1200" b="1">
                    <a:solidFill>
                      <a:sysClr val="windowText" lastClr="000000"/>
                    </a:solidFill>
                    <a:latin typeface="Arial" panose="020B0604020202020204" pitchFamily="34" charset="0"/>
                    <a:cs typeface="Arial" panose="020B0604020202020204" pitchFamily="34" charset="0"/>
                  </a:rPr>
                  <a:t>Relative light unit</a:t>
                </a:r>
              </a:p>
            </c:rich>
          </c:tx>
          <c:layout>
            <c:manualLayout>
              <c:xMode val="edge"/>
              <c:yMode val="edge"/>
              <c:x val="2.2079870224555265E-2"/>
              <c:y val="0.23953410255850982"/>
            </c:manualLayout>
          </c:layout>
          <c:overlay val="0"/>
          <c:spPr>
            <a:noFill/>
            <a:ln>
              <a:noFill/>
            </a:ln>
            <a:effectLst/>
          </c:sp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0039128"/>
        <c:crosses val="autoZero"/>
        <c:crossBetween val="midCat"/>
      </c:valAx>
      <c:spPr>
        <a:noFill/>
        <a:ln w="19050">
          <a:noFill/>
        </a:ln>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3DFD50-397B-4648-8636-F31B12966E3D}"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GB"/>
        </a:p>
      </dgm:t>
    </dgm:pt>
    <dgm:pt modelId="{B87340AE-0AB4-44EC-8403-78B6434E32E5}">
      <dgm:prSet phldrT="[Text]" custT="1">
        <dgm:style>
          <a:lnRef idx="1">
            <a:schemeClr val="accent3"/>
          </a:lnRef>
          <a:fillRef idx="2">
            <a:schemeClr val="accent3"/>
          </a:fillRef>
          <a:effectRef idx="1">
            <a:schemeClr val="accent3"/>
          </a:effectRef>
          <a:fontRef idx="minor">
            <a:schemeClr val="dk1"/>
          </a:fontRef>
        </dgm:style>
      </dgm:prSet>
      <dgm:spPr>
        <a:xfrm rot="10800000">
          <a:off x="0" y="2172"/>
          <a:ext cx="4520565" cy="819072"/>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r>
            <a:rPr lang="en-GB" sz="1200" b="0" i="1"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Acanthamoeba</a:t>
          </a:r>
          <a:r>
            <a:rPr lang="en-GB" sz="1200" b="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cells were inoculated with photosensitiser</a:t>
          </a:r>
        </a:p>
      </dgm:t>
    </dgm:pt>
    <dgm:pt modelId="{6B4AD80C-AC05-41C6-A126-313B275F04BA}" type="parTrans" cxnId="{E01BD7E8-828A-47BF-BFAC-13C5174323FF}">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B7FD4217-847A-49A7-8EE3-FEFB8716713F}" type="sibTrans" cxnId="{E01BD7E8-828A-47BF-BFAC-13C5174323FF}">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9CE6CBA4-3F9A-41C8-A614-9EF4870E3DEA}">
      <dgm:prSet phldrT="[Text]" custT="1">
        <dgm:style>
          <a:lnRef idx="1">
            <a:schemeClr val="accent3"/>
          </a:lnRef>
          <a:fillRef idx="2">
            <a:schemeClr val="accent3"/>
          </a:fillRef>
          <a:effectRef idx="1">
            <a:schemeClr val="accent3"/>
          </a:effectRef>
          <a:fontRef idx="minor">
            <a:schemeClr val="dk1"/>
          </a:fontRef>
        </dgm:style>
      </dgm:prSet>
      <dgm:spPr>
        <a:xfrm>
          <a:off x="0" y="289666"/>
          <a:ext cx="4520565" cy="244902"/>
        </a:xfrm>
        <a:prstGeom prst="rect">
          <a:avLst/>
        </a:prstGeom>
        <a:noFill/>
        <a:ln w="6350" cap="flat" cmpd="sng" algn="ctr">
          <a:noFill/>
          <a:prstDash val="solid"/>
          <a:miter lim="800000"/>
        </a:ln>
        <a:effectLst/>
      </dgm:spPr>
      <dgm:t>
        <a:bodyPr/>
        <a:lstStyle/>
        <a:p>
          <a:r>
            <a:rPr lang="en-GB" sz="1000" b="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Step 1</a:t>
          </a:r>
        </a:p>
      </dgm:t>
    </dgm:pt>
    <dgm:pt modelId="{73A31AD7-D597-4DCE-9702-EAAF9A8D0D91}" type="parTrans" cxnId="{0EE24E08-71D8-4290-8C81-1080ABE869D9}">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FEB7C1F9-530C-4370-9895-DF5252DF5DB6}" type="sibTrans" cxnId="{0EE24E08-71D8-4290-8C81-1080ABE869D9}">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5955B298-B55B-4F81-835D-F8E6D35EA16A}">
      <dgm:prSet phldrT="[Text]" custT="1">
        <dgm:style>
          <a:lnRef idx="1">
            <a:schemeClr val="accent3"/>
          </a:lnRef>
          <a:fillRef idx="2">
            <a:schemeClr val="accent3"/>
          </a:fillRef>
          <a:effectRef idx="1">
            <a:schemeClr val="accent3"/>
          </a:effectRef>
          <a:fontRef idx="minor">
            <a:schemeClr val="dk1"/>
          </a:fontRef>
        </dgm:style>
      </dgm:prSet>
      <dgm:spPr>
        <a:xfrm rot="10800000">
          <a:off x="0" y="813256"/>
          <a:ext cx="4520565" cy="819072"/>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r>
            <a:rPr lang="en-GB" sz="1200" b="0" i="1"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Acanthamoeba</a:t>
          </a:r>
          <a:r>
            <a:rPr lang="en-GB" sz="1200" b="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cells + photosensitiser exposed to LED light</a:t>
          </a:r>
        </a:p>
      </dgm:t>
    </dgm:pt>
    <dgm:pt modelId="{29290665-A219-48B7-94C2-6142FE6BA190}" type="parTrans" cxnId="{3C0FFB3A-81CE-4D3D-8C32-1DDCF1F3CFDF}">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463CDD0F-9281-4422-9246-5468F4A501C4}" type="sibTrans" cxnId="{3C0FFB3A-81CE-4D3D-8C32-1DDCF1F3CFDF}">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0E2B6CB4-F262-47D3-BB41-B0FCAF2EB5AA}">
      <dgm:prSet phldrT="[Text]" custT="1">
        <dgm:style>
          <a:lnRef idx="1">
            <a:schemeClr val="accent3"/>
          </a:lnRef>
          <a:fillRef idx="2">
            <a:schemeClr val="accent3"/>
          </a:fillRef>
          <a:effectRef idx="1">
            <a:schemeClr val="accent3"/>
          </a:effectRef>
          <a:fontRef idx="minor">
            <a:schemeClr val="dk1"/>
          </a:fontRef>
        </dgm:style>
      </dgm:prSet>
      <dgm:spPr>
        <a:xfrm>
          <a:off x="0" y="1100750"/>
          <a:ext cx="4520565" cy="244902"/>
        </a:xfrm>
        <a:prstGeom prst="rect">
          <a:avLst/>
        </a:prstGeom>
        <a:noFill/>
        <a:ln w="6350" cap="flat" cmpd="sng" algn="ctr">
          <a:noFill/>
          <a:prstDash val="solid"/>
          <a:miter lim="800000"/>
        </a:ln>
        <a:effectLst/>
      </dgm:spPr>
      <dgm:t>
        <a:bodyPr/>
        <a:lstStyle/>
        <a:p>
          <a:r>
            <a:rPr lang="en-GB" sz="1000" b="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Step 2</a:t>
          </a:r>
        </a:p>
      </dgm:t>
    </dgm:pt>
    <dgm:pt modelId="{97A3BD14-E7DB-4AD8-9955-F84AF48F7FDD}" type="parTrans" cxnId="{E7611B8D-1AC9-48C5-AEDA-E502E8F9FDA2}">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34066FB1-5968-4146-9E9F-25150D2AFB58}" type="sibTrans" cxnId="{E7611B8D-1AC9-48C5-AEDA-E502E8F9FDA2}">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6B68E70A-344D-47DC-8499-C56A008A804A}">
      <dgm:prSet phldrT="[Text]" custT="1">
        <dgm:style>
          <a:lnRef idx="1">
            <a:schemeClr val="accent3"/>
          </a:lnRef>
          <a:fillRef idx="2">
            <a:schemeClr val="accent3"/>
          </a:fillRef>
          <a:effectRef idx="1">
            <a:schemeClr val="accent3"/>
          </a:effectRef>
          <a:fontRef idx="minor">
            <a:schemeClr val="dk1"/>
          </a:fontRef>
        </dgm:style>
      </dgm:prSet>
      <dgm:spPr>
        <a:xfrm rot="10800000">
          <a:off x="0" y="1624339"/>
          <a:ext cx="4520565" cy="819072"/>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r>
            <a:rPr lang="en-GB" sz="1400" b="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Treated</a:t>
          </a:r>
          <a:r>
            <a:rPr lang="en-GB" sz="1400" b="0" i="1"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Acanthamoeba </a:t>
          </a:r>
          <a:r>
            <a:rPr lang="en-GB" sz="1400" b="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cells incubated for 24 hours</a:t>
          </a:r>
        </a:p>
      </dgm:t>
    </dgm:pt>
    <dgm:pt modelId="{661ABFE9-51EB-4BEF-B729-0F40D22C288C}" type="parTrans" cxnId="{A1E76773-AC02-4B0C-82E6-F7C2A5255A02}">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760204A3-FFA5-44E2-927B-0F76F4FCB143}" type="sibTrans" cxnId="{A1E76773-AC02-4B0C-82E6-F7C2A5255A02}">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6EA2437F-C991-4BE8-A2E5-B05B245A9F83}">
      <dgm:prSet phldrT="[Text]" custT="1">
        <dgm:style>
          <a:lnRef idx="1">
            <a:schemeClr val="accent3"/>
          </a:lnRef>
          <a:fillRef idx="2">
            <a:schemeClr val="accent3"/>
          </a:fillRef>
          <a:effectRef idx="1">
            <a:schemeClr val="accent3"/>
          </a:effectRef>
          <a:fontRef idx="minor">
            <a:schemeClr val="dk1"/>
          </a:fontRef>
        </dgm:style>
      </dgm:prSet>
      <dgm:spPr>
        <a:xfrm>
          <a:off x="0" y="1911834"/>
          <a:ext cx="4520565" cy="244902"/>
        </a:xfrm>
        <a:prstGeom prst="rect">
          <a:avLst/>
        </a:prstGeom>
        <a:noFill/>
        <a:ln w="6350" cap="flat" cmpd="sng" algn="ctr">
          <a:noFill/>
          <a:prstDash val="solid"/>
          <a:miter lim="800000"/>
        </a:ln>
        <a:effectLst/>
      </dgm:spPr>
      <dgm:t>
        <a:bodyPr/>
        <a:lstStyle/>
        <a:p>
          <a:r>
            <a:rPr lang="en-GB" sz="1000" b="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Step 3</a:t>
          </a:r>
        </a:p>
      </dgm:t>
    </dgm:pt>
    <dgm:pt modelId="{0F3839E9-F0C8-4E66-8704-38D7E503F897}" type="parTrans" cxnId="{1DFB0A97-DB36-4222-AFAA-F9F3A210BDED}">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318424AE-D65F-4D0A-9542-2C47CFF80A46}" type="sibTrans" cxnId="{1DFB0A97-DB36-4222-AFAA-F9F3A210BDED}">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C6024410-8FEB-4133-87BF-33CF320B0E05}">
      <dgm:prSet phldrT="[Text]" custT="1">
        <dgm:style>
          <a:lnRef idx="1">
            <a:schemeClr val="accent3"/>
          </a:lnRef>
          <a:fillRef idx="2">
            <a:schemeClr val="accent3"/>
          </a:fillRef>
          <a:effectRef idx="1">
            <a:schemeClr val="accent3"/>
          </a:effectRef>
          <a:fontRef idx="minor">
            <a:schemeClr val="dk1"/>
          </a:fontRef>
        </dgm:style>
      </dgm:prSet>
      <dgm:spPr>
        <a:xfrm rot="10800000">
          <a:off x="0" y="2435423"/>
          <a:ext cx="4520565" cy="819072"/>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r>
            <a:rPr lang="en-GB" sz="1400" b="0" i="1"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Acanthamoea</a:t>
          </a:r>
          <a:r>
            <a:rPr lang="en-GB" sz="1400" b="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cells lysis</a:t>
          </a:r>
        </a:p>
      </dgm:t>
    </dgm:pt>
    <dgm:pt modelId="{E00BE891-9AC1-4140-801A-0C547FB513DD}" type="parTrans" cxnId="{9AFA7DAF-79DD-4357-A25F-3F14C0A8D04F}">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386FCA12-D0FE-438C-9441-DC3E3E53EDB3}" type="sibTrans" cxnId="{9AFA7DAF-79DD-4357-A25F-3F14C0A8D04F}">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1BE92B80-A2FC-4E40-A8EA-5AE1F05379C2}">
      <dgm:prSet phldrT="[Text]" custT="1">
        <dgm:style>
          <a:lnRef idx="1">
            <a:schemeClr val="accent3"/>
          </a:lnRef>
          <a:fillRef idx="2">
            <a:schemeClr val="accent3"/>
          </a:fillRef>
          <a:effectRef idx="1">
            <a:schemeClr val="accent3"/>
          </a:effectRef>
          <a:fontRef idx="minor">
            <a:schemeClr val="dk1"/>
          </a:fontRef>
        </dgm:style>
      </dgm:prSet>
      <dgm:spPr>
        <a:xfrm rot="10800000">
          <a:off x="0" y="3246507"/>
          <a:ext cx="4520565" cy="819072"/>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r>
            <a:rPr lang="en-GB" sz="1400" b="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Lysed cells incubated with luciferase </a:t>
          </a:r>
        </a:p>
      </dgm:t>
    </dgm:pt>
    <dgm:pt modelId="{F88DF23E-6A6D-410C-BED7-4F1C2BB72326}" type="parTrans" cxnId="{57BD1783-1E9E-4726-B36A-CCCCE0923746}">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D7E3BB70-05AA-4F87-9897-20253A27D495}" type="sibTrans" cxnId="{57BD1783-1E9E-4726-B36A-CCCCE0923746}">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236925D0-8390-42CE-8B19-F0584730905D}">
      <dgm:prSet phldrT="[Text]" custT="1">
        <dgm:style>
          <a:lnRef idx="1">
            <a:schemeClr val="accent3"/>
          </a:lnRef>
          <a:fillRef idx="2">
            <a:schemeClr val="accent3"/>
          </a:fillRef>
          <a:effectRef idx="1">
            <a:schemeClr val="accent3"/>
          </a:effectRef>
          <a:fontRef idx="minor">
            <a:schemeClr val="dk1"/>
          </a:fontRef>
        </dgm:style>
      </dgm:prSet>
      <dgm:spPr>
        <a:xfrm>
          <a:off x="0" y="2722917"/>
          <a:ext cx="4520565" cy="244902"/>
        </a:xfrm>
        <a:prstGeom prst="rect">
          <a:avLst/>
        </a:prstGeom>
        <a:noFill/>
        <a:ln w="6350" cap="flat" cmpd="sng" algn="ctr">
          <a:noFill/>
          <a:prstDash val="solid"/>
          <a:miter lim="800000"/>
        </a:ln>
        <a:effectLst/>
      </dgm:spPr>
      <dgm:t>
        <a:bodyPr/>
        <a:lstStyle/>
        <a:p>
          <a:r>
            <a:rPr lang="en-GB" sz="1000" b="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Step 4</a:t>
          </a:r>
        </a:p>
      </dgm:t>
    </dgm:pt>
    <dgm:pt modelId="{D6B0ACA4-82EF-4BDF-8F62-1DAB99D9FD7C}" type="sibTrans" cxnId="{1AED7D2A-5053-467F-B345-3587132527D9}">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C2DE4EB4-48EF-4647-8DE8-281237B6FCCD}" type="parTrans" cxnId="{1AED7D2A-5053-467F-B345-3587132527D9}">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4F0901D1-3ADD-4E92-8BC8-B6B0D1330759}">
      <dgm:prSet phldrT="[Text]" custT="1">
        <dgm:style>
          <a:lnRef idx="1">
            <a:schemeClr val="accent3"/>
          </a:lnRef>
          <a:fillRef idx="2">
            <a:schemeClr val="accent3"/>
          </a:fillRef>
          <a:effectRef idx="1">
            <a:schemeClr val="accent3"/>
          </a:effectRef>
          <a:fontRef idx="minor">
            <a:schemeClr val="dk1"/>
          </a:fontRef>
        </dgm:style>
      </dgm:prSet>
      <dgm:spPr>
        <a:xfrm>
          <a:off x="0" y="3534001"/>
          <a:ext cx="4520565" cy="244902"/>
        </a:xfrm>
        <a:prstGeom prst="rect">
          <a:avLst/>
        </a:prstGeom>
        <a:noFill/>
        <a:ln w="6350" cap="flat" cmpd="sng" algn="ctr">
          <a:noFill/>
          <a:prstDash val="solid"/>
          <a:miter lim="800000"/>
        </a:ln>
        <a:effectLst/>
      </dgm:spPr>
      <dgm:t>
        <a:bodyPr/>
        <a:lstStyle/>
        <a:p>
          <a:r>
            <a:rPr lang="en-GB" sz="1000" b="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Step 5</a:t>
          </a:r>
        </a:p>
      </dgm:t>
    </dgm:pt>
    <dgm:pt modelId="{70A7DE69-C622-4975-B7E0-F8DF5049D7E7}" type="parTrans" cxnId="{B9B0CDE1-36C3-43C6-B162-BB39585A9F9D}">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2A33A8C7-5BD7-4413-97ED-4CFF47C674D3}" type="sibTrans" cxnId="{B9B0CDE1-36C3-43C6-B162-BB39585A9F9D}">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93AB4B27-4241-4AB9-91FA-A1E797FF78F8}">
      <dgm:prSet phldrT="[Text]" custT="1">
        <dgm:style>
          <a:lnRef idx="1">
            <a:schemeClr val="accent3"/>
          </a:lnRef>
          <a:fillRef idx="2">
            <a:schemeClr val="accent3"/>
          </a:fillRef>
          <a:effectRef idx="1">
            <a:schemeClr val="accent3"/>
          </a:effectRef>
          <a:fontRef idx="minor">
            <a:schemeClr val="dk1"/>
          </a:fontRef>
        </dgm:style>
      </dgm:prSet>
      <dgm:spPr>
        <a:xfrm>
          <a:off x="0" y="4057591"/>
          <a:ext cx="4520565" cy="532556"/>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r>
            <a:rPr lang="en-GB" sz="1000" b="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a:t>
          </a:r>
          <a:r>
            <a:rPr lang="en-GB" sz="1400" b="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Cells analysed with spectrophotometer</a:t>
          </a:r>
        </a:p>
      </dgm:t>
    </dgm:pt>
    <dgm:pt modelId="{71F1E0D0-4015-4D08-8CE5-85BB679FAEC8}" type="parTrans" cxnId="{FDCC4595-B5C6-4F0A-9E9A-FF4FBC753C72}">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F0AD8ACF-3A7B-401F-B7E0-B69FF021E89F}" type="sibTrans" cxnId="{FDCC4595-B5C6-4F0A-9E9A-FF4FBC753C72}">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D2E14379-6BD0-4EA5-B02D-4463325E209D}">
      <dgm:prSet phldrT="[Text]" custT="1">
        <dgm:style>
          <a:lnRef idx="2">
            <a:schemeClr val="dk1"/>
          </a:lnRef>
          <a:fillRef idx="1">
            <a:schemeClr val="lt1"/>
          </a:fillRef>
          <a:effectRef idx="0">
            <a:schemeClr val="dk1"/>
          </a:effectRef>
          <a:fontRef idx="minor">
            <a:schemeClr val="dk1"/>
          </a:fontRef>
        </dgm:style>
      </dgm:prSet>
      <dgm:spPr>
        <a:xfrm>
          <a:off x="0" y="4347343"/>
          <a:ext cx="4520565" cy="244976"/>
        </a:xfrm>
        <a:prstGeom prst="rect">
          <a:avLst/>
        </a:prstGeom>
        <a:solidFill>
          <a:sysClr val="window" lastClr="FFFFFF"/>
        </a:solidFill>
        <a:ln w="12700" cap="flat" cmpd="sng" algn="ctr">
          <a:noFill/>
          <a:prstDash val="solid"/>
          <a:miter lim="800000"/>
        </a:ln>
        <a:effectLst/>
      </dgm:spPr>
      <dgm:t>
        <a:bodyPr/>
        <a:lstStyle/>
        <a:p>
          <a:r>
            <a:rPr lang="en-GB" sz="1000" b="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Final step</a:t>
          </a:r>
        </a:p>
        <a:p>
          <a:endParaRPr lang="en-GB" sz="1000" b="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endParaRPr>
        </a:p>
      </dgm:t>
    </dgm:pt>
    <dgm:pt modelId="{891323EF-ABC9-49EB-B5B5-1D4C35A085B0}" type="parTrans" cxnId="{9D3C2B25-0E74-4D2A-84E4-4916836363C0}">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E8CEF73D-5404-4CF2-AA75-259C1D375F10}" type="sibTrans" cxnId="{9D3C2B25-0E74-4D2A-84E4-4916836363C0}">
      <dgm:prSet/>
      <dgm:spPr/>
      <dgm:t>
        <a:bodyPr/>
        <a:lstStyle/>
        <a:p>
          <a:endParaRPr lang="en-GB" b="0" cap="none" spc="0">
            <a:ln w="0"/>
            <a:solidFill>
              <a:schemeClr val="tx1"/>
            </a:solidFill>
            <a:effectLst>
              <a:outerShdw blurRad="38100" dist="19050" dir="2700000" algn="tl" rotWithShape="0">
                <a:schemeClr val="dk1">
                  <a:alpha val="40000"/>
                </a:schemeClr>
              </a:outerShdw>
            </a:effectLst>
          </a:endParaRPr>
        </a:p>
      </dgm:t>
    </dgm:pt>
    <dgm:pt modelId="{FDFFFBDD-1197-4F15-AC47-7BE85C65642C}" type="pres">
      <dgm:prSet presAssocID="{443DFD50-397B-4648-8636-F31B12966E3D}" presName="Name0" presStyleCnt="0">
        <dgm:presLayoutVars>
          <dgm:dir/>
          <dgm:animLvl val="lvl"/>
          <dgm:resizeHandles val="exact"/>
        </dgm:presLayoutVars>
      </dgm:prSet>
      <dgm:spPr/>
      <dgm:t>
        <a:bodyPr/>
        <a:lstStyle/>
        <a:p>
          <a:endParaRPr lang="en-US"/>
        </a:p>
      </dgm:t>
    </dgm:pt>
    <dgm:pt modelId="{10D5C851-3B0E-4111-BDD6-D4C540D49DCE}" type="pres">
      <dgm:prSet presAssocID="{93AB4B27-4241-4AB9-91FA-A1E797FF78F8}" presName="boxAndChildren" presStyleCnt="0"/>
      <dgm:spPr/>
    </dgm:pt>
    <dgm:pt modelId="{6E4E36CB-BF46-4ABB-8FEF-141216B5F8E8}" type="pres">
      <dgm:prSet presAssocID="{93AB4B27-4241-4AB9-91FA-A1E797FF78F8}" presName="parentTextBox" presStyleLbl="node1" presStyleIdx="0" presStyleCnt="6"/>
      <dgm:spPr/>
      <dgm:t>
        <a:bodyPr/>
        <a:lstStyle/>
        <a:p>
          <a:endParaRPr lang="en-US"/>
        </a:p>
      </dgm:t>
    </dgm:pt>
    <dgm:pt modelId="{4F8243AC-FA09-4AF7-B7FD-445F010D1FC8}" type="pres">
      <dgm:prSet presAssocID="{93AB4B27-4241-4AB9-91FA-A1E797FF78F8}" presName="entireBox" presStyleLbl="node1" presStyleIdx="0" presStyleCnt="6"/>
      <dgm:spPr/>
      <dgm:t>
        <a:bodyPr/>
        <a:lstStyle/>
        <a:p>
          <a:endParaRPr lang="en-US"/>
        </a:p>
      </dgm:t>
    </dgm:pt>
    <dgm:pt modelId="{AB93828F-877F-4C31-8D16-A12662170695}" type="pres">
      <dgm:prSet presAssocID="{93AB4B27-4241-4AB9-91FA-A1E797FF78F8}" presName="descendantBox" presStyleCnt="0"/>
      <dgm:spPr/>
    </dgm:pt>
    <dgm:pt modelId="{7CA6528A-2F9C-4A3C-B05D-41A3D04AFB1E}" type="pres">
      <dgm:prSet presAssocID="{D2E14379-6BD0-4EA5-B02D-4463325E209D}" presName="childTextBox" presStyleLbl="fgAccFollowNode1" presStyleIdx="0" presStyleCnt="6" custLinFactNeighborX="773" custLinFactNeighborY="64161">
        <dgm:presLayoutVars>
          <dgm:bulletEnabled val="1"/>
        </dgm:presLayoutVars>
      </dgm:prSet>
      <dgm:spPr/>
      <dgm:t>
        <a:bodyPr/>
        <a:lstStyle/>
        <a:p>
          <a:endParaRPr lang="en-US"/>
        </a:p>
      </dgm:t>
    </dgm:pt>
    <dgm:pt modelId="{F96DD893-7B47-4E63-B0DE-4C4A5511EA63}" type="pres">
      <dgm:prSet presAssocID="{D7E3BB70-05AA-4F87-9897-20253A27D495}" presName="sp" presStyleCnt="0"/>
      <dgm:spPr/>
    </dgm:pt>
    <dgm:pt modelId="{192B7688-7DA5-4597-99B1-029FCF9E675F}" type="pres">
      <dgm:prSet presAssocID="{1BE92B80-A2FC-4E40-A8EA-5AE1F05379C2}" presName="arrowAndChildren" presStyleCnt="0"/>
      <dgm:spPr/>
    </dgm:pt>
    <dgm:pt modelId="{FC47CC74-0059-4A10-85E8-724F51EA0748}" type="pres">
      <dgm:prSet presAssocID="{1BE92B80-A2FC-4E40-A8EA-5AE1F05379C2}" presName="parentTextArrow" presStyleLbl="node1" presStyleIdx="0" presStyleCnt="6"/>
      <dgm:spPr/>
      <dgm:t>
        <a:bodyPr/>
        <a:lstStyle/>
        <a:p>
          <a:endParaRPr lang="en-US"/>
        </a:p>
      </dgm:t>
    </dgm:pt>
    <dgm:pt modelId="{552C571C-82CE-4726-907D-0457548ACAB4}" type="pres">
      <dgm:prSet presAssocID="{1BE92B80-A2FC-4E40-A8EA-5AE1F05379C2}" presName="arrow" presStyleLbl="node1" presStyleIdx="1" presStyleCnt="6"/>
      <dgm:spPr/>
      <dgm:t>
        <a:bodyPr/>
        <a:lstStyle/>
        <a:p>
          <a:endParaRPr lang="en-US"/>
        </a:p>
      </dgm:t>
    </dgm:pt>
    <dgm:pt modelId="{9C5D029D-260F-49DC-A61D-95809A26215F}" type="pres">
      <dgm:prSet presAssocID="{1BE92B80-A2FC-4E40-A8EA-5AE1F05379C2}" presName="descendantArrow" presStyleCnt="0"/>
      <dgm:spPr/>
    </dgm:pt>
    <dgm:pt modelId="{D7474925-D966-4E58-A705-E32C0A3A89F7}" type="pres">
      <dgm:prSet presAssocID="{4F0901D1-3ADD-4E92-8BC8-B6B0D1330759}" presName="childTextArrow" presStyleLbl="fgAccFollowNode1" presStyleIdx="1" presStyleCnt="6">
        <dgm:presLayoutVars>
          <dgm:bulletEnabled val="1"/>
        </dgm:presLayoutVars>
      </dgm:prSet>
      <dgm:spPr/>
      <dgm:t>
        <a:bodyPr/>
        <a:lstStyle/>
        <a:p>
          <a:endParaRPr lang="en-US"/>
        </a:p>
      </dgm:t>
    </dgm:pt>
    <dgm:pt modelId="{B4088F64-2229-4CCA-91E3-918F73294569}" type="pres">
      <dgm:prSet presAssocID="{386FCA12-D0FE-438C-9441-DC3E3E53EDB3}" presName="sp" presStyleCnt="0"/>
      <dgm:spPr/>
    </dgm:pt>
    <dgm:pt modelId="{AF358BCC-271C-4F0D-A5D0-DFDBF7FA4670}" type="pres">
      <dgm:prSet presAssocID="{C6024410-8FEB-4133-87BF-33CF320B0E05}" presName="arrowAndChildren" presStyleCnt="0"/>
      <dgm:spPr/>
    </dgm:pt>
    <dgm:pt modelId="{A08F8266-899C-403A-92C2-E20BBC1913B2}" type="pres">
      <dgm:prSet presAssocID="{C6024410-8FEB-4133-87BF-33CF320B0E05}" presName="parentTextArrow" presStyleLbl="node1" presStyleIdx="1" presStyleCnt="6"/>
      <dgm:spPr/>
      <dgm:t>
        <a:bodyPr/>
        <a:lstStyle/>
        <a:p>
          <a:endParaRPr lang="en-US"/>
        </a:p>
      </dgm:t>
    </dgm:pt>
    <dgm:pt modelId="{CDD3AEF6-11E5-41F6-8A74-01A780081FAE}" type="pres">
      <dgm:prSet presAssocID="{C6024410-8FEB-4133-87BF-33CF320B0E05}" presName="arrow" presStyleLbl="node1" presStyleIdx="2" presStyleCnt="6"/>
      <dgm:spPr/>
      <dgm:t>
        <a:bodyPr/>
        <a:lstStyle/>
        <a:p>
          <a:endParaRPr lang="en-US"/>
        </a:p>
      </dgm:t>
    </dgm:pt>
    <dgm:pt modelId="{032B5A46-5F5C-4987-B9B6-E1656B36B745}" type="pres">
      <dgm:prSet presAssocID="{C6024410-8FEB-4133-87BF-33CF320B0E05}" presName="descendantArrow" presStyleCnt="0"/>
      <dgm:spPr/>
    </dgm:pt>
    <dgm:pt modelId="{462402BE-B66C-4A7D-A876-372C96541A3E}" type="pres">
      <dgm:prSet presAssocID="{236925D0-8390-42CE-8B19-F0584730905D}" presName="childTextArrow" presStyleLbl="fgAccFollowNode1" presStyleIdx="2" presStyleCnt="6">
        <dgm:presLayoutVars>
          <dgm:bulletEnabled val="1"/>
        </dgm:presLayoutVars>
      </dgm:prSet>
      <dgm:spPr/>
      <dgm:t>
        <a:bodyPr/>
        <a:lstStyle/>
        <a:p>
          <a:endParaRPr lang="en-US"/>
        </a:p>
      </dgm:t>
    </dgm:pt>
    <dgm:pt modelId="{E516050E-6652-4F76-8DAC-6AA894465387}" type="pres">
      <dgm:prSet presAssocID="{760204A3-FFA5-44E2-927B-0F76F4FCB143}" presName="sp" presStyleCnt="0"/>
      <dgm:spPr/>
    </dgm:pt>
    <dgm:pt modelId="{638BE639-F6D1-4E5B-A184-DD4C75AE5886}" type="pres">
      <dgm:prSet presAssocID="{6B68E70A-344D-47DC-8499-C56A008A804A}" presName="arrowAndChildren" presStyleCnt="0"/>
      <dgm:spPr/>
    </dgm:pt>
    <dgm:pt modelId="{5255FA3D-4840-4350-9670-30B0FCED26B1}" type="pres">
      <dgm:prSet presAssocID="{6B68E70A-344D-47DC-8499-C56A008A804A}" presName="parentTextArrow" presStyleLbl="node1" presStyleIdx="2" presStyleCnt="6"/>
      <dgm:spPr/>
      <dgm:t>
        <a:bodyPr/>
        <a:lstStyle/>
        <a:p>
          <a:endParaRPr lang="en-US"/>
        </a:p>
      </dgm:t>
    </dgm:pt>
    <dgm:pt modelId="{9046AB87-FAD6-4FCE-9F3D-1BD2EB60A336}" type="pres">
      <dgm:prSet presAssocID="{6B68E70A-344D-47DC-8499-C56A008A804A}" presName="arrow" presStyleLbl="node1" presStyleIdx="3" presStyleCnt="6" custLinFactNeighborX="671"/>
      <dgm:spPr/>
      <dgm:t>
        <a:bodyPr/>
        <a:lstStyle/>
        <a:p>
          <a:endParaRPr lang="en-US"/>
        </a:p>
      </dgm:t>
    </dgm:pt>
    <dgm:pt modelId="{B25E7AE4-78AB-4F28-94F4-7125F1742243}" type="pres">
      <dgm:prSet presAssocID="{6B68E70A-344D-47DC-8499-C56A008A804A}" presName="descendantArrow" presStyleCnt="0"/>
      <dgm:spPr/>
    </dgm:pt>
    <dgm:pt modelId="{BF574CEA-11AB-423A-A898-0B750562FBC6}" type="pres">
      <dgm:prSet presAssocID="{6EA2437F-C991-4BE8-A2E5-B05B245A9F83}" presName="childTextArrow" presStyleLbl="fgAccFollowNode1" presStyleIdx="3" presStyleCnt="6">
        <dgm:presLayoutVars>
          <dgm:bulletEnabled val="1"/>
        </dgm:presLayoutVars>
      </dgm:prSet>
      <dgm:spPr/>
      <dgm:t>
        <a:bodyPr/>
        <a:lstStyle/>
        <a:p>
          <a:endParaRPr lang="en-US"/>
        </a:p>
      </dgm:t>
    </dgm:pt>
    <dgm:pt modelId="{5F8BC464-38A0-41D7-998E-AC0DAF581477}" type="pres">
      <dgm:prSet presAssocID="{463CDD0F-9281-4422-9246-5468F4A501C4}" presName="sp" presStyleCnt="0"/>
      <dgm:spPr/>
    </dgm:pt>
    <dgm:pt modelId="{5C29E4C0-4DE6-4332-84EF-929F1D547BDE}" type="pres">
      <dgm:prSet presAssocID="{5955B298-B55B-4F81-835D-F8E6D35EA16A}" presName="arrowAndChildren" presStyleCnt="0"/>
      <dgm:spPr/>
    </dgm:pt>
    <dgm:pt modelId="{F8F5B11A-C757-4615-92F5-1A34E223CFC7}" type="pres">
      <dgm:prSet presAssocID="{5955B298-B55B-4F81-835D-F8E6D35EA16A}" presName="parentTextArrow" presStyleLbl="node1" presStyleIdx="3" presStyleCnt="6"/>
      <dgm:spPr/>
      <dgm:t>
        <a:bodyPr/>
        <a:lstStyle/>
        <a:p>
          <a:endParaRPr lang="en-US"/>
        </a:p>
      </dgm:t>
    </dgm:pt>
    <dgm:pt modelId="{4843B426-BA08-4217-A90F-4962A5D9F8A9}" type="pres">
      <dgm:prSet presAssocID="{5955B298-B55B-4F81-835D-F8E6D35EA16A}" presName="arrow" presStyleLbl="node1" presStyleIdx="4" presStyleCnt="6"/>
      <dgm:spPr/>
      <dgm:t>
        <a:bodyPr/>
        <a:lstStyle/>
        <a:p>
          <a:endParaRPr lang="en-US"/>
        </a:p>
      </dgm:t>
    </dgm:pt>
    <dgm:pt modelId="{80F9BE39-C64E-4F7E-B4F8-AF79DC1DC2C6}" type="pres">
      <dgm:prSet presAssocID="{5955B298-B55B-4F81-835D-F8E6D35EA16A}" presName="descendantArrow" presStyleCnt="0"/>
      <dgm:spPr/>
    </dgm:pt>
    <dgm:pt modelId="{F81A8A5D-BEC2-4641-BE3C-A30E6576FB86}" type="pres">
      <dgm:prSet presAssocID="{0E2B6CB4-F262-47D3-BB41-B0FCAF2EB5AA}" presName="childTextArrow" presStyleLbl="fgAccFollowNode1" presStyleIdx="4" presStyleCnt="6">
        <dgm:presLayoutVars>
          <dgm:bulletEnabled val="1"/>
        </dgm:presLayoutVars>
      </dgm:prSet>
      <dgm:spPr/>
      <dgm:t>
        <a:bodyPr/>
        <a:lstStyle/>
        <a:p>
          <a:endParaRPr lang="en-US"/>
        </a:p>
      </dgm:t>
    </dgm:pt>
    <dgm:pt modelId="{3040FE4A-F9EB-4D44-B43E-07A99DE76CD5}" type="pres">
      <dgm:prSet presAssocID="{B7FD4217-847A-49A7-8EE3-FEFB8716713F}" presName="sp" presStyleCnt="0"/>
      <dgm:spPr/>
    </dgm:pt>
    <dgm:pt modelId="{7ACAD090-D0F3-43A5-A47F-44C8A075D57B}" type="pres">
      <dgm:prSet presAssocID="{B87340AE-0AB4-44EC-8403-78B6434E32E5}" presName="arrowAndChildren" presStyleCnt="0"/>
      <dgm:spPr/>
    </dgm:pt>
    <dgm:pt modelId="{EB73E45B-4DCF-4423-B814-76C14EB32032}" type="pres">
      <dgm:prSet presAssocID="{B87340AE-0AB4-44EC-8403-78B6434E32E5}" presName="parentTextArrow" presStyleLbl="node1" presStyleIdx="4" presStyleCnt="6"/>
      <dgm:spPr/>
      <dgm:t>
        <a:bodyPr/>
        <a:lstStyle/>
        <a:p>
          <a:endParaRPr lang="en-US"/>
        </a:p>
      </dgm:t>
    </dgm:pt>
    <dgm:pt modelId="{1E2C843C-368C-454E-8FC7-9663D44E1DAD}" type="pres">
      <dgm:prSet presAssocID="{B87340AE-0AB4-44EC-8403-78B6434E32E5}" presName="arrow" presStyleLbl="node1" presStyleIdx="5" presStyleCnt="6"/>
      <dgm:spPr/>
      <dgm:t>
        <a:bodyPr/>
        <a:lstStyle/>
        <a:p>
          <a:endParaRPr lang="en-US"/>
        </a:p>
      </dgm:t>
    </dgm:pt>
    <dgm:pt modelId="{687CA202-C329-4EDD-AB4B-C6614F2901F4}" type="pres">
      <dgm:prSet presAssocID="{B87340AE-0AB4-44EC-8403-78B6434E32E5}" presName="descendantArrow" presStyleCnt="0"/>
      <dgm:spPr/>
    </dgm:pt>
    <dgm:pt modelId="{0F79E898-1231-4C60-958C-352E867CBB95}" type="pres">
      <dgm:prSet presAssocID="{9CE6CBA4-3F9A-41C8-A614-9EF4870E3DEA}" presName="childTextArrow" presStyleLbl="fgAccFollowNode1" presStyleIdx="5" presStyleCnt="6">
        <dgm:presLayoutVars>
          <dgm:bulletEnabled val="1"/>
        </dgm:presLayoutVars>
      </dgm:prSet>
      <dgm:spPr/>
      <dgm:t>
        <a:bodyPr/>
        <a:lstStyle/>
        <a:p>
          <a:endParaRPr lang="en-US"/>
        </a:p>
      </dgm:t>
    </dgm:pt>
  </dgm:ptLst>
  <dgm:cxnLst>
    <dgm:cxn modelId="{3C0FFB3A-81CE-4D3D-8C32-1DDCF1F3CFDF}" srcId="{443DFD50-397B-4648-8636-F31B12966E3D}" destId="{5955B298-B55B-4F81-835D-F8E6D35EA16A}" srcOrd="1" destOrd="0" parTransId="{29290665-A219-48B7-94C2-6142FE6BA190}" sibTransId="{463CDD0F-9281-4422-9246-5468F4A501C4}"/>
    <dgm:cxn modelId="{E7611B8D-1AC9-48C5-AEDA-E502E8F9FDA2}" srcId="{5955B298-B55B-4F81-835D-F8E6D35EA16A}" destId="{0E2B6CB4-F262-47D3-BB41-B0FCAF2EB5AA}" srcOrd="0" destOrd="0" parTransId="{97A3BD14-E7DB-4AD8-9955-F84AF48F7FDD}" sibTransId="{34066FB1-5968-4146-9E9F-25150D2AFB58}"/>
    <dgm:cxn modelId="{9E537A5D-A7FF-4C28-B5CB-DABB8A7F331F}" type="presOf" srcId="{4F0901D1-3ADD-4E92-8BC8-B6B0D1330759}" destId="{D7474925-D966-4E58-A705-E32C0A3A89F7}" srcOrd="0" destOrd="0" presId="urn:microsoft.com/office/officeart/2005/8/layout/process4"/>
    <dgm:cxn modelId="{B9B0CDE1-36C3-43C6-B162-BB39585A9F9D}" srcId="{1BE92B80-A2FC-4E40-A8EA-5AE1F05379C2}" destId="{4F0901D1-3ADD-4E92-8BC8-B6B0D1330759}" srcOrd="0" destOrd="0" parTransId="{70A7DE69-C622-4975-B7E0-F8DF5049D7E7}" sibTransId="{2A33A8C7-5BD7-4413-97ED-4CFF47C674D3}"/>
    <dgm:cxn modelId="{1DFB0A97-DB36-4222-AFAA-F9F3A210BDED}" srcId="{6B68E70A-344D-47DC-8499-C56A008A804A}" destId="{6EA2437F-C991-4BE8-A2E5-B05B245A9F83}" srcOrd="0" destOrd="0" parTransId="{0F3839E9-F0C8-4E66-8704-38D7E503F897}" sibTransId="{318424AE-D65F-4D0A-9542-2C47CFF80A46}"/>
    <dgm:cxn modelId="{0EE24E08-71D8-4290-8C81-1080ABE869D9}" srcId="{B87340AE-0AB4-44EC-8403-78B6434E32E5}" destId="{9CE6CBA4-3F9A-41C8-A614-9EF4870E3DEA}" srcOrd="0" destOrd="0" parTransId="{73A31AD7-D597-4DCE-9702-EAAF9A8D0D91}" sibTransId="{FEB7C1F9-530C-4370-9895-DF5252DF5DB6}"/>
    <dgm:cxn modelId="{4110D7FF-0E77-43E0-A04E-D27C09085EB9}" type="presOf" srcId="{6B68E70A-344D-47DC-8499-C56A008A804A}" destId="{5255FA3D-4840-4350-9670-30B0FCED26B1}" srcOrd="0" destOrd="0" presId="urn:microsoft.com/office/officeart/2005/8/layout/process4"/>
    <dgm:cxn modelId="{118F4692-2F32-4BF8-ACE2-01E4C89EA791}" type="presOf" srcId="{236925D0-8390-42CE-8B19-F0584730905D}" destId="{462402BE-B66C-4A7D-A876-372C96541A3E}" srcOrd="0" destOrd="0" presId="urn:microsoft.com/office/officeart/2005/8/layout/process4"/>
    <dgm:cxn modelId="{1AED7D2A-5053-467F-B345-3587132527D9}" srcId="{C6024410-8FEB-4133-87BF-33CF320B0E05}" destId="{236925D0-8390-42CE-8B19-F0584730905D}" srcOrd="0" destOrd="0" parTransId="{C2DE4EB4-48EF-4647-8DE8-281237B6FCCD}" sibTransId="{D6B0ACA4-82EF-4BDF-8F62-1DAB99D9FD7C}"/>
    <dgm:cxn modelId="{0436A2C6-4EB5-4F7A-990D-47F88B91924E}" type="presOf" srcId="{0E2B6CB4-F262-47D3-BB41-B0FCAF2EB5AA}" destId="{F81A8A5D-BEC2-4641-BE3C-A30E6576FB86}" srcOrd="0" destOrd="0" presId="urn:microsoft.com/office/officeart/2005/8/layout/process4"/>
    <dgm:cxn modelId="{97098AC1-F426-4801-BA90-A0373E98126D}" type="presOf" srcId="{D2E14379-6BD0-4EA5-B02D-4463325E209D}" destId="{7CA6528A-2F9C-4A3C-B05D-41A3D04AFB1E}" srcOrd="0" destOrd="0" presId="urn:microsoft.com/office/officeart/2005/8/layout/process4"/>
    <dgm:cxn modelId="{A3C00A13-DDD1-4CAF-854E-2437ECD4DE12}" type="presOf" srcId="{5955B298-B55B-4F81-835D-F8E6D35EA16A}" destId="{4843B426-BA08-4217-A90F-4962A5D9F8A9}" srcOrd="1" destOrd="0" presId="urn:microsoft.com/office/officeart/2005/8/layout/process4"/>
    <dgm:cxn modelId="{DF92BC04-03F5-44E1-8E9E-F9F394E09D6C}" type="presOf" srcId="{9CE6CBA4-3F9A-41C8-A614-9EF4870E3DEA}" destId="{0F79E898-1231-4C60-958C-352E867CBB95}" srcOrd="0" destOrd="0" presId="urn:microsoft.com/office/officeart/2005/8/layout/process4"/>
    <dgm:cxn modelId="{D7ECD412-049B-4D7F-B087-AF490DA2E835}" type="presOf" srcId="{93AB4B27-4241-4AB9-91FA-A1E797FF78F8}" destId="{4F8243AC-FA09-4AF7-B7FD-445F010D1FC8}" srcOrd="1" destOrd="0" presId="urn:microsoft.com/office/officeart/2005/8/layout/process4"/>
    <dgm:cxn modelId="{E821B99D-8BD7-4AD7-A497-541A64EB1DC3}" type="presOf" srcId="{C6024410-8FEB-4133-87BF-33CF320B0E05}" destId="{A08F8266-899C-403A-92C2-E20BBC1913B2}" srcOrd="0" destOrd="0" presId="urn:microsoft.com/office/officeart/2005/8/layout/process4"/>
    <dgm:cxn modelId="{9AFA7DAF-79DD-4357-A25F-3F14C0A8D04F}" srcId="{443DFD50-397B-4648-8636-F31B12966E3D}" destId="{C6024410-8FEB-4133-87BF-33CF320B0E05}" srcOrd="3" destOrd="0" parTransId="{E00BE891-9AC1-4140-801A-0C547FB513DD}" sibTransId="{386FCA12-D0FE-438C-9441-DC3E3E53EDB3}"/>
    <dgm:cxn modelId="{B6514FF9-735B-4A5A-9AF2-85F3FF83460F}" type="presOf" srcId="{443DFD50-397B-4648-8636-F31B12966E3D}" destId="{FDFFFBDD-1197-4F15-AC47-7BE85C65642C}" srcOrd="0" destOrd="0" presId="urn:microsoft.com/office/officeart/2005/8/layout/process4"/>
    <dgm:cxn modelId="{6C8462A6-3659-4C4F-A714-1C82FB8107FE}" type="presOf" srcId="{1BE92B80-A2FC-4E40-A8EA-5AE1F05379C2}" destId="{FC47CC74-0059-4A10-85E8-724F51EA0748}" srcOrd="0" destOrd="0" presId="urn:microsoft.com/office/officeart/2005/8/layout/process4"/>
    <dgm:cxn modelId="{B39ADBEE-C4B4-468B-81DC-0F57F38212C7}" type="presOf" srcId="{1BE92B80-A2FC-4E40-A8EA-5AE1F05379C2}" destId="{552C571C-82CE-4726-907D-0457548ACAB4}" srcOrd="1" destOrd="0" presId="urn:microsoft.com/office/officeart/2005/8/layout/process4"/>
    <dgm:cxn modelId="{FDCC4595-B5C6-4F0A-9E9A-FF4FBC753C72}" srcId="{443DFD50-397B-4648-8636-F31B12966E3D}" destId="{93AB4B27-4241-4AB9-91FA-A1E797FF78F8}" srcOrd="5" destOrd="0" parTransId="{71F1E0D0-4015-4D08-8CE5-85BB679FAEC8}" sibTransId="{F0AD8ACF-3A7B-401F-B7E0-B69FF021E89F}"/>
    <dgm:cxn modelId="{CA709ABA-CBE7-4493-BAED-6634214F6AAC}" type="presOf" srcId="{6EA2437F-C991-4BE8-A2E5-B05B245A9F83}" destId="{BF574CEA-11AB-423A-A898-0B750562FBC6}" srcOrd="0" destOrd="0" presId="urn:microsoft.com/office/officeart/2005/8/layout/process4"/>
    <dgm:cxn modelId="{5D6DCBC1-CC73-4590-ADE5-E70A3EFD3314}" type="presOf" srcId="{93AB4B27-4241-4AB9-91FA-A1E797FF78F8}" destId="{6E4E36CB-BF46-4ABB-8FEF-141216B5F8E8}" srcOrd="0" destOrd="0" presId="urn:microsoft.com/office/officeart/2005/8/layout/process4"/>
    <dgm:cxn modelId="{DE689CAF-5771-4BFC-9991-CC6CF22B6264}" type="presOf" srcId="{C6024410-8FEB-4133-87BF-33CF320B0E05}" destId="{CDD3AEF6-11E5-41F6-8A74-01A780081FAE}" srcOrd="1" destOrd="0" presId="urn:microsoft.com/office/officeart/2005/8/layout/process4"/>
    <dgm:cxn modelId="{8B899D28-09EA-4A78-8A9D-4412BA97A8F8}" type="presOf" srcId="{6B68E70A-344D-47DC-8499-C56A008A804A}" destId="{9046AB87-FAD6-4FCE-9F3D-1BD2EB60A336}" srcOrd="1" destOrd="0" presId="urn:microsoft.com/office/officeart/2005/8/layout/process4"/>
    <dgm:cxn modelId="{E01BD7E8-828A-47BF-BFAC-13C5174323FF}" srcId="{443DFD50-397B-4648-8636-F31B12966E3D}" destId="{B87340AE-0AB4-44EC-8403-78B6434E32E5}" srcOrd="0" destOrd="0" parTransId="{6B4AD80C-AC05-41C6-A126-313B275F04BA}" sibTransId="{B7FD4217-847A-49A7-8EE3-FEFB8716713F}"/>
    <dgm:cxn modelId="{EEDF1A90-E06E-4D58-A590-79E388023ACC}" type="presOf" srcId="{B87340AE-0AB4-44EC-8403-78B6434E32E5}" destId="{EB73E45B-4DCF-4423-B814-76C14EB32032}" srcOrd="0" destOrd="0" presId="urn:microsoft.com/office/officeart/2005/8/layout/process4"/>
    <dgm:cxn modelId="{57BD1783-1E9E-4726-B36A-CCCCE0923746}" srcId="{443DFD50-397B-4648-8636-F31B12966E3D}" destId="{1BE92B80-A2FC-4E40-A8EA-5AE1F05379C2}" srcOrd="4" destOrd="0" parTransId="{F88DF23E-6A6D-410C-BED7-4F1C2BB72326}" sibTransId="{D7E3BB70-05AA-4F87-9897-20253A27D495}"/>
    <dgm:cxn modelId="{5DF0274B-8BE5-4E5D-BAAB-2F3E86B0FD4E}" type="presOf" srcId="{B87340AE-0AB4-44EC-8403-78B6434E32E5}" destId="{1E2C843C-368C-454E-8FC7-9663D44E1DAD}" srcOrd="1" destOrd="0" presId="urn:microsoft.com/office/officeart/2005/8/layout/process4"/>
    <dgm:cxn modelId="{9D3C2B25-0E74-4D2A-84E4-4916836363C0}" srcId="{93AB4B27-4241-4AB9-91FA-A1E797FF78F8}" destId="{D2E14379-6BD0-4EA5-B02D-4463325E209D}" srcOrd="0" destOrd="0" parTransId="{891323EF-ABC9-49EB-B5B5-1D4C35A085B0}" sibTransId="{E8CEF73D-5404-4CF2-AA75-259C1D375F10}"/>
    <dgm:cxn modelId="{C392294C-9C76-4F20-A90C-8B1F15BC49AD}" type="presOf" srcId="{5955B298-B55B-4F81-835D-F8E6D35EA16A}" destId="{F8F5B11A-C757-4615-92F5-1A34E223CFC7}" srcOrd="0" destOrd="0" presId="urn:microsoft.com/office/officeart/2005/8/layout/process4"/>
    <dgm:cxn modelId="{A1E76773-AC02-4B0C-82E6-F7C2A5255A02}" srcId="{443DFD50-397B-4648-8636-F31B12966E3D}" destId="{6B68E70A-344D-47DC-8499-C56A008A804A}" srcOrd="2" destOrd="0" parTransId="{661ABFE9-51EB-4BEF-B729-0F40D22C288C}" sibTransId="{760204A3-FFA5-44E2-927B-0F76F4FCB143}"/>
    <dgm:cxn modelId="{6E552605-17E6-4B33-8D88-06100C7E8AE0}" type="presParOf" srcId="{FDFFFBDD-1197-4F15-AC47-7BE85C65642C}" destId="{10D5C851-3B0E-4111-BDD6-D4C540D49DCE}" srcOrd="0" destOrd="0" presId="urn:microsoft.com/office/officeart/2005/8/layout/process4"/>
    <dgm:cxn modelId="{C12DF6B8-9263-4528-8A27-5C36065C3A0A}" type="presParOf" srcId="{10D5C851-3B0E-4111-BDD6-D4C540D49DCE}" destId="{6E4E36CB-BF46-4ABB-8FEF-141216B5F8E8}" srcOrd="0" destOrd="0" presId="urn:microsoft.com/office/officeart/2005/8/layout/process4"/>
    <dgm:cxn modelId="{493C7D5F-D5B1-414F-9CB0-BF09A7F59206}" type="presParOf" srcId="{10D5C851-3B0E-4111-BDD6-D4C540D49DCE}" destId="{4F8243AC-FA09-4AF7-B7FD-445F010D1FC8}" srcOrd="1" destOrd="0" presId="urn:microsoft.com/office/officeart/2005/8/layout/process4"/>
    <dgm:cxn modelId="{BCB4A9DB-3FEF-495E-9222-C1BA96D39D43}" type="presParOf" srcId="{10D5C851-3B0E-4111-BDD6-D4C540D49DCE}" destId="{AB93828F-877F-4C31-8D16-A12662170695}" srcOrd="2" destOrd="0" presId="urn:microsoft.com/office/officeart/2005/8/layout/process4"/>
    <dgm:cxn modelId="{1772C841-FA07-4B6C-AEE5-6EA512007FE3}" type="presParOf" srcId="{AB93828F-877F-4C31-8D16-A12662170695}" destId="{7CA6528A-2F9C-4A3C-B05D-41A3D04AFB1E}" srcOrd="0" destOrd="0" presId="urn:microsoft.com/office/officeart/2005/8/layout/process4"/>
    <dgm:cxn modelId="{DBF93729-EECD-4B96-82CD-5BF823C22775}" type="presParOf" srcId="{FDFFFBDD-1197-4F15-AC47-7BE85C65642C}" destId="{F96DD893-7B47-4E63-B0DE-4C4A5511EA63}" srcOrd="1" destOrd="0" presId="urn:microsoft.com/office/officeart/2005/8/layout/process4"/>
    <dgm:cxn modelId="{CCAA9CAC-AFFC-4832-AC0F-9CD762051A2C}" type="presParOf" srcId="{FDFFFBDD-1197-4F15-AC47-7BE85C65642C}" destId="{192B7688-7DA5-4597-99B1-029FCF9E675F}" srcOrd="2" destOrd="0" presId="urn:microsoft.com/office/officeart/2005/8/layout/process4"/>
    <dgm:cxn modelId="{725CEEEA-FC8F-4999-BD20-211CC5ABE340}" type="presParOf" srcId="{192B7688-7DA5-4597-99B1-029FCF9E675F}" destId="{FC47CC74-0059-4A10-85E8-724F51EA0748}" srcOrd="0" destOrd="0" presId="urn:microsoft.com/office/officeart/2005/8/layout/process4"/>
    <dgm:cxn modelId="{9438A89E-1B78-4BB2-95B6-110584F7866B}" type="presParOf" srcId="{192B7688-7DA5-4597-99B1-029FCF9E675F}" destId="{552C571C-82CE-4726-907D-0457548ACAB4}" srcOrd="1" destOrd="0" presId="urn:microsoft.com/office/officeart/2005/8/layout/process4"/>
    <dgm:cxn modelId="{934AEB6B-5CD8-4415-B459-94D4B47C4127}" type="presParOf" srcId="{192B7688-7DA5-4597-99B1-029FCF9E675F}" destId="{9C5D029D-260F-49DC-A61D-95809A26215F}" srcOrd="2" destOrd="0" presId="urn:microsoft.com/office/officeart/2005/8/layout/process4"/>
    <dgm:cxn modelId="{A24C1FB9-2EE9-4174-9735-CF9241555113}" type="presParOf" srcId="{9C5D029D-260F-49DC-A61D-95809A26215F}" destId="{D7474925-D966-4E58-A705-E32C0A3A89F7}" srcOrd="0" destOrd="0" presId="urn:microsoft.com/office/officeart/2005/8/layout/process4"/>
    <dgm:cxn modelId="{DD953867-29FE-4987-89E3-AA23FDC62159}" type="presParOf" srcId="{FDFFFBDD-1197-4F15-AC47-7BE85C65642C}" destId="{B4088F64-2229-4CCA-91E3-918F73294569}" srcOrd="3" destOrd="0" presId="urn:microsoft.com/office/officeart/2005/8/layout/process4"/>
    <dgm:cxn modelId="{266DF89C-E6F3-4CB0-B7FA-96DE1CEE4FBC}" type="presParOf" srcId="{FDFFFBDD-1197-4F15-AC47-7BE85C65642C}" destId="{AF358BCC-271C-4F0D-A5D0-DFDBF7FA4670}" srcOrd="4" destOrd="0" presId="urn:microsoft.com/office/officeart/2005/8/layout/process4"/>
    <dgm:cxn modelId="{170CDFBC-8F11-4398-B50A-8C478782EBD8}" type="presParOf" srcId="{AF358BCC-271C-4F0D-A5D0-DFDBF7FA4670}" destId="{A08F8266-899C-403A-92C2-E20BBC1913B2}" srcOrd="0" destOrd="0" presId="urn:microsoft.com/office/officeart/2005/8/layout/process4"/>
    <dgm:cxn modelId="{37D0888E-94CE-4184-ABFD-C2F458559BD7}" type="presParOf" srcId="{AF358BCC-271C-4F0D-A5D0-DFDBF7FA4670}" destId="{CDD3AEF6-11E5-41F6-8A74-01A780081FAE}" srcOrd="1" destOrd="0" presId="urn:microsoft.com/office/officeart/2005/8/layout/process4"/>
    <dgm:cxn modelId="{F1319D9E-54DC-421C-8D44-048C2753CB47}" type="presParOf" srcId="{AF358BCC-271C-4F0D-A5D0-DFDBF7FA4670}" destId="{032B5A46-5F5C-4987-B9B6-E1656B36B745}" srcOrd="2" destOrd="0" presId="urn:microsoft.com/office/officeart/2005/8/layout/process4"/>
    <dgm:cxn modelId="{6435A708-5F57-4948-94AF-ED6FB3809EAB}" type="presParOf" srcId="{032B5A46-5F5C-4987-B9B6-E1656B36B745}" destId="{462402BE-B66C-4A7D-A876-372C96541A3E}" srcOrd="0" destOrd="0" presId="urn:microsoft.com/office/officeart/2005/8/layout/process4"/>
    <dgm:cxn modelId="{61197E87-0CB5-46DB-B09D-677E1D4428AC}" type="presParOf" srcId="{FDFFFBDD-1197-4F15-AC47-7BE85C65642C}" destId="{E516050E-6652-4F76-8DAC-6AA894465387}" srcOrd="5" destOrd="0" presId="urn:microsoft.com/office/officeart/2005/8/layout/process4"/>
    <dgm:cxn modelId="{9C1150BE-B3E1-4792-A74D-591C5C88AEAA}" type="presParOf" srcId="{FDFFFBDD-1197-4F15-AC47-7BE85C65642C}" destId="{638BE639-F6D1-4E5B-A184-DD4C75AE5886}" srcOrd="6" destOrd="0" presId="urn:microsoft.com/office/officeart/2005/8/layout/process4"/>
    <dgm:cxn modelId="{67FB56C2-9D93-428F-B39E-87F1D04652D4}" type="presParOf" srcId="{638BE639-F6D1-4E5B-A184-DD4C75AE5886}" destId="{5255FA3D-4840-4350-9670-30B0FCED26B1}" srcOrd="0" destOrd="0" presId="urn:microsoft.com/office/officeart/2005/8/layout/process4"/>
    <dgm:cxn modelId="{54D026FD-CB28-49A8-8B89-6218BE8E9151}" type="presParOf" srcId="{638BE639-F6D1-4E5B-A184-DD4C75AE5886}" destId="{9046AB87-FAD6-4FCE-9F3D-1BD2EB60A336}" srcOrd="1" destOrd="0" presId="urn:microsoft.com/office/officeart/2005/8/layout/process4"/>
    <dgm:cxn modelId="{967CD61D-7446-4DA5-B3E9-04985F5F92CF}" type="presParOf" srcId="{638BE639-F6D1-4E5B-A184-DD4C75AE5886}" destId="{B25E7AE4-78AB-4F28-94F4-7125F1742243}" srcOrd="2" destOrd="0" presId="urn:microsoft.com/office/officeart/2005/8/layout/process4"/>
    <dgm:cxn modelId="{BA1320BF-ABE5-4933-989C-8E9B0AEE7B57}" type="presParOf" srcId="{B25E7AE4-78AB-4F28-94F4-7125F1742243}" destId="{BF574CEA-11AB-423A-A898-0B750562FBC6}" srcOrd="0" destOrd="0" presId="urn:microsoft.com/office/officeart/2005/8/layout/process4"/>
    <dgm:cxn modelId="{9DE8FB78-42B9-4800-89DB-51C83A962368}" type="presParOf" srcId="{FDFFFBDD-1197-4F15-AC47-7BE85C65642C}" destId="{5F8BC464-38A0-41D7-998E-AC0DAF581477}" srcOrd="7" destOrd="0" presId="urn:microsoft.com/office/officeart/2005/8/layout/process4"/>
    <dgm:cxn modelId="{DBBEA4A0-F130-4529-BF85-12475ACB2305}" type="presParOf" srcId="{FDFFFBDD-1197-4F15-AC47-7BE85C65642C}" destId="{5C29E4C0-4DE6-4332-84EF-929F1D547BDE}" srcOrd="8" destOrd="0" presId="urn:microsoft.com/office/officeart/2005/8/layout/process4"/>
    <dgm:cxn modelId="{8346A9BD-491E-41D4-8F7D-2459B2BFBDDC}" type="presParOf" srcId="{5C29E4C0-4DE6-4332-84EF-929F1D547BDE}" destId="{F8F5B11A-C757-4615-92F5-1A34E223CFC7}" srcOrd="0" destOrd="0" presId="urn:microsoft.com/office/officeart/2005/8/layout/process4"/>
    <dgm:cxn modelId="{369025B0-85FB-4B2E-855B-BB3BDC209DC2}" type="presParOf" srcId="{5C29E4C0-4DE6-4332-84EF-929F1D547BDE}" destId="{4843B426-BA08-4217-A90F-4962A5D9F8A9}" srcOrd="1" destOrd="0" presId="urn:microsoft.com/office/officeart/2005/8/layout/process4"/>
    <dgm:cxn modelId="{B2023E60-BB20-4360-9A03-74E0E2D77D85}" type="presParOf" srcId="{5C29E4C0-4DE6-4332-84EF-929F1D547BDE}" destId="{80F9BE39-C64E-4F7E-B4F8-AF79DC1DC2C6}" srcOrd="2" destOrd="0" presId="urn:microsoft.com/office/officeart/2005/8/layout/process4"/>
    <dgm:cxn modelId="{9A286915-2682-46AB-873D-146FC1CD6BE1}" type="presParOf" srcId="{80F9BE39-C64E-4F7E-B4F8-AF79DC1DC2C6}" destId="{F81A8A5D-BEC2-4641-BE3C-A30E6576FB86}" srcOrd="0" destOrd="0" presId="urn:microsoft.com/office/officeart/2005/8/layout/process4"/>
    <dgm:cxn modelId="{A848C48F-B3A0-47E4-A463-20082AF38DD5}" type="presParOf" srcId="{FDFFFBDD-1197-4F15-AC47-7BE85C65642C}" destId="{3040FE4A-F9EB-4D44-B43E-07A99DE76CD5}" srcOrd="9" destOrd="0" presId="urn:microsoft.com/office/officeart/2005/8/layout/process4"/>
    <dgm:cxn modelId="{4820B2B4-95FF-4F98-BC48-026279110588}" type="presParOf" srcId="{FDFFFBDD-1197-4F15-AC47-7BE85C65642C}" destId="{7ACAD090-D0F3-43A5-A47F-44C8A075D57B}" srcOrd="10" destOrd="0" presId="urn:microsoft.com/office/officeart/2005/8/layout/process4"/>
    <dgm:cxn modelId="{F1C45100-F2F9-4EC6-B20A-3DFDF1A3AA80}" type="presParOf" srcId="{7ACAD090-D0F3-43A5-A47F-44C8A075D57B}" destId="{EB73E45B-4DCF-4423-B814-76C14EB32032}" srcOrd="0" destOrd="0" presId="urn:microsoft.com/office/officeart/2005/8/layout/process4"/>
    <dgm:cxn modelId="{E83CCB6B-7185-4E6A-BB9A-EA3C3B150F9C}" type="presParOf" srcId="{7ACAD090-D0F3-43A5-A47F-44C8A075D57B}" destId="{1E2C843C-368C-454E-8FC7-9663D44E1DAD}" srcOrd="1" destOrd="0" presId="urn:microsoft.com/office/officeart/2005/8/layout/process4"/>
    <dgm:cxn modelId="{F09D1B30-06E1-4E19-A437-E81C11F79D11}" type="presParOf" srcId="{7ACAD090-D0F3-43A5-A47F-44C8A075D57B}" destId="{687CA202-C329-4EDD-AB4B-C6614F2901F4}" srcOrd="2" destOrd="0" presId="urn:microsoft.com/office/officeart/2005/8/layout/process4"/>
    <dgm:cxn modelId="{CAE06CFC-A1C7-451D-ABED-D5991094FF37}" type="presParOf" srcId="{687CA202-C329-4EDD-AB4B-C6614F2901F4}" destId="{0F79E898-1231-4C60-958C-352E867CBB95}" srcOrd="0" destOrd="0" presId="urn:microsoft.com/office/officeart/2005/8/layout/process4"/>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8243AC-FA09-4AF7-B7FD-445F010D1FC8}">
      <dsp:nvSpPr>
        <dsp:cNvPr id="0" name=""/>
        <dsp:cNvSpPr/>
      </dsp:nvSpPr>
      <dsp:spPr>
        <a:xfrm>
          <a:off x="0" y="3604254"/>
          <a:ext cx="4656406" cy="473056"/>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b="0"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a:t>
          </a:r>
          <a:r>
            <a:rPr lang="en-GB" sz="1400" b="0"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Cells analysed with spectrophotometer</a:t>
          </a:r>
        </a:p>
      </dsp:txBody>
      <dsp:txXfrm>
        <a:off x="0" y="3604254"/>
        <a:ext cx="4656406" cy="255450"/>
      </dsp:txXfrm>
    </dsp:sp>
    <dsp:sp modelId="{7CA6528A-2F9C-4A3C-B05D-41A3D04AFB1E}">
      <dsp:nvSpPr>
        <dsp:cNvPr id="0" name=""/>
        <dsp:cNvSpPr/>
      </dsp:nvSpPr>
      <dsp:spPr>
        <a:xfrm>
          <a:off x="0" y="3861634"/>
          <a:ext cx="4656406" cy="217605"/>
        </a:xfrm>
        <a:prstGeom prst="rect">
          <a:avLst/>
        </a:prstGeom>
        <a:solidFill>
          <a:sysClr val="window" lastClr="FFFFFF"/>
        </a:solid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b="0"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Final step</a:t>
          </a:r>
        </a:p>
        <a:p>
          <a:pPr lvl="0" algn="ctr" defTabSz="444500">
            <a:lnSpc>
              <a:spcPct val="90000"/>
            </a:lnSpc>
            <a:spcBef>
              <a:spcPct val="0"/>
            </a:spcBef>
            <a:spcAft>
              <a:spcPct val="35000"/>
            </a:spcAft>
          </a:pPr>
          <a:endParaRPr lang="en-GB" sz="1000" b="0"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endParaRPr>
        </a:p>
      </dsp:txBody>
      <dsp:txXfrm>
        <a:off x="0" y="3861634"/>
        <a:ext cx="4656406" cy="217605"/>
      </dsp:txXfrm>
    </dsp:sp>
    <dsp:sp modelId="{552C571C-82CE-4726-907D-0457548ACAB4}">
      <dsp:nvSpPr>
        <dsp:cNvPr id="0" name=""/>
        <dsp:cNvSpPr/>
      </dsp:nvSpPr>
      <dsp:spPr>
        <a:xfrm rot="10800000">
          <a:off x="0" y="2883789"/>
          <a:ext cx="4656406" cy="727560"/>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0"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Lysed cells incubated with luciferase </a:t>
          </a:r>
        </a:p>
      </dsp:txBody>
      <dsp:txXfrm rot="-10800000">
        <a:off x="0" y="2973228"/>
        <a:ext cx="4656406" cy="165934"/>
      </dsp:txXfrm>
    </dsp:sp>
    <dsp:sp modelId="{D7474925-D966-4E58-A705-E32C0A3A89F7}">
      <dsp:nvSpPr>
        <dsp:cNvPr id="0" name=""/>
        <dsp:cNvSpPr/>
      </dsp:nvSpPr>
      <dsp:spPr>
        <a:xfrm>
          <a:off x="0" y="3139162"/>
          <a:ext cx="4656406" cy="217540"/>
        </a:xfrm>
        <a:prstGeom prst="rect">
          <a:avLst/>
        </a:prstGeom>
        <a:noFill/>
        <a:ln w="6350" cap="flat" cmpd="sng" algn="ctr">
          <a:no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b="0"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Step 5</a:t>
          </a:r>
        </a:p>
      </dsp:txBody>
      <dsp:txXfrm>
        <a:off x="0" y="3139162"/>
        <a:ext cx="4656406" cy="217540"/>
      </dsp:txXfrm>
    </dsp:sp>
    <dsp:sp modelId="{CDD3AEF6-11E5-41F6-8A74-01A780081FAE}">
      <dsp:nvSpPr>
        <dsp:cNvPr id="0" name=""/>
        <dsp:cNvSpPr/>
      </dsp:nvSpPr>
      <dsp:spPr>
        <a:xfrm rot="10800000">
          <a:off x="0" y="2163324"/>
          <a:ext cx="4656406" cy="727560"/>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0" i="1"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Acanthamoea</a:t>
          </a:r>
          <a:r>
            <a:rPr lang="en-GB" sz="1400" b="0"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cells lysis</a:t>
          </a:r>
        </a:p>
      </dsp:txBody>
      <dsp:txXfrm rot="-10800000">
        <a:off x="0" y="2252763"/>
        <a:ext cx="4656406" cy="165934"/>
      </dsp:txXfrm>
    </dsp:sp>
    <dsp:sp modelId="{462402BE-B66C-4A7D-A876-372C96541A3E}">
      <dsp:nvSpPr>
        <dsp:cNvPr id="0" name=""/>
        <dsp:cNvSpPr/>
      </dsp:nvSpPr>
      <dsp:spPr>
        <a:xfrm>
          <a:off x="0" y="2418698"/>
          <a:ext cx="4656406" cy="217540"/>
        </a:xfrm>
        <a:prstGeom prst="rect">
          <a:avLst/>
        </a:prstGeom>
        <a:noFill/>
        <a:ln w="6350" cap="flat" cmpd="sng" algn="ctr">
          <a:no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b="0"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Step 4</a:t>
          </a:r>
        </a:p>
      </dsp:txBody>
      <dsp:txXfrm>
        <a:off x="0" y="2418698"/>
        <a:ext cx="4656406" cy="217540"/>
      </dsp:txXfrm>
    </dsp:sp>
    <dsp:sp modelId="{9046AB87-FAD6-4FCE-9F3D-1BD2EB60A336}">
      <dsp:nvSpPr>
        <dsp:cNvPr id="0" name=""/>
        <dsp:cNvSpPr/>
      </dsp:nvSpPr>
      <dsp:spPr>
        <a:xfrm rot="10800000">
          <a:off x="0" y="1442859"/>
          <a:ext cx="4656406" cy="727560"/>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0"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Treated</a:t>
          </a:r>
          <a:r>
            <a:rPr lang="en-GB" sz="1400" b="0" i="1"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Acanthamoeba </a:t>
          </a:r>
          <a:r>
            <a:rPr lang="en-GB" sz="1400" b="0"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cells incubated for 24 hours</a:t>
          </a:r>
        </a:p>
      </dsp:txBody>
      <dsp:txXfrm rot="-10800000">
        <a:off x="0" y="1532298"/>
        <a:ext cx="4656406" cy="165934"/>
      </dsp:txXfrm>
    </dsp:sp>
    <dsp:sp modelId="{BF574CEA-11AB-423A-A898-0B750562FBC6}">
      <dsp:nvSpPr>
        <dsp:cNvPr id="0" name=""/>
        <dsp:cNvSpPr/>
      </dsp:nvSpPr>
      <dsp:spPr>
        <a:xfrm>
          <a:off x="0" y="1698233"/>
          <a:ext cx="4656406" cy="217540"/>
        </a:xfrm>
        <a:prstGeom prst="rect">
          <a:avLst/>
        </a:prstGeom>
        <a:noFill/>
        <a:ln w="6350" cap="flat" cmpd="sng" algn="ctr">
          <a:no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b="0"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Step 3</a:t>
          </a:r>
        </a:p>
      </dsp:txBody>
      <dsp:txXfrm>
        <a:off x="0" y="1698233"/>
        <a:ext cx="4656406" cy="217540"/>
      </dsp:txXfrm>
    </dsp:sp>
    <dsp:sp modelId="{4843B426-BA08-4217-A90F-4962A5D9F8A9}">
      <dsp:nvSpPr>
        <dsp:cNvPr id="0" name=""/>
        <dsp:cNvSpPr/>
      </dsp:nvSpPr>
      <dsp:spPr>
        <a:xfrm rot="10800000">
          <a:off x="0" y="722394"/>
          <a:ext cx="4656406" cy="727560"/>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0" i="1"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Acanthamoeba</a:t>
          </a:r>
          <a:r>
            <a:rPr lang="en-GB" sz="1200" b="0"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cells + photosensitiser exposed to LED light</a:t>
          </a:r>
        </a:p>
      </dsp:txBody>
      <dsp:txXfrm rot="-10800000">
        <a:off x="0" y="811833"/>
        <a:ext cx="4656406" cy="165934"/>
      </dsp:txXfrm>
    </dsp:sp>
    <dsp:sp modelId="{F81A8A5D-BEC2-4641-BE3C-A30E6576FB86}">
      <dsp:nvSpPr>
        <dsp:cNvPr id="0" name=""/>
        <dsp:cNvSpPr/>
      </dsp:nvSpPr>
      <dsp:spPr>
        <a:xfrm>
          <a:off x="0" y="977768"/>
          <a:ext cx="4656406" cy="217540"/>
        </a:xfrm>
        <a:prstGeom prst="rect">
          <a:avLst/>
        </a:prstGeom>
        <a:noFill/>
        <a:ln w="6350" cap="flat" cmpd="sng" algn="ctr">
          <a:no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b="0"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Step 2</a:t>
          </a:r>
        </a:p>
      </dsp:txBody>
      <dsp:txXfrm>
        <a:off x="0" y="977768"/>
        <a:ext cx="4656406" cy="217540"/>
      </dsp:txXfrm>
    </dsp:sp>
    <dsp:sp modelId="{1E2C843C-368C-454E-8FC7-9663D44E1DAD}">
      <dsp:nvSpPr>
        <dsp:cNvPr id="0" name=""/>
        <dsp:cNvSpPr/>
      </dsp:nvSpPr>
      <dsp:spPr>
        <a:xfrm rot="10800000">
          <a:off x="0" y="1929"/>
          <a:ext cx="4656406" cy="727560"/>
        </a:xfrm>
        <a:prstGeom prst="upArrowCallou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GB" sz="1200" b="0" i="1"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Acanthamoeba</a:t>
          </a:r>
          <a:r>
            <a:rPr lang="en-GB" sz="1200" b="0"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cells were inoculated with photosensitiser</a:t>
          </a:r>
        </a:p>
      </dsp:txBody>
      <dsp:txXfrm rot="-10800000">
        <a:off x="0" y="91368"/>
        <a:ext cx="4656406" cy="165934"/>
      </dsp:txXfrm>
    </dsp:sp>
    <dsp:sp modelId="{0F79E898-1231-4C60-958C-352E867CBB95}">
      <dsp:nvSpPr>
        <dsp:cNvPr id="0" name=""/>
        <dsp:cNvSpPr/>
      </dsp:nvSpPr>
      <dsp:spPr>
        <a:xfrm>
          <a:off x="0" y="257303"/>
          <a:ext cx="4656406" cy="217540"/>
        </a:xfrm>
        <a:prstGeom prst="rect">
          <a:avLst/>
        </a:prstGeom>
        <a:noFill/>
        <a:ln w="6350" cap="flat" cmpd="sng" algn="ctr">
          <a:no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GB" sz="1000" b="0" kern="1200" cap="none" spc="0" dirty="0">
              <a:ln w="0"/>
              <a:solidFill>
                <a:sysClr val="windowText" lastClr="000000"/>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Step 1</a:t>
          </a:r>
        </a:p>
      </dsp:txBody>
      <dsp:txXfrm>
        <a:off x="0" y="257303"/>
        <a:ext cx="4656406" cy="2175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0.2238</cdr:x>
      <cdr:y>0.14411</cdr:y>
    </cdr:from>
    <cdr:to>
      <cdr:x>0.31729</cdr:x>
      <cdr:y>0.24892</cdr:y>
    </cdr:to>
    <cdr:sp macro="" textlink="">
      <cdr:nvSpPr>
        <cdr:cNvPr id="2" name="Text Box 1"/>
        <cdr:cNvSpPr txBox="1"/>
      </cdr:nvSpPr>
      <cdr:spPr>
        <a:xfrm xmlns:a="http://schemas.openxmlformats.org/drawingml/2006/main">
          <a:off x="976184" y="407773"/>
          <a:ext cx="407773" cy="296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0.20964</cdr:x>
      <cdr:y>0.13538</cdr:y>
    </cdr:from>
    <cdr:to>
      <cdr:x>0.36262</cdr:x>
      <cdr:y>0.25329</cdr:y>
    </cdr:to>
    <cdr:sp macro="" textlink="">
      <cdr:nvSpPr>
        <cdr:cNvPr id="3" name="Text Box 2"/>
        <cdr:cNvSpPr txBox="1"/>
      </cdr:nvSpPr>
      <cdr:spPr>
        <a:xfrm xmlns:a="http://schemas.openxmlformats.org/drawingml/2006/main">
          <a:off x="914400" y="383060"/>
          <a:ext cx="667265" cy="3336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0.18314</cdr:x>
      <cdr:y>0.1529</cdr:y>
    </cdr:from>
    <cdr:to>
      <cdr:x>0.23985</cdr:x>
      <cdr:y>0.22128</cdr:y>
    </cdr:to>
    <cdr:sp macro="" textlink="">
      <cdr:nvSpPr>
        <cdr:cNvPr id="2" name="Text Box 1"/>
        <cdr:cNvSpPr txBox="1"/>
      </cdr:nvSpPr>
      <cdr:spPr>
        <a:xfrm xmlns:a="http://schemas.openxmlformats.org/drawingml/2006/main">
          <a:off x="880795" y="570019"/>
          <a:ext cx="272747" cy="2549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0.0881</cdr:x>
      <cdr:y>0</cdr:y>
    </cdr:from>
    <cdr:to>
      <cdr:x>0.14481</cdr:x>
      <cdr:y>0.06838</cdr:y>
    </cdr:to>
    <cdr:sp macro="" textlink="">
      <cdr:nvSpPr>
        <cdr:cNvPr id="3" name="Text Box 1"/>
        <cdr:cNvSpPr txBox="1"/>
      </cdr:nvSpPr>
      <cdr:spPr>
        <a:xfrm xmlns:a="http://schemas.openxmlformats.org/drawingml/2006/main">
          <a:off x="408153" y="-914400"/>
          <a:ext cx="262759" cy="231227"/>
        </a:xfrm>
        <a:prstGeom xmlns:a="http://schemas.openxmlformats.org/drawingml/2006/main" prst="rect">
          <a:avLst/>
        </a:prstGeom>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45A00-28B0-453D-9D8F-0FC4138BE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156B3854.dotm</Template>
  <TotalTime>0</TotalTime>
  <Pages>373</Pages>
  <Words>54976</Words>
  <Characters>313367</Characters>
  <Application>Microsoft Office Word</Application>
  <DocSecurity>4</DocSecurity>
  <Lines>2611</Lines>
  <Paragraphs>735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Chidi Ahamuefula</dc:creator>
  <cp:keywords/>
  <dc:description/>
  <cp:lastModifiedBy>Leah Maughan</cp:lastModifiedBy>
  <cp:revision>2</cp:revision>
  <cp:lastPrinted>2019-07-22T11:43:00Z</cp:lastPrinted>
  <dcterms:created xsi:type="dcterms:W3CDTF">2020-04-21T19:03:00Z</dcterms:created>
  <dcterms:modified xsi:type="dcterms:W3CDTF">2020-04-21T19:03:00Z</dcterms:modified>
</cp:coreProperties>
</file>