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4283" w14:textId="6A028D05" w:rsidR="001A144E" w:rsidRPr="00B00AA9" w:rsidRDefault="001A144E" w:rsidP="00427424">
      <w:pPr>
        <w:autoSpaceDE w:val="0"/>
        <w:autoSpaceDN w:val="0"/>
        <w:adjustRightInd w:val="0"/>
        <w:spacing w:after="240" w:line="360" w:lineRule="auto"/>
        <w:jc w:val="both"/>
        <w:rPr>
          <w:rFonts w:asciiTheme="minorBidi" w:hAnsiTheme="minorBidi"/>
          <w:b/>
          <w:bCs/>
          <w:sz w:val="32"/>
          <w:szCs w:val="32"/>
          <w:lang w:val="en-US"/>
        </w:rPr>
      </w:pPr>
      <w:bookmarkStart w:id="0" w:name="_Hlk505371658"/>
      <w:r w:rsidRPr="00B00AA9">
        <w:rPr>
          <w:rFonts w:asciiTheme="minorBidi" w:hAnsiTheme="minorBidi"/>
          <w:b/>
          <w:bCs/>
          <w:sz w:val="32"/>
          <w:szCs w:val="32"/>
          <w:lang w:val="en-US"/>
        </w:rPr>
        <w:t>Title Page</w:t>
      </w:r>
    </w:p>
    <w:p w14:paraId="6A044E4D" w14:textId="71D19A66" w:rsidR="000E7FE5" w:rsidRPr="000E7FE5" w:rsidRDefault="000E7FE5" w:rsidP="00427424">
      <w:pPr>
        <w:autoSpaceDE w:val="0"/>
        <w:autoSpaceDN w:val="0"/>
        <w:adjustRightInd w:val="0"/>
        <w:spacing w:after="240" w:line="360" w:lineRule="auto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0E7FE5">
        <w:rPr>
          <w:rFonts w:asciiTheme="minorBidi" w:hAnsiTheme="minorBidi"/>
          <w:b/>
          <w:bCs/>
          <w:sz w:val="24"/>
          <w:szCs w:val="24"/>
          <w:lang w:val="en-US"/>
        </w:rPr>
        <w:t xml:space="preserve">Comparative randomized, single dose, two-way crossover open label study to determine the bioequivalence of two formulations of </w:t>
      </w:r>
      <w:r w:rsidR="00984243">
        <w:rPr>
          <w:rFonts w:asciiTheme="minorBidi" w:hAnsiTheme="minorBidi"/>
          <w:b/>
          <w:bCs/>
          <w:sz w:val="24"/>
          <w:szCs w:val="24"/>
          <w:lang w:val="en-US"/>
        </w:rPr>
        <w:t>alfuzosin extended</w:t>
      </w:r>
      <w:r w:rsidR="00196698">
        <w:rPr>
          <w:rFonts w:asciiTheme="minorBidi" w:hAnsiTheme="minorBidi"/>
          <w:b/>
          <w:bCs/>
          <w:sz w:val="24"/>
          <w:szCs w:val="24"/>
          <w:lang w:val="en-US"/>
        </w:rPr>
        <w:t>-</w:t>
      </w:r>
      <w:r w:rsidR="00984243">
        <w:rPr>
          <w:rFonts w:asciiTheme="minorBidi" w:hAnsiTheme="minorBidi"/>
          <w:b/>
          <w:bCs/>
          <w:sz w:val="24"/>
          <w:szCs w:val="24"/>
          <w:lang w:val="en-US"/>
        </w:rPr>
        <w:t>release</w:t>
      </w:r>
      <w:r w:rsidR="00B31BB3">
        <w:rPr>
          <w:rFonts w:asciiTheme="minorBidi" w:hAnsiTheme="minorBidi"/>
          <w:b/>
          <w:bCs/>
          <w:sz w:val="24"/>
          <w:szCs w:val="24"/>
          <w:lang w:val="en-US"/>
        </w:rPr>
        <w:t xml:space="preserve"> tablets</w:t>
      </w:r>
    </w:p>
    <w:bookmarkEnd w:id="0"/>
    <w:p w14:paraId="294DECDD" w14:textId="4B8D4464" w:rsidR="00104B00" w:rsidRPr="00997B84" w:rsidRDefault="00B00AA9" w:rsidP="00923613">
      <w:pPr>
        <w:spacing w:after="24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US" w:eastAsia="en-GB"/>
        </w:rPr>
      </w:pPr>
      <w:r w:rsidRPr="00A356A1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Abdel </w:t>
      </w:r>
      <w:proofErr w:type="spellStart"/>
      <w:r w:rsidRPr="00A356A1">
        <w:rPr>
          <w:rFonts w:ascii="Arial" w:eastAsia="Times New Roman" w:hAnsi="Arial" w:cs="Arial"/>
          <w:b/>
          <w:sz w:val="24"/>
          <w:szCs w:val="24"/>
          <w:lang w:val="en-US" w:eastAsia="en-GB"/>
        </w:rPr>
        <w:t>Qader</w:t>
      </w:r>
      <w:proofErr w:type="spellEnd"/>
      <w:r w:rsidRPr="00A356A1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Al Bawab</w:t>
      </w:r>
      <w:r w:rsidRPr="00A356A1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en-GB"/>
        </w:rPr>
        <w:t>1*</w:t>
      </w:r>
      <w:r w:rsidRPr="00A356A1">
        <w:rPr>
          <w:rFonts w:ascii="Arial" w:eastAsia="Times New Roman" w:hAnsi="Arial" w:cs="Arial"/>
          <w:b/>
          <w:sz w:val="24"/>
          <w:szCs w:val="24"/>
          <w:lang w:val="en-US" w:eastAsia="en-GB"/>
        </w:rPr>
        <w:t>, Bashar A. Alkhalidi</w:t>
      </w:r>
      <w:r w:rsidRPr="00A356A1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en-GB"/>
        </w:rPr>
        <w:t>2</w:t>
      </w:r>
      <w:r w:rsidRPr="00A356A1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, </w:t>
      </w:r>
      <w:proofErr w:type="spellStart"/>
      <w:r w:rsidRPr="005B793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Esra’a</w:t>
      </w:r>
      <w:proofErr w:type="spellEnd"/>
      <w:r w:rsidRPr="005B793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 Albarahmieh</w:t>
      </w:r>
      <w:r w:rsidRPr="005B7932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en-GB"/>
        </w:rPr>
        <w:t>3</w:t>
      </w:r>
      <w:r w:rsidRPr="005B793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="00A356A1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Rasha</w:t>
      </w:r>
      <w:proofErr w:type="spellEnd"/>
      <w:r w:rsidR="00A356A1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 Darwish</w:t>
      </w:r>
      <w:r w:rsidR="00A356A1" w:rsidRPr="005B7932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en-GB"/>
        </w:rPr>
        <w:t>3</w:t>
      </w:r>
      <w:r w:rsidR="00A356A1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, </w:t>
      </w:r>
      <w:r w:rsidRPr="005B793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Sami M.A. Qassim</w:t>
      </w:r>
      <w:r w:rsidRPr="005B7932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en-GB"/>
        </w:rPr>
        <w:t>4</w:t>
      </w:r>
      <w:r w:rsidRPr="005B793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, Mohammad A. D. Al-Saifi</w:t>
      </w:r>
      <w:r w:rsidR="00A356A1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en-GB"/>
        </w:rPr>
        <w:t>4</w:t>
      </w:r>
      <w:r w:rsidR="00A356A1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, Bashar </w:t>
      </w:r>
      <w:r w:rsidR="00A356A1" w:rsidRPr="005B793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Al-Saifi</w:t>
      </w:r>
      <w:r w:rsidR="00A356A1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en-GB"/>
        </w:rPr>
        <w:t>4</w:t>
      </w:r>
      <w:r w:rsidR="00997B84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val="en-US" w:eastAsia="en-GB"/>
        </w:rPr>
        <w:t xml:space="preserve">, </w:t>
      </w:r>
      <w:r w:rsidR="00997B84" w:rsidRPr="00196698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Walid</w:t>
      </w:r>
      <w:r w:rsidR="00997B84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val="en-US" w:eastAsia="en-GB"/>
        </w:rPr>
        <w:t xml:space="preserve"> </w:t>
      </w:r>
      <w:r w:rsidR="00997B84" w:rsidRPr="0037163F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Al-Qerem</w:t>
      </w:r>
      <w:r w:rsidR="00997B84" w:rsidRPr="0037163F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en-GB"/>
        </w:rPr>
        <w:t>1</w:t>
      </w:r>
      <w:r w:rsidR="00997B84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val="en-US" w:eastAsia="en-GB"/>
        </w:rPr>
        <w:t xml:space="preserve">, </w:t>
      </w:r>
      <w:r w:rsidR="0037163F" w:rsidRPr="00CF7AAF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Jonathan Ling</w:t>
      </w:r>
      <w:r w:rsidR="00CF7AAF" w:rsidRPr="009123F4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en-GB"/>
        </w:rPr>
        <w:t>5</w:t>
      </w:r>
    </w:p>
    <w:p w14:paraId="1CC1AF2F" w14:textId="57D9B6A1" w:rsidR="00A307B4" w:rsidRDefault="00B00AA9" w:rsidP="00427424">
      <w:pPr>
        <w:spacing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0872D8"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en-US" w:eastAsia="en-GB"/>
        </w:rPr>
        <w:t>*</w:t>
      </w:r>
      <w:r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en-US" w:eastAsia="en-GB"/>
        </w:rPr>
        <w:t xml:space="preserve"> </w:t>
      </w:r>
      <w:r w:rsidR="00DB127D" w:rsidRPr="000872D8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Correspondence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:</w:t>
      </w:r>
    </w:p>
    <w:p w14:paraId="75DB5820" w14:textId="4D6A5B97" w:rsidR="00B00AA9" w:rsidRDefault="001B6843" w:rsidP="00427424">
      <w:pPr>
        <w:spacing w:after="240" w:line="360" w:lineRule="auto"/>
        <w:jc w:val="both"/>
        <w:rPr>
          <w:rStyle w:val="Hyperlink"/>
          <w:rFonts w:ascii="Arial" w:eastAsia="Times New Roman" w:hAnsi="Arial" w:cs="Arial"/>
          <w:sz w:val="24"/>
          <w:szCs w:val="24"/>
          <w:lang w:val="en-US" w:eastAsia="en-GB"/>
        </w:rPr>
      </w:pPr>
      <w:hyperlink r:id="rId8" w:history="1">
        <w:r w:rsidR="00B00AA9" w:rsidRPr="00176B98">
          <w:rPr>
            <w:rStyle w:val="Hyperlink"/>
            <w:rFonts w:ascii="Arial" w:eastAsia="Times New Roman" w:hAnsi="Arial" w:cs="Arial"/>
            <w:sz w:val="24"/>
            <w:szCs w:val="24"/>
            <w:lang w:val="en-US" w:eastAsia="en-GB"/>
          </w:rPr>
          <w:t>Abdelqader.albawab@zuj.edu.jo</w:t>
        </w:r>
      </w:hyperlink>
    </w:p>
    <w:p w14:paraId="36B5412A" w14:textId="77777777" w:rsidR="00A307B4" w:rsidRPr="00A307B4" w:rsidRDefault="00A307B4" w:rsidP="00427424">
      <w:pPr>
        <w:spacing w:after="240" w:line="360" w:lineRule="auto"/>
        <w:jc w:val="both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val="en-US" w:eastAsia="en-GB"/>
        </w:rPr>
      </w:pPr>
      <w:r w:rsidRPr="00A307B4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val="en-US" w:eastAsia="en-GB"/>
        </w:rPr>
        <w:t xml:space="preserve">Fax: 00962-6-4291432 </w:t>
      </w:r>
    </w:p>
    <w:p w14:paraId="0A1E29CC" w14:textId="6E921AED" w:rsidR="00A307B4" w:rsidRDefault="00A307B4" w:rsidP="00427424">
      <w:pPr>
        <w:spacing w:after="240" w:line="360" w:lineRule="auto"/>
        <w:jc w:val="both"/>
        <w:rPr>
          <w:rStyle w:val="Hyperlink"/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val="en-US" w:eastAsia="en-GB"/>
        </w:rPr>
        <w:t xml:space="preserve">Telephone: </w:t>
      </w:r>
      <w:r w:rsidRPr="00A307B4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val="en-US" w:eastAsia="en-GB"/>
        </w:rPr>
        <w:t>00962-6-4291511</w:t>
      </w:r>
      <w:r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val="en-US" w:eastAsia="en-GB"/>
        </w:rPr>
        <w:t xml:space="preserve"> ext. 471</w:t>
      </w:r>
    </w:p>
    <w:p w14:paraId="7AD0A8C6" w14:textId="6596D24A" w:rsidR="00B00AA9" w:rsidRDefault="00B00AA9" w:rsidP="00427424">
      <w:pPr>
        <w:spacing w:after="240" w:line="360" w:lineRule="auto"/>
        <w:jc w:val="both"/>
        <w:rPr>
          <w:rStyle w:val="Hyperlink"/>
          <w:rFonts w:ascii="Arial" w:eastAsia="Times New Roman" w:hAnsi="Arial" w:cs="Arial"/>
          <w:sz w:val="24"/>
          <w:szCs w:val="24"/>
          <w:lang w:val="en-US" w:eastAsia="en-GB"/>
        </w:rPr>
      </w:pPr>
      <w:r w:rsidRPr="000872D8"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en-US" w:eastAsia="en-GB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en-US" w:eastAsia="en-GB"/>
        </w:rPr>
        <w:t xml:space="preserve"> </w:t>
      </w:r>
      <w:r w:rsidRPr="000329AA">
        <w:rPr>
          <w:rFonts w:ascii="Arial" w:eastAsia="Times New Roman" w:hAnsi="Arial" w:cs="Arial"/>
          <w:sz w:val="24"/>
          <w:szCs w:val="24"/>
          <w:lang w:eastAsia="en-GB"/>
        </w:rPr>
        <w:t>Faculty of Pharmacy, Al</w:t>
      </w:r>
      <w:r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0329AA">
        <w:rPr>
          <w:rFonts w:ascii="Arial" w:eastAsia="Times New Roman" w:hAnsi="Arial" w:cs="Arial"/>
          <w:sz w:val="24"/>
          <w:szCs w:val="24"/>
          <w:lang w:eastAsia="en-GB"/>
        </w:rPr>
        <w:t>Zaytoonah University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of Jordan</w:t>
      </w:r>
      <w:r w:rsidRPr="000329AA">
        <w:rPr>
          <w:rFonts w:ascii="Arial" w:eastAsia="Times New Roman" w:hAnsi="Arial" w:cs="Arial"/>
          <w:sz w:val="24"/>
          <w:szCs w:val="24"/>
          <w:lang w:eastAsia="en-GB"/>
        </w:rPr>
        <w:t>, Amman, Jordan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hyperlink r:id="rId9" w:history="1">
        <w:r w:rsidRPr="00176B98">
          <w:rPr>
            <w:rStyle w:val="Hyperlink"/>
            <w:rFonts w:ascii="Arial" w:eastAsia="Times New Roman" w:hAnsi="Arial" w:cs="Arial"/>
            <w:sz w:val="24"/>
            <w:szCs w:val="24"/>
            <w:lang w:val="en-US" w:eastAsia="en-GB"/>
          </w:rPr>
          <w:t>Abdelqader.albawab@zuj.edu.jo</w:t>
        </w:r>
      </w:hyperlink>
    </w:p>
    <w:p w14:paraId="660E5505" w14:textId="031FBF51" w:rsidR="00D00F4F" w:rsidRDefault="001B6843" w:rsidP="00427424">
      <w:pPr>
        <w:spacing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hyperlink r:id="rId10" w:history="1">
        <w:r w:rsidR="00D00F4F" w:rsidRPr="007C2740">
          <w:rPr>
            <w:rStyle w:val="Hyperlink"/>
            <w:rFonts w:ascii="Arial" w:eastAsia="Times New Roman" w:hAnsi="Arial" w:cs="Arial"/>
            <w:sz w:val="24"/>
            <w:szCs w:val="24"/>
            <w:lang w:val="en-US" w:eastAsia="en-GB"/>
          </w:rPr>
          <w:t>Waleed.qirim@zuj.edu.jo</w:t>
        </w:r>
      </w:hyperlink>
      <w:r w:rsidR="00D00F4F">
        <w:rPr>
          <w:rStyle w:val="Hyperlink"/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14:paraId="31E7BC86" w14:textId="04C62337" w:rsidR="00B00AA9" w:rsidRDefault="00B00AA9" w:rsidP="00427424">
      <w:pPr>
        <w:spacing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0872D8"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en-US" w:eastAsia="en-GB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en-US" w:eastAsia="en-GB"/>
        </w:rPr>
        <w:t xml:space="preserve"> </w:t>
      </w:r>
      <w:r w:rsidRPr="000872D8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School of Pharmacy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,</w:t>
      </w:r>
      <w:r w:rsidRPr="000872D8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90645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T</w:t>
      </w:r>
      <w:r w:rsidR="0090645E" w:rsidRPr="000872D8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he</w:t>
      </w:r>
      <w:r w:rsidRPr="000872D8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University of Jordan Amman Jordan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. </w:t>
      </w:r>
      <w:hyperlink r:id="rId11" w:history="1">
        <w:r w:rsidRPr="00176B98">
          <w:rPr>
            <w:rStyle w:val="Hyperlink"/>
            <w:rFonts w:ascii="Arial" w:eastAsia="Times New Roman" w:hAnsi="Arial" w:cs="Arial"/>
            <w:sz w:val="24"/>
            <w:szCs w:val="24"/>
            <w:lang w:val="en-US" w:eastAsia="en-GB"/>
          </w:rPr>
          <w:t>b.khalidi@ju.edu.jo</w:t>
        </w:r>
      </w:hyperlink>
    </w:p>
    <w:p w14:paraId="22383F9E" w14:textId="77777777" w:rsidR="00B00AA9" w:rsidRDefault="00B00AA9" w:rsidP="00427424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0872D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GB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GB"/>
        </w:rPr>
        <w:t xml:space="preserve"> </w:t>
      </w:r>
      <w:r w:rsidRPr="000872D8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School of Applied Medical Sciences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,</w:t>
      </w:r>
      <w:r w:rsidRPr="000872D8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German Jordanian University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,</w:t>
      </w:r>
      <w:r w:rsidRPr="000872D8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Amman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,</w:t>
      </w:r>
      <w:r w:rsidRPr="000872D8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Jordan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. </w:t>
      </w:r>
      <w:hyperlink r:id="rId12" w:history="1">
        <w:r w:rsidRPr="00176B98">
          <w:rPr>
            <w:rStyle w:val="Hyperlink"/>
            <w:rFonts w:ascii="Arial" w:eastAsia="Times New Roman" w:hAnsi="Arial" w:cs="Arial"/>
            <w:sz w:val="24"/>
            <w:szCs w:val="24"/>
            <w:lang w:val="en-US" w:eastAsia="en-GB"/>
          </w:rPr>
          <w:t>Israa.Barahmieh@gju.edu.jo</w:t>
        </w:r>
      </w:hyperlink>
    </w:p>
    <w:p w14:paraId="62ED4931" w14:textId="77777777" w:rsidR="00B00AA9" w:rsidRDefault="00B00AA9" w:rsidP="00427424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0872D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GB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GB"/>
        </w:rPr>
        <w:t xml:space="preserve"> </w:t>
      </w:r>
      <w:r w:rsidRPr="000872D8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Tabuk Pharmaceuticals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,</w:t>
      </w:r>
      <w:r w:rsidRPr="000872D8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Tabuk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,</w:t>
      </w:r>
      <w:r w:rsidRPr="000872D8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Kingdom of Saudi Arabia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. </w:t>
      </w:r>
      <w:hyperlink r:id="rId13" w:history="1">
        <w:r w:rsidRPr="00176B98">
          <w:rPr>
            <w:rStyle w:val="Hyperlink"/>
            <w:rFonts w:ascii="Arial" w:eastAsia="Times New Roman" w:hAnsi="Arial" w:cs="Arial"/>
            <w:sz w:val="24"/>
            <w:szCs w:val="24"/>
            <w:lang w:val="en-US" w:eastAsia="en-GB"/>
          </w:rPr>
          <w:t>sami.qassim@tabukpharmaceuticals.com</w:t>
        </w:r>
      </w:hyperlink>
      <w:r w:rsidRPr="000872D8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</w:t>
      </w:r>
    </w:p>
    <w:p w14:paraId="55FA4D5C" w14:textId="02DD0281" w:rsidR="000E7FE5" w:rsidRDefault="001B6843" w:rsidP="0032459C">
      <w:pPr>
        <w:spacing w:after="240" w:line="360" w:lineRule="auto"/>
        <w:jc w:val="both"/>
        <w:rPr>
          <w:rStyle w:val="Hyperlink"/>
          <w:rFonts w:ascii="Arial" w:eastAsia="Times New Roman" w:hAnsi="Arial" w:cs="Arial"/>
          <w:sz w:val="24"/>
          <w:szCs w:val="24"/>
          <w:lang w:val="en-US" w:eastAsia="en-GB"/>
        </w:rPr>
      </w:pPr>
      <w:hyperlink r:id="rId14" w:history="1">
        <w:r w:rsidR="0032459C">
          <w:rPr>
            <w:rStyle w:val="Hyperlink"/>
            <w:rFonts w:ascii="Arial" w:eastAsia="Times New Roman" w:hAnsi="Arial" w:cs="Arial"/>
            <w:sz w:val="24"/>
            <w:szCs w:val="24"/>
            <w:lang w:val="en-US" w:eastAsia="en-GB"/>
          </w:rPr>
          <w:t>mohammad.alsaifi@tabukpharmaceuticals.com</w:t>
        </w:r>
      </w:hyperlink>
    </w:p>
    <w:p w14:paraId="73B5BC58" w14:textId="21EB9018" w:rsidR="0032459C" w:rsidRDefault="0032459C" w:rsidP="0032459C">
      <w:pPr>
        <w:spacing w:after="240" w:line="360" w:lineRule="auto"/>
        <w:jc w:val="both"/>
        <w:rPr>
          <w:rStyle w:val="Hyperlink"/>
          <w:rFonts w:ascii="Arial" w:eastAsia="Times New Roman" w:hAnsi="Arial" w:cs="Arial"/>
          <w:sz w:val="24"/>
          <w:szCs w:val="24"/>
          <w:lang w:val="en-US" w:eastAsia="en-GB"/>
        </w:rPr>
      </w:pPr>
      <w:r w:rsidRPr="00BB00ED">
        <w:rPr>
          <w:rStyle w:val="Hyperlink"/>
          <w:rFonts w:ascii="Arial" w:eastAsia="Times New Roman" w:hAnsi="Arial" w:cs="Arial"/>
          <w:sz w:val="24"/>
          <w:szCs w:val="24"/>
          <w:vertAlign w:val="superscript"/>
          <w:lang w:val="en-US" w:eastAsia="en-GB"/>
        </w:rPr>
        <w:t>5</w:t>
      </w:r>
      <w:r w:rsidR="00196698">
        <w:rPr>
          <w:rStyle w:val="Hyperlink"/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Style w:val="Hyperlink"/>
          <w:rFonts w:ascii="Arial" w:eastAsia="Times New Roman" w:hAnsi="Arial" w:cs="Arial"/>
          <w:sz w:val="24"/>
          <w:szCs w:val="24"/>
          <w:lang w:val="en-US" w:eastAsia="en-GB"/>
        </w:rPr>
        <w:t xml:space="preserve">University of Sunderland </w:t>
      </w:r>
    </w:p>
    <w:p w14:paraId="578ED45C" w14:textId="1231C658" w:rsidR="00BB00ED" w:rsidRPr="0032459C" w:rsidRDefault="001B6843" w:rsidP="0032459C">
      <w:pPr>
        <w:spacing w:after="240" w:line="360" w:lineRule="auto"/>
        <w:jc w:val="both"/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en-US" w:eastAsia="en-GB"/>
        </w:rPr>
      </w:pPr>
      <w:hyperlink r:id="rId15" w:history="1">
        <w:r w:rsidR="00BB00ED" w:rsidRPr="007C2740">
          <w:rPr>
            <w:rStyle w:val="Hyperlink"/>
            <w:rFonts w:ascii="Arial" w:eastAsia="Times New Roman" w:hAnsi="Arial" w:cs="Arial"/>
            <w:sz w:val="24"/>
            <w:szCs w:val="24"/>
            <w:lang w:val="en-US" w:eastAsia="en-GB"/>
          </w:rPr>
          <w:t>Jonathan.ling@sunderland.ac.uk</w:t>
        </w:r>
      </w:hyperlink>
      <w:r w:rsidR="00BB00ED">
        <w:rPr>
          <w:rStyle w:val="Hyperlink"/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14:paraId="14B6D7AA" w14:textId="468F44F4" w:rsidR="00196698" w:rsidRDefault="00196698"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br w:type="page"/>
      </w:r>
    </w:p>
    <w:p w14:paraId="6F869985" w14:textId="77777777" w:rsidR="00AB38C8" w:rsidRPr="00952F2E" w:rsidRDefault="00AB38C8" w:rsidP="00A307B4">
      <w:pPr>
        <w:spacing w:after="120" w:line="480" w:lineRule="auto"/>
        <w:jc w:val="both"/>
        <w:rPr>
          <w:rFonts w:asciiTheme="minorBidi" w:hAnsiTheme="minorBidi"/>
          <w:b/>
          <w:bCs/>
          <w:sz w:val="32"/>
          <w:szCs w:val="32"/>
        </w:rPr>
      </w:pPr>
      <w:r w:rsidRPr="00952F2E">
        <w:rPr>
          <w:rFonts w:asciiTheme="minorBidi" w:hAnsiTheme="minorBidi"/>
          <w:b/>
          <w:bCs/>
          <w:sz w:val="32"/>
          <w:szCs w:val="32"/>
        </w:rPr>
        <w:lastRenderedPageBreak/>
        <w:t>Abstract</w:t>
      </w:r>
    </w:p>
    <w:p w14:paraId="19BC828C" w14:textId="6B824892" w:rsidR="00AB38C8" w:rsidRDefault="00AB38C8" w:rsidP="00644A66">
      <w:pPr>
        <w:spacing w:after="120" w:line="480" w:lineRule="auto"/>
        <w:jc w:val="both"/>
        <w:rPr>
          <w:rFonts w:asciiTheme="minorBidi" w:hAnsiTheme="minorBidi"/>
          <w:sz w:val="24"/>
          <w:szCs w:val="24"/>
        </w:rPr>
      </w:pPr>
      <w:r w:rsidRPr="00AB38C8">
        <w:rPr>
          <w:rFonts w:asciiTheme="minorBidi" w:hAnsiTheme="minorBidi"/>
          <w:b/>
          <w:bCs/>
          <w:sz w:val="24"/>
          <w:szCs w:val="24"/>
        </w:rPr>
        <w:t>Objective</w:t>
      </w:r>
      <w:r>
        <w:rPr>
          <w:rFonts w:asciiTheme="minorBidi" w:hAnsiTheme="minorBidi"/>
          <w:sz w:val="24"/>
          <w:szCs w:val="24"/>
        </w:rPr>
        <w:t xml:space="preserve">: Alfuzosin </w:t>
      </w:r>
      <w:r w:rsidRPr="00952F2E">
        <w:rPr>
          <w:rFonts w:asciiTheme="minorBidi" w:hAnsiTheme="minorBidi"/>
          <w:sz w:val="24"/>
          <w:szCs w:val="24"/>
        </w:rPr>
        <w:t xml:space="preserve">is a medication that is approved by the 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>US FDA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to 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treat </w:t>
      </w:r>
      <w:r w:rsidR="003D68D4">
        <w:rPr>
          <w:rStyle w:val="normaltextrun"/>
          <w:rFonts w:asciiTheme="minorBidi" w:hAnsiTheme="minorBidi"/>
          <w:color w:val="000000"/>
          <w:sz w:val="24"/>
          <w:szCs w:val="24"/>
        </w:rPr>
        <w:t>b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enign prostatic </w:t>
      </w:r>
      <w:r w:rsidR="003D68D4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hyperplasia 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>(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>BPH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>)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symptoms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>. The branded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alfuzosin 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is expensive, hence, generic 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>alfuzosin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will provide better access to the medication, especially for non-</w:t>
      </w:r>
      <w:r w:rsidR="003D68D4">
        <w:rPr>
          <w:rStyle w:val="normaltextrun"/>
          <w:rFonts w:asciiTheme="minorBidi" w:hAnsiTheme="minorBidi"/>
          <w:color w:val="000000"/>
          <w:sz w:val="24"/>
          <w:szCs w:val="24"/>
        </w:rPr>
        <w:t>i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nsured patients with 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>BPH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. Bioequivalence studies are demanded by the regulatory authorities to allow 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the 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marketing 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of 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the new generics of 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alfuzosin. 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>The aim of this report is to assess the bioavailability of the generic (test) and branded (reference) formulation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>s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of 10 mg 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>alfuzosin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</w:t>
      </w:r>
      <w:r w:rsidR="003C5B93">
        <w:rPr>
          <w:rStyle w:val="normaltextrun"/>
          <w:rFonts w:asciiTheme="minorBidi" w:hAnsiTheme="minorBidi"/>
          <w:color w:val="000000"/>
          <w:sz w:val="24"/>
          <w:szCs w:val="24"/>
        </w:rPr>
        <w:t>e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>xtended</w:t>
      </w:r>
      <w:r w:rsidR="003C5B93">
        <w:rPr>
          <w:rStyle w:val="normaltextrun"/>
          <w:rFonts w:asciiTheme="minorBidi" w:hAnsiTheme="minorBidi"/>
          <w:color w:val="000000"/>
          <w:sz w:val="24"/>
          <w:szCs w:val="24"/>
        </w:rPr>
        <w:t>-</w:t>
      </w:r>
      <w:r w:rsidR="003C5B93"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release 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>(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>X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>R) tablets after oral administration to healthy adults under fed conditions.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</w:t>
      </w:r>
      <w:r w:rsidRPr="00AB38C8">
        <w:rPr>
          <w:rStyle w:val="normaltextrun"/>
          <w:rFonts w:asciiTheme="minorBidi" w:hAnsiTheme="minorBidi"/>
          <w:b/>
          <w:bCs/>
          <w:color w:val="000000"/>
          <w:sz w:val="24"/>
          <w:szCs w:val="24"/>
        </w:rPr>
        <w:t>Methods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: </w:t>
      </w:r>
      <w:r w:rsidRPr="00952F2E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The current report methodology was based on a </w:t>
      </w:r>
      <w:r w:rsidR="003D68D4" w:rsidRPr="00952F2E">
        <w:rPr>
          <w:rFonts w:asciiTheme="minorBidi" w:hAnsiTheme="minorBidi"/>
          <w:sz w:val="24"/>
          <w:szCs w:val="24"/>
        </w:rPr>
        <w:t>comparative randomized, single dose, two-way crossover open label study</w:t>
      </w:r>
      <w:r w:rsidRPr="00952F2E">
        <w:rPr>
          <w:rFonts w:asciiTheme="minorBidi" w:hAnsiTheme="minorBidi"/>
          <w:sz w:val="24"/>
          <w:szCs w:val="24"/>
        </w:rPr>
        <w:t xml:space="preserve"> design. </w:t>
      </w:r>
      <w:r w:rsidR="00196698">
        <w:rPr>
          <w:rFonts w:asciiTheme="minorBidi" w:hAnsiTheme="minorBidi"/>
          <w:sz w:val="24"/>
          <w:szCs w:val="24"/>
        </w:rPr>
        <w:t>Thirty-three</w:t>
      </w:r>
      <w:r w:rsidR="00644A66">
        <w:rPr>
          <w:rFonts w:asciiTheme="minorBidi" w:hAnsiTheme="minorBidi"/>
          <w:sz w:val="24"/>
          <w:szCs w:val="24"/>
        </w:rPr>
        <w:t xml:space="preserve"> subjects were recruited and completed </w:t>
      </w:r>
      <w:r w:rsidRPr="00952F2E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 xml:space="preserve">clinical </w:t>
      </w:r>
      <w:r w:rsidR="00DF2366">
        <w:rPr>
          <w:rFonts w:asciiTheme="minorBidi" w:hAnsiTheme="minorBidi"/>
          <w:sz w:val="24"/>
          <w:szCs w:val="24"/>
        </w:rPr>
        <w:t>assessment</w:t>
      </w:r>
      <w:r>
        <w:rPr>
          <w:rFonts w:asciiTheme="minorBidi" w:hAnsiTheme="minorBidi"/>
          <w:sz w:val="24"/>
          <w:szCs w:val="24"/>
        </w:rPr>
        <w:t xml:space="preserve">. </w:t>
      </w:r>
      <w:r w:rsidRPr="000E7FE5">
        <w:rPr>
          <w:rFonts w:asciiTheme="minorBidi" w:hAnsiTheme="minorBidi"/>
          <w:sz w:val="24"/>
          <w:szCs w:val="24"/>
        </w:rPr>
        <w:t xml:space="preserve">The pharmacokinetic parameters </w:t>
      </w:r>
      <w:proofErr w:type="spellStart"/>
      <w:r w:rsidRPr="000E7FE5">
        <w:rPr>
          <w:rFonts w:asciiTheme="minorBidi" w:eastAsia="Arial" w:hAnsiTheme="minorBidi"/>
          <w:sz w:val="24"/>
          <w:szCs w:val="24"/>
        </w:rPr>
        <w:t>C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>rnax</w:t>
      </w:r>
      <w:proofErr w:type="spellEnd"/>
      <w:r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Pr="000E7FE5">
        <w:rPr>
          <w:rFonts w:asciiTheme="minorBidi" w:hAnsiTheme="minorBidi"/>
          <w:sz w:val="24"/>
          <w:szCs w:val="24"/>
        </w:rPr>
        <w:t xml:space="preserve">and </w:t>
      </w:r>
      <w:r w:rsidRPr="000E7FE5">
        <w:rPr>
          <w:rFonts w:asciiTheme="minorBidi" w:eastAsia="Arial" w:hAnsiTheme="minorBidi"/>
          <w:sz w:val="24"/>
          <w:szCs w:val="24"/>
        </w:rPr>
        <w:t>AUC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>0→t</w:t>
      </w:r>
      <w:r>
        <w:rPr>
          <w:rFonts w:asciiTheme="minorBidi" w:eastAsia="Arial" w:hAnsiTheme="minorBidi"/>
          <w:sz w:val="24"/>
          <w:szCs w:val="24"/>
          <w:vertAlign w:val="subscript"/>
        </w:rPr>
        <w:t xml:space="preserve">, </w:t>
      </w:r>
      <w:proofErr w:type="spellStart"/>
      <w:r w:rsidRPr="000E7FE5">
        <w:rPr>
          <w:rFonts w:asciiTheme="minorBidi" w:eastAsia="Arial" w:hAnsiTheme="minorBidi"/>
          <w:sz w:val="24"/>
          <w:szCs w:val="24"/>
        </w:rPr>
        <w:t>K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>el</w:t>
      </w:r>
      <w:proofErr w:type="spellEnd"/>
      <w:r w:rsidRPr="000E7FE5">
        <w:rPr>
          <w:rFonts w:asciiTheme="minorBidi" w:eastAsia="Arial" w:hAnsiTheme="minorBidi"/>
          <w:sz w:val="24"/>
          <w:szCs w:val="24"/>
        </w:rPr>
        <w:t>, AUC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>0→∞</w:t>
      </w:r>
      <w:r w:rsidRPr="000E7FE5">
        <w:rPr>
          <w:rFonts w:asciiTheme="minorBidi" w:eastAsia="Arial" w:hAnsiTheme="minorBidi"/>
          <w:sz w:val="24"/>
          <w:szCs w:val="24"/>
        </w:rPr>
        <w:t>,</w:t>
      </w:r>
      <w:r w:rsidR="00196698">
        <w:rPr>
          <w:rFonts w:asciiTheme="minorBidi" w:eastAsia="Arial" w:hAnsiTheme="minorBidi"/>
          <w:sz w:val="24"/>
          <w:szCs w:val="24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 xml:space="preserve">MRT, </w:t>
      </w:r>
      <w:proofErr w:type="spellStart"/>
      <w:r w:rsidRPr="000E7FE5">
        <w:rPr>
          <w:rFonts w:asciiTheme="minorBidi" w:eastAsia="Arial" w:hAnsiTheme="minorBidi"/>
          <w:sz w:val="24"/>
          <w:szCs w:val="24"/>
        </w:rPr>
        <w:t>t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>rnax</w:t>
      </w:r>
      <w:proofErr w:type="spellEnd"/>
      <w:r w:rsidRPr="000E7FE5">
        <w:rPr>
          <w:rFonts w:asciiTheme="minorBidi" w:eastAsia="Arial" w:hAnsiTheme="minorBidi"/>
          <w:sz w:val="24"/>
          <w:szCs w:val="24"/>
        </w:rPr>
        <w:t>,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>t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1/2el </w:t>
      </w:r>
      <w:r w:rsidRPr="000E7FE5">
        <w:rPr>
          <w:rFonts w:asciiTheme="minorBidi" w:eastAsia="Arial" w:hAnsiTheme="minorBidi"/>
          <w:sz w:val="24"/>
          <w:szCs w:val="24"/>
        </w:rPr>
        <w:t xml:space="preserve">were </w:t>
      </w:r>
      <w:r>
        <w:rPr>
          <w:rFonts w:asciiTheme="minorBidi" w:eastAsia="Arial" w:hAnsiTheme="minorBidi"/>
          <w:sz w:val="24"/>
          <w:szCs w:val="24"/>
        </w:rPr>
        <w:t>estimated t</w:t>
      </w:r>
      <w:r w:rsidRPr="000E7FE5">
        <w:rPr>
          <w:rFonts w:asciiTheme="minorBidi" w:eastAsia="Arial" w:hAnsiTheme="minorBidi"/>
          <w:sz w:val="24"/>
          <w:szCs w:val="24"/>
        </w:rPr>
        <w:t>o prove bioequivalence</w:t>
      </w:r>
      <w:r w:rsidRPr="00952F2E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  <w:r w:rsidRPr="00AB38C8">
        <w:rPr>
          <w:rFonts w:asciiTheme="minorBidi" w:hAnsiTheme="minorBidi"/>
          <w:b/>
          <w:bCs/>
          <w:sz w:val="24"/>
          <w:szCs w:val="24"/>
        </w:rPr>
        <w:t>Results</w:t>
      </w:r>
      <w:r>
        <w:rPr>
          <w:rFonts w:asciiTheme="minorBidi" w:hAnsiTheme="minorBidi"/>
          <w:sz w:val="24"/>
          <w:szCs w:val="24"/>
        </w:rPr>
        <w:t xml:space="preserve">: </w:t>
      </w:r>
      <w:r w:rsidRPr="00952F2E">
        <w:rPr>
          <w:rFonts w:asciiTheme="minorBidi" w:hAnsiTheme="minorBidi"/>
          <w:sz w:val="24"/>
          <w:szCs w:val="24"/>
        </w:rPr>
        <w:t xml:space="preserve">The </w:t>
      </w:r>
      <w:r w:rsidR="003D68D4" w:rsidRPr="00952F2E">
        <w:rPr>
          <w:rFonts w:asciiTheme="minorBidi" w:hAnsiTheme="minorBidi"/>
          <w:sz w:val="24"/>
          <w:szCs w:val="24"/>
        </w:rPr>
        <w:t>confidence in</w:t>
      </w:r>
      <w:r w:rsidRPr="00952F2E">
        <w:rPr>
          <w:rFonts w:asciiTheme="minorBidi" w:hAnsiTheme="minorBidi"/>
          <w:sz w:val="24"/>
          <w:szCs w:val="24"/>
        </w:rPr>
        <w:t xml:space="preserve">tervals for the log-transformed </w:t>
      </w:r>
      <w:r w:rsidR="003D68D4" w:rsidRPr="00952F2E">
        <w:rPr>
          <w:rFonts w:asciiTheme="minorBidi" w:hAnsiTheme="minorBidi"/>
          <w:sz w:val="24"/>
          <w:szCs w:val="24"/>
        </w:rPr>
        <w:t>test/reference r</w:t>
      </w:r>
      <w:r w:rsidRPr="00952F2E">
        <w:rPr>
          <w:rFonts w:asciiTheme="minorBidi" w:hAnsiTheme="minorBidi"/>
          <w:sz w:val="24"/>
          <w:szCs w:val="24"/>
        </w:rPr>
        <w:t xml:space="preserve">atios for </w:t>
      </w:r>
      <w:r>
        <w:rPr>
          <w:rFonts w:asciiTheme="minorBidi" w:hAnsiTheme="minorBidi"/>
          <w:sz w:val="24"/>
          <w:szCs w:val="24"/>
        </w:rPr>
        <w:t>alfuzosin</w:t>
      </w:r>
      <w:r w:rsidRPr="00952F2E">
        <w:rPr>
          <w:rFonts w:asciiTheme="minorBidi" w:hAnsiTheme="minorBidi"/>
          <w:sz w:val="24"/>
          <w:szCs w:val="24"/>
        </w:rPr>
        <w:t xml:space="preserve"> </w:t>
      </w:r>
      <w:r w:rsidRPr="00A60746">
        <w:rPr>
          <w:rFonts w:asciiTheme="minorBidi" w:hAnsiTheme="minorBidi"/>
          <w:sz w:val="24"/>
          <w:szCs w:val="24"/>
        </w:rPr>
        <w:t>110.65</w:t>
      </w:r>
      <w:r w:rsidR="00EA13E0" w:rsidRPr="00A60746">
        <w:rPr>
          <w:rFonts w:asciiTheme="minorBidi" w:hAnsiTheme="minorBidi"/>
          <w:sz w:val="24"/>
          <w:szCs w:val="24"/>
        </w:rPr>
        <w:t>%</w:t>
      </w:r>
      <w:r w:rsidRPr="00A60746">
        <w:rPr>
          <w:rFonts w:asciiTheme="minorBidi" w:hAnsiTheme="minorBidi"/>
          <w:sz w:val="24"/>
          <w:szCs w:val="24"/>
        </w:rPr>
        <w:t xml:space="preserve"> (98.01-124.93) and 111.98</w:t>
      </w:r>
      <w:r w:rsidR="00EA13E0" w:rsidRPr="00A60746">
        <w:rPr>
          <w:rFonts w:asciiTheme="minorBidi" w:hAnsiTheme="minorBidi"/>
          <w:sz w:val="24"/>
          <w:szCs w:val="24"/>
        </w:rPr>
        <w:t>%</w:t>
      </w:r>
      <w:r w:rsidRPr="00A60746">
        <w:rPr>
          <w:rFonts w:asciiTheme="minorBidi" w:hAnsiTheme="minorBidi"/>
          <w:sz w:val="24"/>
          <w:szCs w:val="24"/>
        </w:rPr>
        <w:t xml:space="preserve"> (101.87-123.10) </w:t>
      </w:r>
      <w:r w:rsidRPr="00952F2E">
        <w:rPr>
          <w:rFonts w:asciiTheme="minorBidi" w:hAnsiTheme="minorBidi"/>
          <w:sz w:val="24"/>
          <w:szCs w:val="24"/>
        </w:rPr>
        <w:t xml:space="preserve">for </w:t>
      </w:r>
      <w:proofErr w:type="spellStart"/>
      <w:r w:rsidRPr="00952F2E">
        <w:rPr>
          <w:rFonts w:asciiTheme="minorBidi" w:hAnsiTheme="minorBidi"/>
          <w:sz w:val="24"/>
          <w:szCs w:val="24"/>
        </w:rPr>
        <w:t>C</w:t>
      </w:r>
      <w:r w:rsidRPr="00535CA1">
        <w:rPr>
          <w:rFonts w:asciiTheme="minorBidi" w:hAnsiTheme="minorBidi"/>
          <w:sz w:val="24"/>
          <w:szCs w:val="24"/>
          <w:vertAlign w:val="subscript"/>
        </w:rPr>
        <w:t>max</w:t>
      </w:r>
      <w:proofErr w:type="spellEnd"/>
      <w:r w:rsidRPr="00952F2E">
        <w:rPr>
          <w:rFonts w:asciiTheme="minorBidi" w:hAnsiTheme="minorBidi"/>
          <w:sz w:val="24"/>
          <w:szCs w:val="24"/>
        </w:rPr>
        <w:t xml:space="preserve"> and AUC</w:t>
      </w:r>
      <w:r w:rsidRPr="00535CA1">
        <w:rPr>
          <w:rFonts w:asciiTheme="minorBidi" w:hAnsiTheme="minorBidi"/>
          <w:sz w:val="24"/>
          <w:szCs w:val="24"/>
          <w:vertAlign w:val="subscript"/>
        </w:rPr>
        <w:t>0→∞</w:t>
      </w:r>
      <w:r>
        <w:rPr>
          <w:rFonts w:asciiTheme="minorBidi" w:hAnsiTheme="minorBidi"/>
          <w:sz w:val="24"/>
          <w:szCs w:val="24"/>
        </w:rPr>
        <w:t xml:space="preserve"> respectively, which are within the allowed limit</w:t>
      </w:r>
      <w:r w:rsidR="003D68D4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specified by the regulatory authorities </w:t>
      </w:r>
      <w:r w:rsidRPr="00A60746">
        <w:rPr>
          <w:rFonts w:asciiTheme="minorBidi" w:hAnsiTheme="minorBidi"/>
          <w:sz w:val="24"/>
          <w:szCs w:val="24"/>
        </w:rPr>
        <w:t xml:space="preserve">(75-133% for </w:t>
      </w:r>
      <w:proofErr w:type="spellStart"/>
      <w:r w:rsidRPr="00A60746">
        <w:rPr>
          <w:rFonts w:asciiTheme="minorBidi" w:hAnsiTheme="minorBidi"/>
          <w:sz w:val="24"/>
          <w:szCs w:val="24"/>
        </w:rPr>
        <w:t>C</w:t>
      </w:r>
      <w:r w:rsidRPr="00EA13E0">
        <w:rPr>
          <w:rFonts w:asciiTheme="minorBidi" w:hAnsiTheme="minorBidi"/>
          <w:sz w:val="24"/>
          <w:szCs w:val="24"/>
          <w:vertAlign w:val="subscript"/>
        </w:rPr>
        <w:t>max</w:t>
      </w:r>
      <w:proofErr w:type="spellEnd"/>
      <w:r w:rsidRPr="00A60746">
        <w:rPr>
          <w:rFonts w:asciiTheme="minorBidi" w:hAnsiTheme="minorBidi"/>
          <w:sz w:val="24"/>
          <w:szCs w:val="24"/>
        </w:rPr>
        <w:t xml:space="preserve"> and 80-125% for AUC0→∞).</w:t>
      </w:r>
      <w:r w:rsidR="00196698">
        <w:rPr>
          <w:rFonts w:asciiTheme="minorBidi" w:hAnsiTheme="minorBidi"/>
          <w:sz w:val="24"/>
          <w:szCs w:val="24"/>
        </w:rPr>
        <w:t xml:space="preserve"> </w:t>
      </w:r>
      <w:r w:rsidRPr="00AB38C8">
        <w:rPr>
          <w:rFonts w:asciiTheme="minorBidi" w:hAnsiTheme="minorBidi"/>
          <w:b/>
          <w:bCs/>
          <w:sz w:val="24"/>
          <w:szCs w:val="24"/>
        </w:rPr>
        <w:t>Conclusions</w:t>
      </w:r>
      <w:r>
        <w:rPr>
          <w:rFonts w:asciiTheme="minorBidi" w:hAnsiTheme="minorBidi"/>
          <w:sz w:val="24"/>
          <w:szCs w:val="24"/>
        </w:rPr>
        <w:t xml:space="preserve">: </w:t>
      </w:r>
      <w:r w:rsidR="00EA13E0">
        <w:rPr>
          <w:rFonts w:asciiTheme="minorBidi" w:hAnsiTheme="minorBidi"/>
          <w:sz w:val="24"/>
          <w:szCs w:val="24"/>
        </w:rPr>
        <w:t>Clinically</w:t>
      </w:r>
      <w:r>
        <w:rPr>
          <w:rFonts w:asciiTheme="minorBidi" w:hAnsiTheme="minorBidi"/>
          <w:sz w:val="24"/>
          <w:szCs w:val="24"/>
        </w:rPr>
        <w:t xml:space="preserve">, the </w:t>
      </w:r>
      <w:r w:rsidR="00EA13E0">
        <w:rPr>
          <w:rFonts w:asciiTheme="minorBidi" w:hAnsiTheme="minorBidi"/>
          <w:sz w:val="24"/>
          <w:szCs w:val="24"/>
        </w:rPr>
        <w:t>generic (</w:t>
      </w:r>
      <w:r>
        <w:rPr>
          <w:rFonts w:asciiTheme="minorBidi" w:hAnsiTheme="minorBidi"/>
          <w:sz w:val="24"/>
          <w:szCs w:val="24"/>
        </w:rPr>
        <w:t>test</w:t>
      </w:r>
      <w:r w:rsidR="00EA13E0">
        <w:rPr>
          <w:rFonts w:asciiTheme="minorBidi" w:hAnsiTheme="minorBidi"/>
          <w:sz w:val="24"/>
          <w:szCs w:val="24"/>
        </w:rPr>
        <w:t>) formulation</w:t>
      </w:r>
      <w:r>
        <w:rPr>
          <w:rFonts w:asciiTheme="minorBidi" w:hAnsiTheme="minorBidi"/>
          <w:sz w:val="24"/>
          <w:szCs w:val="24"/>
        </w:rPr>
        <w:t xml:space="preserve"> can be prescribed as an alternative to the reference for the indication of </w:t>
      </w:r>
      <w:r w:rsidRPr="00A60746">
        <w:rPr>
          <w:rStyle w:val="normaltextrun"/>
          <w:rFonts w:asciiTheme="minorBidi" w:hAnsiTheme="minorBidi"/>
          <w:color w:val="000000"/>
          <w:sz w:val="24"/>
          <w:szCs w:val="24"/>
        </w:rPr>
        <w:t>symptomatic treatment of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</w:t>
      </w:r>
      <w:r w:rsidRPr="00A60746">
        <w:rPr>
          <w:rStyle w:val="normaltextrun"/>
          <w:rFonts w:asciiTheme="minorBidi" w:hAnsiTheme="minorBidi"/>
          <w:color w:val="000000"/>
          <w:sz w:val="24"/>
          <w:szCs w:val="24"/>
        </w:rPr>
        <w:t>BPH</w:t>
      </w:r>
      <w:r>
        <w:rPr>
          <w:rFonts w:asciiTheme="minorBidi" w:hAnsiTheme="minorBidi"/>
          <w:sz w:val="24"/>
          <w:szCs w:val="24"/>
        </w:rPr>
        <w:t>.</w:t>
      </w:r>
    </w:p>
    <w:p w14:paraId="7221A6C0" w14:textId="6B0C5AA9" w:rsidR="00AB38C8" w:rsidRPr="00AB38C8" w:rsidRDefault="00A307B4" w:rsidP="00A307B4">
      <w:pPr>
        <w:autoSpaceDE w:val="0"/>
        <w:autoSpaceDN w:val="0"/>
        <w:adjustRightInd w:val="0"/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 w:rsidRPr="00A307B4">
        <w:rPr>
          <w:rFonts w:asciiTheme="minorBidi" w:hAnsiTheme="minorBidi"/>
          <w:b/>
          <w:bCs/>
          <w:sz w:val="24"/>
          <w:szCs w:val="24"/>
        </w:rPr>
        <w:t>Keywords</w:t>
      </w:r>
      <w:r>
        <w:rPr>
          <w:rFonts w:asciiTheme="minorBidi" w:hAnsiTheme="minorBidi"/>
          <w:sz w:val="24"/>
          <w:szCs w:val="24"/>
        </w:rPr>
        <w:t>: Bioequivalence</w:t>
      </w:r>
      <w:r w:rsidR="00EA13E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alfuzosin</w:t>
      </w:r>
      <w:r w:rsidR="00EA13E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>benign prostatic hyperplasia</w:t>
      </w:r>
      <w:r w:rsidR="00EA13E0">
        <w:rPr>
          <w:rStyle w:val="normaltextrun"/>
          <w:rFonts w:asciiTheme="minorBidi" w:hAnsiTheme="minorBidi"/>
          <w:color w:val="000000"/>
          <w:sz w:val="24"/>
          <w:szCs w:val="24"/>
        </w:rPr>
        <w:t>, BPH,</w:t>
      </w:r>
      <w:r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pharmacokinetics</w:t>
      </w:r>
    </w:p>
    <w:p w14:paraId="1006FDA0" w14:textId="27DFE3AE" w:rsidR="00196698" w:rsidRDefault="00196698"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br w:type="page"/>
      </w:r>
    </w:p>
    <w:p w14:paraId="3CCC1F9B" w14:textId="0E857237" w:rsidR="00B3519F" w:rsidRPr="00A22B32" w:rsidRDefault="00587604" w:rsidP="00A307B4">
      <w:pPr>
        <w:spacing w:after="240" w:line="480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A22B32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>Introduction</w:t>
      </w:r>
    </w:p>
    <w:p w14:paraId="6AA811BA" w14:textId="30C954C0" w:rsidR="00C04CA0" w:rsidRPr="00A22B32" w:rsidRDefault="0049450A" w:rsidP="00A307B4">
      <w:pPr>
        <w:spacing w:after="240" w:line="48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A22B32">
        <w:rPr>
          <w:rFonts w:asciiTheme="minorBidi" w:hAnsiTheme="minorBidi"/>
          <w:color w:val="000000" w:themeColor="text1"/>
          <w:sz w:val="24"/>
          <w:szCs w:val="24"/>
        </w:rPr>
        <w:t>Prostate enlargement or benign prostate hyperplasia (B</w:t>
      </w:r>
      <w:r w:rsidR="00EA13E0">
        <w:rPr>
          <w:rFonts w:asciiTheme="minorBidi" w:hAnsiTheme="minorBidi"/>
          <w:color w:val="000000" w:themeColor="text1"/>
          <w:sz w:val="24"/>
          <w:szCs w:val="24"/>
        </w:rPr>
        <w:t>P</w:t>
      </w:r>
      <w:r w:rsidRPr="00A22B32">
        <w:rPr>
          <w:rFonts w:asciiTheme="minorBidi" w:hAnsiTheme="minorBidi"/>
          <w:color w:val="000000" w:themeColor="text1"/>
          <w:sz w:val="24"/>
          <w:szCs w:val="24"/>
        </w:rPr>
        <w:t xml:space="preserve">H) is a common problem in </w:t>
      </w:r>
      <w:r w:rsidR="00E87013">
        <w:rPr>
          <w:rFonts w:asciiTheme="minorBidi" w:hAnsiTheme="minorBidi"/>
          <w:color w:val="000000" w:themeColor="text1"/>
          <w:sz w:val="24"/>
          <w:szCs w:val="24"/>
        </w:rPr>
        <w:t>older</w:t>
      </w:r>
      <w:r w:rsidR="00E87013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A22B32">
        <w:rPr>
          <w:rFonts w:asciiTheme="minorBidi" w:hAnsiTheme="minorBidi"/>
          <w:color w:val="000000" w:themeColor="text1"/>
          <w:sz w:val="24"/>
          <w:szCs w:val="24"/>
        </w:rPr>
        <w:t xml:space="preserve">men and associated with </w:t>
      </w:r>
      <w:r w:rsidR="00F00B7A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complications </w:t>
      </w:r>
      <w:r w:rsidR="00E87013">
        <w:rPr>
          <w:rFonts w:asciiTheme="minorBidi" w:hAnsiTheme="minorBidi"/>
          <w:color w:val="000000" w:themeColor="text1"/>
          <w:sz w:val="24"/>
          <w:szCs w:val="24"/>
        </w:rPr>
        <w:t>with</w:t>
      </w:r>
      <w:r w:rsidR="00E87013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F00B7A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lower urinary tract function such as frequent urination, incomplete emptying and nocturia. </w:t>
      </w:r>
      <w:r w:rsidR="003354F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Therefore, quality of </w:t>
      </w:r>
      <w:r w:rsidR="00AF774C" w:rsidRPr="00A22B32">
        <w:rPr>
          <w:rFonts w:asciiTheme="minorBidi" w:hAnsiTheme="minorBidi"/>
          <w:color w:val="000000" w:themeColor="text1"/>
          <w:sz w:val="24"/>
          <w:szCs w:val="24"/>
        </w:rPr>
        <w:t>life is</w:t>
      </w:r>
      <w:r w:rsidR="00427424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significantly impaired for </w:t>
      </w:r>
      <w:r w:rsidR="003354F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millions of people </w:t>
      </w:r>
      <w:r w:rsidR="00427424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worldwide </w:t>
      </w:r>
      <w:r w:rsidR="003354F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suffering from </w:t>
      </w:r>
      <w:r w:rsidR="002B3E9C">
        <w:rPr>
          <w:rFonts w:asciiTheme="minorBidi" w:hAnsiTheme="minorBidi"/>
          <w:color w:val="000000" w:themeColor="text1"/>
          <w:sz w:val="24"/>
          <w:szCs w:val="24"/>
        </w:rPr>
        <w:t>this</w:t>
      </w:r>
      <w:r w:rsidR="003354F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2B3E9C">
        <w:rPr>
          <w:rFonts w:asciiTheme="minorBidi" w:hAnsiTheme="minorBidi"/>
          <w:color w:val="000000" w:themeColor="text1"/>
          <w:sz w:val="24"/>
          <w:szCs w:val="24"/>
        </w:rPr>
        <w:t>condition</w:t>
      </w:r>
      <w:r w:rsidR="00C04CA0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[1-2]</w:t>
      </w:r>
      <w:r w:rsidR="00427424" w:rsidRPr="00A22B32">
        <w:rPr>
          <w:rFonts w:asciiTheme="minorBidi" w:hAnsiTheme="minorBidi"/>
          <w:color w:val="000000" w:themeColor="text1"/>
          <w:sz w:val="24"/>
          <w:szCs w:val="24"/>
        </w:rPr>
        <w:t>.</w:t>
      </w:r>
      <w:r w:rsidR="003354F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E87013">
        <w:rPr>
          <w:rFonts w:asciiTheme="minorBidi" w:hAnsiTheme="minorBidi"/>
          <w:color w:val="000000" w:themeColor="text1"/>
          <w:sz w:val="24"/>
          <w:szCs w:val="24"/>
        </w:rPr>
        <w:t>B</w:t>
      </w:r>
      <w:r w:rsidR="00AF774C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enign enlargement of prostate tissue </w:t>
      </w:r>
      <w:r w:rsidR="002B3E9C">
        <w:rPr>
          <w:rFonts w:asciiTheme="minorBidi" w:hAnsiTheme="minorBidi"/>
          <w:color w:val="000000" w:themeColor="text1"/>
          <w:sz w:val="24"/>
          <w:szCs w:val="24"/>
        </w:rPr>
        <w:t xml:space="preserve">does </w:t>
      </w:r>
      <w:r w:rsidR="00AF774C" w:rsidRPr="00A22B32">
        <w:rPr>
          <w:rFonts w:asciiTheme="minorBidi" w:hAnsiTheme="minorBidi"/>
          <w:color w:val="000000" w:themeColor="text1"/>
          <w:sz w:val="24"/>
          <w:szCs w:val="24"/>
        </w:rPr>
        <w:t>not only cause physical obstruction of urethra, but also interferes with smooth muscle tone, which is controlled by the alpha 1-adrenergic receptors [</w:t>
      </w:r>
      <w:r w:rsidR="00C04CA0" w:rsidRPr="00A22B32">
        <w:rPr>
          <w:rFonts w:asciiTheme="minorBidi" w:hAnsiTheme="minorBidi"/>
          <w:color w:val="000000" w:themeColor="text1"/>
          <w:sz w:val="24"/>
          <w:szCs w:val="24"/>
        </w:rPr>
        <w:t>3</w:t>
      </w:r>
      <w:r w:rsidR="00AF774C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-4]. Therefore, </w:t>
      </w:r>
      <w:r w:rsidR="00E87013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alpha </w:t>
      </w:r>
      <w:r w:rsidR="004B4EB4" w:rsidRPr="00A22B32">
        <w:rPr>
          <w:rFonts w:asciiTheme="minorBidi" w:hAnsiTheme="minorBidi"/>
          <w:color w:val="000000" w:themeColor="text1"/>
          <w:sz w:val="24"/>
          <w:szCs w:val="24"/>
        </w:rPr>
        <w:t>1-blockers</w:t>
      </w:r>
      <w:r w:rsidR="00123EB5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(AB)</w:t>
      </w:r>
      <w:r w:rsidR="004B4EB4" w:rsidRPr="00A22B32">
        <w:rPr>
          <w:rFonts w:asciiTheme="minorBidi" w:hAnsiTheme="minorBidi"/>
          <w:color w:val="000000" w:themeColor="text1"/>
          <w:sz w:val="24"/>
          <w:szCs w:val="24"/>
        </w:rPr>
        <w:t>, such as alfuzo</w:t>
      </w:r>
      <w:r w:rsidR="00C41FEC">
        <w:rPr>
          <w:rFonts w:asciiTheme="minorBidi" w:hAnsiTheme="minorBidi"/>
          <w:color w:val="000000" w:themeColor="text1"/>
          <w:sz w:val="24"/>
          <w:szCs w:val="24"/>
        </w:rPr>
        <w:t>s</w:t>
      </w:r>
      <w:r w:rsidR="004B4EB4" w:rsidRPr="00A22B32">
        <w:rPr>
          <w:rFonts w:asciiTheme="minorBidi" w:hAnsiTheme="minorBidi"/>
          <w:color w:val="000000" w:themeColor="text1"/>
          <w:sz w:val="24"/>
          <w:szCs w:val="24"/>
        </w:rPr>
        <w:t>in hydrochloride, represent the first line treatment for B</w:t>
      </w:r>
      <w:r w:rsidR="00E87013">
        <w:rPr>
          <w:rFonts w:asciiTheme="minorBidi" w:hAnsiTheme="minorBidi"/>
          <w:color w:val="000000" w:themeColor="text1"/>
          <w:sz w:val="24"/>
          <w:szCs w:val="24"/>
        </w:rPr>
        <w:t>P</w:t>
      </w:r>
      <w:r w:rsidR="004B4EB4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H to relive or reduce the symptoms rapidly through smooth muscle relaxation [5-6]. </w:t>
      </w:r>
    </w:p>
    <w:p w14:paraId="4CB608A3" w14:textId="71F7D27F" w:rsidR="00C00F81" w:rsidRPr="00A22B32" w:rsidRDefault="00123EB5" w:rsidP="00A307B4">
      <w:pPr>
        <w:spacing w:after="240" w:line="48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A22B32">
        <w:rPr>
          <w:rFonts w:asciiTheme="minorBidi" w:hAnsiTheme="minorBidi"/>
          <w:color w:val="000000" w:themeColor="text1"/>
          <w:sz w:val="24"/>
          <w:szCs w:val="24"/>
        </w:rPr>
        <w:t>Alfuzosin hydrochloride</w:t>
      </w:r>
      <w:r w:rsidR="0019669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2B3E9C">
        <w:rPr>
          <w:rFonts w:asciiTheme="minorBidi" w:hAnsiTheme="minorBidi"/>
          <w:color w:val="000000" w:themeColor="text1"/>
          <w:sz w:val="24"/>
          <w:szCs w:val="24"/>
        </w:rPr>
        <w:t xml:space="preserve">or 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(RS)-N-[3-[(4-amino-6, 7- dimethoxy-2-quinozolinyl) methyl amino] propyl] tetrahydro-2-furanocarboxamide hydrochloride</w:t>
      </w:r>
      <w:r w:rsidR="002B3E9C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is a highly selective AB that is absorbed efficiently after oral doses due to its </w:t>
      </w:r>
      <w:r w:rsidR="00C00F81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high 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water solubility within the range of 10-20 ng/mL, as derived from its peak plasma concentration[7-</w:t>
      </w:r>
      <w:r w:rsidR="009013FB" w:rsidRPr="00A22B32">
        <w:rPr>
          <w:rFonts w:asciiTheme="minorBidi" w:hAnsiTheme="minorBidi"/>
          <w:color w:val="000000" w:themeColor="text1"/>
          <w:sz w:val="24"/>
          <w:szCs w:val="24"/>
        </w:rPr>
        <w:t>10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]. </w:t>
      </w:r>
      <w:r w:rsidR="00C41FEC">
        <w:rPr>
          <w:rFonts w:asciiTheme="minorBidi" w:hAnsiTheme="minorBidi"/>
          <w:color w:val="000000" w:themeColor="text1"/>
          <w:sz w:val="24"/>
          <w:szCs w:val="24"/>
        </w:rPr>
        <w:t xml:space="preserve">Alfuzosin 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is available as immediate and extended</w:t>
      </w:r>
      <w:r w:rsidR="00E87013">
        <w:rPr>
          <w:rFonts w:asciiTheme="minorBidi" w:hAnsiTheme="minorBidi"/>
          <w:color w:val="000000" w:themeColor="text1"/>
          <w:sz w:val="24"/>
          <w:szCs w:val="24"/>
        </w:rPr>
        <w:t>-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release tablets. The latter has been presented to drive patient compliance </w:t>
      </w:r>
      <w:r w:rsidR="00E87013">
        <w:rPr>
          <w:rFonts w:asciiTheme="minorBidi" w:hAnsiTheme="minorBidi"/>
          <w:color w:val="000000" w:themeColor="text1"/>
          <w:sz w:val="24"/>
          <w:szCs w:val="24"/>
        </w:rPr>
        <w:t>within the</w:t>
      </w:r>
      <w:r w:rsidR="00E87013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elderly population</w:t>
      </w:r>
      <w:r w:rsidR="004B2A9F" w:rsidRPr="00A22B32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to aid their adherence to the treatment</w:t>
      </w:r>
      <w:r w:rsidR="004B2A9F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, and to manage the </w:t>
      </w:r>
      <w:r w:rsidR="00933ACE" w:rsidRPr="00A22B32">
        <w:rPr>
          <w:rFonts w:asciiTheme="minorBidi" w:hAnsiTheme="minorBidi"/>
          <w:color w:val="000000" w:themeColor="text1"/>
          <w:sz w:val="24"/>
          <w:szCs w:val="24"/>
        </w:rPr>
        <w:t>fluctuations</w:t>
      </w:r>
      <w:r w:rsidR="004B2A9F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of dosing of this short </w:t>
      </w:r>
      <w:r w:rsidR="00933ACE" w:rsidRPr="00A22B32">
        <w:rPr>
          <w:rFonts w:asciiTheme="minorBidi" w:hAnsiTheme="minorBidi"/>
          <w:color w:val="000000" w:themeColor="text1"/>
          <w:sz w:val="24"/>
          <w:szCs w:val="24"/>
        </w:rPr>
        <w:t>half-life</w:t>
      </w:r>
      <w:r w:rsidR="004B2A9F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drug of circa 3.8 hours [11]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. </w:t>
      </w:r>
      <w:r w:rsidR="00C41FEC">
        <w:rPr>
          <w:rFonts w:asciiTheme="minorBidi" w:hAnsiTheme="minorBidi"/>
          <w:color w:val="000000" w:themeColor="text1"/>
          <w:sz w:val="24"/>
          <w:szCs w:val="24"/>
        </w:rPr>
        <w:t xml:space="preserve">Alfuzosin 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with an empirical formula of C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  <w:vertAlign w:val="subscript"/>
        </w:rPr>
        <w:t>19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H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  <w:vertAlign w:val="subscript"/>
        </w:rPr>
        <w:t>27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N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  <w:vertAlign w:val="subscript"/>
        </w:rPr>
        <w:t>5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O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  <w:vertAlign w:val="subscript"/>
        </w:rPr>
        <w:t>4</w:t>
      </w:r>
      <w:r w:rsidR="003A2999" w:rsidRPr="00A22B32">
        <w:rPr>
          <w:rFonts w:asciiTheme="minorBidi" w:hAnsiTheme="minorBidi" w:hint="eastAsia"/>
          <w:color w:val="000000" w:themeColor="text1"/>
          <w:sz w:val="24"/>
          <w:szCs w:val="24"/>
        </w:rPr>
        <w:t>·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HCL, </w:t>
      </w:r>
      <w:r w:rsidR="002B3E9C">
        <w:rPr>
          <w:rFonts w:asciiTheme="minorBidi" w:hAnsiTheme="minorBidi"/>
          <w:color w:val="000000" w:themeColor="text1"/>
          <w:sz w:val="24"/>
          <w:szCs w:val="24"/>
        </w:rPr>
        <w:t xml:space="preserve">is </w:t>
      </w:r>
      <w:r w:rsidR="00E87013">
        <w:rPr>
          <w:rFonts w:asciiTheme="minorBidi" w:hAnsiTheme="minorBidi"/>
          <w:color w:val="000000" w:themeColor="text1"/>
          <w:sz w:val="24"/>
          <w:szCs w:val="24"/>
        </w:rPr>
        <w:t>a</w:t>
      </w:r>
      <w:r w:rsidR="00E87013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white to off-white crystalline powder</w:t>
      </w:r>
      <w:r w:rsidR="002B3E9C">
        <w:rPr>
          <w:rFonts w:asciiTheme="minorBidi" w:hAnsiTheme="minorBidi"/>
          <w:color w:val="000000" w:themeColor="text1"/>
          <w:sz w:val="24"/>
          <w:szCs w:val="24"/>
        </w:rPr>
        <w:t xml:space="preserve"> [12]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, </w:t>
      </w:r>
      <w:r w:rsidR="002B3E9C">
        <w:rPr>
          <w:rFonts w:asciiTheme="minorBidi" w:hAnsiTheme="minorBidi"/>
          <w:color w:val="000000" w:themeColor="text1"/>
          <w:sz w:val="24"/>
          <w:szCs w:val="24"/>
        </w:rPr>
        <w:t xml:space="preserve">that 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undergoes extensive first pass metabolism</w:t>
      </w:r>
      <w:r w:rsidR="002B3E9C">
        <w:rPr>
          <w:rFonts w:asciiTheme="minorBidi" w:hAnsiTheme="minorBidi"/>
          <w:color w:val="000000" w:themeColor="text1"/>
          <w:sz w:val="24"/>
          <w:szCs w:val="24"/>
        </w:rPr>
        <w:t xml:space="preserve"> [13]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, and has a bioavailability of 60% with the controlled release dosage form of 10 mg per day dose [1</w:t>
      </w:r>
      <w:r w:rsidR="004C421C">
        <w:rPr>
          <w:rFonts w:asciiTheme="minorBidi" w:hAnsiTheme="minorBidi"/>
          <w:color w:val="000000" w:themeColor="text1"/>
          <w:sz w:val="24"/>
          <w:szCs w:val="24"/>
        </w:rPr>
        <w:t>4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>-1</w:t>
      </w:r>
      <w:r w:rsidR="004C421C">
        <w:rPr>
          <w:rFonts w:asciiTheme="minorBidi" w:hAnsiTheme="minorBidi"/>
          <w:color w:val="000000" w:themeColor="text1"/>
          <w:sz w:val="24"/>
          <w:szCs w:val="24"/>
        </w:rPr>
        <w:t>5</w:t>
      </w:r>
      <w:r w:rsidR="003A2999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]. </w:t>
      </w:r>
      <w:r w:rsidR="008B4771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The absolute </w:t>
      </w:r>
      <w:r w:rsidR="004B2A9F" w:rsidRPr="00A22B32">
        <w:rPr>
          <w:rFonts w:asciiTheme="minorBidi" w:hAnsiTheme="minorBidi"/>
          <w:color w:val="000000" w:themeColor="text1"/>
          <w:sz w:val="24"/>
          <w:szCs w:val="24"/>
        </w:rPr>
        <w:t>bioavailability</w:t>
      </w:r>
      <w:r w:rsidR="008B4771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6704C">
        <w:rPr>
          <w:rFonts w:asciiTheme="minorBidi" w:hAnsiTheme="minorBidi"/>
          <w:color w:val="000000" w:themeColor="text1"/>
          <w:sz w:val="24"/>
          <w:szCs w:val="24"/>
        </w:rPr>
        <w:t xml:space="preserve">is </w:t>
      </w:r>
      <w:r w:rsidR="008B4771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affected largely by food. It has been reported to be around 49% under fed conditions, compared to 25% under fast conditions, presumably due </w:t>
      </w:r>
      <w:r w:rsidR="0006704C">
        <w:rPr>
          <w:rFonts w:asciiTheme="minorBidi" w:hAnsiTheme="minorBidi"/>
          <w:color w:val="000000" w:themeColor="text1"/>
          <w:sz w:val="24"/>
          <w:szCs w:val="24"/>
        </w:rPr>
        <w:t xml:space="preserve">to </w:t>
      </w:r>
      <w:r w:rsidR="004B2A9F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most </w:t>
      </w:r>
      <w:r w:rsidR="00933ACE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of the </w:t>
      </w:r>
      <w:r w:rsidR="004B2A9F" w:rsidRPr="00A22B32">
        <w:rPr>
          <w:rFonts w:asciiTheme="minorBidi" w:hAnsiTheme="minorBidi"/>
          <w:color w:val="000000" w:themeColor="text1"/>
          <w:sz w:val="24"/>
          <w:szCs w:val="24"/>
        </w:rPr>
        <w:t>absorption</w:t>
      </w:r>
      <w:r w:rsidR="00933ACE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occurring</w:t>
      </w:r>
      <w:r w:rsidR="0019669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4B2A9F" w:rsidRPr="00A22B32">
        <w:rPr>
          <w:rFonts w:asciiTheme="minorBidi" w:hAnsiTheme="minorBidi"/>
          <w:color w:val="000000" w:themeColor="text1"/>
          <w:sz w:val="24"/>
          <w:szCs w:val="24"/>
        </w:rPr>
        <w:t>at the duodenum-jejunum regions [1</w:t>
      </w:r>
      <w:r w:rsidR="006F1A2F">
        <w:rPr>
          <w:rFonts w:asciiTheme="minorBidi" w:hAnsiTheme="minorBidi"/>
          <w:color w:val="000000" w:themeColor="text1"/>
          <w:sz w:val="24"/>
          <w:szCs w:val="24"/>
        </w:rPr>
        <w:t>6</w:t>
      </w:r>
      <w:r w:rsidR="002814F4">
        <w:rPr>
          <w:rFonts w:asciiTheme="minorBidi" w:hAnsiTheme="minorBidi"/>
          <w:color w:val="000000" w:themeColor="text1"/>
          <w:sz w:val="24"/>
          <w:szCs w:val="24"/>
        </w:rPr>
        <w:t>-17</w:t>
      </w:r>
      <w:r w:rsidR="004B2A9F" w:rsidRPr="00A22B32">
        <w:rPr>
          <w:rFonts w:asciiTheme="minorBidi" w:hAnsiTheme="minorBidi"/>
          <w:color w:val="000000" w:themeColor="text1"/>
          <w:sz w:val="24"/>
          <w:szCs w:val="24"/>
        </w:rPr>
        <w:t>].</w:t>
      </w:r>
    </w:p>
    <w:p w14:paraId="2B34DFBE" w14:textId="30F35933" w:rsidR="003A2999" w:rsidRPr="00A307B4" w:rsidRDefault="00DC5680" w:rsidP="00A307B4">
      <w:pPr>
        <w:spacing w:after="240" w:line="48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A22B32">
        <w:rPr>
          <w:rFonts w:asciiTheme="minorBidi" w:hAnsiTheme="minorBidi"/>
          <w:color w:val="000000" w:themeColor="text1"/>
          <w:sz w:val="24"/>
          <w:szCs w:val="24"/>
        </w:rPr>
        <w:lastRenderedPageBreak/>
        <w:t>In this work, the bioequivalence between two formulations of the 10</w:t>
      </w:r>
      <w:r w:rsidR="0006704C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A22B32">
        <w:rPr>
          <w:rFonts w:asciiTheme="minorBidi" w:hAnsiTheme="minorBidi"/>
          <w:color w:val="000000" w:themeColor="text1"/>
          <w:sz w:val="24"/>
          <w:szCs w:val="24"/>
        </w:rPr>
        <w:t xml:space="preserve">mg </w:t>
      </w:r>
      <w:r w:rsidR="00634FE6" w:rsidRPr="00A22B32">
        <w:rPr>
          <w:rFonts w:asciiTheme="minorBidi" w:hAnsiTheme="minorBidi"/>
          <w:color w:val="000000" w:themeColor="text1"/>
          <w:sz w:val="24"/>
          <w:szCs w:val="24"/>
        </w:rPr>
        <w:t>extended</w:t>
      </w:r>
      <w:r w:rsidR="003C5B93">
        <w:rPr>
          <w:rFonts w:asciiTheme="minorBidi" w:hAnsiTheme="minorBidi"/>
          <w:color w:val="000000" w:themeColor="text1"/>
          <w:sz w:val="24"/>
          <w:szCs w:val="24"/>
        </w:rPr>
        <w:t>-</w:t>
      </w:r>
      <w:r w:rsidR="00634FE6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release tables of </w:t>
      </w:r>
      <w:r w:rsidR="00C41FEC">
        <w:rPr>
          <w:rFonts w:asciiTheme="minorBidi" w:hAnsiTheme="minorBidi"/>
          <w:color w:val="000000" w:themeColor="text1"/>
          <w:sz w:val="24"/>
          <w:szCs w:val="24"/>
        </w:rPr>
        <w:t xml:space="preserve">alfuzosin </w:t>
      </w:r>
      <w:r w:rsidR="00634FE6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in healthy volunteers under fed conditions was conducted. The objective of this study was to investigate if the formulation developed at Tabuk Pharmaceuticals is equivalent to the currently marketed brand of </w:t>
      </w:r>
      <w:proofErr w:type="spellStart"/>
      <w:r w:rsidR="00634FE6" w:rsidRPr="00A22B32">
        <w:rPr>
          <w:rFonts w:asciiTheme="minorBidi" w:hAnsiTheme="minorBidi"/>
          <w:color w:val="000000" w:themeColor="text1"/>
          <w:sz w:val="24"/>
          <w:szCs w:val="24"/>
        </w:rPr>
        <w:t>Xatral</w:t>
      </w:r>
      <w:proofErr w:type="spellEnd"/>
      <w:r w:rsidR="00634FE6" w:rsidRPr="00A22B32">
        <w:rPr>
          <w:rFonts w:asciiTheme="minorBidi" w:hAnsiTheme="minorBidi"/>
          <w:color w:val="000000" w:themeColor="text1"/>
          <w:sz w:val="24"/>
          <w:szCs w:val="24"/>
          <w:vertAlign w:val="superscript"/>
        </w:rPr>
        <w:t>®</w:t>
      </w:r>
      <w:r w:rsidR="00634FE6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by Sanofi</w:t>
      </w:r>
      <w:r w:rsidR="003C5B93">
        <w:rPr>
          <w:rFonts w:asciiTheme="minorBidi" w:hAnsiTheme="minorBidi"/>
          <w:color w:val="000000" w:themeColor="text1"/>
          <w:sz w:val="24"/>
          <w:szCs w:val="24"/>
        </w:rPr>
        <w:t>-</w:t>
      </w:r>
      <w:proofErr w:type="spellStart"/>
      <w:r w:rsidR="00634FE6" w:rsidRPr="00A22B32">
        <w:rPr>
          <w:rFonts w:asciiTheme="minorBidi" w:hAnsiTheme="minorBidi"/>
          <w:color w:val="000000" w:themeColor="text1"/>
          <w:sz w:val="24"/>
          <w:szCs w:val="24"/>
        </w:rPr>
        <w:t>Synthelabo</w:t>
      </w:r>
      <w:proofErr w:type="spellEnd"/>
      <w:r w:rsidR="00634FE6" w:rsidRPr="00A22B32">
        <w:rPr>
          <w:rFonts w:asciiTheme="minorBidi" w:eastAsia="Arial" w:hAnsiTheme="minorBidi"/>
          <w:sz w:val="24"/>
          <w:szCs w:val="24"/>
        </w:rPr>
        <w:t xml:space="preserve"> </w:t>
      </w:r>
      <w:r w:rsidR="00634FE6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to provide an alternative </w:t>
      </w:r>
      <w:r w:rsidR="00196698" w:rsidRPr="00A22B32">
        <w:rPr>
          <w:rFonts w:asciiTheme="minorBidi" w:hAnsiTheme="minorBidi"/>
          <w:color w:val="000000" w:themeColor="text1"/>
          <w:sz w:val="24"/>
          <w:szCs w:val="24"/>
        </w:rPr>
        <w:t>cost-effective</w:t>
      </w:r>
      <w:r w:rsidR="00634FE6" w:rsidRPr="00A22B32">
        <w:rPr>
          <w:rFonts w:asciiTheme="minorBidi" w:hAnsiTheme="minorBidi"/>
          <w:color w:val="000000" w:themeColor="text1"/>
          <w:sz w:val="24"/>
          <w:szCs w:val="24"/>
        </w:rPr>
        <w:t xml:space="preserve"> dosage form.</w:t>
      </w:r>
      <w:r w:rsidR="00634FE6" w:rsidRPr="003D7E25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14:paraId="05743FC6" w14:textId="77777777" w:rsidR="006D37DE" w:rsidRPr="00290EC7" w:rsidRDefault="006D37DE" w:rsidP="00A307B4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highlight w:val="cyan"/>
        </w:rPr>
      </w:pPr>
    </w:p>
    <w:p w14:paraId="58C00737" w14:textId="5A1A1BC6" w:rsidR="549ED4BE" w:rsidRPr="009C1BD2" w:rsidRDefault="549ED4BE" w:rsidP="00A307B4">
      <w:pPr>
        <w:spacing w:after="240" w:line="480" w:lineRule="auto"/>
        <w:jc w:val="both"/>
        <w:rPr>
          <w:rFonts w:asciiTheme="minorBidi" w:hAnsiTheme="minorBidi"/>
          <w:b/>
          <w:color w:val="000000" w:themeColor="text1"/>
          <w:sz w:val="24"/>
          <w:szCs w:val="24"/>
        </w:rPr>
      </w:pPr>
      <w:r w:rsidRPr="009C1BD2">
        <w:rPr>
          <w:rFonts w:asciiTheme="minorBidi" w:hAnsiTheme="minorBidi"/>
          <w:b/>
          <w:color w:val="000000" w:themeColor="text1"/>
          <w:sz w:val="24"/>
          <w:szCs w:val="24"/>
        </w:rPr>
        <w:t>Method</w:t>
      </w:r>
    </w:p>
    <w:p w14:paraId="37ACC72A" w14:textId="21252087" w:rsidR="549ED4BE" w:rsidRPr="000E7FE5" w:rsidRDefault="549ED4BE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 xml:space="preserve">This </w:t>
      </w:r>
      <w:r w:rsidR="009B018B">
        <w:rPr>
          <w:rFonts w:asciiTheme="minorBidi" w:eastAsia="Arial" w:hAnsiTheme="minorBidi"/>
          <w:sz w:val="24"/>
          <w:szCs w:val="24"/>
        </w:rPr>
        <w:t xml:space="preserve">study </w:t>
      </w:r>
      <w:r w:rsidR="00984243">
        <w:rPr>
          <w:rFonts w:asciiTheme="minorBidi" w:eastAsia="Arial" w:hAnsiTheme="minorBidi"/>
          <w:sz w:val="24"/>
          <w:szCs w:val="24"/>
        </w:rPr>
        <w:t>was</w:t>
      </w:r>
      <w:r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9B018B">
        <w:rPr>
          <w:rFonts w:asciiTheme="minorBidi" w:eastAsia="Arial" w:hAnsiTheme="minorBidi"/>
          <w:sz w:val="24"/>
          <w:szCs w:val="24"/>
        </w:rPr>
        <w:t xml:space="preserve">designed as </w:t>
      </w:r>
      <w:r w:rsidRPr="000E7FE5">
        <w:rPr>
          <w:rFonts w:asciiTheme="minorBidi" w:eastAsia="Arial" w:hAnsiTheme="minorBidi"/>
          <w:sz w:val="24"/>
          <w:szCs w:val="24"/>
        </w:rPr>
        <w:t xml:space="preserve">a single centre, open-label, randomized, single-dose study with </w:t>
      </w:r>
      <w:r w:rsidR="003C5B93">
        <w:rPr>
          <w:rFonts w:asciiTheme="minorBidi" w:eastAsia="Arial" w:hAnsiTheme="minorBidi"/>
          <w:sz w:val="24"/>
          <w:szCs w:val="24"/>
        </w:rPr>
        <w:t>two</w:t>
      </w:r>
      <w:r w:rsidRPr="000E7FE5">
        <w:rPr>
          <w:rFonts w:asciiTheme="minorBidi" w:eastAsia="Arial" w:hAnsiTheme="minorBidi"/>
          <w:sz w:val="24"/>
          <w:szCs w:val="24"/>
        </w:rPr>
        <w:t xml:space="preserve">-way crossover design to compare the bioavailability </w:t>
      </w:r>
      <w:r w:rsidRPr="00492FC6">
        <w:rPr>
          <w:rFonts w:asciiTheme="minorBidi" w:eastAsia="Arial" w:hAnsiTheme="minorBidi"/>
          <w:sz w:val="24"/>
          <w:szCs w:val="24"/>
        </w:rPr>
        <w:t xml:space="preserve">of </w:t>
      </w:r>
      <w:r w:rsidR="008D1129" w:rsidRPr="00492FC6">
        <w:rPr>
          <w:rFonts w:asciiTheme="minorBidi" w:eastAsia="Arial" w:hAnsiTheme="minorBidi"/>
          <w:sz w:val="24"/>
          <w:szCs w:val="24"/>
        </w:rPr>
        <w:t>alfuzosin hydrochloride</w:t>
      </w:r>
      <w:r w:rsidRPr="00492FC6">
        <w:rPr>
          <w:rFonts w:asciiTheme="minorBidi" w:eastAsia="Arial" w:hAnsiTheme="minorBidi"/>
          <w:sz w:val="24"/>
          <w:szCs w:val="24"/>
        </w:rPr>
        <w:t xml:space="preserve"> </w:t>
      </w:r>
      <w:r w:rsidR="009C2057" w:rsidRPr="000E7FE5">
        <w:rPr>
          <w:rFonts w:asciiTheme="minorBidi" w:eastAsia="Arial" w:hAnsiTheme="minorBidi"/>
          <w:sz w:val="24"/>
          <w:szCs w:val="24"/>
        </w:rPr>
        <w:t xml:space="preserve">after administering </w:t>
      </w:r>
      <w:r w:rsidR="00C42EAB">
        <w:rPr>
          <w:rFonts w:asciiTheme="minorBidi" w:eastAsia="Arial" w:hAnsiTheme="minorBidi"/>
          <w:sz w:val="24"/>
          <w:szCs w:val="24"/>
        </w:rPr>
        <w:t xml:space="preserve">a </w:t>
      </w:r>
      <w:r w:rsidR="00B743CE" w:rsidRPr="000E7FE5">
        <w:rPr>
          <w:rFonts w:asciiTheme="minorBidi" w:eastAsia="Arial" w:hAnsiTheme="minorBidi"/>
          <w:sz w:val="24"/>
          <w:szCs w:val="24"/>
        </w:rPr>
        <w:t xml:space="preserve">10 mg </w:t>
      </w:r>
      <w:r w:rsidR="008D1129">
        <w:rPr>
          <w:rFonts w:asciiTheme="minorBidi" w:eastAsia="Arial" w:hAnsiTheme="minorBidi"/>
          <w:sz w:val="24"/>
          <w:szCs w:val="24"/>
        </w:rPr>
        <w:t>XR</w:t>
      </w:r>
      <w:r w:rsidR="008C04D9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7D4C82" w:rsidRPr="000E7FE5">
        <w:rPr>
          <w:rFonts w:asciiTheme="minorBidi" w:eastAsia="Arial" w:hAnsiTheme="minorBidi"/>
          <w:sz w:val="24"/>
          <w:szCs w:val="24"/>
        </w:rPr>
        <w:t>tablet</w:t>
      </w:r>
      <w:r w:rsidR="008C04D9" w:rsidRPr="000E7FE5">
        <w:rPr>
          <w:rFonts w:asciiTheme="minorBidi" w:eastAsia="Arial" w:hAnsiTheme="minorBidi"/>
          <w:sz w:val="24"/>
          <w:szCs w:val="24"/>
        </w:rPr>
        <w:t xml:space="preserve"> from </w:t>
      </w:r>
      <w:r w:rsidR="003C5B93">
        <w:rPr>
          <w:rFonts w:asciiTheme="minorBidi" w:eastAsia="Arial" w:hAnsiTheme="minorBidi"/>
          <w:sz w:val="24"/>
          <w:szCs w:val="24"/>
        </w:rPr>
        <w:t>two</w:t>
      </w:r>
      <w:r w:rsidR="003C5B93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8C04D9" w:rsidRPr="000E7FE5">
        <w:rPr>
          <w:rFonts w:asciiTheme="minorBidi" w:eastAsia="Arial" w:hAnsiTheme="minorBidi"/>
          <w:sz w:val="24"/>
          <w:szCs w:val="24"/>
        </w:rPr>
        <w:t xml:space="preserve">different </w:t>
      </w:r>
      <w:r w:rsidR="00292BFC" w:rsidRPr="000E7FE5">
        <w:rPr>
          <w:rFonts w:asciiTheme="minorBidi" w:eastAsia="Arial" w:hAnsiTheme="minorBidi"/>
          <w:sz w:val="24"/>
          <w:szCs w:val="24"/>
        </w:rPr>
        <w:t>manufactures</w:t>
      </w:r>
      <w:r w:rsidR="00C42EAB">
        <w:rPr>
          <w:rFonts w:asciiTheme="minorBidi" w:eastAsia="Arial" w:hAnsiTheme="minorBidi"/>
          <w:sz w:val="24"/>
          <w:szCs w:val="24"/>
        </w:rPr>
        <w:t>.</w:t>
      </w:r>
      <w:r w:rsidR="00292BFC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C42EAB">
        <w:rPr>
          <w:rFonts w:asciiTheme="minorBidi" w:eastAsia="Arial" w:hAnsiTheme="minorBidi"/>
          <w:sz w:val="24"/>
          <w:szCs w:val="24"/>
        </w:rPr>
        <w:t>T</w:t>
      </w:r>
      <w:r w:rsidR="00292BFC" w:rsidRPr="000E7FE5">
        <w:rPr>
          <w:rFonts w:asciiTheme="minorBidi" w:eastAsia="Arial" w:hAnsiTheme="minorBidi"/>
          <w:sz w:val="24"/>
          <w:szCs w:val="24"/>
        </w:rPr>
        <w:t xml:space="preserve">he originator </w:t>
      </w:r>
      <w:proofErr w:type="spellStart"/>
      <w:r w:rsidR="008D1129">
        <w:rPr>
          <w:rFonts w:asciiTheme="minorBidi" w:eastAsia="Arial" w:hAnsiTheme="minorBidi"/>
          <w:sz w:val="24"/>
          <w:szCs w:val="24"/>
        </w:rPr>
        <w:t>Xatral</w:t>
      </w:r>
      <w:proofErr w:type="spellEnd"/>
      <w:r w:rsidR="00D43959" w:rsidRPr="000E7FE5">
        <w:rPr>
          <w:rFonts w:asciiTheme="minorBidi" w:eastAsia="Arial" w:hAnsiTheme="minorBidi"/>
          <w:sz w:val="24"/>
          <w:szCs w:val="24"/>
        </w:rPr>
        <w:t xml:space="preserve"> by </w:t>
      </w:r>
      <w:r w:rsidR="008D1129">
        <w:rPr>
          <w:rFonts w:asciiTheme="minorBidi" w:eastAsia="Arial" w:hAnsiTheme="minorBidi"/>
          <w:sz w:val="24"/>
          <w:szCs w:val="24"/>
        </w:rPr>
        <w:t>Sanofi</w:t>
      </w:r>
      <w:r w:rsidR="003C5B93">
        <w:rPr>
          <w:rFonts w:asciiTheme="minorBidi" w:eastAsia="Arial" w:hAnsiTheme="minorBidi"/>
          <w:sz w:val="24"/>
          <w:szCs w:val="24"/>
        </w:rPr>
        <w:t>-</w:t>
      </w:r>
      <w:proofErr w:type="spellStart"/>
      <w:r w:rsidR="008D1129">
        <w:rPr>
          <w:rFonts w:asciiTheme="minorBidi" w:eastAsia="Arial" w:hAnsiTheme="minorBidi"/>
          <w:sz w:val="24"/>
          <w:szCs w:val="24"/>
        </w:rPr>
        <w:t>Synthelabo</w:t>
      </w:r>
      <w:proofErr w:type="spellEnd"/>
      <w:r w:rsidR="002D3A3E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C42EAB">
        <w:rPr>
          <w:rFonts w:asciiTheme="minorBidi" w:eastAsia="Arial" w:hAnsiTheme="minorBidi"/>
          <w:sz w:val="24"/>
          <w:szCs w:val="24"/>
        </w:rPr>
        <w:t>was</w:t>
      </w:r>
      <w:r w:rsidR="002D3A3E" w:rsidRPr="000E7FE5">
        <w:rPr>
          <w:rFonts w:asciiTheme="minorBidi" w:eastAsia="Arial" w:hAnsiTheme="minorBidi"/>
          <w:sz w:val="24"/>
          <w:szCs w:val="24"/>
        </w:rPr>
        <w:t xml:space="preserve"> designated the </w:t>
      </w:r>
      <w:r w:rsidR="00AF114D">
        <w:rPr>
          <w:rFonts w:asciiTheme="minorBidi" w:eastAsia="Arial" w:hAnsiTheme="minorBidi"/>
          <w:sz w:val="24"/>
          <w:szCs w:val="24"/>
        </w:rPr>
        <w:t>reference</w:t>
      </w:r>
      <w:r w:rsidR="00C42EAB">
        <w:rPr>
          <w:rFonts w:asciiTheme="minorBidi" w:eastAsia="Arial" w:hAnsiTheme="minorBidi"/>
          <w:sz w:val="24"/>
          <w:szCs w:val="24"/>
        </w:rPr>
        <w:t>,</w:t>
      </w:r>
      <w:r w:rsidR="002D3A3E" w:rsidRPr="000E7FE5">
        <w:rPr>
          <w:rFonts w:asciiTheme="minorBidi" w:eastAsia="Arial" w:hAnsiTheme="minorBidi"/>
          <w:sz w:val="24"/>
          <w:szCs w:val="24"/>
        </w:rPr>
        <w:t xml:space="preserve"> and </w:t>
      </w:r>
      <w:r w:rsidR="00C42EAB">
        <w:rPr>
          <w:rFonts w:asciiTheme="minorBidi" w:eastAsia="Arial" w:hAnsiTheme="minorBidi"/>
          <w:sz w:val="24"/>
          <w:szCs w:val="24"/>
        </w:rPr>
        <w:t>the XR</w:t>
      </w:r>
      <w:r w:rsidR="008D1129">
        <w:rPr>
          <w:rFonts w:asciiTheme="minorBidi" w:eastAsia="Arial" w:hAnsiTheme="minorBidi"/>
          <w:sz w:val="24"/>
          <w:szCs w:val="24"/>
        </w:rPr>
        <w:t xml:space="preserve"> </w:t>
      </w:r>
      <w:r w:rsidR="009F3BB3" w:rsidRPr="000E7FE5">
        <w:rPr>
          <w:rFonts w:asciiTheme="minorBidi" w:eastAsia="Arial" w:hAnsiTheme="minorBidi"/>
          <w:sz w:val="24"/>
          <w:szCs w:val="24"/>
        </w:rPr>
        <w:t>tablet</w:t>
      </w:r>
      <w:r w:rsidR="005479D5">
        <w:rPr>
          <w:rFonts w:asciiTheme="minorBidi" w:eastAsia="Arial" w:hAnsiTheme="minorBidi"/>
          <w:sz w:val="24"/>
          <w:szCs w:val="24"/>
        </w:rPr>
        <w:t xml:space="preserve"> (</w:t>
      </w:r>
      <w:r w:rsidR="003C5B93">
        <w:rPr>
          <w:rFonts w:asciiTheme="minorBidi" w:eastAsia="Arial" w:hAnsiTheme="minorBidi"/>
          <w:sz w:val="24"/>
          <w:szCs w:val="24"/>
        </w:rPr>
        <w:t>a</w:t>
      </w:r>
      <w:r w:rsidR="008D1129">
        <w:rPr>
          <w:rFonts w:asciiTheme="minorBidi" w:eastAsia="Arial" w:hAnsiTheme="minorBidi"/>
          <w:sz w:val="24"/>
          <w:szCs w:val="24"/>
        </w:rPr>
        <w:t>lfuzo</w:t>
      </w:r>
      <w:r w:rsidR="00C42EAB">
        <w:rPr>
          <w:rFonts w:asciiTheme="minorBidi" w:eastAsia="Arial" w:hAnsiTheme="minorBidi"/>
          <w:sz w:val="24"/>
          <w:szCs w:val="24"/>
        </w:rPr>
        <w:t>s</w:t>
      </w:r>
      <w:r w:rsidR="008D1129">
        <w:rPr>
          <w:rFonts w:asciiTheme="minorBidi" w:eastAsia="Arial" w:hAnsiTheme="minorBidi"/>
          <w:sz w:val="24"/>
          <w:szCs w:val="24"/>
        </w:rPr>
        <w:t>in</w:t>
      </w:r>
      <w:r w:rsidR="005479D5">
        <w:rPr>
          <w:rFonts w:asciiTheme="minorBidi" w:eastAsia="Arial" w:hAnsiTheme="minorBidi"/>
          <w:sz w:val="24"/>
          <w:szCs w:val="24"/>
        </w:rPr>
        <w:t>)</w:t>
      </w:r>
      <w:r w:rsidR="00C42EAB">
        <w:rPr>
          <w:rFonts w:asciiTheme="minorBidi" w:eastAsia="Arial" w:hAnsiTheme="minorBidi"/>
          <w:sz w:val="24"/>
          <w:szCs w:val="24"/>
        </w:rPr>
        <w:t>,</w:t>
      </w:r>
      <w:r w:rsidR="009F3BB3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C42EAB">
        <w:rPr>
          <w:rFonts w:asciiTheme="minorBidi" w:eastAsia="Arial" w:hAnsiTheme="minorBidi"/>
          <w:sz w:val="24"/>
          <w:szCs w:val="24"/>
        </w:rPr>
        <w:t>which</w:t>
      </w:r>
      <w:r w:rsidR="009F3BB3" w:rsidRPr="000E7FE5">
        <w:rPr>
          <w:rFonts w:asciiTheme="minorBidi" w:eastAsia="Arial" w:hAnsiTheme="minorBidi"/>
          <w:sz w:val="24"/>
          <w:szCs w:val="24"/>
        </w:rPr>
        <w:t xml:space="preserve"> is formulated </w:t>
      </w:r>
      <w:r w:rsidR="003C5B93">
        <w:rPr>
          <w:rFonts w:asciiTheme="minorBidi" w:eastAsia="Arial" w:hAnsiTheme="minorBidi"/>
          <w:sz w:val="24"/>
          <w:szCs w:val="24"/>
        </w:rPr>
        <w:t>by</w:t>
      </w:r>
      <w:r w:rsidR="009F3BB3" w:rsidRPr="000E7FE5">
        <w:rPr>
          <w:rFonts w:asciiTheme="minorBidi" w:eastAsia="Arial" w:hAnsiTheme="minorBidi"/>
          <w:sz w:val="24"/>
          <w:szCs w:val="24"/>
        </w:rPr>
        <w:t xml:space="preserve"> Tabuk </w:t>
      </w:r>
      <w:r w:rsidR="00D52BBD" w:rsidRPr="000E7FE5">
        <w:rPr>
          <w:rFonts w:asciiTheme="minorBidi" w:eastAsia="Arial" w:hAnsiTheme="minorBidi"/>
          <w:sz w:val="24"/>
          <w:szCs w:val="24"/>
        </w:rPr>
        <w:t>Pharmaceutical</w:t>
      </w:r>
      <w:r w:rsidR="005479D5">
        <w:rPr>
          <w:rFonts w:asciiTheme="minorBidi" w:eastAsia="Arial" w:hAnsiTheme="minorBidi"/>
          <w:sz w:val="24"/>
          <w:szCs w:val="24"/>
        </w:rPr>
        <w:t>s,</w:t>
      </w:r>
      <w:r w:rsidR="00D52BBD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C42EAB">
        <w:rPr>
          <w:rFonts w:asciiTheme="minorBidi" w:eastAsia="Arial" w:hAnsiTheme="minorBidi"/>
          <w:sz w:val="24"/>
          <w:szCs w:val="24"/>
        </w:rPr>
        <w:t>was</w:t>
      </w:r>
      <w:r w:rsidR="00D52BBD" w:rsidRPr="000E7FE5">
        <w:rPr>
          <w:rFonts w:asciiTheme="minorBidi" w:eastAsia="Arial" w:hAnsiTheme="minorBidi"/>
          <w:sz w:val="24"/>
          <w:szCs w:val="24"/>
        </w:rPr>
        <w:t xml:space="preserve"> designated the test</w:t>
      </w:r>
      <w:r w:rsidR="00D44F13" w:rsidRPr="000E7FE5">
        <w:rPr>
          <w:rFonts w:asciiTheme="minorBidi" w:eastAsia="Arial" w:hAnsiTheme="minorBidi"/>
          <w:sz w:val="24"/>
          <w:szCs w:val="24"/>
        </w:rPr>
        <w:t xml:space="preserve"> tablet. </w:t>
      </w:r>
      <w:r w:rsidR="00E97173" w:rsidRPr="000E7FE5">
        <w:rPr>
          <w:rFonts w:asciiTheme="minorBidi" w:eastAsia="Arial" w:hAnsiTheme="minorBidi"/>
          <w:sz w:val="24"/>
          <w:szCs w:val="24"/>
        </w:rPr>
        <w:t xml:space="preserve">The clinical study was conducted on </w:t>
      </w:r>
      <w:r w:rsidRPr="000E7FE5">
        <w:rPr>
          <w:rFonts w:asciiTheme="minorBidi" w:eastAsia="Arial" w:hAnsiTheme="minorBidi"/>
          <w:sz w:val="24"/>
          <w:szCs w:val="24"/>
        </w:rPr>
        <w:t>healthy adult subjects under fed conditions</w:t>
      </w:r>
      <w:r w:rsidR="00795530" w:rsidRPr="000E7FE5">
        <w:rPr>
          <w:rFonts w:asciiTheme="minorBidi" w:eastAsia="Arial" w:hAnsiTheme="minorBidi"/>
          <w:sz w:val="24"/>
          <w:szCs w:val="24"/>
        </w:rPr>
        <w:t xml:space="preserve"> according </w:t>
      </w:r>
      <w:r w:rsidRPr="000E7FE5">
        <w:rPr>
          <w:rFonts w:asciiTheme="minorBidi" w:eastAsia="Arial" w:hAnsiTheme="minorBidi"/>
          <w:sz w:val="24"/>
          <w:szCs w:val="24"/>
        </w:rPr>
        <w:t xml:space="preserve">to </w:t>
      </w:r>
      <w:r w:rsidR="00C42EAB">
        <w:rPr>
          <w:rFonts w:asciiTheme="minorBidi" w:eastAsia="Arial" w:hAnsiTheme="minorBidi"/>
          <w:sz w:val="24"/>
          <w:szCs w:val="24"/>
        </w:rPr>
        <w:t>the International Conference of Harmonization (</w:t>
      </w:r>
      <w:r w:rsidR="00A32E58" w:rsidRPr="000E7FE5">
        <w:rPr>
          <w:rFonts w:asciiTheme="minorBidi" w:eastAsia="Arial" w:hAnsiTheme="minorBidi"/>
          <w:sz w:val="24"/>
          <w:szCs w:val="24"/>
        </w:rPr>
        <w:t>I</w:t>
      </w:r>
      <w:r w:rsidRPr="000E7FE5">
        <w:rPr>
          <w:rFonts w:asciiTheme="minorBidi" w:eastAsia="Arial" w:hAnsiTheme="minorBidi"/>
          <w:sz w:val="24"/>
          <w:szCs w:val="24"/>
        </w:rPr>
        <w:t>CH</w:t>
      </w:r>
      <w:r w:rsidR="00C42EAB">
        <w:rPr>
          <w:rFonts w:asciiTheme="minorBidi" w:eastAsia="Arial" w:hAnsiTheme="minorBidi"/>
          <w:sz w:val="24"/>
          <w:szCs w:val="24"/>
        </w:rPr>
        <w:t>) and</w:t>
      </w:r>
      <w:r w:rsidR="002814F4">
        <w:rPr>
          <w:rFonts w:asciiTheme="minorBidi" w:eastAsia="Arial" w:hAnsiTheme="minorBidi"/>
          <w:sz w:val="24"/>
          <w:szCs w:val="24"/>
        </w:rPr>
        <w:t xml:space="preserve"> </w:t>
      </w:r>
      <w:r w:rsidR="00C42EAB">
        <w:rPr>
          <w:rFonts w:asciiTheme="minorBidi" w:eastAsia="Arial" w:hAnsiTheme="minorBidi"/>
          <w:sz w:val="24"/>
          <w:szCs w:val="24"/>
        </w:rPr>
        <w:t>Good Clinical Practice</w:t>
      </w:r>
      <w:r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C42EAB">
        <w:rPr>
          <w:rFonts w:asciiTheme="minorBidi" w:eastAsia="Arial" w:hAnsiTheme="minorBidi"/>
          <w:sz w:val="24"/>
          <w:szCs w:val="24"/>
        </w:rPr>
        <w:t>(</w:t>
      </w:r>
      <w:r w:rsidR="00387F67" w:rsidRPr="000E7FE5">
        <w:rPr>
          <w:rFonts w:asciiTheme="minorBidi" w:eastAsia="Arial" w:hAnsiTheme="minorBidi"/>
          <w:sz w:val="24"/>
          <w:szCs w:val="24"/>
        </w:rPr>
        <w:t>G</w:t>
      </w:r>
      <w:r w:rsidRPr="000E7FE5">
        <w:rPr>
          <w:rFonts w:asciiTheme="minorBidi" w:eastAsia="Arial" w:hAnsiTheme="minorBidi"/>
          <w:sz w:val="24"/>
          <w:szCs w:val="24"/>
        </w:rPr>
        <w:t>CP</w:t>
      </w:r>
      <w:r w:rsidR="00C42EAB">
        <w:rPr>
          <w:rFonts w:asciiTheme="minorBidi" w:eastAsia="Arial" w:hAnsiTheme="minorBidi"/>
          <w:sz w:val="24"/>
          <w:szCs w:val="24"/>
        </w:rPr>
        <w:t>)</w:t>
      </w:r>
      <w:r w:rsidRPr="000E7FE5">
        <w:rPr>
          <w:rFonts w:asciiTheme="minorBidi" w:eastAsia="Arial" w:hAnsiTheme="minorBidi"/>
          <w:sz w:val="24"/>
          <w:szCs w:val="24"/>
        </w:rPr>
        <w:t xml:space="preserve"> guidelines</w:t>
      </w:r>
      <w:r w:rsidR="002814F4">
        <w:rPr>
          <w:rFonts w:asciiTheme="minorBidi" w:eastAsia="Arial" w:hAnsiTheme="minorBidi"/>
          <w:sz w:val="24"/>
          <w:szCs w:val="24"/>
          <w:vertAlign w:val="superscript"/>
        </w:rPr>
        <w:t xml:space="preserve"> </w:t>
      </w:r>
      <w:r w:rsidR="002814F4">
        <w:rPr>
          <w:rFonts w:asciiTheme="minorBidi" w:eastAsia="Arial" w:hAnsiTheme="minorBidi"/>
          <w:sz w:val="24"/>
          <w:szCs w:val="24"/>
        </w:rPr>
        <w:t>[18]</w:t>
      </w:r>
      <w:r w:rsidR="00387F67" w:rsidRPr="000E7FE5">
        <w:rPr>
          <w:rFonts w:asciiTheme="minorBidi" w:eastAsia="Arial" w:hAnsiTheme="minorBidi"/>
          <w:sz w:val="24"/>
          <w:szCs w:val="24"/>
        </w:rPr>
        <w:t xml:space="preserve">. </w:t>
      </w:r>
      <w:r w:rsidR="00C42EAB" w:rsidRPr="00C42EAB">
        <w:rPr>
          <w:rFonts w:asciiTheme="minorBidi" w:eastAsia="Arial" w:hAnsiTheme="minorBidi"/>
          <w:sz w:val="24"/>
          <w:szCs w:val="24"/>
        </w:rPr>
        <w:t>The study was approved by the institutional review board of the International Pharmaceutical Research Centre (Amman, Jordan), where the study was conducted.</w:t>
      </w:r>
    </w:p>
    <w:p w14:paraId="6B9292A0" w14:textId="4AE33D5C" w:rsidR="549ED4BE" w:rsidRPr="000E7FE5" w:rsidRDefault="00526AFE" w:rsidP="00A307B4">
      <w:pPr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>Healthy volunteers were approached to participate in this study.</w:t>
      </w:r>
      <w:r w:rsidR="549ED4BE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>The participants</w:t>
      </w:r>
      <w:r w:rsidR="549ED4BE" w:rsidRPr="000E7FE5">
        <w:rPr>
          <w:rFonts w:asciiTheme="minorBidi" w:eastAsia="Arial" w:hAnsiTheme="minorBidi"/>
          <w:sz w:val="24"/>
          <w:szCs w:val="24"/>
        </w:rPr>
        <w:t xml:space="preserve"> had to meet the inclusion criteria</w:t>
      </w:r>
      <w:r w:rsidR="005479D5">
        <w:rPr>
          <w:rFonts w:asciiTheme="minorBidi" w:eastAsia="Arial" w:hAnsiTheme="minorBidi"/>
          <w:sz w:val="24"/>
          <w:szCs w:val="24"/>
        </w:rPr>
        <w:t xml:space="preserve"> illustrated in Table 1.</w:t>
      </w:r>
    </w:p>
    <w:p w14:paraId="31B5914B" w14:textId="285DA646" w:rsidR="00A307B4" w:rsidRPr="00924DD8" w:rsidRDefault="005664FB" w:rsidP="0046510E">
      <w:pPr>
        <w:spacing w:after="240" w:line="480" w:lineRule="auto"/>
        <w:jc w:val="both"/>
        <w:rPr>
          <w:rFonts w:asciiTheme="minorBidi" w:hAnsiTheme="minorBidi"/>
          <w:sz w:val="24"/>
          <w:szCs w:val="24"/>
          <w:u w:val="single"/>
        </w:rPr>
      </w:pPr>
      <w:r w:rsidRPr="00924DD8">
        <w:rPr>
          <w:rFonts w:asciiTheme="minorBidi" w:hAnsiTheme="minorBidi"/>
          <w:sz w:val="24"/>
          <w:szCs w:val="24"/>
          <w:u w:val="single"/>
        </w:rPr>
        <w:t xml:space="preserve">Table 1: </w:t>
      </w:r>
      <w:r w:rsidR="00196698" w:rsidRPr="00924DD8">
        <w:rPr>
          <w:rFonts w:asciiTheme="minorBidi" w:hAnsiTheme="minorBidi"/>
          <w:sz w:val="24"/>
          <w:szCs w:val="24"/>
          <w:u w:val="single"/>
        </w:rPr>
        <w:t>I</w:t>
      </w:r>
      <w:r w:rsidRPr="00924DD8">
        <w:rPr>
          <w:rFonts w:asciiTheme="minorBidi" w:hAnsiTheme="minorBidi"/>
          <w:sz w:val="24"/>
          <w:szCs w:val="24"/>
          <w:u w:val="single"/>
        </w:rPr>
        <w:t>nclusion criteria to participate in the bioequivalence study.</w:t>
      </w:r>
    </w:p>
    <w:p w14:paraId="76423292" w14:textId="77777777" w:rsidR="005664FB" w:rsidRDefault="005664FB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</w:p>
    <w:p w14:paraId="5A617981" w14:textId="00773C7B" w:rsidR="007F6F62" w:rsidRDefault="00CB69A2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>
        <w:rPr>
          <w:rFonts w:asciiTheme="minorBidi" w:eastAsia="Arial" w:hAnsiTheme="minorBidi"/>
          <w:sz w:val="24"/>
          <w:szCs w:val="24"/>
        </w:rPr>
        <w:t xml:space="preserve">In </w:t>
      </w:r>
      <w:r w:rsidR="003C5B93">
        <w:rPr>
          <w:rFonts w:asciiTheme="minorBidi" w:eastAsia="Arial" w:hAnsiTheme="minorBidi"/>
          <w:sz w:val="24"/>
          <w:szCs w:val="24"/>
        </w:rPr>
        <w:t xml:space="preserve">accordance </w:t>
      </w:r>
      <w:r>
        <w:rPr>
          <w:rFonts w:asciiTheme="minorBidi" w:eastAsia="Arial" w:hAnsiTheme="minorBidi"/>
          <w:sz w:val="24"/>
          <w:szCs w:val="24"/>
        </w:rPr>
        <w:t>with the ethical requirements,</w:t>
      </w:r>
      <w:r w:rsidR="007F6F62">
        <w:rPr>
          <w:rFonts w:asciiTheme="minorBidi" w:eastAsia="Arial" w:hAnsiTheme="minorBidi"/>
          <w:sz w:val="24"/>
          <w:szCs w:val="24"/>
        </w:rPr>
        <w:t xml:space="preserve"> and to ensure the maximal safety margins of the participants</w:t>
      </w:r>
      <w:r w:rsidR="009B018B">
        <w:rPr>
          <w:rFonts w:asciiTheme="minorBidi" w:eastAsia="Arial" w:hAnsiTheme="minorBidi"/>
          <w:sz w:val="24"/>
          <w:szCs w:val="24"/>
        </w:rPr>
        <w:t>, pregnant</w:t>
      </w:r>
      <w:r>
        <w:rPr>
          <w:rFonts w:asciiTheme="minorBidi" w:eastAsia="Arial" w:hAnsiTheme="minorBidi"/>
          <w:sz w:val="24"/>
          <w:szCs w:val="24"/>
        </w:rPr>
        <w:t xml:space="preserve"> </w:t>
      </w:r>
      <w:r w:rsidR="007F6F62">
        <w:rPr>
          <w:rFonts w:asciiTheme="minorBidi" w:eastAsia="Arial" w:hAnsiTheme="minorBidi"/>
          <w:sz w:val="24"/>
          <w:szCs w:val="24"/>
        </w:rPr>
        <w:t>females and subjects with</w:t>
      </w:r>
      <w:r w:rsidR="003C5B93">
        <w:rPr>
          <w:rFonts w:asciiTheme="minorBidi" w:eastAsia="Arial" w:hAnsiTheme="minorBidi"/>
          <w:sz w:val="24"/>
          <w:szCs w:val="24"/>
        </w:rPr>
        <w:t xml:space="preserve"> a</w:t>
      </w:r>
      <w:r w:rsidR="007F6F62">
        <w:rPr>
          <w:rFonts w:asciiTheme="minorBidi" w:eastAsia="Arial" w:hAnsiTheme="minorBidi"/>
          <w:sz w:val="24"/>
          <w:szCs w:val="24"/>
        </w:rPr>
        <w:t xml:space="preserve"> history of the typical side </w:t>
      </w:r>
      <w:r w:rsidR="007F6F62">
        <w:rPr>
          <w:rFonts w:asciiTheme="minorBidi" w:eastAsia="Arial" w:hAnsiTheme="minorBidi"/>
          <w:sz w:val="24"/>
          <w:szCs w:val="24"/>
        </w:rPr>
        <w:lastRenderedPageBreak/>
        <w:t xml:space="preserve">effects of alfuzosin (asthma, peptic or gastric ulcer, sinusitis, pharyngitis, cardiovascular disorders, neurologic diseases and diabetes) were excluded from participating in </w:t>
      </w:r>
      <w:proofErr w:type="spellStart"/>
      <w:r w:rsidR="003C5B93">
        <w:rPr>
          <w:rFonts w:asciiTheme="minorBidi" w:eastAsia="Arial" w:hAnsiTheme="minorBidi"/>
          <w:sz w:val="24"/>
          <w:szCs w:val="24"/>
        </w:rPr>
        <w:t>the</w:t>
      </w:r>
      <w:r w:rsidR="007F6F62">
        <w:rPr>
          <w:rFonts w:asciiTheme="minorBidi" w:eastAsia="Arial" w:hAnsiTheme="minorBidi"/>
          <w:sz w:val="24"/>
          <w:szCs w:val="24"/>
        </w:rPr>
        <w:t>study</w:t>
      </w:r>
      <w:proofErr w:type="spellEnd"/>
      <w:r w:rsidR="007F6F62">
        <w:rPr>
          <w:rFonts w:asciiTheme="minorBidi" w:eastAsia="Arial" w:hAnsiTheme="minorBidi"/>
          <w:sz w:val="24"/>
          <w:szCs w:val="24"/>
        </w:rPr>
        <w:t xml:space="preserve">. </w:t>
      </w:r>
    </w:p>
    <w:p w14:paraId="1B1F44BF" w14:textId="0C3E95E6" w:rsidR="549ED4BE" w:rsidRPr="000E7FE5" w:rsidRDefault="549ED4BE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 xml:space="preserve">All laboratory tests and data collection work </w:t>
      </w:r>
      <w:proofErr w:type="gramStart"/>
      <w:r w:rsidR="003C5B93">
        <w:rPr>
          <w:rFonts w:asciiTheme="minorBidi" w:eastAsia="Arial" w:hAnsiTheme="minorBidi"/>
          <w:sz w:val="24"/>
          <w:szCs w:val="24"/>
        </w:rPr>
        <w:t>was</w:t>
      </w:r>
      <w:proofErr w:type="gramEnd"/>
      <w:r w:rsidR="003C5B93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 xml:space="preserve">performed within </w:t>
      </w:r>
      <w:r w:rsidR="005308E2">
        <w:rPr>
          <w:rFonts w:asciiTheme="minorBidi" w:eastAsia="Arial" w:hAnsiTheme="minorBidi"/>
          <w:sz w:val="24"/>
          <w:szCs w:val="24"/>
        </w:rPr>
        <w:t>2</w:t>
      </w:r>
      <w:r w:rsidRPr="000E7FE5">
        <w:rPr>
          <w:rFonts w:asciiTheme="minorBidi" w:eastAsia="Arial" w:hAnsiTheme="minorBidi"/>
          <w:sz w:val="24"/>
          <w:szCs w:val="24"/>
        </w:rPr>
        <w:t xml:space="preserve"> weeks prior to initiation of the clinical 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study. Laboratory tests included haematology, </w:t>
      </w:r>
      <w:r w:rsidR="005479D5" w:rsidRPr="000E7FE5">
        <w:rPr>
          <w:rFonts w:asciiTheme="minorBidi" w:eastAsia="Arial" w:hAnsiTheme="minorBidi"/>
          <w:sz w:val="24"/>
          <w:szCs w:val="24"/>
        </w:rPr>
        <w:t>serology</w:t>
      </w:r>
      <w:r w:rsidR="003A03C8" w:rsidRPr="000E7FE5">
        <w:rPr>
          <w:rFonts w:asciiTheme="minorBidi" w:eastAsia="Arial" w:hAnsiTheme="minorBidi"/>
          <w:sz w:val="24"/>
          <w:szCs w:val="24"/>
        </w:rPr>
        <w:t>, biochemistry and urinalysis</w:t>
      </w:r>
      <w:r w:rsidR="005664FB">
        <w:rPr>
          <w:rFonts w:asciiTheme="minorBidi" w:eastAsia="Arial" w:hAnsiTheme="minorBidi"/>
          <w:sz w:val="24"/>
          <w:szCs w:val="24"/>
        </w:rPr>
        <w:t xml:space="preserve">. The monitored 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vital signs included blood pressure, pulse, respiratory rate and </w:t>
      </w:r>
      <w:r w:rsidR="005308E2">
        <w:rPr>
          <w:rFonts w:asciiTheme="minorBidi" w:eastAsia="Arial" w:hAnsiTheme="minorBidi"/>
          <w:sz w:val="24"/>
          <w:szCs w:val="24"/>
        </w:rPr>
        <w:t xml:space="preserve">body 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temperature. </w:t>
      </w:r>
      <w:r w:rsidRPr="000E7FE5">
        <w:rPr>
          <w:rFonts w:asciiTheme="minorBidi" w:eastAsia="Arial" w:hAnsiTheme="minorBidi"/>
          <w:sz w:val="24"/>
          <w:szCs w:val="24"/>
        </w:rPr>
        <w:t>Subjects were informed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>about the aim of the study and potential risk</w:t>
      </w:r>
      <w:r w:rsidR="005C489F">
        <w:rPr>
          <w:rFonts w:asciiTheme="minorBidi" w:eastAsia="Arial" w:hAnsiTheme="minorBidi"/>
          <w:sz w:val="24"/>
          <w:szCs w:val="24"/>
        </w:rPr>
        <w:t>s</w:t>
      </w:r>
      <w:r w:rsidRPr="000E7FE5">
        <w:rPr>
          <w:rFonts w:asciiTheme="minorBidi" w:eastAsia="Arial" w:hAnsiTheme="minorBidi"/>
          <w:sz w:val="24"/>
          <w:szCs w:val="24"/>
        </w:rPr>
        <w:t xml:space="preserve"> associated with the st</w:t>
      </w:r>
      <w:r w:rsidR="005479D5">
        <w:rPr>
          <w:rFonts w:asciiTheme="minorBidi" w:eastAsia="Arial" w:hAnsiTheme="minorBidi"/>
          <w:sz w:val="24"/>
          <w:szCs w:val="24"/>
        </w:rPr>
        <w:t xml:space="preserve">udy. Subjects </w:t>
      </w:r>
      <w:r w:rsidR="005308E2">
        <w:rPr>
          <w:rFonts w:asciiTheme="minorBidi" w:eastAsia="Arial" w:hAnsiTheme="minorBidi"/>
          <w:sz w:val="24"/>
          <w:szCs w:val="24"/>
        </w:rPr>
        <w:t xml:space="preserve">agreed to and </w:t>
      </w:r>
      <w:r w:rsidR="005479D5">
        <w:rPr>
          <w:rFonts w:asciiTheme="minorBidi" w:eastAsia="Arial" w:hAnsiTheme="minorBidi"/>
          <w:sz w:val="24"/>
          <w:szCs w:val="24"/>
        </w:rPr>
        <w:t xml:space="preserve">signed a written </w:t>
      </w:r>
      <w:r w:rsidR="005479D5" w:rsidRPr="000E7FE5">
        <w:rPr>
          <w:rFonts w:asciiTheme="minorBidi" w:eastAsia="Arial" w:hAnsiTheme="minorBidi"/>
          <w:sz w:val="24"/>
          <w:szCs w:val="24"/>
        </w:rPr>
        <w:t>informed</w:t>
      </w:r>
      <w:r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5479D5">
        <w:rPr>
          <w:rFonts w:asciiTheme="minorBidi" w:eastAsia="Arial" w:hAnsiTheme="minorBidi"/>
          <w:sz w:val="24"/>
          <w:szCs w:val="24"/>
        </w:rPr>
        <w:t>c</w:t>
      </w:r>
      <w:r w:rsidRPr="000E7FE5">
        <w:rPr>
          <w:rFonts w:asciiTheme="minorBidi" w:eastAsia="Arial" w:hAnsiTheme="minorBidi"/>
          <w:sz w:val="24"/>
          <w:szCs w:val="24"/>
        </w:rPr>
        <w:t xml:space="preserve">onsent </w:t>
      </w:r>
      <w:r w:rsidR="005479D5">
        <w:rPr>
          <w:rFonts w:asciiTheme="minorBidi" w:eastAsia="Arial" w:hAnsiTheme="minorBidi"/>
          <w:sz w:val="24"/>
          <w:szCs w:val="24"/>
        </w:rPr>
        <w:t>f</w:t>
      </w:r>
      <w:r w:rsidR="003A03C8" w:rsidRPr="000E7FE5">
        <w:rPr>
          <w:rFonts w:asciiTheme="minorBidi" w:eastAsia="Arial" w:hAnsiTheme="minorBidi"/>
          <w:sz w:val="24"/>
          <w:szCs w:val="24"/>
        </w:rPr>
        <w:t>orm</w:t>
      </w:r>
      <w:r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5308E2">
        <w:rPr>
          <w:rFonts w:asciiTheme="minorBidi" w:eastAsia="Arial" w:hAnsiTheme="minorBidi"/>
          <w:sz w:val="24"/>
          <w:szCs w:val="24"/>
        </w:rPr>
        <w:t>before</w:t>
      </w:r>
      <w:r w:rsidRPr="000E7FE5">
        <w:rPr>
          <w:rFonts w:asciiTheme="minorBidi" w:eastAsia="Arial" w:hAnsiTheme="minorBidi"/>
          <w:sz w:val="24"/>
          <w:szCs w:val="24"/>
        </w:rPr>
        <w:t xml:space="preserve"> they were </w:t>
      </w:r>
      <w:r w:rsidR="003A03C8" w:rsidRPr="000E7FE5">
        <w:rPr>
          <w:rFonts w:asciiTheme="minorBidi" w:eastAsia="Arial" w:hAnsiTheme="minorBidi"/>
          <w:sz w:val="24"/>
          <w:szCs w:val="24"/>
        </w:rPr>
        <w:t>included</w:t>
      </w:r>
      <w:r w:rsidRPr="000E7FE5">
        <w:rPr>
          <w:rFonts w:asciiTheme="minorBidi" w:eastAsia="Arial" w:hAnsiTheme="minorBidi"/>
          <w:sz w:val="24"/>
          <w:szCs w:val="24"/>
        </w:rPr>
        <w:t xml:space="preserve"> in the study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. The participants were </w:t>
      </w:r>
      <w:r w:rsidRPr="000E7FE5">
        <w:rPr>
          <w:rFonts w:asciiTheme="minorBidi" w:eastAsia="Arial" w:hAnsiTheme="minorBidi"/>
          <w:sz w:val="24"/>
          <w:szCs w:val="24"/>
        </w:rPr>
        <w:t>free to withdraw at any time during the course of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 xml:space="preserve">the study. All the included participants were instructed not to take any </w:t>
      </w:r>
      <w:r w:rsidR="003A03C8" w:rsidRPr="000E7FE5">
        <w:rPr>
          <w:rFonts w:asciiTheme="minorBidi" w:eastAsia="Arial" w:hAnsiTheme="minorBidi"/>
          <w:sz w:val="24"/>
          <w:szCs w:val="24"/>
        </w:rPr>
        <w:t>prescription</w:t>
      </w:r>
      <w:r w:rsidRPr="000E7FE5">
        <w:rPr>
          <w:rFonts w:asciiTheme="minorBidi" w:eastAsia="Arial" w:hAnsiTheme="minorBidi"/>
          <w:sz w:val="24"/>
          <w:szCs w:val="24"/>
        </w:rPr>
        <w:t xml:space="preserve"> or non-</w:t>
      </w:r>
      <w:r w:rsidR="003A03C8" w:rsidRPr="000E7FE5">
        <w:rPr>
          <w:rFonts w:asciiTheme="minorBidi" w:eastAsia="Arial" w:hAnsiTheme="minorBidi"/>
          <w:sz w:val="24"/>
          <w:szCs w:val="24"/>
        </w:rPr>
        <w:t>prescription</w:t>
      </w:r>
      <w:r w:rsidRPr="000E7FE5">
        <w:rPr>
          <w:rFonts w:asciiTheme="minorBidi" w:eastAsia="Arial" w:hAnsiTheme="minorBidi"/>
          <w:sz w:val="24"/>
          <w:szCs w:val="24"/>
        </w:rPr>
        <w:t xml:space="preserve"> medications </w:t>
      </w:r>
      <w:r w:rsidR="005308E2">
        <w:rPr>
          <w:rFonts w:asciiTheme="minorBidi" w:eastAsia="Arial" w:hAnsiTheme="minorBidi"/>
          <w:sz w:val="24"/>
          <w:szCs w:val="24"/>
        </w:rPr>
        <w:t>2</w:t>
      </w:r>
      <w:r w:rsidRPr="000E7FE5">
        <w:rPr>
          <w:rFonts w:asciiTheme="minorBidi" w:eastAsia="Arial" w:hAnsiTheme="minorBidi"/>
          <w:sz w:val="24"/>
          <w:szCs w:val="24"/>
        </w:rPr>
        <w:t xml:space="preserve"> weeks </w:t>
      </w:r>
      <w:r w:rsidR="003A03C8" w:rsidRPr="000E7FE5">
        <w:rPr>
          <w:rFonts w:asciiTheme="minorBidi" w:eastAsia="Arial" w:hAnsiTheme="minorBidi"/>
          <w:sz w:val="24"/>
          <w:szCs w:val="24"/>
        </w:rPr>
        <w:t>prior</w:t>
      </w:r>
      <w:r w:rsidRPr="000E7FE5">
        <w:rPr>
          <w:rFonts w:asciiTheme="minorBidi" w:eastAsia="Arial" w:hAnsiTheme="minorBidi"/>
          <w:sz w:val="24"/>
          <w:szCs w:val="24"/>
        </w:rPr>
        <w:t xml:space="preserve"> to </w:t>
      </w:r>
      <w:r w:rsidR="003A03C8" w:rsidRPr="000E7FE5">
        <w:rPr>
          <w:rFonts w:asciiTheme="minorBidi" w:eastAsia="Arial" w:hAnsiTheme="minorBidi"/>
          <w:sz w:val="24"/>
          <w:szCs w:val="24"/>
        </w:rPr>
        <w:t>starting</w:t>
      </w:r>
      <w:r w:rsidR="005479D5">
        <w:rPr>
          <w:rFonts w:asciiTheme="minorBidi" w:eastAsia="Arial" w:hAnsiTheme="minorBidi"/>
          <w:sz w:val="24"/>
          <w:szCs w:val="24"/>
        </w:rPr>
        <w:t>.</w:t>
      </w:r>
      <w:r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5308E2">
        <w:rPr>
          <w:rFonts w:asciiTheme="minorBidi" w:eastAsia="Arial" w:hAnsiTheme="minorBidi"/>
          <w:sz w:val="24"/>
          <w:szCs w:val="24"/>
        </w:rPr>
        <w:t>P</w:t>
      </w:r>
      <w:r w:rsidR="005664FB">
        <w:rPr>
          <w:rFonts w:asciiTheme="minorBidi" w:eastAsia="Arial" w:hAnsiTheme="minorBidi"/>
          <w:sz w:val="24"/>
          <w:szCs w:val="24"/>
        </w:rPr>
        <w:t xml:space="preserve">articipants </w:t>
      </w:r>
      <w:r w:rsidR="005479D5" w:rsidRPr="000E7FE5">
        <w:rPr>
          <w:rFonts w:asciiTheme="minorBidi" w:eastAsia="Arial" w:hAnsiTheme="minorBidi"/>
          <w:sz w:val="24"/>
          <w:szCs w:val="24"/>
        </w:rPr>
        <w:t xml:space="preserve">were instructed </w:t>
      </w:r>
      <w:r w:rsidRPr="000E7FE5">
        <w:rPr>
          <w:rFonts w:asciiTheme="minorBidi" w:eastAsia="Arial" w:hAnsiTheme="minorBidi"/>
          <w:sz w:val="24"/>
          <w:szCs w:val="24"/>
        </w:rPr>
        <w:t xml:space="preserve">not to take any 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nutritional </w:t>
      </w:r>
      <w:r w:rsidRPr="000E7FE5">
        <w:rPr>
          <w:rFonts w:asciiTheme="minorBidi" w:eastAsia="Arial" w:hAnsiTheme="minorBidi"/>
          <w:sz w:val="24"/>
          <w:szCs w:val="24"/>
        </w:rPr>
        <w:t xml:space="preserve">vitamins 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or consume </w:t>
      </w:r>
      <w:r w:rsidR="005C489F">
        <w:rPr>
          <w:rFonts w:asciiTheme="minorBidi" w:eastAsia="Arial" w:hAnsiTheme="minorBidi"/>
          <w:sz w:val="24"/>
          <w:szCs w:val="24"/>
        </w:rPr>
        <w:t>large</w:t>
      </w:r>
      <w:r w:rsidR="005C489F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A82100" w:rsidRPr="000E7FE5">
        <w:rPr>
          <w:rFonts w:asciiTheme="minorBidi" w:eastAsia="Arial" w:hAnsiTheme="minorBidi"/>
          <w:sz w:val="24"/>
          <w:szCs w:val="24"/>
        </w:rPr>
        <w:t>quantities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 of alcohol or beverages containing methyl-</w:t>
      </w:r>
      <w:r w:rsidR="00A82100" w:rsidRPr="000E7FE5">
        <w:rPr>
          <w:rFonts w:asciiTheme="minorBidi" w:eastAsia="Arial" w:hAnsiTheme="minorBidi"/>
          <w:sz w:val="24"/>
          <w:szCs w:val="24"/>
        </w:rPr>
        <w:t>xanthine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5C489F">
        <w:rPr>
          <w:rFonts w:asciiTheme="minorBidi" w:eastAsia="Arial" w:hAnsiTheme="minorBidi"/>
          <w:sz w:val="24"/>
          <w:szCs w:val="24"/>
        </w:rPr>
        <w:t xml:space="preserve">(eg coffee) </w:t>
      </w:r>
      <w:r w:rsidR="005308E2">
        <w:rPr>
          <w:rFonts w:asciiTheme="minorBidi" w:eastAsia="Arial" w:hAnsiTheme="minorBidi"/>
          <w:sz w:val="24"/>
          <w:szCs w:val="24"/>
        </w:rPr>
        <w:t>2</w:t>
      </w:r>
      <w:r w:rsidRPr="000E7FE5">
        <w:rPr>
          <w:rFonts w:asciiTheme="minorBidi" w:eastAsia="Arial" w:hAnsiTheme="minorBidi"/>
          <w:sz w:val="24"/>
          <w:szCs w:val="24"/>
        </w:rPr>
        <w:t xml:space="preserve"> days </w:t>
      </w:r>
      <w:r w:rsidR="003A03C8" w:rsidRPr="000E7FE5">
        <w:rPr>
          <w:rFonts w:asciiTheme="minorBidi" w:eastAsia="Arial" w:hAnsiTheme="minorBidi"/>
          <w:sz w:val="24"/>
          <w:szCs w:val="24"/>
        </w:rPr>
        <w:t>prior to starting</w:t>
      </w:r>
      <w:r w:rsidR="005308E2">
        <w:rPr>
          <w:rFonts w:asciiTheme="minorBidi" w:eastAsia="Arial" w:hAnsiTheme="minorBidi"/>
          <w:sz w:val="24"/>
          <w:szCs w:val="24"/>
        </w:rPr>
        <w:t xml:space="preserve"> 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of </w:t>
      </w:r>
      <w:r w:rsidR="005479D5" w:rsidRPr="000E7FE5">
        <w:rPr>
          <w:rFonts w:asciiTheme="minorBidi" w:eastAsia="Arial" w:hAnsiTheme="minorBidi"/>
          <w:sz w:val="24"/>
          <w:szCs w:val="24"/>
        </w:rPr>
        <w:t>the clinical</w:t>
      </w:r>
      <w:r w:rsidR="003A03C8" w:rsidRPr="000E7FE5">
        <w:rPr>
          <w:rFonts w:asciiTheme="minorBidi" w:eastAsia="Arial" w:hAnsiTheme="minorBidi"/>
          <w:sz w:val="24"/>
          <w:szCs w:val="24"/>
        </w:rPr>
        <w:t xml:space="preserve"> study. </w:t>
      </w:r>
    </w:p>
    <w:p w14:paraId="5E65E32C" w14:textId="58094908" w:rsidR="003A03C8" w:rsidRPr="000E7FE5" w:rsidRDefault="3ED6C735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>To control the feeding status of the participants, the composition, amount and tim</w:t>
      </w:r>
      <w:r w:rsidR="005308E2">
        <w:rPr>
          <w:rFonts w:asciiTheme="minorBidi" w:eastAsia="Arial" w:hAnsiTheme="minorBidi"/>
          <w:sz w:val="24"/>
          <w:szCs w:val="24"/>
        </w:rPr>
        <w:t>ing</w:t>
      </w:r>
      <w:r w:rsidRPr="000E7FE5">
        <w:rPr>
          <w:rFonts w:asciiTheme="minorBidi" w:eastAsia="Arial" w:hAnsiTheme="minorBidi"/>
          <w:sz w:val="24"/>
          <w:szCs w:val="24"/>
        </w:rPr>
        <w:t xml:space="preserve"> of </w:t>
      </w:r>
      <w:r w:rsidR="005308E2">
        <w:rPr>
          <w:rFonts w:asciiTheme="minorBidi" w:eastAsia="Arial" w:hAnsiTheme="minorBidi"/>
          <w:sz w:val="24"/>
          <w:szCs w:val="24"/>
        </w:rPr>
        <w:t xml:space="preserve">the </w:t>
      </w:r>
      <w:r w:rsidRPr="000E7FE5">
        <w:rPr>
          <w:rFonts w:asciiTheme="minorBidi" w:eastAsia="Arial" w:hAnsiTheme="minorBidi"/>
          <w:sz w:val="24"/>
          <w:szCs w:val="24"/>
        </w:rPr>
        <w:t>meals were standardised for the participants. Subjects were administered a single dose of either the test or the reference product, as assigned by the randomization plan, with 240 m</w:t>
      </w:r>
      <w:r w:rsidR="005479D5">
        <w:rPr>
          <w:rFonts w:asciiTheme="minorBidi" w:eastAsia="Arial" w:hAnsiTheme="minorBidi"/>
          <w:sz w:val="24"/>
          <w:szCs w:val="24"/>
        </w:rPr>
        <w:t>L</w:t>
      </w:r>
      <w:r w:rsidRPr="000E7FE5">
        <w:rPr>
          <w:rFonts w:asciiTheme="minorBidi" w:eastAsia="Arial" w:hAnsiTheme="minorBidi"/>
          <w:sz w:val="24"/>
          <w:szCs w:val="24"/>
        </w:rPr>
        <w:t xml:space="preserve"> of water</w:t>
      </w:r>
      <w:r w:rsidR="003A03C8" w:rsidRPr="000E7FE5">
        <w:rPr>
          <w:rFonts w:asciiTheme="minorBidi" w:eastAsia="Arial" w:hAnsiTheme="minorBidi"/>
          <w:sz w:val="24"/>
          <w:szCs w:val="24"/>
        </w:rPr>
        <w:t>, and instructed not to take</w:t>
      </w:r>
      <w:r w:rsidRPr="000E7FE5">
        <w:rPr>
          <w:rFonts w:asciiTheme="minorBidi" w:eastAsia="Arial" w:hAnsiTheme="minorBidi"/>
          <w:sz w:val="24"/>
          <w:szCs w:val="24"/>
        </w:rPr>
        <w:t xml:space="preserve"> water or fluids </w:t>
      </w:r>
      <w:r w:rsidR="005308E2">
        <w:rPr>
          <w:rFonts w:asciiTheme="minorBidi" w:eastAsia="Arial" w:hAnsiTheme="minorBidi"/>
          <w:sz w:val="24"/>
          <w:szCs w:val="24"/>
        </w:rPr>
        <w:t>1</w:t>
      </w:r>
      <w:r w:rsidRPr="000E7FE5">
        <w:rPr>
          <w:rFonts w:asciiTheme="minorBidi" w:eastAsia="Arial" w:hAnsiTheme="minorBidi"/>
          <w:sz w:val="24"/>
          <w:szCs w:val="24"/>
        </w:rPr>
        <w:t xml:space="preserve"> hour before </w:t>
      </w:r>
      <w:r w:rsidR="003A03C8" w:rsidRPr="000E7FE5">
        <w:rPr>
          <w:rFonts w:asciiTheme="minorBidi" w:eastAsia="Arial" w:hAnsiTheme="minorBidi"/>
          <w:sz w:val="24"/>
          <w:szCs w:val="24"/>
        </w:rPr>
        <w:t>and</w:t>
      </w:r>
      <w:r w:rsidRPr="000E7FE5">
        <w:rPr>
          <w:rFonts w:asciiTheme="minorBidi" w:eastAsia="Arial" w:hAnsiTheme="minorBidi"/>
          <w:sz w:val="24"/>
          <w:szCs w:val="24"/>
        </w:rPr>
        <w:t xml:space="preserve"> after </w:t>
      </w:r>
      <w:r w:rsidR="005308E2" w:rsidRPr="000E7FE5">
        <w:rPr>
          <w:rFonts w:asciiTheme="minorBidi" w:eastAsia="Arial" w:hAnsiTheme="minorBidi"/>
          <w:sz w:val="24"/>
          <w:szCs w:val="24"/>
        </w:rPr>
        <w:t xml:space="preserve">administration </w:t>
      </w:r>
      <w:r w:rsidR="005308E2">
        <w:rPr>
          <w:rFonts w:asciiTheme="minorBidi" w:eastAsia="Arial" w:hAnsiTheme="minorBidi"/>
          <w:sz w:val="24"/>
          <w:szCs w:val="24"/>
        </w:rPr>
        <w:t xml:space="preserve">of </w:t>
      </w:r>
      <w:r w:rsidRPr="000E7FE5">
        <w:rPr>
          <w:rFonts w:asciiTheme="minorBidi" w:eastAsia="Arial" w:hAnsiTheme="minorBidi"/>
          <w:sz w:val="24"/>
          <w:szCs w:val="24"/>
        </w:rPr>
        <w:t xml:space="preserve">the dose. </w:t>
      </w:r>
    </w:p>
    <w:p w14:paraId="2C006398" w14:textId="0B5587D2" w:rsidR="3ED6C735" w:rsidRPr="000E7FE5" w:rsidRDefault="000343A1" w:rsidP="00A307B4">
      <w:pPr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 xml:space="preserve">The </w:t>
      </w:r>
      <w:r w:rsidR="005479D5" w:rsidRPr="000E7FE5">
        <w:rPr>
          <w:rFonts w:asciiTheme="minorBidi" w:eastAsia="Arial" w:hAnsiTheme="minorBidi"/>
          <w:sz w:val="24"/>
          <w:szCs w:val="24"/>
        </w:rPr>
        <w:t>participants</w:t>
      </w:r>
      <w:r w:rsidRPr="000E7FE5">
        <w:rPr>
          <w:rFonts w:asciiTheme="minorBidi" w:eastAsia="Arial" w:hAnsiTheme="minorBidi"/>
          <w:sz w:val="24"/>
          <w:szCs w:val="24"/>
        </w:rPr>
        <w:t xml:space="preserve"> were randomly divided into </w:t>
      </w:r>
      <w:r w:rsidR="005C489F">
        <w:rPr>
          <w:rFonts w:asciiTheme="minorBidi" w:eastAsia="Arial" w:hAnsiTheme="minorBidi"/>
          <w:sz w:val="24"/>
          <w:szCs w:val="24"/>
        </w:rPr>
        <w:t>two</w:t>
      </w:r>
      <w:r w:rsidR="005C489F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>groups</w:t>
      </w:r>
      <w:r w:rsidR="005308E2">
        <w:rPr>
          <w:rFonts w:asciiTheme="minorBidi" w:eastAsia="Arial" w:hAnsiTheme="minorBidi"/>
          <w:sz w:val="24"/>
          <w:szCs w:val="24"/>
        </w:rPr>
        <w:t>,</w:t>
      </w:r>
      <w:r w:rsidRPr="000E7FE5">
        <w:rPr>
          <w:rFonts w:asciiTheme="minorBidi" w:eastAsia="Arial" w:hAnsiTheme="minorBidi"/>
          <w:sz w:val="24"/>
          <w:szCs w:val="24"/>
        </w:rPr>
        <w:t xml:space="preserve"> the </w:t>
      </w:r>
      <w:r w:rsidR="00AF114D">
        <w:rPr>
          <w:rFonts w:asciiTheme="minorBidi" w:eastAsia="Arial" w:hAnsiTheme="minorBidi"/>
          <w:sz w:val="24"/>
          <w:szCs w:val="24"/>
        </w:rPr>
        <w:t>reference</w:t>
      </w:r>
      <w:r w:rsidRPr="000E7FE5">
        <w:rPr>
          <w:rFonts w:asciiTheme="minorBidi" w:eastAsia="Arial" w:hAnsiTheme="minorBidi"/>
          <w:sz w:val="24"/>
          <w:szCs w:val="24"/>
        </w:rPr>
        <w:t xml:space="preserve"> group and the test group in the first phase of the trial, </w:t>
      </w:r>
      <w:r w:rsidR="005308E2">
        <w:rPr>
          <w:rFonts w:asciiTheme="minorBidi" w:eastAsia="Arial" w:hAnsiTheme="minorBidi"/>
          <w:sz w:val="24"/>
          <w:szCs w:val="24"/>
        </w:rPr>
        <w:t>which was</w:t>
      </w:r>
      <w:r w:rsidRPr="000E7FE5">
        <w:rPr>
          <w:rFonts w:asciiTheme="minorBidi" w:eastAsia="Arial" w:hAnsiTheme="minorBidi"/>
          <w:sz w:val="24"/>
          <w:szCs w:val="24"/>
        </w:rPr>
        <w:t xml:space="preserve"> reversed after</w:t>
      </w:r>
      <w:r w:rsidR="005308E2">
        <w:rPr>
          <w:rFonts w:asciiTheme="minorBidi" w:eastAsia="Arial" w:hAnsiTheme="minorBidi"/>
          <w:sz w:val="24"/>
          <w:szCs w:val="24"/>
        </w:rPr>
        <w:t xml:space="preserve"> a</w:t>
      </w:r>
      <w:r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7A5D64">
        <w:rPr>
          <w:rFonts w:asciiTheme="minorBidi" w:eastAsia="Arial" w:hAnsiTheme="minorBidi"/>
          <w:sz w:val="24"/>
          <w:szCs w:val="24"/>
        </w:rPr>
        <w:t>7</w:t>
      </w:r>
      <w:r w:rsidR="005308E2">
        <w:rPr>
          <w:rFonts w:asciiTheme="minorBidi" w:eastAsia="Arial" w:hAnsiTheme="minorBidi"/>
          <w:sz w:val="24"/>
          <w:szCs w:val="24"/>
        </w:rPr>
        <w:t>-</w:t>
      </w:r>
      <w:r w:rsidR="007A5D64">
        <w:rPr>
          <w:rFonts w:asciiTheme="minorBidi" w:eastAsia="Arial" w:hAnsiTheme="minorBidi"/>
          <w:sz w:val="24"/>
          <w:szCs w:val="24"/>
        </w:rPr>
        <w:t>day washout period</w:t>
      </w:r>
      <w:r w:rsidRPr="000E7FE5">
        <w:rPr>
          <w:rFonts w:asciiTheme="minorBidi" w:eastAsia="Arial" w:hAnsiTheme="minorBidi"/>
          <w:sz w:val="24"/>
          <w:szCs w:val="24"/>
        </w:rPr>
        <w:t xml:space="preserve">. In phase </w:t>
      </w:r>
      <w:r w:rsidR="005308E2">
        <w:rPr>
          <w:rFonts w:asciiTheme="minorBidi" w:eastAsia="Arial" w:hAnsiTheme="minorBidi"/>
          <w:sz w:val="24"/>
          <w:szCs w:val="24"/>
        </w:rPr>
        <w:t>1</w:t>
      </w:r>
      <w:r w:rsidRPr="000E7FE5">
        <w:rPr>
          <w:rFonts w:asciiTheme="minorBidi" w:eastAsia="Arial" w:hAnsiTheme="minorBidi"/>
          <w:sz w:val="24"/>
          <w:szCs w:val="24"/>
        </w:rPr>
        <w:t xml:space="preserve"> of the study, the </w:t>
      </w:r>
      <w:r w:rsidR="00AF114D">
        <w:rPr>
          <w:rFonts w:asciiTheme="minorBidi" w:eastAsia="Arial" w:hAnsiTheme="minorBidi"/>
          <w:sz w:val="24"/>
          <w:szCs w:val="24"/>
        </w:rPr>
        <w:t>reference</w:t>
      </w:r>
      <w:r w:rsidRPr="000E7FE5">
        <w:rPr>
          <w:rFonts w:asciiTheme="minorBidi" w:eastAsia="Arial" w:hAnsiTheme="minorBidi"/>
          <w:sz w:val="24"/>
          <w:szCs w:val="24"/>
        </w:rPr>
        <w:t xml:space="preserve"> group received one 10</w:t>
      </w:r>
      <w:r w:rsidR="005C489F">
        <w:rPr>
          <w:rFonts w:asciiTheme="minorBidi" w:eastAsia="Arial" w:hAnsiTheme="minorBidi"/>
          <w:sz w:val="24"/>
          <w:szCs w:val="24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 xml:space="preserve">mg </w:t>
      </w:r>
      <w:r w:rsidR="005866B6">
        <w:rPr>
          <w:rFonts w:asciiTheme="minorBidi" w:eastAsia="Arial" w:hAnsiTheme="minorBidi"/>
          <w:sz w:val="24"/>
          <w:szCs w:val="24"/>
        </w:rPr>
        <w:t>XR</w:t>
      </w:r>
      <w:r w:rsidRPr="000E7FE5">
        <w:rPr>
          <w:rFonts w:asciiTheme="minorBidi" w:eastAsia="Arial" w:hAnsiTheme="minorBidi"/>
          <w:sz w:val="24"/>
          <w:szCs w:val="24"/>
        </w:rPr>
        <w:t xml:space="preserve"> tablet of the reference </w:t>
      </w:r>
      <w:r w:rsidR="00DA2582">
        <w:rPr>
          <w:rFonts w:asciiTheme="minorBidi" w:eastAsia="Arial" w:hAnsiTheme="minorBidi"/>
          <w:sz w:val="24"/>
          <w:szCs w:val="24"/>
        </w:rPr>
        <w:t>alfuzosin</w:t>
      </w:r>
      <w:r w:rsidR="005308E2">
        <w:rPr>
          <w:rFonts w:asciiTheme="minorBidi" w:eastAsia="Arial" w:hAnsiTheme="minorBidi"/>
          <w:sz w:val="24"/>
          <w:szCs w:val="24"/>
        </w:rPr>
        <w:t>,</w:t>
      </w:r>
      <w:r w:rsidRPr="000E7FE5">
        <w:rPr>
          <w:rFonts w:asciiTheme="minorBidi" w:eastAsia="Arial" w:hAnsiTheme="minorBidi"/>
          <w:sz w:val="24"/>
          <w:szCs w:val="24"/>
        </w:rPr>
        <w:t xml:space="preserve"> and the test group received </w:t>
      </w:r>
      <w:r w:rsidR="005308E2">
        <w:rPr>
          <w:rFonts w:asciiTheme="minorBidi" w:eastAsia="Arial" w:hAnsiTheme="minorBidi"/>
          <w:sz w:val="24"/>
          <w:szCs w:val="24"/>
        </w:rPr>
        <w:t xml:space="preserve">a </w:t>
      </w:r>
      <w:r w:rsidRPr="000E7FE5">
        <w:rPr>
          <w:rFonts w:asciiTheme="minorBidi" w:eastAsia="Arial" w:hAnsiTheme="minorBidi"/>
          <w:sz w:val="24"/>
          <w:szCs w:val="24"/>
        </w:rPr>
        <w:t>10</w:t>
      </w:r>
      <w:r w:rsidR="00924DD8">
        <w:rPr>
          <w:rFonts w:asciiTheme="minorBidi" w:eastAsia="Arial" w:hAnsiTheme="minorBidi"/>
          <w:sz w:val="24"/>
          <w:szCs w:val="24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 xml:space="preserve">mg </w:t>
      </w:r>
      <w:r w:rsidR="00DA2582">
        <w:rPr>
          <w:rFonts w:asciiTheme="minorBidi" w:eastAsia="Arial" w:hAnsiTheme="minorBidi"/>
          <w:sz w:val="24"/>
          <w:szCs w:val="24"/>
        </w:rPr>
        <w:t>XR</w:t>
      </w:r>
      <w:r w:rsidRPr="000E7FE5">
        <w:rPr>
          <w:rFonts w:asciiTheme="minorBidi" w:eastAsia="Arial" w:hAnsiTheme="minorBidi"/>
          <w:sz w:val="24"/>
          <w:szCs w:val="24"/>
        </w:rPr>
        <w:t xml:space="preserve"> test tablet. </w:t>
      </w:r>
      <w:r w:rsidR="00C92B16" w:rsidRPr="000E7FE5">
        <w:rPr>
          <w:rFonts w:asciiTheme="minorBidi" w:eastAsia="Arial" w:hAnsiTheme="minorBidi"/>
          <w:sz w:val="24"/>
          <w:szCs w:val="24"/>
        </w:rPr>
        <w:t>Blood samples (8m</w:t>
      </w:r>
      <w:r w:rsidR="009A58EA">
        <w:rPr>
          <w:rFonts w:asciiTheme="minorBidi" w:eastAsia="Arial" w:hAnsiTheme="minorBidi"/>
          <w:sz w:val="24"/>
          <w:szCs w:val="24"/>
        </w:rPr>
        <w:t>L</w:t>
      </w:r>
      <w:r w:rsidR="00C92B16" w:rsidRPr="000E7FE5">
        <w:rPr>
          <w:rFonts w:asciiTheme="minorBidi" w:eastAsia="Arial" w:hAnsiTheme="minorBidi"/>
          <w:sz w:val="24"/>
          <w:szCs w:val="24"/>
        </w:rPr>
        <w:t>) were collected at 0.00 (</w:t>
      </w:r>
      <w:proofErr w:type="spellStart"/>
      <w:r w:rsidR="00C92B16" w:rsidRPr="000E7FE5">
        <w:rPr>
          <w:rFonts w:asciiTheme="minorBidi" w:eastAsia="Arial" w:hAnsiTheme="minorBidi"/>
          <w:sz w:val="24"/>
          <w:szCs w:val="24"/>
        </w:rPr>
        <w:t>predose</w:t>
      </w:r>
      <w:proofErr w:type="spellEnd"/>
      <w:r w:rsidR="00C92B16" w:rsidRPr="000E7FE5">
        <w:rPr>
          <w:rFonts w:asciiTheme="minorBidi" w:eastAsia="Arial" w:hAnsiTheme="minorBidi"/>
          <w:sz w:val="24"/>
          <w:szCs w:val="24"/>
        </w:rPr>
        <w:t xml:space="preserve">) and at 1.00, 2.00, 3.00, 4.00, 5.00, </w:t>
      </w:r>
      <w:r w:rsidR="00C92B16" w:rsidRPr="000E7FE5">
        <w:rPr>
          <w:rFonts w:asciiTheme="minorBidi" w:eastAsia="Arial" w:hAnsiTheme="minorBidi"/>
          <w:sz w:val="24"/>
          <w:szCs w:val="24"/>
        </w:rPr>
        <w:lastRenderedPageBreak/>
        <w:t>5.50, 6.00,</w:t>
      </w:r>
      <w:r w:rsidR="00DA2582">
        <w:rPr>
          <w:rFonts w:asciiTheme="minorBidi" w:eastAsia="Arial" w:hAnsiTheme="minorBidi"/>
          <w:sz w:val="24"/>
          <w:szCs w:val="24"/>
        </w:rPr>
        <w:t xml:space="preserve"> 6.50</w:t>
      </w:r>
      <w:r w:rsidR="00C92B16" w:rsidRPr="000E7FE5">
        <w:rPr>
          <w:rFonts w:asciiTheme="minorBidi" w:eastAsia="Arial" w:hAnsiTheme="minorBidi"/>
          <w:sz w:val="24"/>
          <w:szCs w:val="24"/>
        </w:rPr>
        <w:t xml:space="preserve"> 7.00,</w:t>
      </w:r>
      <w:r w:rsidR="00DA2582">
        <w:rPr>
          <w:rFonts w:asciiTheme="minorBidi" w:eastAsia="Arial" w:hAnsiTheme="minorBidi"/>
          <w:sz w:val="24"/>
          <w:szCs w:val="24"/>
        </w:rPr>
        <w:t xml:space="preserve"> 7.50,</w:t>
      </w:r>
      <w:r w:rsidR="00C92B16" w:rsidRPr="000E7FE5">
        <w:rPr>
          <w:rFonts w:asciiTheme="minorBidi" w:eastAsia="Arial" w:hAnsiTheme="minorBidi"/>
          <w:sz w:val="24"/>
          <w:szCs w:val="24"/>
        </w:rPr>
        <w:t xml:space="preserve"> 8.00,</w:t>
      </w:r>
      <w:r w:rsidR="00DA2582">
        <w:rPr>
          <w:rFonts w:asciiTheme="minorBidi" w:eastAsia="Arial" w:hAnsiTheme="minorBidi"/>
          <w:sz w:val="24"/>
          <w:szCs w:val="24"/>
        </w:rPr>
        <w:t xml:space="preserve"> 8.50, 9.00,</w:t>
      </w:r>
      <w:r w:rsidR="00C92B16" w:rsidRPr="000E7FE5">
        <w:rPr>
          <w:rFonts w:asciiTheme="minorBidi" w:eastAsia="Arial" w:hAnsiTheme="minorBidi"/>
          <w:sz w:val="24"/>
          <w:szCs w:val="24"/>
        </w:rPr>
        <w:t xml:space="preserve"> 10.00, </w:t>
      </w:r>
      <w:r w:rsidR="00DA2582">
        <w:rPr>
          <w:rFonts w:asciiTheme="minorBidi" w:eastAsia="Arial" w:hAnsiTheme="minorBidi"/>
          <w:sz w:val="24"/>
          <w:szCs w:val="24"/>
        </w:rPr>
        <w:t xml:space="preserve">11.00, </w:t>
      </w:r>
      <w:r w:rsidR="00C92B16" w:rsidRPr="000E7FE5">
        <w:rPr>
          <w:rFonts w:asciiTheme="minorBidi" w:eastAsia="Arial" w:hAnsiTheme="minorBidi"/>
          <w:sz w:val="24"/>
          <w:szCs w:val="24"/>
        </w:rPr>
        <w:t xml:space="preserve">12.00, </w:t>
      </w:r>
      <w:r w:rsidR="00DA2582">
        <w:rPr>
          <w:rFonts w:asciiTheme="minorBidi" w:eastAsia="Arial" w:hAnsiTheme="minorBidi"/>
          <w:sz w:val="24"/>
          <w:szCs w:val="24"/>
        </w:rPr>
        <w:t xml:space="preserve">14.00, </w:t>
      </w:r>
      <w:r w:rsidR="00C92B16" w:rsidRPr="000E7FE5">
        <w:rPr>
          <w:rFonts w:asciiTheme="minorBidi" w:eastAsia="Arial" w:hAnsiTheme="minorBidi"/>
          <w:sz w:val="24"/>
          <w:szCs w:val="24"/>
        </w:rPr>
        <w:t>16.00, 24.00</w:t>
      </w:r>
      <w:r w:rsidR="00DA2582">
        <w:rPr>
          <w:rFonts w:asciiTheme="minorBidi" w:eastAsia="Arial" w:hAnsiTheme="minorBidi"/>
          <w:sz w:val="24"/>
          <w:szCs w:val="24"/>
        </w:rPr>
        <w:t>, 36.00</w:t>
      </w:r>
      <w:r w:rsidR="00C92B16" w:rsidRPr="000E7FE5">
        <w:rPr>
          <w:rFonts w:asciiTheme="minorBidi" w:eastAsia="Arial" w:hAnsiTheme="minorBidi"/>
          <w:sz w:val="24"/>
          <w:szCs w:val="24"/>
        </w:rPr>
        <w:t xml:space="preserve"> and 48.00 hours post administration in lithium heparinized tubes, shaken </w:t>
      </w:r>
      <w:r w:rsidR="00A82100" w:rsidRPr="000E7FE5">
        <w:rPr>
          <w:rFonts w:asciiTheme="minorBidi" w:eastAsia="Arial" w:hAnsiTheme="minorBidi"/>
          <w:sz w:val="24"/>
          <w:szCs w:val="24"/>
        </w:rPr>
        <w:t>gently and</w:t>
      </w:r>
      <w:r w:rsidR="3ED6C735" w:rsidRPr="000E7FE5">
        <w:rPr>
          <w:rFonts w:asciiTheme="minorBidi" w:eastAsia="Arial" w:hAnsiTheme="minorBidi"/>
          <w:sz w:val="24"/>
          <w:szCs w:val="24"/>
        </w:rPr>
        <w:t xml:space="preserve"> centrifuged at 3500 </w:t>
      </w:r>
      <w:r w:rsidR="00C92B16" w:rsidRPr="000E7FE5">
        <w:rPr>
          <w:rFonts w:asciiTheme="minorBidi" w:eastAsia="Arial" w:hAnsiTheme="minorBidi"/>
          <w:sz w:val="24"/>
          <w:szCs w:val="24"/>
        </w:rPr>
        <w:t>RPM</w:t>
      </w:r>
      <w:r w:rsidR="3ED6C735" w:rsidRPr="000E7FE5">
        <w:rPr>
          <w:rFonts w:asciiTheme="minorBidi" w:eastAsia="Arial" w:hAnsiTheme="minorBidi"/>
          <w:sz w:val="24"/>
          <w:szCs w:val="24"/>
        </w:rPr>
        <w:t xml:space="preserve"> for 10 minutes. After centrifugation, plasma samples were transferred </w:t>
      </w:r>
      <w:r w:rsidR="009B018B" w:rsidRPr="000E7FE5">
        <w:rPr>
          <w:rFonts w:asciiTheme="minorBidi" w:eastAsia="Arial" w:hAnsiTheme="minorBidi"/>
          <w:sz w:val="24"/>
          <w:szCs w:val="24"/>
        </w:rPr>
        <w:t>into 5</w:t>
      </w:r>
      <w:r w:rsidR="005308E2">
        <w:rPr>
          <w:rFonts w:asciiTheme="minorBidi" w:eastAsia="Arial" w:hAnsiTheme="minorBidi"/>
          <w:sz w:val="24"/>
          <w:szCs w:val="24"/>
        </w:rPr>
        <w:t>-</w:t>
      </w:r>
      <w:r w:rsidR="3ED6C735" w:rsidRPr="000E7FE5">
        <w:rPr>
          <w:rFonts w:asciiTheme="minorBidi" w:eastAsia="Arial" w:hAnsiTheme="minorBidi"/>
          <w:sz w:val="24"/>
          <w:szCs w:val="24"/>
        </w:rPr>
        <w:t>m</w:t>
      </w:r>
      <w:r w:rsidR="009A58EA">
        <w:rPr>
          <w:rFonts w:asciiTheme="minorBidi" w:eastAsia="Arial" w:hAnsiTheme="minorBidi"/>
          <w:sz w:val="24"/>
          <w:szCs w:val="24"/>
        </w:rPr>
        <w:t xml:space="preserve">L </w:t>
      </w:r>
      <w:r w:rsidR="3ED6C735" w:rsidRPr="000E7FE5">
        <w:rPr>
          <w:rFonts w:asciiTheme="minorBidi" w:eastAsia="Arial" w:hAnsiTheme="minorBidi"/>
          <w:sz w:val="24"/>
          <w:szCs w:val="24"/>
        </w:rPr>
        <w:t>plastic tube</w:t>
      </w:r>
      <w:r w:rsidR="003B76B5" w:rsidRPr="000E7FE5">
        <w:rPr>
          <w:rFonts w:asciiTheme="minorBidi" w:eastAsia="Arial" w:hAnsiTheme="minorBidi"/>
          <w:sz w:val="24"/>
          <w:szCs w:val="24"/>
        </w:rPr>
        <w:t xml:space="preserve">s and stored at </w:t>
      </w:r>
      <w:r w:rsidR="009A58EA">
        <w:rPr>
          <w:rFonts w:asciiTheme="minorBidi" w:eastAsia="Arial" w:hAnsiTheme="minorBidi"/>
          <w:sz w:val="24"/>
          <w:szCs w:val="24"/>
        </w:rPr>
        <w:t>-</w:t>
      </w:r>
      <w:r w:rsidR="3ED6C735" w:rsidRPr="000E7FE5">
        <w:rPr>
          <w:rFonts w:asciiTheme="minorBidi" w:eastAsia="Arial" w:hAnsiTheme="minorBidi"/>
          <w:sz w:val="24"/>
          <w:szCs w:val="24"/>
        </w:rPr>
        <w:t>20°C</w:t>
      </w:r>
      <w:r w:rsidR="003B76B5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5308E2">
        <w:rPr>
          <w:rFonts w:asciiTheme="minorBidi" w:eastAsia="Arial" w:hAnsiTheme="minorBidi"/>
          <w:sz w:val="24"/>
          <w:szCs w:val="24"/>
        </w:rPr>
        <w:t>un</w:t>
      </w:r>
      <w:r w:rsidR="005308E2" w:rsidRPr="000E7FE5">
        <w:rPr>
          <w:rFonts w:asciiTheme="minorBidi" w:eastAsia="Arial" w:hAnsiTheme="minorBidi"/>
          <w:sz w:val="24"/>
          <w:szCs w:val="24"/>
        </w:rPr>
        <w:t>til</w:t>
      </w:r>
      <w:r w:rsidR="003B76B5" w:rsidRPr="000E7FE5">
        <w:rPr>
          <w:rFonts w:asciiTheme="minorBidi" w:eastAsia="Arial" w:hAnsiTheme="minorBidi"/>
          <w:sz w:val="24"/>
          <w:szCs w:val="24"/>
        </w:rPr>
        <w:t xml:space="preserve"> the time of analysis</w:t>
      </w:r>
      <w:r w:rsidR="3ED6C735" w:rsidRPr="000E7FE5">
        <w:rPr>
          <w:rFonts w:asciiTheme="minorBidi" w:eastAsia="Arial" w:hAnsiTheme="minorBidi"/>
          <w:sz w:val="24"/>
          <w:szCs w:val="24"/>
        </w:rPr>
        <w:t xml:space="preserve">. </w:t>
      </w:r>
      <w:r w:rsidR="009A58EA" w:rsidRPr="000E7FE5">
        <w:rPr>
          <w:rFonts w:asciiTheme="minorBidi" w:eastAsia="Arial" w:hAnsiTheme="minorBidi"/>
          <w:sz w:val="24"/>
          <w:szCs w:val="24"/>
        </w:rPr>
        <w:t>A</w:t>
      </w:r>
      <w:r w:rsidR="00513805">
        <w:rPr>
          <w:rFonts w:asciiTheme="minorBidi" w:eastAsia="Arial" w:hAnsiTheme="minorBidi"/>
          <w:sz w:val="24"/>
          <w:szCs w:val="24"/>
        </w:rPr>
        <w:t xml:space="preserve"> </w:t>
      </w:r>
      <w:r w:rsidR="00513805" w:rsidRPr="000E7FE5">
        <w:rPr>
          <w:rFonts w:asciiTheme="minorBidi" w:eastAsia="Arial" w:hAnsiTheme="minorBidi"/>
          <w:sz w:val="24"/>
          <w:szCs w:val="24"/>
        </w:rPr>
        <w:t>high-performance liquid chromatography</w:t>
      </w:r>
      <w:r w:rsidR="00513805">
        <w:rPr>
          <w:rFonts w:asciiTheme="minorBidi" w:eastAsia="Arial" w:hAnsiTheme="minorBidi"/>
          <w:sz w:val="24"/>
          <w:szCs w:val="24"/>
        </w:rPr>
        <w:t>-</w:t>
      </w:r>
      <w:r w:rsidR="00513805" w:rsidRPr="000E7FE5">
        <w:rPr>
          <w:rFonts w:asciiTheme="minorBidi" w:eastAsia="Arial" w:hAnsiTheme="minorBidi"/>
          <w:sz w:val="24"/>
          <w:szCs w:val="24"/>
        </w:rPr>
        <w:t xml:space="preserve">tandem mass spectrometry </w:t>
      </w:r>
      <w:r w:rsidR="003B76B5" w:rsidRPr="000E7FE5">
        <w:rPr>
          <w:rFonts w:asciiTheme="minorBidi" w:eastAsia="Arial" w:hAnsiTheme="minorBidi"/>
          <w:sz w:val="24"/>
          <w:szCs w:val="24"/>
        </w:rPr>
        <w:t>method (</w:t>
      </w:r>
      <w:r w:rsidR="00513805" w:rsidRPr="000E7FE5">
        <w:rPr>
          <w:rFonts w:asciiTheme="minorBidi" w:eastAsia="Arial" w:hAnsiTheme="minorBidi"/>
          <w:sz w:val="24"/>
          <w:szCs w:val="24"/>
        </w:rPr>
        <w:t>LC/MS/MS</w:t>
      </w:r>
      <w:r w:rsidR="003B76B5" w:rsidRPr="000E7FE5">
        <w:rPr>
          <w:rFonts w:asciiTheme="minorBidi" w:eastAsia="Arial" w:hAnsiTheme="minorBidi"/>
          <w:sz w:val="24"/>
          <w:szCs w:val="24"/>
        </w:rPr>
        <w:t xml:space="preserve">) was used to quantify </w:t>
      </w:r>
      <w:r w:rsidR="002A4B17">
        <w:rPr>
          <w:rFonts w:asciiTheme="minorBidi" w:eastAsia="Arial" w:hAnsiTheme="minorBidi"/>
          <w:sz w:val="24"/>
          <w:szCs w:val="24"/>
        </w:rPr>
        <w:t>alfuzosin</w:t>
      </w:r>
      <w:r w:rsidR="003B76B5" w:rsidRPr="000E7FE5">
        <w:rPr>
          <w:rFonts w:asciiTheme="minorBidi" w:eastAsia="Arial" w:hAnsiTheme="minorBidi"/>
          <w:sz w:val="24"/>
          <w:szCs w:val="24"/>
        </w:rPr>
        <w:t xml:space="preserve"> in plasma samples. </w:t>
      </w:r>
      <w:r w:rsidR="00513805">
        <w:rPr>
          <w:rFonts w:asciiTheme="minorBidi" w:eastAsia="Arial" w:hAnsiTheme="minorBidi"/>
          <w:sz w:val="24"/>
          <w:szCs w:val="24"/>
        </w:rPr>
        <w:t>The bioanalytical method was adapted from another published work</w:t>
      </w:r>
      <w:r w:rsidR="002814F4">
        <w:rPr>
          <w:rFonts w:asciiTheme="minorBidi" w:eastAsia="Arial" w:hAnsiTheme="minorBidi"/>
          <w:sz w:val="24"/>
          <w:szCs w:val="24"/>
        </w:rPr>
        <w:t xml:space="preserve"> [19]</w:t>
      </w:r>
      <w:r w:rsidR="00513805">
        <w:rPr>
          <w:rFonts w:asciiTheme="minorBidi" w:eastAsia="Arial" w:hAnsiTheme="minorBidi"/>
          <w:sz w:val="24"/>
          <w:szCs w:val="24"/>
        </w:rPr>
        <w:t xml:space="preserve"> and validated </w:t>
      </w:r>
      <w:r w:rsidR="003B76B5" w:rsidRPr="000E7FE5">
        <w:rPr>
          <w:rFonts w:asciiTheme="minorBidi" w:eastAsia="Arial" w:hAnsiTheme="minorBidi"/>
          <w:sz w:val="24"/>
          <w:szCs w:val="24"/>
        </w:rPr>
        <w:t xml:space="preserve">according to the ICH </w:t>
      </w:r>
      <w:proofErr w:type="gramStart"/>
      <w:r w:rsidR="003B76B5" w:rsidRPr="000E7FE5">
        <w:rPr>
          <w:rFonts w:asciiTheme="minorBidi" w:eastAsia="Arial" w:hAnsiTheme="minorBidi"/>
          <w:sz w:val="24"/>
          <w:szCs w:val="24"/>
        </w:rPr>
        <w:t>guidelines</w:t>
      </w:r>
      <w:r w:rsidR="008A4430">
        <w:rPr>
          <w:rFonts w:asciiTheme="minorBidi" w:eastAsia="Arial" w:hAnsiTheme="minorBidi"/>
          <w:sz w:val="24"/>
          <w:szCs w:val="24"/>
        </w:rPr>
        <w:t>[</w:t>
      </w:r>
      <w:proofErr w:type="gramEnd"/>
      <w:r w:rsidR="008A4430">
        <w:rPr>
          <w:rFonts w:asciiTheme="minorBidi" w:eastAsia="Arial" w:hAnsiTheme="minorBidi"/>
          <w:sz w:val="24"/>
          <w:szCs w:val="24"/>
        </w:rPr>
        <w:t>20]</w:t>
      </w:r>
      <w:r w:rsidR="003B76B5" w:rsidRPr="000E7FE5">
        <w:rPr>
          <w:rFonts w:asciiTheme="minorBidi" w:eastAsia="Arial" w:hAnsiTheme="minorBidi"/>
          <w:sz w:val="24"/>
          <w:szCs w:val="24"/>
        </w:rPr>
        <w:t xml:space="preserve">. </w:t>
      </w:r>
    </w:p>
    <w:p w14:paraId="5B99E2D6" w14:textId="3A5E41A5" w:rsidR="003B76B5" w:rsidRPr="000E7FE5" w:rsidRDefault="00513805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>
        <w:rPr>
          <w:rFonts w:asciiTheme="minorBidi" w:eastAsia="Arial" w:hAnsiTheme="minorBidi"/>
          <w:sz w:val="24"/>
          <w:szCs w:val="24"/>
        </w:rPr>
        <w:t>T</w:t>
      </w:r>
      <w:r w:rsidR="3ED6C735" w:rsidRPr="000E7FE5">
        <w:rPr>
          <w:rFonts w:asciiTheme="minorBidi" w:eastAsia="Arial" w:hAnsiTheme="minorBidi"/>
          <w:sz w:val="24"/>
          <w:szCs w:val="24"/>
        </w:rPr>
        <w:t xml:space="preserve">he pharmacokinetic parameters of </w:t>
      </w:r>
      <w:r w:rsidR="004F2EB1">
        <w:rPr>
          <w:rFonts w:asciiTheme="minorBidi" w:eastAsia="Arial" w:hAnsiTheme="minorBidi"/>
          <w:sz w:val="24"/>
          <w:szCs w:val="24"/>
        </w:rPr>
        <w:t>alfuzosin</w:t>
      </w:r>
      <w:r w:rsidR="3ED6C735" w:rsidRPr="000E7FE5">
        <w:rPr>
          <w:rFonts w:asciiTheme="minorBidi" w:eastAsia="Arial" w:hAnsiTheme="minorBidi"/>
          <w:sz w:val="24"/>
          <w:szCs w:val="24"/>
        </w:rPr>
        <w:t xml:space="preserve"> were estimated using </w:t>
      </w:r>
      <w:r w:rsidR="003B76B5" w:rsidRPr="000E7FE5">
        <w:rPr>
          <w:rFonts w:asciiTheme="minorBidi" w:eastAsia="Arial" w:hAnsiTheme="minorBidi"/>
          <w:sz w:val="24"/>
          <w:szCs w:val="24"/>
        </w:rPr>
        <w:t xml:space="preserve">a </w:t>
      </w:r>
      <w:r w:rsidR="3ED6C735" w:rsidRPr="000E7FE5">
        <w:rPr>
          <w:rFonts w:asciiTheme="minorBidi" w:eastAsia="Arial" w:hAnsiTheme="minorBidi"/>
          <w:sz w:val="24"/>
          <w:szCs w:val="24"/>
        </w:rPr>
        <w:t xml:space="preserve">standard non-compartmental </w:t>
      </w:r>
      <w:r w:rsidR="003B76B5" w:rsidRPr="000E7FE5">
        <w:rPr>
          <w:rFonts w:asciiTheme="minorBidi" w:eastAsia="Arial" w:hAnsiTheme="minorBidi"/>
          <w:sz w:val="24"/>
          <w:szCs w:val="24"/>
        </w:rPr>
        <w:t>model</w:t>
      </w:r>
      <w:r w:rsidR="3ED6C735" w:rsidRPr="000E7FE5">
        <w:rPr>
          <w:rFonts w:asciiTheme="minorBidi" w:eastAsia="Arial" w:hAnsiTheme="minorBidi"/>
          <w:sz w:val="24"/>
          <w:szCs w:val="24"/>
        </w:rPr>
        <w:t>. The maximal plasma concentration (</w:t>
      </w:r>
      <w:proofErr w:type="spellStart"/>
      <w:r w:rsidR="3ED6C735" w:rsidRPr="000E7FE5">
        <w:rPr>
          <w:rFonts w:asciiTheme="minorBidi" w:eastAsia="Arial" w:hAnsiTheme="minorBidi"/>
          <w:sz w:val="24"/>
          <w:szCs w:val="24"/>
        </w:rPr>
        <w:t>C</w:t>
      </w:r>
      <w:r w:rsidR="3ED6C735" w:rsidRPr="000E7FE5">
        <w:rPr>
          <w:rFonts w:asciiTheme="minorBidi" w:eastAsia="Arial" w:hAnsiTheme="minorBidi"/>
          <w:sz w:val="24"/>
          <w:szCs w:val="24"/>
          <w:vertAlign w:val="subscript"/>
        </w:rPr>
        <w:t>rnax</w:t>
      </w:r>
      <w:proofErr w:type="spellEnd"/>
      <w:r w:rsidR="3ED6C735" w:rsidRPr="000E7FE5">
        <w:rPr>
          <w:rFonts w:asciiTheme="minorBidi" w:eastAsia="Arial" w:hAnsiTheme="minorBidi"/>
          <w:sz w:val="24"/>
          <w:szCs w:val="24"/>
        </w:rPr>
        <w:t>) and the time to peak plasma concentration (</w:t>
      </w:r>
      <w:proofErr w:type="spellStart"/>
      <w:r w:rsidR="3ED6C735" w:rsidRPr="000E7FE5">
        <w:rPr>
          <w:rFonts w:asciiTheme="minorBidi" w:eastAsia="Arial" w:hAnsiTheme="minorBidi"/>
          <w:sz w:val="24"/>
          <w:szCs w:val="24"/>
        </w:rPr>
        <w:t>t</w:t>
      </w:r>
      <w:r w:rsidR="3ED6C735" w:rsidRPr="000E7FE5">
        <w:rPr>
          <w:rFonts w:asciiTheme="minorBidi" w:eastAsia="Arial" w:hAnsiTheme="minorBidi"/>
          <w:sz w:val="24"/>
          <w:szCs w:val="24"/>
          <w:vertAlign w:val="subscript"/>
        </w:rPr>
        <w:t>rnax</w:t>
      </w:r>
      <w:proofErr w:type="spellEnd"/>
      <w:r w:rsidR="3ED6C735" w:rsidRPr="000E7FE5">
        <w:rPr>
          <w:rFonts w:asciiTheme="minorBidi" w:eastAsia="Arial" w:hAnsiTheme="minorBidi"/>
          <w:sz w:val="24"/>
          <w:szCs w:val="24"/>
        </w:rPr>
        <w:t xml:space="preserve">) were </w:t>
      </w:r>
      <w:r w:rsidR="00677F94" w:rsidRPr="000E7FE5">
        <w:rPr>
          <w:rFonts w:asciiTheme="minorBidi" w:eastAsia="Arial" w:hAnsiTheme="minorBidi"/>
          <w:sz w:val="24"/>
          <w:szCs w:val="24"/>
        </w:rPr>
        <w:t>estimated</w:t>
      </w:r>
      <w:r w:rsidR="3ED6C735" w:rsidRPr="000E7FE5">
        <w:rPr>
          <w:rFonts w:asciiTheme="minorBidi" w:eastAsia="Arial" w:hAnsiTheme="minorBidi"/>
          <w:sz w:val="24"/>
          <w:szCs w:val="24"/>
        </w:rPr>
        <w:t xml:space="preserve"> directly from the measured data. The area under the plasma concentration-time curve (AUC</w:t>
      </w:r>
      <w:r w:rsidR="00677F94" w:rsidRPr="000E7FE5">
        <w:rPr>
          <w:rFonts w:asciiTheme="minorBidi" w:eastAsia="Arial" w:hAnsiTheme="minorBidi"/>
          <w:sz w:val="24"/>
          <w:szCs w:val="24"/>
          <w:vertAlign w:val="subscript"/>
        </w:rPr>
        <w:t>0→</w:t>
      </w:r>
      <w:r w:rsidR="004257BE" w:rsidRPr="000E7FE5">
        <w:rPr>
          <w:rFonts w:asciiTheme="minorBidi" w:eastAsia="Arial" w:hAnsiTheme="minorBidi"/>
          <w:sz w:val="24"/>
          <w:szCs w:val="24"/>
          <w:vertAlign w:val="subscript"/>
        </w:rPr>
        <w:t>t</w:t>
      </w:r>
      <w:r w:rsidR="00677F94" w:rsidRPr="000E7FE5">
        <w:rPr>
          <w:rFonts w:asciiTheme="minorBidi" w:eastAsia="Arial" w:hAnsiTheme="minorBidi"/>
          <w:sz w:val="24"/>
          <w:szCs w:val="24"/>
        </w:rPr>
        <w:t>)</w:t>
      </w:r>
      <w:r w:rsidR="3ED6C735" w:rsidRPr="000E7FE5">
        <w:rPr>
          <w:rFonts w:asciiTheme="minorBidi" w:eastAsia="Arial" w:hAnsiTheme="minorBidi"/>
          <w:sz w:val="24"/>
          <w:szCs w:val="24"/>
        </w:rPr>
        <w:t xml:space="preserve"> was calculated from measured data points </w:t>
      </w:r>
      <w:r w:rsidR="004257BE" w:rsidRPr="000E7FE5">
        <w:rPr>
          <w:rFonts w:asciiTheme="minorBidi" w:eastAsia="Arial" w:hAnsiTheme="minorBidi"/>
          <w:sz w:val="24"/>
          <w:szCs w:val="24"/>
        </w:rPr>
        <w:t>of the concentration-time profile</w:t>
      </w:r>
      <w:r w:rsidR="3ED6C735" w:rsidRPr="000E7FE5">
        <w:rPr>
          <w:rFonts w:asciiTheme="minorBidi" w:eastAsia="Arial" w:hAnsiTheme="minorBidi"/>
          <w:sz w:val="24"/>
          <w:szCs w:val="24"/>
        </w:rPr>
        <w:t xml:space="preserve"> to </w:t>
      </w:r>
      <w:r w:rsidR="004257BE" w:rsidRPr="000E7FE5">
        <w:rPr>
          <w:rFonts w:asciiTheme="minorBidi" w:eastAsia="Arial" w:hAnsiTheme="minorBidi"/>
          <w:sz w:val="24"/>
          <w:szCs w:val="24"/>
        </w:rPr>
        <w:t xml:space="preserve">the </w:t>
      </w:r>
      <w:r w:rsidR="3ED6C735" w:rsidRPr="000E7FE5">
        <w:rPr>
          <w:rFonts w:asciiTheme="minorBidi" w:eastAsia="Arial" w:hAnsiTheme="minorBidi"/>
          <w:sz w:val="24"/>
          <w:szCs w:val="24"/>
        </w:rPr>
        <w:t>time of last quantifiable concentration (C</w:t>
      </w:r>
      <w:r w:rsidR="3ED6C735" w:rsidRPr="000E7FE5">
        <w:rPr>
          <w:rFonts w:asciiTheme="minorBidi" w:eastAsia="Arial" w:hAnsiTheme="minorBidi"/>
          <w:sz w:val="24"/>
          <w:szCs w:val="24"/>
          <w:vertAlign w:val="subscript"/>
        </w:rPr>
        <w:t>last</w:t>
      </w:r>
      <w:r w:rsidR="3ED6C735" w:rsidRPr="000E7FE5">
        <w:rPr>
          <w:rFonts w:asciiTheme="minorBidi" w:eastAsia="Arial" w:hAnsiTheme="minorBidi"/>
          <w:sz w:val="24"/>
          <w:szCs w:val="24"/>
        </w:rPr>
        <w:t>) by the linear trapezoidal rule. The area under the plasma concentration-time curve extrapolated to infinity (AUC</w:t>
      </w:r>
      <w:r w:rsidR="004257BE" w:rsidRPr="000E7FE5">
        <w:rPr>
          <w:rFonts w:asciiTheme="minorBidi" w:eastAsia="Arial" w:hAnsiTheme="minorBidi"/>
          <w:sz w:val="24"/>
          <w:szCs w:val="24"/>
          <w:vertAlign w:val="subscript"/>
        </w:rPr>
        <w:t>0→∞</w:t>
      </w:r>
      <w:r w:rsidR="3ED6C735" w:rsidRPr="000E7FE5">
        <w:rPr>
          <w:rFonts w:asciiTheme="minorBidi" w:eastAsia="Arial" w:hAnsiTheme="minorBidi"/>
          <w:sz w:val="24"/>
          <w:szCs w:val="24"/>
        </w:rPr>
        <w:t>) was calculated according to the following formula:</w:t>
      </w:r>
    </w:p>
    <w:p w14:paraId="4C610CB8" w14:textId="2E1DE573" w:rsidR="004257BE" w:rsidRPr="000E7FE5" w:rsidRDefault="3ED6C735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>AUC</w:t>
      </w:r>
      <w:r w:rsidR="004257BE"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0→∞ </w:t>
      </w:r>
      <w:r w:rsidRPr="000E7FE5">
        <w:rPr>
          <w:rFonts w:asciiTheme="minorBidi" w:eastAsia="Arial" w:hAnsiTheme="minorBidi"/>
          <w:sz w:val="24"/>
          <w:szCs w:val="24"/>
        </w:rPr>
        <w:t>= AUC</w:t>
      </w:r>
      <w:r w:rsidR="004257BE" w:rsidRPr="000E7FE5">
        <w:rPr>
          <w:rFonts w:asciiTheme="minorBidi" w:eastAsia="Arial" w:hAnsiTheme="minorBidi"/>
          <w:sz w:val="24"/>
          <w:szCs w:val="24"/>
          <w:vertAlign w:val="subscript"/>
        </w:rPr>
        <w:t>0→t</w:t>
      </w:r>
      <w:r w:rsidR="00FE2A45"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 xml:space="preserve">+ </w:t>
      </w:r>
      <w:r w:rsidR="004257BE" w:rsidRPr="000E7FE5">
        <w:rPr>
          <w:rFonts w:asciiTheme="minorBidi" w:eastAsia="Arial" w:hAnsiTheme="minorBidi"/>
          <w:sz w:val="24"/>
          <w:szCs w:val="24"/>
        </w:rPr>
        <w:t>C</w:t>
      </w:r>
      <w:r w:rsidR="004257BE" w:rsidRPr="000E7FE5">
        <w:rPr>
          <w:rFonts w:asciiTheme="minorBidi" w:eastAsia="Arial" w:hAnsiTheme="minorBidi"/>
          <w:sz w:val="24"/>
          <w:szCs w:val="24"/>
          <w:vertAlign w:val="subscript"/>
        </w:rPr>
        <w:t>last</w:t>
      </w:r>
      <w:proofErr w:type="gramStart"/>
      <w:r w:rsidR="004257BE" w:rsidRPr="000E7FE5">
        <w:rPr>
          <w:rFonts w:asciiTheme="minorBidi" w:eastAsia="Arial" w:hAnsiTheme="minorBidi"/>
          <w:sz w:val="24"/>
          <w:szCs w:val="24"/>
        </w:rPr>
        <w:t>/[</w:t>
      </w:r>
      <w:proofErr w:type="gramEnd"/>
      <w:r w:rsidR="004257BE" w:rsidRPr="000E7FE5">
        <w:rPr>
          <w:rFonts w:asciiTheme="minorBidi" w:eastAsia="Arial" w:hAnsiTheme="minorBidi"/>
          <w:sz w:val="24"/>
          <w:szCs w:val="24"/>
        </w:rPr>
        <w:t>0.693/t</w:t>
      </w:r>
      <w:r w:rsidR="004257BE"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1/2el </w:t>
      </w:r>
      <w:r w:rsidR="004257BE" w:rsidRPr="000E7FE5">
        <w:rPr>
          <w:rFonts w:asciiTheme="minorBidi" w:eastAsia="Arial" w:hAnsiTheme="minorBidi"/>
          <w:sz w:val="24"/>
          <w:szCs w:val="24"/>
        </w:rPr>
        <w:t>]</w:t>
      </w:r>
    </w:p>
    <w:p w14:paraId="023F2C5F" w14:textId="4C95FA39" w:rsidR="004257BE" w:rsidRPr="000E7FE5" w:rsidRDefault="3ED6C735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 xml:space="preserve">where </w:t>
      </w:r>
      <w:r w:rsidR="004257BE" w:rsidRPr="000E7FE5">
        <w:rPr>
          <w:rFonts w:asciiTheme="minorBidi" w:eastAsia="Arial" w:hAnsiTheme="minorBidi"/>
          <w:sz w:val="24"/>
          <w:szCs w:val="24"/>
        </w:rPr>
        <w:t>C</w:t>
      </w:r>
      <w:r w:rsidR="004257BE" w:rsidRPr="000E7FE5">
        <w:rPr>
          <w:rFonts w:asciiTheme="minorBidi" w:eastAsia="Arial" w:hAnsiTheme="minorBidi"/>
          <w:sz w:val="24"/>
          <w:szCs w:val="24"/>
          <w:vertAlign w:val="subscript"/>
        </w:rPr>
        <w:t>last</w:t>
      </w:r>
      <w:r w:rsidR="004257BE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>is the last quantifiable concentration. The elimination half-life (</w:t>
      </w:r>
      <w:r w:rsidR="004257BE" w:rsidRPr="000E7FE5">
        <w:rPr>
          <w:rFonts w:asciiTheme="minorBidi" w:eastAsia="Arial" w:hAnsiTheme="minorBidi"/>
          <w:sz w:val="24"/>
          <w:szCs w:val="24"/>
        </w:rPr>
        <w:t>t</w:t>
      </w:r>
      <w:r w:rsidR="004257BE" w:rsidRPr="000E7FE5">
        <w:rPr>
          <w:rFonts w:asciiTheme="minorBidi" w:eastAsia="Arial" w:hAnsiTheme="minorBidi"/>
          <w:sz w:val="24"/>
          <w:szCs w:val="24"/>
          <w:vertAlign w:val="subscript"/>
        </w:rPr>
        <w:t>1/2el</w:t>
      </w:r>
      <w:r w:rsidRPr="000E7FE5">
        <w:rPr>
          <w:rFonts w:asciiTheme="minorBidi" w:eastAsia="Arial" w:hAnsiTheme="minorBidi"/>
          <w:sz w:val="24"/>
          <w:szCs w:val="24"/>
        </w:rPr>
        <w:t xml:space="preserve">) was calculated as: </w:t>
      </w:r>
    </w:p>
    <w:p w14:paraId="30AD4204" w14:textId="5CA8C870" w:rsidR="004257BE" w:rsidRPr="000E7FE5" w:rsidRDefault="004257BE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>t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1/2el </w:t>
      </w:r>
      <w:r w:rsidRPr="000E7FE5">
        <w:rPr>
          <w:rFonts w:asciiTheme="minorBidi" w:eastAsia="Arial" w:hAnsiTheme="minorBidi"/>
          <w:sz w:val="24"/>
          <w:szCs w:val="24"/>
        </w:rPr>
        <w:t>= 0.693/</w:t>
      </w:r>
      <w:proofErr w:type="spellStart"/>
      <w:r w:rsidRPr="000E7FE5">
        <w:rPr>
          <w:rFonts w:asciiTheme="minorBidi" w:eastAsia="Arial" w:hAnsiTheme="minorBidi"/>
          <w:sz w:val="24"/>
          <w:szCs w:val="24"/>
        </w:rPr>
        <w:t>K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>el</w:t>
      </w:r>
      <w:proofErr w:type="spellEnd"/>
    </w:p>
    <w:p w14:paraId="6F82D057" w14:textId="1AE3613F" w:rsidR="3ED6C735" w:rsidRPr="000E7FE5" w:rsidRDefault="3ED6C735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 xml:space="preserve">where </w:t>
      </w:r>
      <w:proofErr w:type="spellStart"/>
      <w:r w:rsidR="00076305" w:rsidRPr="000E7FE5">
        <w:rPr>
          <w:rFonts w:asciiTheme="minorBidi" w:eastAsia="Arial" w:hAnsiTheme="minorBidi"/>
          <w:sz w:val="24"/>
          <w:szCs w:val="24"/>
        </w:rPr>
        <w:t>K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>el</w:t>
      </w:r>
      <w:proofErr w:type="spellEnd"/>
      <w:r w:rsidR="00076305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4257BE" w:rsidRPr="000E7FE5">
        <w:rPr>
          <w:rFonts w:asciiTheme="minorBidi" w:eastAsia="Arial" w:hAnsiTheme="minorBidi"/>
          <w:sz w:val="24"/>
          <w:szCs w:val="24"/>
        </w:rPr>
        <w:t>(the first</w:t>
      </w:r>
      <w:r w:rsidR="00513805">
        <w:rPr>
          <w:rFonts w:asciiTheme="minorBidi" w:eastAsia="Arial" w:hAnsiTheme="minorBidi"/>
          <w:sz w:val="24"/>
          <w:szCs w:val="24"/>
        </w:rPr>
        <w:t>-</w:t>
      </w:r>
      <w:r w:rsidR="004257BE" w:rsidRPr="000E7FE5">
        <w:rPr>
          <w:rFonts w:asciiTheme="minorBidi" w:eastAsia="Arial" w:hAnsiTheme="minorBidi"/>
          <w:sz w:val="24"/>
          <w:szCs w:val="24"/>
        </w:rPr>
        <w:t>order elimination rate constant)</w:t>
      </w:r>
      <w:r w:rsidRPr="000E7FE5">
        <w:rPr>
          <w:rFonts w:asciiTheme="minorBidi" w:eastAsia="Arial" w:hAnsiTheme="minorBidi"/>
          <w:sz w:val="24"/>
          <w:szCs w:val="24"/>
        </w:rPr>
        <w:t xml:space="preserve"> was obtained as the slope of the linear regression of the Ln</w:t>
      </w:r>
      <w:r w:rsidR="003B76B5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 xml:space="preserve">transformed plasma concentrations versus time in the </w:t>
      </w:r>
      <w:r w:rsidRPr="000E7FE5">
        <w:rPr>
          <w:rFonts w:asciiTheme="minorBidi" w:eastAsia="Arial" w:hAnsiTheme="minorBidi"/>
          <w:sz w:val="24"/>
          <w:szCs w:val="24"/>
        </w:rPr>
        <w:lastRenderedPageBreak/>
        <w:t xml:space="preserve">terminal </w:t>
      </w:r>
      <w:r w:rsidR="00924DD8" w:rsidRPr="000E7FE5">
        <w:rPr>
          <w:rFonts w:asciiTheme="minorBidi" w:eastAsia="Arial" w:hAnsiTheme="minorBidi"/>
          <w:sz w:val="24"/>
          <w:szCs w:val="24"/>
        </w:rPr>
        <w:t>p</w:t>
      </w:r>
      <w:r w:rsidRPr="000E7FE5">
        <w:rPr>
          <w:rFonts w:asciiTheme="minorBidi" w:eastAsia="Arial" w:hAnsiTheme="minorBidi"/>
          <w:sz w:val="24"/>
          <w:szCs w:val="24"/>
        </w:rPr>
        <w:t>eriod of the plasma curve. The pharmacokinetic calculations were performed using the Kinetic 2000</w:t>
      </w:r>
      <w:r w:rsidR="00513805" w:rsidRPr="00513805">
        <w:rPr>
          <w:rFonts w:asciiTheme="minorBidi" w:eastAsia="Arial" w:hAnsiTheme="minorBidi"/>
          <w:sz w:val="24"/>
          <w:szCs w:val="24"/>
        </w:rPr>
        <w:t xml:space="preserve"> </w:t>
      </w:r>
      <w:r w:rsidR="00513805" w:rsidRPr="000E7FE5">
        <w:rPr>
          <w:rFonts w:asciiTheme="minorBidi" w:eastAsia="Arial" w:hAnsiTheme="minorBidi"/>
          <w:sz w:val="24"/>
          <w:szCs w:val="24"/>
        </w:rPr>
        <w:t>computer program</w:t>
      </w:r>
      <w:r w:rsidRPr="000E7FE5">
        <w:rPr>
          <w:rFonts w:asciiTheme="minorBidi" w:eastAsia="Arial" w:hAnsiTheme="minorBidi"/>
          <w:sz w:val="24"/>
          <w:szCs w:val="24"/>
        </w:rPr>
        <w:t xml:space="preserve">. </w:t>
      </w:r>
    </w:p>
    <w:p w14:paraId="79110B3C" w14:textId="44B4AF45" w:rsidR="00423760" w:rsidRPr="000E7FE5" w:rsidRDefault="00513805" w:rsidP="00A307B4">
      <w:pPr>
        <w:autoSpaceDE w:val="0"/>
        <w:autoSpaceDN w:val="0"/>
        <w:adjustRightInd w:val="0"/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>
        <w:rPr>
          <w:rFonts w:asciiTheme="minorBidi" w:eastAsia="Arial" w:hAnsiTheme="minorBidi"/>
          <w:sz w:val="24"/>
          <w:szCs w:val="24"/>
        </w:rPr>
        <w:t>Finally, a</w:t>
      </w:r>
      <w:r w:rsidR="3ED6C735" w:rsidRPr="000E7FE5">
        <w:rPr>
          <w:rFonts w:asciiTheme="minorBidi" w:eastAsia="Arial" w:hAnsiTheme="minorBidi"/>
          <w:sz w:val="24"/>
          <w:szCs w:val="24"/>
        </w:rPr>
        <w:t xml:space="preserve">n analysis of variance (ANOVA) </w:t>
      </w:r>
      <w:r w:rsidR="00FE2A45" w:rsidRPr="000E7FE5">
        <w:rPr>
          <w:rFonts w:asciiTheme="minorBidi" w:eastAsia="Arial" w:hAnsiTheme="minorBidi"/>
          <w:sz w:val="24"/>
          <w:szCs w:val="24"/>
        </w:rPr>
        <w:t xml:space="preserve">was applied </w:t>
      </w:r>
      <w:r>
        <w:rPr>
          <w:rFonts w:asciiTheme="minorBidi" w:eastAsia="Arial" w:hAnsiTheme="minorBidi"/>
          <w:sz w:val="24"/>
          <w:szCs w:val="24"/>
        </w:rPr>
        <w:t>to</w:t>
      </w:r>
      <w:r w:rsidR="00FE2A45" w:rsidRPr="000E7FE5">
        <w:rPr>
          <w:rFonts w:asciiTheme="minorBidi" w:eastAsia="Arial" w:hAnsiTheme="minorBidi"/>
          <w:sz w:val="24"/>
          <w:szCs w:val="24"/>
        </w:rPr>
        <w:t xml:space="preserve"> the results of AUC</w:t>
      </w:r>
      <w:r w:rsidR="00FE2A45" w:rsidRPr="000E7FE5">
        <w:rPr>
          <w:rFonts w:asciiTheme="minorBidi" w:eastAsia="Arial" w:hAnsiTheme="minorBidi"/>
          <w:sz w:val="24"/>
          <w:szCs w:val="24"/>
          <w:vertAlign w:val="subscript"/>
        </w:rPr>
        <w:t>0→∞</w:t>
      </w:r>
      <w:r w:rsidR="00FE2A45" w:rsidRPr="000E7FE5">
        <w:rPr>
          <w:rFonts w:asciiTheme="minorBidi" w:eastAsia="Arial" w:hAnsiTheme="minorBidi"/>
          <w:sz w:val="24"/>
          <w:szCs w:val="24"/>
        </w:rPr>
        <w:t>,</w:t>
      </w:r>
      <w:r w:rsidR="00FE2A45"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="00FE2A45" w:rsidRPr="000E7FE5">
        <w:rPr>
          <w:rFonts w:asciiTheme="minorBidi" w:eastAsia="Arial" w:hAnsiTheme="minorBidi"/>
          <w:sz w:val="24"/>
          <w:szCs w:val="24"/>
        </w:rPr>
        <w:t>AUC</w:t>
      </w:r>
      <w:r w:rsidR="00FE2A45" w:rsidRPr="000E7FE5">
        <w:rPr>
          <w:rFonts w:asciiTheme="minorBidi" w:eastAsia="Arial" w:hAnsiTheme="minorBidi"/>
          <w:sz w:val="24"/>
          <w:szCs w:val="24"/>
          <w:vertAlign w:val="subscript"/>
        </w:rPr>
        <w:t>0→t</w:t>
      </w:r>
      <w:r w:rsidR="00FE2A45" w:rsidRPr="000E7FE5">
        <w:rPr>
          <w:rFonts w:asciiTheme="minorBidi" w:eastAsia="Arial" w:hAnsiTheme="minorBidi"/>
          <w:sz w:val="24"/>
          <w:szCs w:val="24"/>
        </w:rPr>
        <w:t>,</w:t>
      </w:r>
      <w:r w:rsidR="00FE2A45"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proofErr w:type="spellStart"/>
      <w:r w:rsidR="00FE2A45" w:rsidRPr="000E7FE5">
        <w:rPr>
          <w:rFonts w:asciiTheme="minorBidi" w:eastAsia="Arial" w:hAnsiTheme="minorBidi"/>
          <w:sz w:val="24"/>
          <w:szCs w:val="24"/>
        </w:rPr>
        <w:t>C</w:t>
      </w:r>
      <w:r w:rsidR="00FE2A45" w:rsidRPr="000E7FE5">
        <w:rPr>
          <w:rFonts w:asciiTheme="minorBidi" w:eastAsia="Arial" w:hAnsiTheme="minorBidi"/>
          <w:sz w:val="24"/>
          <w:szCs w:val="24"/>
          <w:vertAlign w:val="subscript"/>
        </w:rPr>
        <w:t>rnax</w:t>
      </w:r>
      <w:proofErr w:type="spellEnd"/>
      <w:r w:rsidR="00076305" w:rsidRPr="000E7FE5">
        <w:rPr>
          <w:rFonts w:asciiTheme="minorBidi" w:eastAsia="Arial" w:hAnsiTheme="minorBidi"/>
          <w:sz w:val="24"/>
          <w:szCs w:val="24"/>
        </w:rPr>
        <w:t xml:space="preserve">, </w:t>
      </w:r>
      <w:proofErr w:type="spellStart"/>
      <w:r w:rsidR="00076305" w:rsidRPr="000E7FE5">
        <w:rPr>
          <w:rFonts w:asciiTheme="minorBidi" w:eastAsia="Arial" w:hAnsiTheme="minorBidi"/>
          <w:sz w:val="24"/>
          <w:szCs w:val="24"/>
        </w:rPr>
        <w:t>t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>rnax</w:t>
      </w:r>
      <w:proofErr w:type="spellEnd"/>
      <w:r w:rsidR="00076305" w:rsidRPr="000E7FE5">
        <w:rPr>
          <w:rFonts w:asciiTheme="minorBidi" w:eastAsia="Arial" w:hAnsiTheme="minorBidi"/>
          <w:sz w:val="24"/>
          <w:szCs w:val="24"/>
        </w:rPr>
        <w:t>,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="00076305" w:rsidRPr="000E7FE5">
        <w:rPr>
          <w:rFonts w:asciiTheme="minorBidi" w:eastAsia="Arial" w:hAnsiTheme="minorBidi"/>
          <w:sz w:val="24"/>
          <w:szCs w:val="24"/>
        </w:rPr>
        <w:t>t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>1/2el</w:t>
      </w:r>
      <w:r w:rsidR="00076305" w:rsidRPr="000E7FE5">
        <w:rPr>
          <w:rFonts w:asciiTheme="minorBidi" w:eastAsia="Arial" w:hAnsiTheme="minorBidi"/>
          <w:sz w:val="24"/>
          <w:szCs w:val="24"/>
        </w:rPr>
        <w:t>,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proofErr w:type="spellStart"/>
      <w:r w:rsidR="00076305" w:rsidRPr="000E7FE5">
        <w:rPr>
          <w:rFonts w:asciiTheme="minorBidi" w:eastAsia="Arial" w:hAnsiTheme="minorBidi"/>
          <w:sz w:val="24"/>
          <w:szCs w:val="24"/>
        </w:rPr>
        <w:t>K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>el</w:t>
      </w:r>
      <w:proofErr w:type="spellEnd"/>
      <w:r w:rsidR="00076305" w:rsidRPr="000E7FE5">
        <w:rPr>
          <w:rFonts w:asciiTheme="minorBidi" w:eastAsia="Arial" w:hAnsiTheme="minorBidi"/>
          <w:sz w:val="24"/>
          <w:szCs w:val="24"/>
        </w:rPr>
        <w:t>, Ln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proofErr w:type="spellStart"/>
      <w:r w:rsidR="00076305" w:rsidRPr="000E7FE5">
        <w:rPr>
          <w:rFonts w:asciiTheme="minorBidi" w:eastAsia="Arial" w:hAnsiTheme="minorBidi"/>
          <w:sz w:val="24"/>
          <w:szCs w:val="24"/>
        </w:rPr>
        <w:t>C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>rnax</w:t>
      </w:r>
      <w:proofErr w:type="spellEnd"/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="00076305" w:rsidRPr="000E7FE5">
        <w:rPr>
          <w:rFonts w:asciiTheme="minorBidi" w:eastAsia="Arial" w:hAnsiTheme="minorBidi"/>
          <w:sz w:val="24"/>
          <w:szCs w:val="24"/>
        </w:rPr>
        <w:t>and Ln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="00076305" w:rsidRPr="000E7FE5">
        <w:rPr>
          <w:rFonts w:asciiTheme="minorBidi" w:eastAsia="Arial" w:hAnsiTheme="minorBidi"/>
          <w:sz w:val="24"/>
          <w:szCs w:val="24"/>
        </w:rPr>
        <w:t>AUC</w:t>
      </w:r>
      <w:r w:rsidR="00076305" w:rsidRPr="000E7FE5">
        <w:rPr>
          <w:rFonts w:asciiTheme="minorBidi" w:eastAsia="Arial" w:hAnsiTheme="minorBidi"/>
          <w:sz w:val="24"/>
          <w:szCs w:val="24"/>
          <w:vertAlign w:val="subscript"/>
        </w:rPr>
        <w:t>0→t</w:t>
      </w:r>
      <w:r w:rsidR="00076305" w:rsidRPr="000E7FE5">
        <w:rPr>
          <w:rFonts w:asciiTheme="minorBidi" w:eastAsia="Arial" w:hAnsiTheme="minorBidi"/>
          <w:sz w:val="24"/>
          <w:szCs w:val="24"/>
        </w:rPr>
        <w:t xml:space="preserve"> to test the effect of </w:t>
      </w:r>
      <w:r w:rsidR="00AD352F" w:rsidRPr="000E7FE5">
        <w:rPr>
          <w:rFonts w:asciiTheme="minorBidi" w:eastAsia="Arial" w:hAnsiTheme="minorBidi"/>
          <w:sz w:val="24"/>
          <w:szCs w:val="24"/>
        </w:rPr>
        <w:t xml:space="preserve">the period, subject (sequence) and treatment on the readings. </w:t>
      </w:r>
    </w:p>
    <w:p w14:paraId="0FC77FB1" w14:textId="39C6C61D" w:rsidR="3ED6C735" w:rsidRPr="0042588E" w:rsidRDefault="3ED6C735" w:rsidP="00A307B4">
      <w:pPr>
        <w:spacing w:after="240" w:line="480" w:lineRule="auto"/>
        <w:jc w:val="both"/>
        <w:rPr>
          <w:rFonts w:asciiTheme="minorBidi" w:eastAsia="Arial" w:hAnsiTheme="minorBidi"/>
          <w:b/>
          <w:sz w:val="24"/>
          <w:szCs w:val="24"/>
        </w:rPr>
      </w:pPr>
      <w:r w:rsidRPr="0042588E">
        <w:rPr>
          <w:rFonts w:asciiTheme="minorBidi" w:eastAsia="Arial" w:hAnsiTheme="minorBidi"/>
          <w:b/>
          <w:sz w:val="24"/>
          <w:szCs w:val="24"/>
        </w:rPr>
        <w:t>Results</w:t>
      </w:r>
    </w:p>
    <w:p w14:paraId="111A5C5D" w14:textId="1254FF69" w:rsidR="3ED6C735" w:rsidRDefault="00196698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>
        <w:rPr>
          <w:rFonts w:asciiTheme="minorBidi" w:eastAsia="Arial" w:hAnsiTheme="minorBidi"/>
          <w:sz w:val="24"/>
          <w:szCs w:val="24"/>
        </w:rPr>
        <w:t>Fifty-eight</w:t>
      </w:r>
      <w:r w:rsidR="00DB295F">
        <w:rPr>
          <w:rFonts w:asciiTheme="minorBidi" w:eastAsia="Arial" w:hAnsiTheme="minorBidi"/>
          <w:sz w:val="24"/>
          <w:szCs w:val="24"/>
        </w:rPr>
        <w:t xml:space="preserve"> volunteers were screened, </w:t>
      </w:r>
      <w:r w:rsidR="00513805">
        <w:rPr>
          <w:rFonts w:asciiTheme="minorBidi" w:eastAsia="Arial" w:hAnsiTheme="minorBidi"/>
          <w:sz w:val="24"/>
          <w:szCs w:val="24"/>
        </w:rPr>
        <w:t xml:space="preserve">of whom </w:t>
      </w:r>
      <w:r w:rsidR="00A36EEF">
        <w:rPr>
          <w:rFonts w:asciiTheme="minorBidi" w:eastAsia="Arial" w:hAnsiTheme="minorBidi"/>
          <w:sz w:val="24"/>
          <w:szCs w:val="24"/>
        </w:rPr>
        <w:t>34</w:t>
      </w:r>
      <w:r w:rsidR="00DB295F">
        <w:rPr>
          <w:rFonts w:asciiTheme="minorBidi" w:eastAsia="Arial" w:hAnsiTheme="minorBidi"/>
          <w:sz w:val="24"/>
          <w:szCs w:val="24"/>
        </w:rPr>
        <w:t xml:space="preserve"> </w:t>
      </w:r>
      <w:r w:rsidR="00553045">
        <w:rPr>
          <w:rFonts w:asciiTheme="minorBidi" w:eastAsia="Arial" w:hAnsiTheme="minorBidi"/>
          <w:sz w:val="24"/>
          <w:szCs w:val="24"/>
        </w:rPr>
        <w:t xml:space="preserve">met the inclusion criteria. At a later stage, and before commencing the clinical study, </w:t>
      </w:r>
      <w:r w:rsidR="00924DD8">
        <w:rPr>
          <w:rFonts w:asciiTheme="minorBidi" w:eastAsia="Arial" w:hAnsiTheme="minorBidi"/>
          <w:sz w:val="24"/>
          <w:szCs w:val="24"/>
        </w:rPr>
        <w:t xml:space="preserve">one </w:t>
      </w:r>
      <w:r w:rsidR="00553045">
        <w:rPr>
          <w:rFonts w:asciiTheme="minorBidi" w:eastAsia="Arial" w:hAnsiTheme="minorBidi"/>
          <w:sz w:val="24"/>
          <w:szCs w:val="24"/>
        </w:rPr>
        <w:t>patient decided to withdraw from the trial</w:t>
      </w:r>
      <w:r w:rsidR="00DB295F">
        <w:rPr>
          <w:rFonts w:asciiTheme="minorBidi" w:eastAsia="Arial" w:hAnsiTheme="minorBidi"/>
          <w:sz w:val="24"/>
          <w:szCs w:val="24"/>
        </w:rPr>
        <w:t xml:space="preserve">. </w:t>
      </w:r>
      <w:r w:rsidR="00326D54" w:rsidRPr="000E7FE5">
        <w:rPr>
          <w:rFonts w:asciiTheme="minorBidi" w:eastAsia="Arial" w:hAnsiTheme="minorBidi"/>
          <w:sz w:val="24"/>
          <w:szCs w:val="24"/>
        </w:rPr>
        <w:t>For pharmacokinetic evaluations</w:t>
      </w:r>
      <w:r w:rsidR="00513805">
        <w:rPr>
          <w:rFonts w:asciiTheme="minorBidi" w:eastAsia="Arial" w:hAnsiTheme="minorBidi"/>
          <w:sz w:val="24"/>
          <w:szCs w:val="24"/>
        </w:rPr>
        <w:t>,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data from the </w:t>
      </w:r>
      <w:r w:rsidR="00A36EEF">
        <w:rPr>
          <w:rFonts w:asciiTheme="minorBidi" w:eastAsia="Arial" w:hAnsiTheme="minorBidi"/>
          <w:sz w:val="24"/>
          <w:szCs w:val="24"/>
        </w:rPr>
        <w:t>33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subjects who completed the crossover were included in the </w:t>
      </w:r>
      <w:r w:rsidR="00924DD8">
        <w:rPr>
          <w:rFonts w:asciiTheme="minorBidi" w:eastAsia="Arial" w:hAnsiTheme="minorBidi"/>
          <w:sz w:val="24"/>
          <w:szCs w:val="24"/>
        </w:rPr>
        <w:t>analysis</w:t>
      </w:r>
      <w:r w:rsidR="007A5D64">
        <w:rPr>
          <w:rFonts w:asciiTheme="minorBidi" w:eastAsia="Arial" w:hAnsiTheme="minorBidi"/>
          <w:sz w:val="24"/>
          <w:szCs w:val="24"/>
        </w:rPr>
        <w:t>.</w:t>
      </w:r>
      <w:r w:rsidR="007A5D64" w:rsidRPr="000E7FE5">
        <w:rPr>
          <w:rFonts w:asciiTheme="minorBidi" w:eastAsia="Arial" w:hAnsiTheme="minorBidi"/>
          <w:sz w:val="24"/>
          <w:szCs w:val="24"/>
        </w:rPr>
        <w:t xml:space="preserve"> In</w:t>
      </w:r>
      <w:r w:rsidR="00A61D6A" w:rsidRPr="000E7FE5">
        <w:rPr>
          <w:rFonts w:asciiTheme="minorBidi" w:eastAsia="Arial" w:hAnsiTheme="minorBidi"/>
          <w:sz w:val="24"/>
          <w:szCs w:val="24"/>
        </w:rPr>
        <w:t xml:space="preserve"> this crossover study, </w:t>
      </w:r>
      <w:r w:rsidR="00E2662D" w:rsidRPr="000E7FE5">
        <w:rPr>
          <w:rFonts w:asciiTheme="minorBidi" w:eastAsia="Arial" w:hAnsiTheme="minorBidi"/>
          <w:sz w:val="24"/>
          <w:szCs w:val="24"/>
        </w:rPr>
        <w:t>all the participants were</w:t>
      </w:r>
      <w:r w:rsidR="00A61D6A" w:rsidRPr="000E7FE5">
        <w:rPr>
          <w:rFonts w:asciiTheme="minorBidi" w:eastAsia="Arial" w:hAnsiTheme="minorBidi"/>
          <w:sz w:val="24"/>
          <w:szCs w:val="24"/>
        </w:rPr>
        <w:t xml:space="preserve"> mal</w:t>
      </w:r>
      <w:r w:rsidR="00513805">
        <w:rPr>
          <w:rFonts w:asciiTheme="minorBidi" w:eastAsia="Arial" w:hAnsiTheme="minorBidi"/>
          <w:sz w:val="24"/>
          <w:szCs w:val="24"/>
        </w:rPr>
        <w:t>e</w:t>
      </w:r>
      <w:r w:rsidR="00924DD8">
        <w:rPr>
          <w:rFonts w:asciiTheme="minorBidi" w:eastAsia="Arial" w:hAnsiTheme="minorBidi"/>
          <w:sz w:val="24"/>
          <w:szCs w:val="24"/>
        </w:rPr>
        <w:t>,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513805">
        <w:rPr>
          <w:rFonts w:asciiTheme="minorBidi" w:eastAsia="Arial" w:hAnsiTheme="minorBidi"/>
          <w:sz w:val="24"/>
          <w:szCs w:val="24"/>
        </w:rPr>
        <w:t>Caucasian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and ranged in age from </w:t>
      </w:r>
      <w:r w:rsidR="00CA4EAA">
        <w:rPr>
          <w:rFonts w:asciiTheme="minorBidi" w:eastAsia="Arial" w:hAnsiTheme="minorBidi"/>
          <w:sz w:val="24"/>
          <w:szCs w:val="24"/>
        </w:rPr>
        <w:t>19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to </w:t>
      </w:r>
      <w:r w:rsidR="00CA4EAA">
        <w:rPr>
          <w:rFonts w:asciiTheme="minorBidi" w:eastAsia="Arial" w:hAnsiTheme="minorBidi"/>
          <w:sz w:val="24"/>
          <w:szCs w:val="24"/>
        </w:rPr>
        <w:t>42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years. The</w:t>
      </w:r>
      <w:r w:rsidR="00924DD8">
        <w:rPr>
          <w:rFonts w:asciiTheme="minorBidi" w:eastAsia="Arial" w:hAnsiTheme="minorBidi"/>
          <w:sz w:val="24"/>
          <w:szCs w:val="24"/>
        </w:rPr>
        <w:t>ir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body mass index (BMI) and body weight ranged from </w:t>
      </w:r>
      <w:r w:rsidR="004D62B8">
        <w:rPr>
          <w:rFonts w:asciiTheme="minorBidi" w:eastAsia="Arial" w:hAnsiTheme="minorBidi"/>
          <w:sz w:val="24"/>
          <w:szCs w:val="24"/>
        </w:rPr>
        <w:t>19.1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to </w:t>
      </w:r>
      <w:r w:rsidR="004D62B8">
        <w:rPr>
          <w:rFonts w:asciiTheme="minorBidi" w:eastAsia="Arial" w:hAnsiTheme="minorBidi"/>
          <w:sz w:val="24"/>
          <w:szCs w:val="24"/>
        </w:rPr>
        <w:t>29.6</w:t>
      </w:r>
      <w:r w:rsidR="00F3165A">
        <w:rPr>
          <w:rFonts w:asciiTheme="minorBidi" w:eastAsia="Arial" w:hAnsiTheme="minorBidi"/>
          <w:sz w:val="24"/>
          <w:szCs w:val="24"/>
        </w:rPr>
        <w:t xml:space="preserve"> </w:t>
      </w:r>
      <w:r w:rsidR="00F3165A" w:rsidRPr="00CA4EAA">
        <w:rPr>
          <w:rFonts w:asciiTheme="minorBidi" w:eastAsia="Arial" w:hAnsiTheme="minorBidi"/>
          <w:sz w:val="24"/>
          <w:szCs w:val="24"/>
        </w:rPr>
        <w:t>Kg/m</w:t>
      </w:r>
      <w:r w:rsidR="00F3165A" w:rsidRPr="00513805">
        <w:rPr>
          <w:rFonts w:asciiTheme="minorBidi" w:eastAsia="Arial" w:hAnsiTheme="minorBidi"/>
          <w:sz w:val="24"/>
          <w:szCs w:val="24"/>
          <w:vertAlign w:val="superscript"/>
        </w:rPr>
        <w:t>2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and </w:t>
      </w:r>
      <w:r w:rsidR="00CA4EAA">
        <w:rPr>
          <w:rFonts w:asciiTheme="minorBidi" w:eastAsia="Arial" w:hAnsiTheme="minorBidi"/>
          <w:sz w:val="24"/>
          <w:szCs w:val="24"/>
        </w:rPr>
        <w:t>54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to </w:t>
      </w:r>
      <w:r w:rsidR="00CA4EAA">
        <w:rPr>
          <w:rFonts w:asciiTheme="minorBidi" w:eastAsia="Arial" w:hAnsiTheme="minorBidi"/>
          <w:sz w:val="24"/>
          <w:szCs w:val="24"/>
        </w:rPr>
        <w:t>96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kg</w:t>
      </w:r>
      <w:r w:rsidR="00513805">
        <w:rPr>
          <w:rFonts w:asciiTheme="minorBidi" w:eastAsia="Arial" w:hAnsiTheme="minorBidi"/>
          <w:sz w:val="24"/>
          <w:szCs w:val="24"/>
        </w:rPr>
        <w:t>,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7A5D64" w:rsidRPr="000E7FE5">
        <w:rPr>
          <w:rFonts w:asciiTheme="minorBidi" w:eastAsia="Arial" w:hAnsiTheme="minorBidi"/>
          <w:sz w:val="24"/>
          <w:szCs w:val="24"/>
        </w:rPr>
        <w:t>respectively. Table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7A5D64">
        <w:rPr>
          <w:rFonts w:asciiTheme="minorBidi" w:eastAsia="Arial" w:hAnsiTheme="minorBidi"/>
          <w:sz w:val="24"/>
          <w:szCs w:val="24"/>
        </w:rPr>
        <w:t>2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illustrate</w:t>
      </w:r>
      <w:r w:rsidR="007A5D64">
        <w:rPr>
          <w:rFonts w:asciiTheme="minorBidi" w:eastAsia="Arial" w:hAnsiTheme="minorBidi"/>
          <w:sz w:val="24"/>
          <w:szCs w:val="24"/>
        </w:rPr>
        <w:t>s</w:t>
      </w:r>
      <w:r w:rsidR="00326D54" w:rsidRPr="000E7FE5">
        <w:rPr>
          <w:rFonts w:asciiTheme="minorBidi" w:eastAsia="Arial" w:hAnsiTheme="minorBidi"/>
          <w:sz w:val="24"/>
          <w:szCs w:val="24"/>
        </w:rPr>
        <w:t xml:space="preserve"> the demographic data for th</w:t>
      </w:r>
      <w:r w:rsidR="00E2662D" w:rsidRPr="000E7FE5">
        <w:rPr>
          <w:rFonts w:asciiTheme="minorBidi" w:eastAsia="Arial" w:hAnsiTheme="minorBidi"/>
          <w:sz w:val="24"/>
          <w:szCs w:val="24"/>
        </w:rPr>
        <w:t>e participants.</w:t>
      </w:r>
    </w:p>
    <w:p w14:paraId="2566F88E" w14:textId="77777777" w:rsidR="0046510E" w:rsidRDefault="0046510E" w:rsidP="00A307B4">
      <w:pPr>
        <w:spacing w:after="240" w:line="480" w:lineRule="auto"/>
        <w:contextualSpacing/>
        <w:jc w:val="both"/>
        <w:rPr>
          <w:rFonts w:asciiTheme="minorBidi" w:eastAsia="Arial" w:hAnsiTheme="minorBidi"/>
          <w:sz w:val="24"/>
          <w:szCs w:val="24"/>
        </w:rPr>
      </w:pPr>
    </w:p>
    <w:p w14:paraId="326363EE" w14:textId="7D06566D" w:rsidR="00F3165A" w:rsidRPr="00924DD8" w:rsidRDefault="00F3165A" w:rsidP="00A307B4">
      <w:pPr>
        <w:spacing w:after="240" w:line="480" w:lineRule="auto"/>
        <w:contextualSpacing/>
        <w:jc w:val="both"/>
        <w:rPr>
          <w:rFonts w:asciiTheme="minorBidi" w:eastAsia="Arial" w:hAnsiTheme="minorBidi"/>
          <w:sz w:val="24"/>
          <w:szCs w:val="24"/>
          <w:u w:val="single"/>
        </w:rPr>
      </w:pPr>
      <w:r w:rsidRPr="00924DD8">
        <w:rPr>
          <w:rFonts w:asciiTheme="minorBidi" w:eastAsia="Arial" w:hAnsiTheme="minorBidi"/>
          <w:sz w:val="24"/>
          <w:szCs w:val="24"/>
          <w:u w:val="single"/>
        </w:rPr>
        <w:t xml:space="preserve">Table 2: </w:t>
      </w:r>
      <w:r w:rsidR="00196698" w:rsidRPr="00924DD8">
        <w:rPr>
          <w:rFonts w:asciiTheme="minorBidi" w:eastAsia="Arial" w:hAnsiTheme="minorBidi"/>
          <w:sz w:val="24"/>
          <w:szCs w:val="24"/>
          <w:u w:val="single"/>
        </w:rPr>
        <w:t xml:space="preserve">Demographic </w:t>
      </w:r>
      <w:r w:rsidRPr="00924DD8">
        <w:rPr>
          <w:rFonts w:asciiTheme="minorBidi" w:eastAsia="Arial" w:hAnsiTheme="minorBidi"/>
          <w:sz w:val="24"/>
          <w:szCs w:val="24"/>
          <w:u w:val="single"/>
        </w:rPr>
        <w:t>characteristics of the participants (median, upper and lower limit)</w:t>
      </w:r>
      <w:r w:rsidR="00924DD8" w:rsidRPr="00924DD8">
        <w:rPr>
          <w:rFonts w:asciiTheme="minorBidi" w:eastAsia="Arial" w:hAnsiTheme="minorBidi"/>
          <w:sz w:val="24"/>
          <w:szCs w:val="24"/>
          <w:u w:val="single"/>
        </w:rPr>
        <w:t>.</w:t>
      </w:r>
    </w:p>
    <w:p w14:paraId="7A5A3719" w14:textId="77777777" w:rsidR="0046510E" w:rsidRDefault="0046510E" w:rsidP="00A307B4">
      <w:pPr>
        <w:spacing w:after="240" w:line="480" w:lineRule="auto"/>
        <w:contextualSpacing/>
        <w:jc w:val="both"/>
        <w:rPr>
          <w:rFonts w:asciiTheme="minorBidi" w:eastAsia="Arial" w:hAnsiTheme="minorBidi"/>
          <w:sz w:val="24"/>
          <w:szCs w:val="24"/>
        </w:rPr>
      </w:pPr>
    </w:p>
    <w:p w14:paraId="1AD5A00A" w14:textId="54627FE0" w:rsidR="00D1455D" w:rsidRPr="000E7FE5" w:rsidRDefault="00E2662D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A65055">
        <w:rPr>
          <w:rFonts w:asciiTheme="minorBidi" w:eastAsia="Arial" w:hAnsiTheme="minorBidi"/>
          <w:sz w:val="24"/>
          <w:szCs w:val="24"/>
        </w:rPr>
        <w:t xml:space="preserve">The mean plasma </w:t>
      </w:r>
      <w:r w:rsidR="00984243" w:rsidRPr="00A65055">
        <w:rPr>
          <w:rFonts w:asciiTheme="minorBidi" w:eastAsia="Arial" w:hAnsiTheme="minorBidi"/>
          <w:sz w:val="24"/>
          <w:szCs w:val="24"/>
        </w:rPr>
        <w:t>alfuzosin</w:t>
      </w:r>
      <w:r w:rsidRPr="00A65055">
        <w:rPr>
          <w:rFonts w:asciiTheme="minorBidi" w:eastAsia="Arial" w:hAnsiTheme="minorBidi"/>
          <w:sz w:val="24"/>
          <w:szCs w:val="24"/>
        </w:rPr>
        <w:t xml:space="preserve"> </w:t>
      </w:r>
      <w:r w:rsidR="00F3165A" w:rsidRPr="00A65055">
        <w:rPr>
          <w:rFonts w:asciiTheme="minorBidi" w:eastAsia="Arial" w:hAnsiTheme="minorBidi"/>
          <w:sz w:val="24"/>
          <w:szCs w:val="24"/>
        </w:rPr>
        <w:t>concertation</w:t>
      </w:r>
      <w:r w:rsidRPr="00A65055">
        <w:rPr>
          <w:rFonts w:asciiTheme="minorBidi" w:eastAsia="Arial" w:hAnsiTheme="minorBidi"/>
          <w:sz w:val="24"/>
          <w:szCs w:val="24"/>
        </w:rPr>
        <w:t xml:space="preserve">-time profiles were similar for the </w:t>
      </w:r>
      <w:r w:rsidR="00854651" w:rsidRPr="00A65055">
        <w:rPr>
          <w:rFonts w:asciiTheme="minorBidi" w:eastAsia="Arial" w:hAnsiTheme="minorBidi"/>
          <w:sz w:val="24"/>
          <w:szCs w:val="24"/>
        </w:rPr>
        <w:t>2</w:t>
      </w:r>
      <w:r w:rsidRPr="00A65055">
        <w:rPr>
          <w:rFonts w:asciiTheme="minorBidi" w:eastAsia="Arial" w:hAnsiTheme="minorBidi"/>
          <w:sz w:val="24"/>
          <w:szCs w:val="24"/>
        </w:rPr>
        <w:t xml:space="preserve"> </w:t>
      </w:r>
      <w:r w:rsidR="00F3165A" w:rsidRPr="00A65055">
        <w:rPr>
          <w:rFonts w:asciiTheme="minorBidi" w:eastAsia="Arial" w:hAnsiTheme="minorBidi"/>
          <w:sz w:val="24"/>
          <w:szCs w:val="24"/>
        </w:rPr>
        <w:t>formulations</w:t>
      </w:r>
      <w:r w:rsidRPr="00A65055">
        <w:rPr>
          <w:rFonts w:asciiTheme="minorBidi" w:eastAsia="Arial" w:hAnsiTheme="minorBidi"/>
          <w:sz w:val="24"/>
          <w:szCs w:val="24"/>
        </w:rPr>
        <w:t xml:space="preserve"> of </w:t>
      </w:r>
      <w:r w:rsidR="00875144" w:rsidRPr="00A65055">
        <w:rPr>
          <w:rFonts w:asciiTheme="minorBidi" w:eastAsia="Arial" w:hAnsiTheme="minorBidi"/>
          <w:sz w:val="24"/>
          <w:szCs w:val="24"/>
        </w:rPr>
        <w:t>alfuzosin</w:t>
      </w:r>
      <w:r w:rsidR="00854651" w:rsidRPr="00A65055">
        <w:rPr>
          <w:rFonts w:asciiTheme="minorBidi" w:eastAsia="Arial" w:hAnsiTheme="minorBidi"/>
          <w:sz w:val="24"/>
          <w:szCs w:val="24"/>
        </w:rPr>
        <w:t xml:space="preserve"> tablets</w:t>
      </w:r>
      <w:r w:rsidR="00A65055" w:rsidRPr="00A65055">
        <w:rPr>
          <w:rFonts w:asciiTheme="minorBidi" w:eastAsia="Arial" w:hAnsiTheme="minorBidi"/>
          <w:sz w:val="24"/>
          <w:szCs w:val="24"/>
        </w:rPr>
        <w:t xml:space="preserve">. A slight increase in </w:t>
      </w:r>
      <w:proofErr w:type="spellStart"/>
      <w:r w:rsidR="009B018B" w:rsidRPr="00A65055">
        <w:rPr>
          <w:rFonts w:asciiTheme="minorBidi" w:eastAsia="Arial" w:hAnsiTheme="minorBidi"/>
          <w:sz w:val="24"/>
          <w:szCs w:val="24"/>
        </w:rPr>
        <w:t>C</w:t>
      </w:r>
      <w:r w:rsidR="009B018B" w:rsidRPr="00A65055">
        <w:rPr>
          <w:rFonts w:asciiTheme="minorBidi" w:eastAsia="Arial" w:hAnsiTheme="minorBidi"/>
          <w:sz w:val="24"/>
          <w:szCs w:val="24"/>
          <w:vertAlign w:val="subscript"/>
        </w:rPr>
        <w:t>max</w:t>
      </w:r>
      <w:proofErr w:type="spellEnd"/>
      <w:r w:rsidR="009B018B" w:rsidRPr="00A65055">
        <w:rPr>
          <w:rFonts w:asciiTheme="minorBidi" w:eastAsia="Arial" w:hAnsiTheme="minorBidi"/>
          <w:sz w:val="24"/>
          <w:szCs w:val="24"/>
        </w:rPr>
        <w:t xml:space="preserve"> was</w:t>
      </w:r>
      <w:r w:rsidR="00A65055" w:rsidRPr="00A65055">
        <w:rPr>
          <w:rFonts w:asciiTheme="minorBidi" w:eastAsia="Arial" w:hAnsiTheme="minorBidi"/>
          <w:sz w:val="24"/>
          <w:szCs w:val="24"/>
        </w:rPr>
        <w:t xml:space="preserve"> noticed in the test product, however, this increase was statistically insignificant. The concentration-time profile of the two formulations of alfuzosin XR tablets is</w:t>
      </w:r>
      <w:r w:rsidR="00854651" w:rsidRPr="00A65055">
        <w:rPr>
          <w:rFonts w:asciiTheme="minorBidi" w:eastAsia="Arial" w:hAnsiTheme="minorBidi"/>
          <w:sz w:val="24"/>
          <w:szCs w:val="24"/>
        </w:rPr>
        <w:t xml:space="preserve"> shown in</w:t>
      </w:r>
      <w:r w:rsidRPr="00A65055">
        <w:rPr>
          <w:rFonts w:asciiTheme="minorBidi" w:eastAsia="Arial" w:hAnsiTheme="minorBidi"/>
          <w:sz w:val="24"/>
          <w:szCs w:val="24"/>
        </w:rPr>
        <w:t xml:space="preserve"> </w:t>
      </w:r>
      <w:r w:rsidR="00854651" w:rsidRPr="00A65055">
        <w:rPr>
          <w:rFonts w:asciiTheme="minorBidi" w:eastAsia="Arial" w:hAnsiTheme="minorBidi"/>
          <w:sz w:val="24"/>
          <w:szCs w:val="24"/>
        </w:rPr>
        <w:t>F</w:t>
      </w:r>
      <w:r w:rsidRPr="00A65055">
        <w:rPr>
          <w:rFonts w:asciiTheme="minorBidi" w:eastAsia="Arial" w:hAnsiTheme="minorBidi"/>
          <w:sz w:val="24"/>
          <w:szCs w:val="24"/>
        </w:rPr>
        <w:t>igure 1.</w:t>
      </w:r>
    </w:p>
    <w:p w14:paraId="13EA6601" w14:textId="688D29F9" w:rsidR="00C25DE2" w:rsidRPr="00924DD8" w:rsidRDefault="00C25DE2" w:rsidP="00A307B4">
      <w:pPr>
        <w:spacing w:after="240" w:line="480" w:lineRule="auto"/>
        <w:contextualSpacing/>
        <w:jc w:val="both"/>
        <w:rPr>
          <w:rFonts w:asciiTheme="minorBidi" w:eastAsia="Arial" w:hAnsiTheme="minorBidi"/>
          <w:sz w:val="24"/>
          <w:szCs w:val="24"/>
          <w:u w:val="single"/>
        </w:rPr>
      </w:pPr>
      <w:r w:rsidRPr="00924DD8">
        <w:rPr>
          <w:rFonts w:asciiTheme="minorBidi" w:eastAsia="Arial" w:hAnsiTheme="minorBidi"/>
          <w:sz w:val="24"/>
          <w:szCs w:val="24"/>
          <w:u w:val="single"/>
        </w:rPr>
        <w:lastRenderedPageBreak/>
        <w:t>Figure 1: Concentration-time profile over 48 hours after administering 10 mg Alfuzosin XR reference (</w:t>
      </w:r>
      <w:r w:rsidRPr="00924DD8">
        <w:rPr>
          <w:rFonts w:asciiTheme="minorBidi" w:eastAsia="Arial" w:hAnsiTheme="minorBidi"/>
          <w:color w:val="4472C4" w:themeColor="accent1"/>
          <w:sz w:val="24"/>
          <w:szCs w:val="24"/>
          <w:u w:val="single"/>
        </w:rPr>
        <w:t>■</w:t>
      </w:r>
      <w:r w:rsidRPr="00924DD8">
        <w:rPr>
          <w:rFonts w:asciiTheme="minorBidi" w:eastAsia="Arial" w:hAnsiTheme="minorBidi"/>
          <w:sz w:val="24"/>
          <w:szCs w:val="24"/>
          <w:u w:val="single"/>
        </w:rPr>
        <w:t>) and test (</w:t>
      </w:r>
      <w:r w:rsidRPr="00924DD8">
        <w:rPr>
          <w:rFonts w:asciiTheme="minorBidi" w:eastAsia="Arial" w:hAnsiTheme="minorBidi"/>
          <w:color w:val="ED7D31" w:themeColor="accent2"/>
          <w:sz w:val="24"/>
          <w:szCs w:val="24"/>
          <w:u w:val="single"/>
        </w:rPr>
        <w:t>▲</w:t>
      </w:r>
      <w:r w:rsidRPr="00924DD8">
        <w:rPr>
          <w:rFonts w:asciiTheme="minorBidi" w:eastAsia="Arial" w:hAnsiTheme="minorBidi"/>
          <w:sz w:val="24"/>
          <w:szCs w:val="24"/>
          <w:u w:val="single"/>
        </w:rPr>
        <w:t>) tablets. The insert shows the expanded 0-12 hr concentration time profile. (BLQ values at time 0 and 48 hr were set to zero).</w:t>
      </w:r>
    </w:p>
    <w:p w14:paraId="0A90142C" w14:textId="77777777" w:rsidR="00A307B4" w:rsidRPr="00A307B4" w:rsidRDefault="00A307B4" w:rsidP="00A307B4">
      <w:pPr>
        <w:spacing w:after="240" w:line="480" w:lineRule="auto"/>
        <w:contextualSpacing/>
        <w:jc w:val="both"/>
        <w:rPr>
          <w:rFonts w:asciiTheme="minorBidi" w:eastAsia="Arial" w:hAnsiTheme="minorBidi"/>
          <w:sz w:val="24"/>
          <w:szCs w:val="24"/>
        </w:rPr>
      </w:pPr>
    </w:p>
    <w:p w14:paraId="0898832F" w14:textId="3A574F94" w:rsidR="00247EEF" w:rsidRPr="000E7FE5" w:rsidRDefault="00F33094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>Drug plasma levels were designated as surrogate parameters to indicate clinical activity.</w:t>
      </w:r>
      <w:r w:rsidRPr="000E7FE5">
        <w:rPr>
          <w:rFonts w:asciiTheme="minorBidi" w:hAnsiTheme="minorBidi"/>
          <w:sz w:val="24"/>
          <w:szCs w:val="24"/>
        </w:rPr>
        <w:t xml:space="preserve"> The pharmacokinetic parameters </w:t>
      </w:r>
      <w:proofErr w:type="spellStart"/>
      <w:r w:rsidRPr="000E7FE5">
        <w:rPr>
          <w:rFonts w:asciiTheme="minorBidi" w:eastAsia="Arial" w:hAnsiTheme="minorBidi"/>
          <w:sz w:val="24"/>
          <w:szCs w:val="24"/>
        </w:rPr>
        <w:t>C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>rnax</w:t>
      </w:r>
      <w:proofErr w:type="spellEnd"/>
      <w:r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Pr="000E7FE5">
        <w:rPr>
          <w:rFonts w:asciiTheme="minorBidi" w:hAnsiTheme="minorBidi"/>
          <w:sz w:val="24"/>
          <w:szCs w:val="24"/>
        </w:rPr>
        <w:t xml:space="preserve">and </w:t>
      </w:r>
      <w:r w:rsidRPr="000E7FE5">
        <w:rPr>
          <w:rFonts w:asciiTheme="minorBidi" w:eastAsia="Arial" w:hAnsiTheme="minorBidi"/>
          <w:sz w:val="24"/>
          <w:szCs w:val="24"/>
        </w:rPr>
        <w:t>AUC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0→t </w:t>
      </w:r>
      <w:proofErr w:type="gramStart"/>
      <w:r w:rsidRPr="000E7FE5">
        <w:rPr>
          <w:rFonts w:asciiTheme="minorBidi" w:eastAsia="Arial" w:hAnsiTheme="minorBidi"/>
          <w:sz w:val="24"/>
          <w:szCs w:val="24"/>
        </w:rPr>
        <w:t>were</w:t>
      </w:r>
      <w:proofErr w:type="gramEnd"/>
      <w:r w:rsidRPr="000E7FE5">
        <w:rPr>
          <w:rFonts w:asciiTheme="minorBidi" w:eastAsia="Arial" w:hAnsiTheme="minorBidi"/>
          <w:sz w:val="24"/>
          <w:szCs w:val="24"/>
        </w:rPr>
        <w:t xml:space="preserve"> considered the primary indicators of bioequivalence, </w:t>
      </w:r>
      <w:r w:rsidR="00854651">
        <w:rPr>
          <w:rFonts w:asciiTheme="minorBidi" w:eastAsia="Arial" w:hAnsiTheme="minorBidi"/>
          <w:sz w:val="24"/>
          <w:szCs w:val="24"/>
        </w:rPr>
        <w:t>whereas</w:t>
      </w:r>
      <w:r w:rsidRPr="000E7FE5">
        <w:rPr>
          <w:rFonts w:asciiTheme="minorBidi" w:eastAsia="Arial" w:hAnsiTheme="minorBidi"/>
          <w:sz w:val="24"/>
          <w:szCs w:val="24"/>
        </w:rPr>
        <w:t xml:space="preserve"> </w:t>
      </w:r>
      <w:proofErr w:type="spellStart"/>
      <w:r w:rsidRPr="000E7FE5">
        <w:rPr>
          <w:rFonts w:asciiTheme="minorBidi" w:eastAsia="Arial" w:hAnsiTheme="minorBidi"/>
          <w:sz w:val="24"/>
          <w:szCs w:val="24"/>
        </w:rPr>
        <w:t>K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>el</w:t>
      </w:r>
      <w:proofErr w:type="spellEnd"/>
      <w:r w:rsidRPr="000E7FE5">
        <w:rPr>
          <w:rFonts w:asciiTheme="minorBidi" w:eastAsia="Arial" w:hAnsiTheme="minorBidi"/>
          <w:sz w:val="24"/>
          <w:szCs w:val="24"/>
        </w:rPr>
        <w:t>, AUC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>0→∞</w:t>
      </w:r>
      <w:r w:rsidRPr="000E7FE5">
        <w:rPr>
          <w:rFonts w:asciiTheme="minorBidi" w:eastAsia="Arial" w:hAnsiTheme="minorBidi"/>
          <w:sz w:val="24"/>
          <w:szCs w:val="24"/>
        </w:rPr>
        <w:t xml:space="preserve">, </w:t>
      </w:r>
      <w:proofErr w:type="spellStart"/>
      <w:r w:rsidRPr="000E7FE5">
        <w:rPr>
          <w:rFonts w:asciiTheme="minorBidi" w:eastAsia="Arial" w:hAnsiTheme="minorBidi"/>
          <w:sz w:val="24"/>
          <w:szCs w:val="24"/>
        </w:rPr>
        <w:t>t</w:t>
      </w:r>
      <w:r w:rsidR="00854651">
        <w:rPr>
          <w:rFonts w:asciiTheme="minorBidi" w:eastAsia="Arial" w:hAnsiTheme="minorBidi"/>
          <w:sz w:val="24"/>
          <w:szCs w:val="24"/>
          <w:vertAlign w:val="subscript"/>
        </w:rPr>
        <w:t>m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>ax</w:t>
      </w:r>
      <w:proofErr w:type="spellEnd"/>
      <w:r w:rsidRPr="000E7FE5">
        <w:rPr>
          <w:rFonts w:asciiTheme="minorBidi" w:eastAsia="Arial" w:hAnsiTheme="minorBidi"/>
          <w:sz w:val="24"/>
          <w:szCs w:val="24"/>
        </w:rPr>
        <w:t>,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>t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>1/2e</w:t>
      </w:r>
      <w:r w:rsidR="009B7D5E" w:rsidRPr="000E7FE5">
        <w:rPr>
          <w:rFonts w:asciiTheme="minorBidi" w:eastAsia="Arial" w:hAnsiTheme="minorBidi"/>
          <w:sz w:val="24"/>
          <w:szCs w:val="24"/>
          <w:vertAlign w:val="subscript"/>
        </w:rPr>
        <w:t>l</w:t>
      </w:r>
      <w:r w:rsidRPr="000E7FE5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 xml:space="preserve">were considered secondary parameters to prove bioequivalence. </w:t>
      </w:r>
      <w:r w:rsidR="00C8188B">
        <w:rPr>
          <w:rFonts w:asciiTheme="minorBidi" w:eastAsia="Arial" w:hAnsiTheme="minorBidi"/>
          <w:sz w:val="24"/>
          <w:szCs w:val="24"/>
        </w:rPr>
        <w:t>The estimation of a</w:t>
      </w:r>
      <w:r w:rsidR="002F5F1E" w:rsidRPr="000E7FE5">
        <w:rPr>
          <w:rFonts w:asciiTheme="minorBidi" w:eastAsia="Arial" w:hAnsiTheme="minorBidi"/>
          <w:sz w:val="24"/>
          <w:szCs w:val="24"/>
        </w:rPr>
        <w:t xml:space="preserve">ll the pharmacokinetic parameters </w:t>
      </w:r>
      <w:r w:rsidR="00C8188B">
        <w:rPr>
          <w:rFonts w:asciiTheme="minorBidi" w:eastAsia="Arial" w:hAnsiTheme="minorBidi"/>
          <w:sz w:val="24"/>
          <w:szCs w:val="24"/>
        </w:rPr>
        <w:t>was</w:t>
      </w:r>
      <w:r w:rsidR="002F5F1E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C8188B">
        <w:rPr>
          <w:rFonts w:asciiTheme="minorBidi" w:eastAsia="Arial" w:hAnsiTheme="minorBidi"/>
          <w:sz w:val="24"/>
          <w:szCs w:val="24"/>
        </w:rPr>
        <w:t>very close</w:t>
      </w:r>
      <w:r w:rsidR="002F5F1E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C8188B">
        <w:rPr>
          <w:rFonts w:asciiTheme="minorBidi" w:eastAsia="Arial" w:hAnsiTheme="minorBidi"/>
          <w:sz w:val="24"/>
          <w:szCs w:val="24"/>
        </w:rPr>
        <w:t>between</w:t>
      </w:r>
      <w:r w:rsidR="002F5F1E" w:rsidRPr="000E7FE5">
        <w:rPr>
          <w:rFonts w:asciiTheme="minorBidi" w:eastAsia="Arial" w:hAnsiTheme="minorBidi"/>
          <w:sz w:val="24"/>
          <w:szCs w:val="24"/>
        </w:rPr>
        <w:t xml:space="preserve"> the two formulations. </w:t>
      </w:r>
      <w:proofErr w:type="spellStart"/>
      <w:r w:rsidR="002F5F1E" w:rsidRPr="000E7FE5">
        <w:rPr>
          <w:rFonts w:asciiTheme="minorBidi" w:eastAsia="Arial" w:hAnsiTheme="minorBidi"/>
          <w:sz w:val="24"/>
          <w:szCs w:val="24"/>
        </w:rPr>
        <w:t>C</w:t>
      </w:r>
      <w:r w:rsidR="002F5F1E" w:rsidRPr="00F70EFE">
        <w:rPr>
          <w:rFonts w:asciiTheme="minorBidi" w:eastAsia="Arial" w:hAnsiTheme="minorBidi"/>
          <w:sz w:val="24"/>
          <w:szCs w:val="24"/>
          <w:vertAlign w:val="subscript"/>
        </w:rPr>
        <w:t>max</w:t>
      </w:r>
      <w:proofErr w:type="spellEnd"/>
      <w:r w:rsidR="002F5F1E" w:rsidRPr="000E7FE5">
        <w:rPr>
          <w:rFonts w:asciiTheme="minorBidi" w:eastAsia="Arial" w:hAnsiTheme="minorBidi"/>
          <w:sz w:val="24"/>
          <w:szCs w:val="24"/>
        </w:rPr>
        <w:t xml:space="preserve"> and </w:t>
      </w:r>
      <w:proofErr w:type="spellStart"/>
      <w:r w:rsidR="00A82100">
        <w:rPr>
          <w:rFonts w:asciiTheme="minorBidi" w:eastAsia="Arial" w:hAnsiTheme="minorBidi"/>
          <w:sz w:val="24"/>
          <w:szCs w:val="24"/>
        </w:rPr>
        <w:t>t</w:t>
      </w:r>
      <w:r w:rsidR="002F5F1E" w:rsidRPr="00F70EFE">
        <w:rPr>
          <w:rFonts w:asciiTheme="minorBidi" w:eastAsia="Arial" w:hAnsiTheme="minorBidi"/>
          <w:sz w:val="24"/>
          <w:szCs w:val="24"/>
          <w:vertAlign w:val="subscript"/>
        </w:rPr>
        <w:t>max</w:t>
      </w:r>
      <w:proofErr w:type="spellEnd"/>
      <w:r w:rsidR="002F5F1E" w:rsidRPr="000E7FE5">
        <w:rPr>
          <w:rFonts w:asciiTheme="minorBidi" w:eastAsia="Arial" w:hAnsiTheme="minorBidi"/>
          <w:sz w:val="24"/>
          <w:szCs w:val="24"/>
        </w:rPr>
        <w:t xml:space="preserve"> were </w:t>
      </w:r>
      <w:r w:rsidR="00C8188B">
        <w:rPr>
          <w:rFonts w:asciiTheme="minorBidi" w:eastAsia="Arial" w:hAnsiTheme="minorBidi"/>
          <w:sz w:val="24"/>
          <w:szCs w:val="24"/>
        </w:rPr>
        <w:t>found to be</w:t>
      </w:r>
      <w:r w:rsidR="002F5F1E"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C8188B">
        <w:rPr>
          <w:rFonts w:asciiTheme="minorBidi" w:eastAsia="Arial" w:hAnsiTheme="minorBidi"/>
          <w:sz w:val="24"/>
          <w:szCs w:val="24"/>
        </w:rPr>
        <w:t>12.2</w:t>
      </w:r>
      <w:r w:rsidR="002F5F1E" w:rsidRPr="000E7FE5">
        <w:rPr>
          <w:rFonts w:asciiTheme="minorBidi" w:eastAsia="Arial" w:hAnsiTheme="minorBidi"/>
          <w:sz w:val="24"/>
          <w:szCs w:val="24"/>
        </w:rPr>
        <w:t xml:space="preserve"> ng/mL</w:t>
      </w:r>
      <w:r w:rsidR="009B018B">
        <w:rPr>
          <w:rFonts w:asciiTheme="minorBidi" w:eastAsia="Arial" w:hAnsiTheme="minorBidi"/>
          <w:sz w:val="24"/>
          <w:szCs w:val="24"/>
        </w:rPr>
        <w:t>, 7.0</w:t>
      </w:r>
      <w:r w:rsidR="002F5F1E" w:rsidRPr="000E7FE5">
        <w:rPr>
          <w:rFonts w:asciiTheme="minorBidi" w:eastAsia="Arial" w:hAnsiTheme="minorBidi"/>
          <w:sz w:val="24"/>
          <w:szCs w:val="24"/>
        </w:rPr>
        <w:t xml:space="preserve"> hr</w:t>
      </w:r>
      <w:r w:rsidR="00C8188B">
        <w:rPr>
          <w:rFonts w:asciiTheme="minorBidi" w:eastAsia="Arial" w:hAnsiTheme="minorBidi"/>
          <w:sz w:val="24"/>
          <w:szCs w:val="24"/>
        </w:rPr>
        <w:t xml:space="preserve">, 13.4 </w:t>
      </w:r>
      <w:r w:rsidR="00C8188B" w:rsidRPr="000E7FE5">
        <w:rPr>
          <w:rFonts w:asciiTheme="minorBidi" w:eastAsia="Arial" w:hAnsiTheme="minorBidi"/>
          <w:sz w:val="24"/>
          <w:szCs w:val="24"/>
        </w:rPr>
        <w:t>ng/mL</w:t>
      </w:r>
      <w:r w:rsidR="00C8188B">
        <w:rPr>
          <w:rFonts w:asciiTheme="minorBidi" w:eastAsia="Arial" w:hAnsiTheme="minorBidi"/>
          <w:sz w:val="24"/>
          <w:szCs w:val="24"/>
        </w:rPr>
        <w:t xml:space="preserve"> and 6.1 hr for the test and reference products</w:t>
      </w:r>
      <w:r w:rsidR="00854651">
        <w:rPr>
          <w:rFonts w:asciiTheme="minorBidi" w:eastAsia="Arial" w:hAnsiTheme="minorBidi"/>
          <w:sz w:val="24"/>
          <w:szCs w:val="24"/>
        </w:rPr>
        <w:t>,</w:t>
      </w:r>
      <w:r w:rsidR="00C8188B">
        <w:rPr>
          <w:rFonts w:asciiTheme="minorBidi" w:eastAsia="Arial" w:hAnsiTheme="minorBidi"/>
          <w:sz w:val="24"/>
          <w:szCs w:val="24"/>
        </w:rPr>
        <w:t xml:space="preserve"> respectively. </w:t>
      </w:r>
    </w:p>
    <w:p w14:paraId="62A802C6" w14:textId="69511445" w:rsidR="00247EEF" w:rsidRDefault="00247EEF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 xml:space="preserve">The adjusted geometric mean ratios (test/ reference) of </w:t>
      </w:r>
      <w:r w:rsidRPr="00F70EFE">
        <w:rPr>
          <w:rFonts w:asciiTheme="minorBidi" w:eastAsia="Arial" w:hAnsiTheme="minorBidi"/>
          <w:sz w:val="24"/>
          <w:szCs w:val="24"/>
        </w:rPr>
        <w:t>AUC</w:t>
      </w:r>
      <w:r w:rsidRPr="00F70EFE">
        <w:rPr>
          <w:rFonts w:asciiTheme="minorBidi" w:eastAsia="Arial" w:hAnsiTheme="minorBidi"/>
          <w:sz w:val="24"/>
          <w:szCs w:val="24"/>
          <w:vertAlign w:val="subscript"/>
        </w:rPr>
        <w:t xml:space="preserve">0→t </w:t>
      </w:r>
      <w:r w:rsidRPr="00F70EFE">
        <w:rPr>
          <w:rFonts w:asciiTheme="minorBidi" w:eastAsia="Arial" w:hAnsiTheme="minorBidi"/>
          <w:sz w:val="24"/>
          <w:szCs w:val="24"/>
        </w:rPr>
        <w:t>and</w:t>
      </w:r>
      <w:r w:rsidRPr="00F70EFE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proofErr w:type="spellStart"/>
      <w:r w:rsidRPr="00F70EFE">
        <w:rPr>
          <w:rFonts w:asciiTheme="minorBidi" w:eastAsia="Arial" w:hAnsiTheme="minorBidi"/>
          <w:sz w:val="24"/>
          <w:szCs w:val="24"/>
        </w:rPr>
        <w:t>C</w:t>
      </w:r>
      <w:r w:rsidRPr="00F70EFE">
        <w:rPr>
          <w:rFonts w:asciiTheme="minorBidi" w:eastAsia="Arial" w:hAnsiTheme="minorBidi"/>
          <w:sz w:val="24"/>
          <w:szCs w:val="24"/>
          <w:vertAlign w:val="subscript"/>
        </w:rPr>
        <w:t>max</w:t>
      </w:r>
      <w:proofErr w:type="spellEnd"/>
      <w:r w:rsidRPr="000E7FE5">
        <w:rPr>
          <w:rFonts w:asciiTheme="minorBidi" w:eastAsia="Arial" w:hAnsiTheme="minorBidi"/>
          <w:b/>
          <w:sz w:val="24"/>
          <w:szCs w:val="24"/>
          <w:vertAlign w:val="subscript"/>
        </w:rPr>
        <w:t xml:space="preserve"> </w:t>
      </w:r>
      <w:r w:rsidRPr="000E7FE5">
        <w:rPr>
          <w:rFonts w:asciiTheme="minorBidi" w:eastAsia="Arial" w:hAnsiTheme="minorBidi"/>
          <w:sz w:val="24"/>
          <w:szCs w:val="24"/>
        </w:rPr>
        <w:t xml:space="preserve">for the </w:t>
      </w:r>
      <w:r w:rsidR="00854651">
        <w:rPr>
          <w:rFonts w:asciiTheme="minorBidi" w:eastAsia="Arial" w:hAnsiTheme="minorBidi"/>
          <w:sz w:val="24"/>
          <w:szCs w:val="24"/>
        </w:rPr>
        <w:t>2</w:t>
      </w:r>
      <w:r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984243">
        <w:rPr>
          <w:rFonts w:asciiTheme="minorBidi" w:eastAsia="Arial" w:hAnsiTheme="minorBidi"/>
          <w:sz w:val="24"/>
          <w:szCs w:val="24"/>
        </w:rPr>
        <w:t>alfuzosin</w:t>
      </w:r>
      <w:r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984243">
        <w:rPr>
          <w:rFonts w:asciiTheme="minorBidi" w:eastAsia="Arial" w:hAnsiTheme="minorBidi"/>
          <w:sz w:val="24"/>
          <w:szCs w:val="24"/>
        </w:rPr>
        <w:t>XR</w:t>
      </w:r>
      <w:r w:rsidRPr="000E7FE5">
        <w:rPr>
          <w:rFonts w:asciiTheme="minorBidi" w:eastAsia="Arial" w:hAnsiTheme="minorBidi"/>
          <w:sz w:val="24"/>
          <w:szCs w:val="24"/>
        </w:rPr>
        <w:t xml:space="preserve"> formulations were within the allowed </w:t>
      </w:r>
      <w:r w:rsidR="00423760" w:rsidRPr="000E7FE5">
        <w:rPr>
          <w:rFonts w:asciiTheme="minorBidi" w:eastAsia="Arial" w:hAnsiTheme="minorBidi"/>
          <w:sz w:val="24"/>
          <w:szCs w:val="24"/>
        </w:rPr>
        <w:t xml:space="preserve">bioequivalence </w:t>
      </w:r>
      <w:r w:rsidRPr="000E7FE5">
        <w:rPr>
          <w:rFonts w:asciiTheme="minorBidi" w:eastAsia="Arial" w:hAnsiTheme="minorBidi"/>
          <w:sz w:val="24"/>
          <w:szCs w:val="24"/>
        </w:rPr>
        <w:t>limit</w:t>
      </w:r>
      <w:r w:rsidR="00423760" w:rsidRPr="000E7FE5">
        <w:rPr>
          <w:rFonts w:asciiTheme="minorBidi" w:eastAsia="Arial" w:hAnsiTheme="minorBidi"/>
          <w:sz w:val="24"/>
          <w:szCs w:val="24"/>
        </w:rPr>
        <w:t xml:space="preserve"> specified by the regulatory authorities</w:t>
      </w:r>
      <w:r w:rsidRPr="000E7FE5">
        <w:rPr>
          <w:rFonts w:asciiTheme="minorBidi" w:eastAsia="Arial" w:hAnsiTheme="minorBidi"/>
          <w:sz w:val="24"/>
          <w:szCs w:val="24"/>
        </w:rPr>
        <w:t xml:space="preserve"> (</w:t>
      </w:r>
      <w:r w:rsidR="00423760" w:rsidRPr="000E7FE5">
        <w:rPr>
          <w:rFonts w:asciiTheme="minorBidi" w:eastAsia="Arial" w:hAnsiTheme="minorBidi"/>
          <w:sz w:val="24"/>
          <w:szCs w:val="24"/>
        </w:rPr>
        <w:t>80-125%</w:t>
      </w:r>
      <w:r w:rsidR="00854651">
        <w:rPr>
          <w:rFonts w:asciiTheme="minorBidi" w:eastAsia="Arial" w:hAnsiTheme="minorBidi"/>
          <w:sz w:val="24"/>
          <w:szCs w:val="24"/>
        </w:rPr>
        <w:t xml:space="preserve"> for </w:t>
      </w:r>
      <w:r w:rsidR="00854651" w:rsidRPr="00F70EFE">
        <w:rPr>
          <w:rFonts w:asciiTheme="minorBidi" w:eastAsia="Arial" w:hAnsiTheme="minorBidi"/>
          <w:sz w:val="24"/>
          <w:szCs w:val="24"/>
        </w:rPr>
        <w:t>AUC</w:t>
      </w:r>
      <w:r w:rsidR="00854651" w:rsidRPr="00F70EFE">
        <w:rPr>
          <w:rFonts w:asciiTheme="minorBidi" w:eastAsia="Arial" w:hAnsiTheme="minorBidi"/>
          <w:sz w:val="24"/>
          <w:szCs w:val="24"/>
          <w:vertAlign w:val="subscript"/>
        </w:rPr>
        <w:t>0→t</w:t>
      </w:r>
      <w:r w:rsidR="00854651">
        <w:rPr>
          <w:rFonts w:asciiTheme="minorBidi" w:eastAsia="Arial" w:hAnsiTheme="minorBidi"/>
          <w:sz w:val="24"/>
          <w:szCs w:val="24"/>
          <w:vertAlign w:val="subscript"/>
        </w:rPr>
        <w:t xml:space="preserve"> </w:t>
      </w:r>
      <w:r w:rsidR="00854651">
        <w:rPr>
          <w:rFonts w:asciiTheme="minorBidi" w:eastAsia="Arial" w:hAnsiTheme="minorBidi"/>
          <w:sz w:val="24"/>
          <w:szCs w:val="24"/>
        </w:rPr>
        <w:t xml:space="preserve">and 75-133% for </w:t>
      </w:r>
      <w:proofErr w:type="spellStart"/>
      <w:r w:rsidR="00854651" w:rsidRPr="00F70EFE">
        <w:rPr>
          <w:rFonts w:asciiTheme="minorBidi" w:eastAsia="Arial" w:hAnsiTheme="minorBidi"/>
          <w:sz w:val="24"/>
          <w:szCs w:val="24"/>
        </w:rPr>
        <w:t>C</w:t>
      </w:r>
      <w:r w:rsidR="00854651" w:rsidRPr="00F70EFE">
        <w:rPr>
          <w:rFonts w:asciiTheme="minorBidi" w:eastAsia="Arial" w:hAnsiTheme="minorBidi"/>
          <w:sz w:val="24"/>
          <w:szCs w:val="24"/>
          <w:vertAlign w:val="subscript"/>
        </w:rPr>
        <w:t>max</w:t>
      </w:r>
      <w:proofErr w:type="spellEnd"/>
      <w:r w:rsidR="00423760" w:rsidRPr="000E7FE5">
        <w:rPr>
          <w:rFonts w:asciiTheme="minorBidi" w:eastAsia="Arial" w:hAnsiTheme="minorBidi"/>
          <w:sz w:val="24"/>
          <w:szCs w:val="24"/>
        </w:rPr>
        <w:t>)</w:t>
      </w:r>
      <w:r w:rsidR="00854651">
        <w:rPr>
          <w:rFonts w:asciiTheme="minorBidi" w:eastAsia="Arial" w:hAnsiTheme="minorBidi"/>
          <w:sz w:val="24"/>
          <w:szCs w:val="24"/>
        </w:rPr>
        <w:t>,</w:t>
      </w:r>
      <w:r w:rsidR="00423760" w:rsidRPr="000E7FE5">
        <w:rPr>
          <w:rFonts w:asciiTheme="minorBidi" w:eastAsia="Arial" w:hAnsiTheme="minorBidi"/>
          <w:sz w:val="24"/>
          <w:szCs w:val="24"/>
        </w:rPr>
        <w:t xml:space="preserve"> as shown in Table </w:t>
      </w:r>
      <w:r w:rsidR="00854651">
        <w:rPr>
          <w:rFonts w:asciiTheme="minorBidi" w:eastAsia="Arial" w:hAnsiTheme="minorBidi"/>
          <w:sz w:val="24"/>
          <w:szCs w:val="24"/>
        </w:rPr>
        <w:t>3</w:t>
      </w:r>
      <w:r w:rsidR="00423760" w:rsidRPr="000E7FE5">
        <w:rPr>
          <w:rFonts w:asciiTheme="minorBidi" w:eastAsia="Arial" w:hAnsiTheme="minorBidi"/>
          <w:sz w:val="24"/>
          <w:szCs w:val="24"/>
        </w:rPr>
        <w:t>.</w:t>
      </w:r>
    </w:p>
    <w:p w14:paraId="66838337" w14:textId="77777777" w:rsidR="009E4C83" w:rsidRPr="000E7FE5" w:rsidRDefault="009E4C83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</w:p>
    <w:p w14:paraId="20C546B7" w14:textId="2B676969" w:rsidR="008C124F" w:rsidRPr="009E4C83" w:rsidRDefault="008C124F" w:rsidP="00A307B4">
      <w:pPr>
        <w:spacing w:after="240" w:line="480" w:lineRule="auto"/>
        <w:contextualSpacing/>
        <w:jc w:val="both"/>
        <w:rPr>
          <w:rFonts w:asciiTheme="minorBidi" w:eastAsia="Arial" w:hAnsiTheme="minorBidi"/>
          <w:iCs/>
          <w:sz w:val="24"/>
          <w:szCs w:val="24"/>
          <w:u w:val="single"/>
        </w:rPr>
      </w:pPr>
      <w:r w:rsidRPr="009E4C83">
        <w:rPr>
          <w:rFonts w:asciiTheme="minorBidi" w:eastAsia="Arial" w:hAnsiTheme="minorBidi"/>
          <w:sz w:val="24"/>
          <w:szCs w:val="24"/>
          <w:u w:val="single"/>
        </w:rPr>
        <w:t xml:space="preserve">Table 3: Bioequivalence </w:t>
      </w:r>
      <w:r w:rsidR="009E4C83" w:rsidRPr="009E4C83">
        <w:rPr>
          <w:rFonts w:asciiTheme="minorBidi" w:eastAsia="Arial" w:hAnsiTheme="minorBidi"/>
          <w:sz w:val="24"/>
          <w:szCs w:val="24"/>
          <w:u w:val="single"/>
        </w:rPr>
        <w:t>c</w:t>
      </w:r>
      <w:r w:rsidRPr="009E4C83">
        <w:rPr>
          <w:rFonts w:asciiTheme="minorBidi" w:eastAsia="Arial" w:hAnsiTheme="minorBidi"/>
          <w:sz w:val="24"/>
          <w:szCs w:val="24"/>
          <w:u w:val="single"/>
        </w:rPr>
        <w:t xml:space="preserve">onfidence </w:t>
      </w:r>
      <w:r w:rsidR="009E4C83" w:rsidRPr="009E4C83">
        <w:rPr>
          <w:rFonts w:asciiTheme="minorBidi" w:eastAsia="Arial" w:hAnsiTheme="minorBidi"/>
          <w:sz w:val="24"/>
          <w:szCs w:val="24"/>
          <w:u w:val="single"/>
        </w:rPr>
        <w:t xml:space="preserve">intervals </w:t>
      </w:r>
      <w:r w:rsidRPr="009E4C83">
        <w:rPr>
          <w:rFonts w:asciiTheme="minorBidi" w:eastAsia="Arial" w:hAnsiTheme="minorBidi"/>
          <w:sz w:val="24"/>
          <w:szCs w:val="24"/>
          <w:u w:val="single"/>
        </w:rPr>
        <w:t xml:space="preserve">of </w:t>
      </w:r>
      <w:r w:rsidR="00984243" w:rsidRPr="009E4C83">
        <w:rPr>
          <w:rFonts w:asciiTheme="minorBidi" w:eastAsia="Arial" w:hAnsiTheme="minorBidi"/>
          <w:sz w:val="24"/>
          <w:szCs w:val="24"/>
          <w:u w:val="single"/>
        </w:rPr>
        <w:t>alfuzosin</w:t>
      </w:r>
      <w:r w:rsidRPr="009E4C83">
        <w:rPr>
          <w:rFonts w:asciiTheme="minorBidi" w:eastAsia="Arial" w:hAnsiTheme="minorBidi"/>
          <w:sz w:val="24"/>
          <w:szCs w:val="24"/>
          <w:u w:val="single"/>
        </w:rPr>
        <w:t xml:space="preserve"> 10 mg tablet from </w:t>
      </w:r>
      <w:r w:rsidRPr="009E4C83">
        <w:rPr>
          <w:rFonts w:asciiTheme="minorBidi" w:eastAsia="Arial" w:hAnsiTheme="minorBidi"/>
          <w:iCs/>
          <w:sz w:val="24"/>
          <w:szCs w:val="24"/>
          <w:u w:val="single"/>
        </w:rPr>
        <w:t xml:space="preserve">the test versus the </w:t>
      </w:r>
      <w:r w:rsidR="00AF114D" w:rsidRPr="009E4C83">
        <w:rPr>
          <w:rFonts w:asciiTheme="minorBidi" w:eastAsia="Arial" w:hAnsiTheme="minorBidi"/>
          <w:iCs/>
          <w:sz w:val="24"/>
          <w:szCs w:val="24"/>
          <w:u w:val="single"/>
        </w:rPr>
        <w:t>reference</w:t>
      </w:r>
      <w:r w:rsidRPr="009E4C83">
        <w:rPr>
          <w:rFonts w:asciiTheme="minorBidi" w:eastAsia="Arial" w:hAnsiTheme="minorBidi"/>
          <w:iCs/>
          <w:sz w:val="24"/>
          <w:szCs w:val="24"/>
          <w:u w:val="single"/>
        </w:rPr>
        <w:t xml:space="preserve"> formulation.</w:t>
      </w:r>
    </w:p>
    <w:p w14:paraId="21DD49EC" w14:textId="77777777" w:rsidR="0046510E" w:rsidRPr="000E7FE5" w:rsidRDefault="0046510E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</w:p>
    <w:p w14:paraId="35173E94" w14:textId="30D71CD5" w:rsidR="009B7D5E" w:rsidRDefault="009B7D5E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  <w:r w:rsidRPr="000E7FE5">
        <w:rPr>
          <w:rFonts w:asciiTheme="minorBidi" w:eastAsia="Arial" w:hAnsiTheme="minorBidi"/>
          <w:sz w:val="24"/>
          <w:szCs w:val="24"/>
        </w:rPr>
        <w:t xml:space="preserve">The pharmacokinetic parameter estimates of </w:t>
      </w:r>
      <w:r w:rsidR="00E20BFE">
        <w:rPr>
          <w:rFonts w:asciiTheme="minorBidi" w:eastAsia="Arial" w:hAnsiTheme="minorBidi"/>
          <w:sz w:val="24"/>
          <w:szCs w:val="24"/>
        </w:rPr>
        <w:t>alfuzosin</w:t>
      </w:r>
      <w:r w:rsidRPr="000E7FE5">
        <w:rPr>
          <w:rFonts w:asciiTheme="minorBidi" w:eastAsia="Arial" w:hAnsiTheme="minorBidi"/>
          <w:sz w:val="24"/>
          <w:szCs w:val="24"/>
        </w:rPr>
        <w:t xml:space="preserve">10 mg </w:t>
      </w:r>
      <w:r w:rsidR="00E20BFE">
        <w:rPr>
          <w:rFonts w:asciiTheme="minorBidi" w:eastAsia="Arial" w:hAnsiTheme="minorBidi"/>
          <w:sz w:val="24"/>
          <w:szCs w:val="24"/>
        </w:rPr>
        <w:t>XR</w:t>
      </w:r>
      <w:r w:rsidRPr="000E7FE5">
        <w:rPr>
          <w:rFonts w:asciiTheme="minorBidi" w:eastAsia="Arial" w:hAnsiTheme="minorBidi"/>
          <w:sz w:val="24"/>
          <w:szCs w:val="24"/>
        </w:rPr>
        <w:t xml:space="preserve"> </w:t>
      </w:r>
      <w:r w:rsidR="00AF114D">
        <w:rPr>
          <w:rFonts w:asciiTheme="minorBidi" w:eastAsia="Arial" w:hAnsiTheme="minorBidi"/>
          <w:sz w:val="24"/>
          <w:szCs w:val="24"/>
        </w:rPr>
        <w:t>reference</w:t>
      </w:r>
      <w:r w:rsidRPr="000E7FE5">
        <w:rPr>
          <w:rFonts w:asciiTheme="minorBidi" w:eastAsia="Arial" w:hAnsiTheme="minorBidi"/>
          <w:sz w:val="24"/>
          <w:szCs w:val="24"/>
        </w:rPr>
        <w:t xml:space="preserve"> and test tablets are shown in </w:t>
      </w:r>
      <w:r w:rsidR="009E4C83" w:rsidRPr="000E7FE5">
        <w:rPr>
          <w:rFonts w:asciiTheme="minorBidi" w:eastAsia="Arial" w:hAnsiTheme="minorBidi"/>
          <w:sz w:val="24"/>
          <w:szCs w:val="24"/>
        </w:rPr>
        <w:t xml:space="preserve">Table </w:t>
      </w:r>
      <w:r w:rsidR="008C124F">
        <w:rPr>
          <w:rFonts w:asciiTheme="minorBidi" w:eastAsia="Arial" w:hAnsiTheme="minorBidi"/>
          <w:sz w:val="24"/>
          <w:szCs w:val="24"/>
        </w:rPr>
        <w:t>4</w:t>
      </w:r>
      <w:r w:rsidRPr="000E7FE5">
        <w:rPr>
          <w:rFonts w:asciiTheme="minorBidi" w:eastAsia="Arial" w:hAnsiTheme="minorBidi"/>
          <w:sz w:val="24"/>
          <w:szCs w:val="24"/>
        </w:rPr>
        <w:t>.</w:t>
      </w:r>
    </w:p>
    <w:p w14:paraId="4779E05C" w14:textId="77777777" w:rsidR="009E4C83" w:rsidRDefault="009E4C83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</w:p>
    <w:p w14:paraId="699729CA" w14:textId="6EBB2F3A" w:rsidR="008C124F" w:rsidRPr="009E4C83" w:rsidRDefault="008C124F" w:rsidP="00A307B4">
      <w:pPr>
        <w:spacing w:after="240" w:line="480" w:lineRule="auto"/>
        <w:contextualSpacing/>
        <w:jc w:val="both"/>
        <w:rPr>
          <w:rFonts w:asciiTheme="minorBidi" w:eastAsia="Arial" w:hAnsiTheme="minorBidi"/>
          <w:sz w:val="24"/>
          <w:szCs w:val="24"/>
          <w:u w:val="single"/>
        </w:rPr>
      </w:pPr>
      <w:r w:rsidRPr="009E4C83">
        <w:rPr>
          <w:rFonts w:asciiTheme="minorBidi" w:eastAsia="Arial" w:hAnsiTheme="minorBidi"/>
          <w:sz w:val="24"/>
          <w:szCs w:val="24"/>
          <w:u w:val="single"/>
        </w:rPr>
        <w:t xml:space="preserve">Table 4: Pharmacokinetics </w:t>
      </w:r>
      <w:r w:rsidR="00196698" w:rsidRPr="009E4C83">
        <w:rPr>
          <w:rFonts w:asciiTheme="minorBidi" w:eastAsia="Arial" w:hAnsiTheme="minorBidi"/>
          <w:sz w:val="24"/>
          <w:szCs w:val="24"/>
          <w:u w:val="single"/>
        </w:rPr>
        <w:t xml:space="preserve">parameters </w:t>
      </w:r>
      <w:r w:rsidRPr="009E4C83">
        <w:rPr>
          <w:rFonts w:asciiTheme="minorBidi" w:eastAsia="Arial" w:hAnsiTheme="minorBidi"/>
          <w:sz w:val="24"/>
          <w:szCs w:val="24"/>
          <w:u w:val="single"/>
        </w:rPr>
        <w:t xml:space="preserve">of </w:t>
      </w:r>
      <w:r w:rsidR="00E20BFE" w:rsidRPr="009E4C83">
        <w:rPr>
          <w:rFonts w:asciiTheme="minorBidi" w:eastAsia="Arial" w:hAnsiTheme="minorBidi"/>
          <w:sz w:val="24"/>
          <w:szCs w:val="24"/>
          <w:u w:val="single"/>
        </w:rPr>
        <w:t>alfuzosin</w:t>
      </w:r>
      <w:r w:rsidRPr="009E4C83">
        <w:rPr>
          <w:rFonts w:asciiTheme="minorBidi" w:eastAsia="Arial" w:hAnsiTheme="minorBidi"/>
          <w:sz w:val="24"/>
          <w:szCs w:val="24"/>
          <w:u w:val="single"/>
        </w:rPr>
        <w:t xml:space="preserve"> from 10 </w:t>
      </w:r>
      <w:r w:rsidRPr="009E4C83">
        <w:rPr>
          <w:rFonts w:asciiTheme="minorBidi" w:eastAsia="Arial" w:hAnsiTheme="minorBidi"/>
          <w:iCs/>
          <w:sz w:val="24"/>
          <w:szCs w:val="24"/>
          <w:u w:val="single"/>
        </w:rPr>
        <w:t xml:space="preserve">mg </w:t>
      </w:r>
      <w:r w:rsidR="00E20BFE" w:rsidRPr="009E4C83">
        <w:rPr>
          <w:rFonts w:asciiTheme="minorBidi" w:eastAsia="Arial" w:hAnsiTheme="minorBidi"/>
          <w:iCs/>
          <w:sz w:val="24"/>
          <w:szCs w:val="24"/>
          <w:u w:val="single"/>
        </w:rPr>
        <w:t>XR</w:t>
      </w:r>
      <w:r w:rsidRPr="009E4C83">
        <w:rPr>
          <w:rFonts w:asciiTheme="minorBidi" w:eastAsia="Arial" w:hAnsiTheme="minorBidi"/>
          <w:iCs/>
          <w:sz w:val="24"/>
          <w:szCs w:val="24"/>
          <w:u w:val="single"/>
        </w:rPr>
        <w:t xml:space="preserve"> tablets </w:t>
      </w:r>
      <w:r w:rsidRPr="009E4C83">
        <w:rPr>
          <w:rFonts w:asciiTheme="minorBidi" w:eastAsia="Arial" w:hAnsiTheme="minorBidi"/>
          <w:sz w:val="24"/>
          <w:szCs w:val="24"/>
          <w:u w:val="single"/>
        </w:rPr>
        <w:t>(test</w:t>
      </w:r>
    </w:p>
    <w:p w14:paraId="557F1799" w14:textId="42E00E6C" w:rsidR="008C124F" w:rsidRPr="009E4C83" w:rsidRDefault="009E4C83" w:rsidP="00A307B4">
      <w:pPr>
        <w:spacing w:after="240" w:line="480" w:lineRule="auto"/>
        <w:contextualSpacing/>
        <w:jc w:val="both"/>
        <w:rPr>
          <w:rFonts w:asciiTheme="minorBidi" w:eastAsia="Arial" w:hAnsiTheme="minorBidi"/>
          <w:sz w:val="24"/>
          <w:szCs w:val="24"/>
          <w:u w:val="single"/>
        </w:rPr>
      </w:pPr>
      <w:r w:rsidRPr="009E4C83">
        <w:rPr>
          <w:rFonts w:asciiTheme="minorBidi" w:eastAsia="Arial" w:hAnsiTheme="minorBidi"/>
          <w:sz w:val="24"/>
          <w:szCs w:val="24"/>
          <w:u w:val="single"/>
        </w:rPr>
        <w:lastRenderedPageBreak/>
        <w:t>v</w:t>
      </w:r>
      <w:r w:rsidR="009B018B" w:rsidRPr="009E4C83">
        <w:rPr>
          <w:rFonts w:asciiTheme="minorBidi" w:eastAsia="Arial" w:hAnsiTheme="minorBidi"/>
          <w:sz w:val="24"/>
          <w:szCs w:val="24"/>
          <w:u w:val="single"/>
        </w:rPr>
        <w:t>ersus</w:t>
      </w:r>
      <w:r w:rsidR="008C124F" w:rsidRPr="009E4C83">
        <w:rPr>
          <w:rFonts w:asciiTheme="minorBidi" w:eastAsia="Arial" w:hAnsiTheme="minorBidi"/>
          <w:sz w:val="24"/>
          <w:szCs w:val="24"/>
          <w:u w:val="single"/>
        </w:rPr>
        <w:t xml:space="preserve"> </w:t>
      </w:r>
      <w:r w:rsidR="00AF114D" w:rsidRPr="009E4C83">
        <w:rPr>
          <w:rFonts w:asciiTheme="minorBidi" w:eastAsia="Arial" w:hAnsiTheme="minorBidi"/>
          <w:iCs/>
          <w:sz w:val="24"/>
          <w:szCs w:val="24"/>
          <w:u w:val="single"/>
        </w:rPr>
        <w:t>reference</w:t>
      </w:r>
      <w:r w:rsidR="008C124F" w:rsidRPr="009E4C83">
        <w:rPr>
          <w:rFonts w:asciiTheme="minorBidi" w:eastAsia="Arial" w:hAnsiTheme="minorBidi"/>
          <w:iCs/>
          <w:sz w:val="24"/>
          <w:szCs w:val="24"/>
          <w:u w:val="single"/>
        </w:rPr>
        <w:t xml:space="preserve"> product</w:t>
      </w:r>
      <w:r w:rsidR="008C124F" w:rsidRPr="009E4C83">
        <w:rPr>
          <w:rFonts w:asciiTheme="minorBidi" w:eastAsia="Arial" w:hAnsiTheme="minorBidi"/>
          <w:sz w:val="24"/>
          <w:szCs w:val="24"/>
          <w:u w:val="single"/>
        </w:rPr>
        <w:t>).</w:t>
      </w:r>
    </w:p>
    <w:p w14:paraId="6C0E758C" w14:textId="486E4BC1" w:rsidR="009B7D5E" w:rsidRDefault="009B7D5E" w:rsidP="00A307B4">
      <w:pPr>
        <w:spacing w:after="240" w:line="480" w:lineRule="auto"/>
        <w:jc w:val="both"/>
        <w:rPr>
          <w:rFonts w:asciiTheme="minorBidi" w:eastAsia="Arial" w:hAnsiTheme="minorBidi"/>
          <w:sz w:val="24"/>
          <w:szCs w:val="24"/>
        </w:rPr>
      </w:pPr>
    </w:p>
    <w:p w14:paraId="4A5D07F4" w14:textId="14B85B01" w:rsidR="004E7243" w:rsidRDefault="004E7243" w:rsidP="00A307B4">
      <w:pPr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eastAsia="Arial" w:hAnsiTheme="minorBidi"/>
          <w:sz w:val="24"/>
          <w:szCs w:val="24"/>
        </w:rPr>
        <w:t>ANOVA analysis of the lo</w:t>
      </w:r>
      <w:r w:rsidR="00A82100">
        <w:rPr>
          <w:rFonts w:asciiTheme="minorBidi" w:eastAsia="Arial" w:hAnsiTheme="minorBidi"/>
          <w:sz w:val="24"/>
          <w:szCs w:val="24"/>
        </w:rPr>
        <w:t>g</w:t>
      </w:r>
      <w:r w:rsidR="009E4C83">
        <w:rPr>
          <w:rFonts w:asciiTheme="minorBidi" w:eastAsia="Arial" w:hAnsiTheme="minorBidi"/>
          <w:sz w:val="24"/>
          <w:szCs w:val="24"/>
        </w:rPr>
        <w:t>-</w:t>
      </w:r>
      <w:r>
        <w:rPr>
          <w:rFonts w:asciiTheme="minorBidi" w:eastAsia="Arial" w:hAnsiTheme="minorBidi"/>
          <w:sz w:val="24"/>
          <w:szCs w:val="24"/>
        </w:rPr>
        <w:t xml:space="preserve">transformed data and the untransformed pharmacokinetic </w:t>
      </w:r>
      <w:r w:rsidR="009B018B">
        <w:rPr>
          <w:rFonts w:asciiTheme="minorBidi" w:eastAsia="Arial" w:hAnsiTheme="minorBidi"/>
          <w:sz w:val="24"/>
          <w:szCs w:val="24"/>
        </w:rPr>
        <w:t>parameters revealed</w:t>
      </w:r>
      <w:r>
        <w:rPr>
          <w:rFonts w:asciiTheme="minorBidi" w:eastAsia="Arial" w:hAnsiTheme="minorBidi"/>
          <w:sz w:val="24"/>
          <w:szCs w:val="24"/>
        </w:rPr>
        <w:t xml:space="preserve"> no interference from the </w:t>
      </w:r>
      <w:r w:rsidRPr="00572884">
        <w:rPr>
          <w:rFonts w:asciiTheme="minorBidi" w:hAnsiTheme="minorBidi"/>
          <w:sz w:val="24"/>
          <w:szCs w:val="24"/>
        </w:rPr>
        <w:t>sequence effect, product or period effect</w:t>
      </w:r>
      <w:r>
        <w:rPr>
          <w:rFonts w:asciiTheme="minorBidi" w:hAnsiTheme="minorBidi"/>
          <w:sz w:val="24"/>
          <w:szCs w:val="24"/>
        </w:rPr>
        <w:t xml:space="preserve"> on the pharmacokinetic parameters</w:t>
      </w:r>
      <w:r w:rsidR="009E4C83">
        <w:rPr>
          <w:rFonts w:asciiTheme="minorBidi" w:hAnsiTheme="minorBidi"/>
          <w:sz w:val="24"/>
          <w:szCs w:val="24"/>
        </w:rPr>
        <w:t xml:space="preserve"> (see</w:t>
      </w:r>
      <w:r>
        <w:rPr>
          <w:rFonts w:asciiTheme="minorBidi" w:hAnsiTheme="minorBidi"/>
          <w:sz w:val="24"/>
          <w:szCs w:val="24"/>
        </w:rPr>
        <w:t xml:space="preserve"> Table 5</w:t>
      </w:r>
      <w:r w:rsidR="009E4C83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.</w:t>
      </w:r>
    </w:p>
    <w:p w14:paraId="17CF566F" w14:textId="77777777" w:rsidR="009E4C83" w:rsidRDefault="009E4C83" w:rsidP="00A307B4">
      <w:pPr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</w:p>
    <w:p w14:paraId="719D4D57" w14:textId="7F87E96F" w:rsidR="004E7243" w:rsidRPr="009E4C83" w:rsidRDefault="004E7243" w:rsidP="00A307B4">
      <w:pPr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u w:val="single"/>
        </w:rPr>
      </w:pPr>
      <w:r w:rsidRPr="009E4C83">
        <w:rPr>
          <w:rFonts w:asciiTheme="minorBidi" w:hAnsiTheme="minorBidi"/>
          <w:sz w:val="24"/>
          <w:szCs w:val="24"/>
          <w:u w:val="single"/>
        </w:rPr>
        <w:t xml:space="preserve">Table 5: P-values obtained from </w:t>
      </w:r>
      <w:r w:rsidR="00984243" w:rsidRPr="009E4C83">
        <w:rPr>
          <w:rFonts w:asciiTheme="minorBidi" w:hAnsiTheme="minorBidi"/>
          <w:sz w:val="24"/>
          <w:szCs w:val="24"/>
          <w:u w:val="single"/>
        </w:rPr>
        <w:t>alfuzosin</w:t>
      </w:r>
      <w:r w:rsidRPr="009E4C83">
        <w:rPr>
          <w:rFonts w:asciiTheme="minorBidi" w:hAnsiTheme="minorBidi"/>
          <w:sz w:val="24"/>
          <w:szCs w:val="24"/>
          <w:u w:val="single"/>
        </w:rPr>
        <w:t xml:space="preserve"> ANOVA results after an oral dose administration of one </w:t>
      </w:r>
      <w:r w:rsidR="009E4C83" w:rsidRPr="009E4C83">
        <w:rPr>
          <w:rFonts w:asciiTheme="minorBidi" w:hAnsiTheme="minorBidi"/>
          <w:sz w:val="24"/>
          <w:szCs w:val="24"/>
          <w:u w:val="single"/>
        </w:rPr>
        <w:t xml:space="preserve">10 mg </w:t>
      </w:r>
      <w:r w:rsidRPr="009E4C83">
        <w:rPr>
          <w:rFonts w:asciiTheme="minorBidi" w:hAnsiTheme="minorBidi"/>
          <w:sz w:val="24"/>
          <w:szCs w:val="24"/>
          <w:u w:val="single"/>
        </w:rPr>
        <w:t xml:space="preserve">tablet of </w:t>
      </w:r>
      <w:r w:rsidR="009E4C83" w:rsidRPr="009E4C83">
        <w:rPr>
          <w:rFonts w:asciiTheme="minorBidi" w:hAnsiTheme="minorBidi"/>
          <w:sz w:val="24"/>
          <w:szCs w:val="24"/>
          <w:u w:val="single"/>
        </w:rPr>
        <w:t xml:space="preserve">test </w:t>
      </w:r>
      <w:r w:rsidRPr="009E4C83">
        <w:rPr>
          <w:rFonts w:asciiTheme="minorBidi" w:hAnsiTheme="minorBidi"/>
          <w:sz w:val="24"/>
          <w:szCs w:val="24"/>
          <w:u w:val="single"/>
        </w:rPr>
        <w:t>product</w:t>
      </w:r>
      <w:r w:rsidR="009E4C83">
        <w:rPr>
          <w:rFonts w:asciiTheme="minorBidi" w:hAnsiTheme="minorBidi"/>
          <w:sz w:val="24"/>
          <w:szCs w:val="24"/>
          <w:u w:val="single"/>
        </w:rPr>
        <w:t xml:space="preserve"> and</w:t>
      </w:r>
      <w:r w:rsidRPr="009E4C83">
        <w:rPr>
          <w:rFonts w:asciiTheme="minorBidi" w:hAnsiTheme="minorBidi"/>
          <w:sz w:val="24"/>
          <w:szCs w:val="24"/>
          <w:u w:val="single"/>
        </w:rPr>
        <w:t xml:space="preserve">, </w:t>
      </w:r>
      <w:r w:rsidR="00984243" w:rsidRPr="009E4C83">
        <w:rPr>
          <w:rFonts w:asciiTheme="minorBidi" w:hAnsiTheme="minorBidi"/>
          <w:sz w:val="24"/>
          <w:szCs w:val="24"/>
          <w:u w:val="single"/>
        </w:rPr>
        <w:t>alfuzosin</w:t>
      </w:r>
      <w:r w:rsidRPr="009E4C83">
        <w:rPr>
          <w:rFonts w:asciiTheme="minorBidi" w:hAnsiTheme="minorBidi"/>
          <w:sz w:val="24"/>
          <w:szCs w:val="24"/>
          <w:u w:val="single"/>
        </w:rPr>
        <w:t xml:space="preserve"> </w:t>
      </w:r>
      <w:r w:rsidR="00AF114D" w:rsidRPr="009E4C83">
        <w:rPr>
          <w:rFonts w:asciiTheme="minorBidi" w:hAnsiTheme="minorBidi"/>
          <w:sz w:val="24"/>
          <w:szCs w:val="24"/>
          <w:u w:val="single"/>
        </w:rPr>
        <w:t>reference</w:t>
      </w:r>
      <w:r w:rsidRPr="009E4C83">
        <w:rPr>
          <w:rFonts w:asciiTheme="minorBidi" w:hAnsiTheme="minorBidi"/>
          <w:sz w:val="24"/>
          <w:szCs w:val="24"/>
          <w:u w:val="single"/>
        </w:rPr>
        <w:t xml:space="preserve"> product.</w:t>
      </w:r>
    </w:p>
    <w:p w14:paraId="0AE07AA1" w14:textId="77777777" w:rsidR="00A307B4" w:rsidRDefault="00A307B4" w:rsidP="00A307B4">
      <w:pPr>
        <w:spacing w:after="240" w:line="480" w:lineRule="auto"/>
        <w:jc w:val="both"/>
        <w:rPr>
          <w:rFonts w:asciiTheme="minorBidi" w:eastAsia="Arial" w:hAnsiTheme="minorBidi"/>
          <w:b/>
          <w:sz w:val="24"/>
          <w:szCs w:val="24"/>
        </w:rPr>
      </w:pPr>
    </w:p>
    <w:p w14:paraId="7660764C" w14:textId="69F18EC4" w:rsidR="008A2D22" w:rsidRPr="0042588E" w:rsidRDefault="008A2D22" w:rsidP="00A307B4">
      <w:pPr>
        <w:spacing w:after="240" w:line="480" w:lineRule="auto"/>
        <w:jc w:val="both"/>
        <w:rPr>
          <w:rFonts w:asciiTheme="minorBidi" w:eastAsia="Arial" w:hAnsiTheme="minorBidi"/>
          <w:b/>
          <w:sz w:val="24"/>
          <w:szCs w:val="24"/>
        </w:rPr>
      </w:pPr>
      <w:r w:rsidRPr="0042588E">
        <w:rPr>
          <w:rFonts w:asciiTheme="minorBidi" w:eastAsia="Arial" w:hAnsiTheme="minorBidi"/>
          <w:b/>
          <w:sz w:val="24"/>
          <w:szCs w:val="24"/>
        </w:rPr>
        <w:t>Discussion</w:t>
      </w:r>
    </w:p>
    <w:p w14:paraId="6C988AD4" w14:textId="195A012A" w:rsidR="00C43BF8" w:rsidRPr="000E7FE5" w:rsidRDefault="00E41377" w:rsidP="00A307B4">
      <w:pPr>
        <w:autoSpaceDE w:val="0"/>
        <w:autoSpaceDN w:val="0"/>
        <w:adjustRightInd w:val="0"/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 w:rsidRPr="000E7FE5">
        <w:rPr>
          <w:rFonts w:asciiTheme="minorBidi" w:hAnsiTheme="minorBidi"/>
          <w:sz w:val="24"/>
          <w:szCs w:val="24"/>
        </w:rPr>
        <w:t xml:space="preserve">This study was a single </w:t>
      </w:r>
      <w:r w:rsidR="00572884" w:rsidRPr="000E7FE5">
        <w:rPr>
          <w:rFonts w:asciiTheme="minorBidi" w:hAnsiTheme="minorBidi"/>
          <w:sz w:val="24"/>
          <w:szCs w:val="24"/>
        </w:rPr>
        <w:t>centre</w:t>
      </w:r>
      <w:r w:rsidRPr="000E7FE5">
        <w:rPr>
          <w:rFonts w:asciiTheme="minorBidi" w:hAnsiTheme="minorBidi"/>
          <w:sz w:val="24"/>
          <w:szCs w:val="24"/>
        </w:rPr>
        <w:t xml:space="preserve">, open-label, randomized, single-dose study with </w:t>
      </w:r>
      <w:r w:rsidR="009E4C83">
        <w:rPr>
          <w:rFonts w:asciiTheme="minorBidi" w:hAnsiTheme="minorBidi"/>
          <w:sz w:val="24"/>
          <w:szCs w:val="24"/>
        </w:rPr>
        <w:t>two</w:t>
      </w:r>
      <w:r w:rsidRPr="000E7FE5">
        <w:rPr>
          <w:rFonts w:asciiTheme="minorBidi" w:hAnsiTheme="minorBidi"/>
          <w:sz w:val="24"/>
          <w:szCs w:val="24"/>
        </w:rPr>
        <w:t>-way crossover</w:t>
      </w:r>
      <w:r w:rsidR="005E021A" w:rsidRPr="000E7FE5">
        <w:rPr>
          <w:rFonts w:asciiTheme="minorBidi" w:hAnsiTheme="minorBidi"/>
          <w:sz w:val="24"/>
          <w:szCs w:val="24"/>
        </w:rPr>
        <w:t xml:space="preserve"> </w:t>
      </w:r>
      <w:r w:rsidRPr="000E7FE5">
        <w:rPr>
          <w:rFonts w:asciiTheme="minorBidi" w:hAnsiTheme="minorBidi"/>
          <w:sz w:val="24"/>
          <w:szCs w:val="24"/>
        </w:rPr>
        <w:t xml:space="preserve">design to compare the bioavailability of </w:t>
      </w:r>
      <w:r w:rsidR="00854651">
        <w:rPr>
          <w:rFonts w:asciiTheme="minorBidi" w:hAnsiTheme="minorBidi"/>
          <w:sz w:val="24"/>
          <w:szCs w:val="24"/>
        </w:rPr>
        <w:t>alfuzosin</w:t>
      </w:r>
      <w:r w:rsidRPr="000E7FE5">
        <w:rPr>
          <w:rFonts w:asciiTheme="minorBidi" w:hAnsiTheme="minorBidi"/>
          <w:sz w:val="24"/>
          <w:szCs w:val="24"/>
        </w:rPr>
        <w:t xml:space="preserve"> between </w:t>
      </w:r>
      <w:r w:rsidR="00854651">
        <w:rPr>
          <w:rFonts w:asciiTheme="minorBidi" w:hAnsiTheme="minorBidi"/>
          <w:sz w:val="24"/>
          <w:szCs w:val="24"/>
        </w:rPr>
        <w:t xml:space="preserve">of </w:t>
      </w:r>
      <w:r w:rsidR="009E4C83">
        <w:rPr>
          <w:rFonts w:asciiTheme="minorBidi" w:hAnsiTheme="minorBidi"/>
          <w:sz w:val="24"/>
          <w:szCs w:val="24"/>
        </w:rPr>
        <w:t>two</w:t>
      </w:r>
      <w:r w:rsidR="009E4C83" w:rsidRPr="000E7FE5">
        <w:rPr>
          <w:rFonts w:asciiTheme="minorBidi" w:hAnsiTheme="minorBidi"/>
          <w:sz w:val="24"/>
          <w:szCs w:val="24"/>
        </w:rPr>
        <w:t xml:space="preserve"> </w:t>
      </w:r>
      <w:r w:rsidRPr="000E7FE5">
        <w:rPr>
          <w:rFonts w:asciiTheme="minorBidi" w:hAnsiTheme="minorBidi"/>
          <w:sz w:val="24"/>
          <w:szCs w:val="24"/>
        </w:rPr>
        <w:t>products in healthy adult subjects</w:t>
      </w:r>
      <w:r w:rsidR="005E021A" w:rsidRPr="000E7FE5">
        <w:rPr>
          <w:rFonts w:asciiTheme="minorBidi" w:hAnsiTheme="minorBidi"/>
          <w:sz w:val="24"/>
          <w:szCs w:val="24"/>
        </w:rPr>
        <w:t xml:space="preserve"> </w:t>
      </w:r>
      <w:r w:rsidRPr="000E7FE5">
        <w:rPr>
          <w:rFonts w:asciiTheme="minorBidi" w:hAnsiTheme="minorBidi"/>
          <w:sz w:val="24"/>
          <w:szCs w:val="24"/>
        </w:rPr>
        <w:t>under fed condition</w:t>
      </w:r>
      <w:r w:rsidR="00854651">
        <w:rPr>
          <w:rFonts w:asciiTheme="minorBidi" w:hAnsiTheme="minorBidi"/>
          <w:sz w:val="24"/>
          <w:szCs w:val="24"/>
        </w:rPr>
        <w:t>s</w:t>
      </w:r>
      <w:r w:rsidRPr="000E7FE5">
        <w:rPr>
          <w:rFonts w:asciiTheme="minorBidi" w:hAnsiTheme="minorBidi"/>
          <w:sz w:val="24"/>
          <w:szCs w:val="24"/>
        </w:rPr>
        <w:t>.</w:t>
      </w:r>
      <w:r w:rsidR="005E021A" w:rsidRPr="000E7FE5">
        <w:rPr>
          <w:rFonts w:asciiTheme="minorBidi" w:hAnsiTheme="minorBidi"/>
          <w:sz w:val="24"/>
          <w:szCs w:val="24"/>
        </w:rPr>
        <w:t xml:space="preserve"> </w:t>
      </w:r>
    </w:p>
    <w:p w14:paraId="51577560" w14:textId="43FC22EA" w:rsidR="00C43BF8" w:rsidRPr="00572884" w:rsidRDefault="00E41377" w:rsidP="00A307B4">
      <w:pPr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 w:rsidRPr="00572884">
        <w:rPr>
          <w:rFonts w:asciiTheme="minorBidi" w:hAnsiTheme="minorBidi"/>
          <w:sz w:val="24"/>
          <w:szCs w:val="24"/>
        </w:rPr>
        <w:t xml:space="preserve">The results of this bioequivalence study showed that the </w:t>
      </w:r>
      <w:r w:rsidR="00441542">
        <w:rPr>
          <w:rFonts w:asciiTheme="minorBidi" w:hAnsiTheme="minorBidi"/>
          <w:sz w:val="24"/>
          <w:szCs w:val="24"/>
        </w:rPr>
        <w:t>two</w:t>
      </w:r>
      <w:r w:rsidR="00441542" w:rsidRPr="00572884">
        <w:rPr>
          <w:rFonts w:asciiTheme="minorBidi" w:hAnsiTheme="minorBidi"/>
          <w:sz w:val="24"/>
          <w:szCs w:val="24"/>
        </w:rPr>
        <w:t xml:space="preserve"> </w:t>
      </w:r>
      <w:r w:rsidRPr="00572884">
        <w:rPr>
          <w:rFonts w:asciiTheme="minorBidi" w:hAnsiTheme="minorBidi"/>
          <w:sz w:val="24"/>
          <w:szCs w:val="24"/>
        </w:rPr>
        <w:t>studied products</w:t>
      </w:r>
      <w:r w:rsidR="00441542">
        <w:rPr>
          <w:rFonts w:asciiTheme="minorBidi" w:hAnsiTheme="minorBidi"/>
          <w:sz w:val="24"/>
          <w:szCs w:val="24"/>
        </w:rPr>
        <w:t>,</w:t>
      </w:r>
      <w:r w:rsidRPr="00572884">
        <w:rPr>
          <w:rFonts w:asciiTheme="minorBidi" w:hAnsiTheme="minorBidi"/>
          <w:sz w:val="24"/>
          <w:szCs w:val="24"/>
        </w:rPr>
        <w:t xml:space="preserve"> </w:t>
      </w:r>
      <w:r w:rsidR="00572884" w:rsidRPr="00572884">
        <w:rPr>
          <w:rFonts w:asciiTheme="minorBidi" w:hAnsiTheme="minorBidi"/>
          <w:sz w:val="24"/>
          <w:szCs w:val="24"/>
        </w:rPr>
        <w:t xml:space="preserve">the test and the </w:t>
      </w:r>
      <w:r w:rsidR="00AF114D">
        <w:rPr>
          <w:rFonts w:asciiTheme="minorBidi" w:hAnsiTheme="minorBidi"/>
          <w:sz w:val="24"/>
          <w:szCs w:val="24"/>
        </w:rPr>
        <w:t>reference</w:t>
      </w:r>
      <w:r w:rsidRPr="00572884">
        <w:rPr>
          <w:rFonts w:asciiTheme="minorBidi" w:hAnsiTheme="minorBidi"/>
          <w:sz w:val="24"/>
          <w:szCs w:val="24"/>
        </w:rPr>
        <w:t xml:space="preserve"> 10 mg </w:t>
      </w:r>
      <w:r w:rsidR="00854651">
        <w:rPr>
          <w:rFonts w:asciiTheme="minorBidi" w:hAnsiTheme="minorBidi"/>
          <w:sz w:val="24"/>
          <w:szCs w:val="24"/>
        </w:rPr>
        <w:t>alfuzosin XR</w:t>
      </w:r>
      <w:r w:rsidR="00572884" w:rsidRPr="00572884">
        <w:rPr>
          <w:rFonts w:asciiTheme="minorBidi" w:hAnsiTheme="minorBidi"/>
          <w:sz w:val="24"/>
          <w:szCs w:val="24"/>
        </w:rPr>
        <w:t xml:space="preserve"> </w:t>
      </w:r>
      <w:r w:rsidR="00C43BF8" w:rsidRPr="00572884">
        <w:rPr>
          <w:rFonts w:asciiTheme="minorBidi" w:hAnsiTheme="minorBidi"/>
          <w:sz w:val="24"/>
          <w:szCs w:val="24"/>
        </w:rPr>
        <w:t>tablets</w:t>
      </w:r>
      <w:r w:rsidR="00854651">
        <w:rPr>
          <w:rFonts w:asciiTheme="minorBidi" w:hAnsiTheme="minorBidi"/>
          <w:sz w:val="24"/>
          <w:szCs w:val="24"/>
        </w:rPr>
        <w:t>,</w:t>
      </w:r>
      <w:r w:rsidRPr="00572884">
        <w:rPr>
          <w:rFonts w:asciiTheme="minorBidi" w:hAnsiTheme="minorBidi"/>
          <w:sz w:val="24"/>
          <w:szCs w:val="24"/>
        </w:rPr>
        <w:t xml:space="preserve"> </w:t>
      </w:r>
      <w:r w:rsidR="00C43BF8" w:rsidRPr="00572884">
        <w:rPr>
          <w:rFonts w:asciiTheme="minorBidi" w:hAnsiTheme="minorBidi"/>
          <w:sz w:val="24"/>
          <w:szCs w:val="24"/>
        </w:rPr>
        <w:t xml:space="preserve">were bioequivalent under fed conditions. Furthermore, the </w:t>
      </w:r>
      <w:r w:rsidR="00441542">
        <w:rPr>
          <w:rFonts w:asciiTheme="minorBidi" w:hAnsiTheme="minorBidi"/>
          <w:sz w:val="24"/>
          <w:szCs w:val="24"/>
        </w:rPr>
        <w:t>two</w:t>
      </w:r>
      <w:r w:rsidR="00441542" w:rsidRPr="00572884">
        <w:rPr>
          <w:rFonts w:asciiTheme="minorBidi" w:hAnsiTheme="minorBidi"/>
          <w:sz w:val="24"/>
          <w:szCs w:val="24"/>
        </w:rPr>
        <w:t xml:space="preserve"> </w:t>
      </w:r>
      <w:r w:rsidR="00C43BF8" w:rsidRPr="00572884">
        <w:rPr>
          <w:rFonts w:asciiTheme="minorBidi" w:hAnsiTheme="minorBidi"/>
          <w:sz w:val="24"/>
          <w:szCs w:val="24"/>
        </w:rPr>
        <w:t xml:space="preserve">formulations can safely be used interchangeably by patients. </w:t>
      </w:r>
      <w:r w:rsidR="009B018B" w:rsidRPr="00572884">
        <w:rPr>
          <w:rFonts w:asciiTheme="minorBidi" w:hAnsiTheme="minorBidi"/>
          <w:sz w:val="24"/>
          <w:szCs w:val="24"/>
        </w:rPr>
        <w:t>The</w:t>
      </w:r>
      <w:r w:rsidRPr="00572884">
        <w:rPr>
          <w:rFonts w:asciiTheme="minorBidi" w:hAnsiTheme="minorBidi"/>
          <w:sz w:val="24"/>
          <w:szCs w:val="24"/>
        </w:rPr>
        <w:t xml:space="preserve"> Reference Product</w:t>
      </w:r>
      <w:r w:rsidR="003A239B">
        <w:rPr>
          <w:rFonts w:asciiTheme="minorBidi" w:hAnsiTheme="minorBidi"/>
          <w:sz w:val="24"/>
          <w:szCs w:val="24"/>
        </w:rPr>
        <w:t>s</w:t>
      </w:r>
      <w:r w:rsidRPr="00572884">
        <w:rPr>
          <w:rFonts w:asciiTheme="minorBidi" w:hAnsiTheme="minorBidi"/>
          <w:sz w:val="24"/>
          <w:szCs w:val="24"/>
        </w:rPr>
        <w:t xml:space="preserve"> were within</w:t>
      </w:r>
      <w:r w:rsidR="005E021A" w:rsidRPr="00572884">
        <w:rPr>
          <w:rFonts w:asciiTheme="minorBidi" w:hAnsiTheme="minorBidi"/>
          <w:sz w:val="24"/>
          <w:szCs w:val="24"/>
        </w:rPr>
        <w:t xml:space="preserve"> </w:t>
      </w:r>
      <w:r w:rsidRPr="00572884">
        <w:rPr>
          <w:rFonts w:asciiTheme="minorBidi" w:hAnsiTheme="minorBidi"/>
          <w:sz w:val="24"/>
          <w:szCs w:val="24"/>
        </w:rPr>
        <w:t>the boundaries</w:t>
      </w:r>
      <w:r w:rsidR="00C43BF8" w:rsidRPr="00572884">
        <w:rPr>
          <w:rFonts w:asciiTheme="minorBidi" w:hAnsiTheme="minorBidi"/>
          <w:sz w:val="24"/>
          <w:szCs w:val="24"/>
        </w:rPr>
        <w:t xml:space="preserve"> specified by the health regulatory authorities</w:t>
      </w:r>
      <w:r w:rsidRPr="00572884">
        <w:rPr>
          <w:rFonts w:asciiTheme="minorBidi" w:hAnsiTheme="minorBidi"/>
          <w:sz w:val="24"/>
          <w:szCs w:val="24"/>
        </w:rPr>
        <w:t xml:space="preserve"> of 80-125% for </w:t>
      </w:r>
      <w:r w:rsidR="00572884" w:rsidRPr="00572884">
        <w:rPr>
          <w:rFonts w:asciiTheme="minorBidi" w:hAnsiTheme="minorBidi"/>
          <w:sz w:val="24"/>
          <w:szCs w:val="24"/>
        </w:rPr>
        <w:t>AUC</w:t>
      </w:r>
      <w:r w:rsidR="00572884" w:rsidRPr="00572884">
        <w:rPr>
          <w:rFonts w:asciiTheme="minorBidi" w:hAnsiTheme="minorBidi"/>
          <w:sz w:val="24"/>
          <w:szCs w:val="24"/>
          <w:vertAlign w:val="subscript"/>
        </w:rPr>
        <w:t>0→t</w:t>
      </w:r>
      <w:r w:rsidR="003A239B">
        <w:rPr>
          <w:rFonts w:asciiTheme="minorBidi" w:hAnsiTheme="minorBidi"/>
          <w:sz w:val="24"/>
          <w:szCs w:val="24"/>
          <w:vertAlign w:val="subscript"/>
        </w:rPr>
        <w:t xml:space="preserve"> </w:t>
      </w:r>
      <w:r w:rsidR="003A239B" w:rsidRPr="003A239B">
        <w:rPr>
          <w:rFonts w:asciiTheme="minorBidi" w:hAnsiTheme="minorBidi"/>
          <w:sz w:val="24"/>
          <w:szCs w:val="24"/>
        </w:rPr>
        <w:t>and 75-133% for</w:t>
      </w:r>
      <w:r w:rsidR="00572884" w:rsidRPr="00572884">
        <w:rPr>
          <w:rFonts w:asciiTheme="minorBidi" w:hAnsiTheme="minorBidi"/>
          <w:sz w:val="24"/>
          <w:szCs w:val="24"/>
          <w:vertAlign w:val="subscript"/>
        </w:rPr>
        <w:t xml:space="preserve"> </w:t>
      </w:r>
      <w:proofErr w:type="spellStart"/>
      <w:r w:rsidR="003A239B" w:rsidRPr="00F70EFE">
        <w:rPr>
          <w:rFonts w:asciiTheme="minorBidi" w:eastAsia="Arial" w:hAnsiTheme="minorBidi"/>
          <w:sz w:val="24"/>
          <w:szCs w:val="24"/>
        </w:rPr>
        <w:t>C</w:t>
      </w:r>
      <w:r w:rsidR="003A239B" w:rsidRPr="00F70EFE">
        <w:rPr>
          <w:rFonts w:asciiTheme="minorBidi" w:eastAsia="Arial" w:hAnsiTheme="minorBidi"/>
          <w:sz w:val="24"/>
          <w:szCs w:val="24"/>
          <w:vertAlign w:val="subscript"/>
        </w:rPr>
        <w:t>max</w:t>
      </w:r>
      <w:proofErr w:type="spellEnd"/>
      <w:r w:rsidR="00196698">
        <w:rPr>
          <w:rFonts w:asciiTheme="minorBidi" w:hAnsiTheme="minorBidi"/>
          <w:sz w:val="24"/>
          <w:szCs w:val="24"/>
          <w:vertAlign w:val="subscript"/>
        </w:rPr>
        <w:t xml:space="preserve"> </w:t>
      </w:r>
      <w:r w:rsidR="003A239B">
        <w:rPr>
          <w:rFonts w:asciiTheme="minorBidi" w:hAnsiTheme="minorBidi"/>
          <w:sz w:val="24"/>
          <w:szCs w:val="24"/>
        </w:rPr>
        <w:t>because</w:t>
      </w:r>
      <w:r w:rsidRPr="00572884">
        <w:rPr>
          <w:rFonts w:asciiTheme="minorBidi" w:hAnsiTheme="minorBidi"/>
          <w:sz w:val="24"/>
          <w:szCs w:val="24"/>
        </w:rPr>
        <w:t xml:space="preserve"> the parametric 90</w:t>
      </w:r>
      <w:r w:rsidRPr="000E7FE5">
        <w:rPr>
          <w:rFonts w:asciiTheme="minorBidi" w:hAnsiTheme="minorBidi"/>
          <w:sz w:val="24"/>
          <w:szCs w:val="24"/>
        </w:rPr>
        <w:t>% confidence intervals</w:t>
      </w:r>
      <w:r w:rsidR="005E021A" w:rsidRPr="000E7FE5">
        <w:rPr>
          <w:rFonts w:asciiTheme="minorBidi" w:hAnsiTheme="minorBidi"/>
          <w:sz w:val="24"/>
          <w:szCs w:val="24"/>
        </w:rPr>
        <w:t xml:space="preserve"> </w:t>
      </w:r>
      <w:r w:rsidRPr="000E7FE5">
        <w:rPr>
          <w:rFonts w:asciiTheme="minorBidi" w:hAnsiTheme="minorBidi"/>
          <w:sz w:val="24"/>
          <w:szCs w:val="24"/>
        </w:rPr>
        <w:t xml:space="preserve">of the mean values for the </w:t>
      </w:r>
      <w:r w:rsidR="00441542" w:rsidRPr="000E7FE5">
        <w:rPr>
          <w:rFonts w:asciiTheme="minorBidi" w:hAnsiTheme="minorBidi"/>
          <w:sz w:val="24"/>
          <w:szCs w:val="24"/>
        </w:rPr>
        <w:t>test/r</w:t>
      </w:r>
      <w:r w:rsidRPr="000E7FE5">
        <w:rPr>
          <w:rFonts w:asciiTheme="minorBidi" w:hAnsiTheme="minorBidi"/>
          <w:sz w:val="24"/>
          <w:szCs w:val="24"/>
        </w:rPr>
        <w:t>eference ratio were inside the bioequivalence acceptable boundaries</w:t>
      </w:r>
      <w:r w:rsidR="005E021A" w:rsidRPr="000E7FE5">
        <w:rPr>
          <w:rFonts w:asciiTheme="minorBidi" w:hAnsiTheme="minorBidi"/>
          <w:sz w:val="24"/>
          <w:szCs w:val="24"/>
        </w:rPr>
        <w:t xml:space="preserve"> </w:t>
      </w:r>
      <w:r w:rsidRPr="000E7FE5">
        <w:rPr>
          <w:rFonts w:asciiTheme="minorBidi" w:hAnsiTheme="minorBidi"/>
          <w:sz w:val="24"/>
          <w:szCs w:val="24"/>
        </w:rPr>
        <w:t xml:space="preserve">for </w:t>
      </w:r>
      <w:r w:rsidR="00F92053">
        <w:rPr>
          <w:rFonts w:asciiTheme="minorBidi" w:hAnsiTheme="minorBidi"/>
          <w:sz w:val="24"/>
          <w:szCs w:val="24"/>
        </w:rPr>
        <w:t xml:space="preserve">the </w:t>
      </w:r>
      <w:r w:rsidR="00441542">
        <w:rPr>
          <w:rFonts w:asciiTheme="minorBidi" w:hAnsiTheme="minorBidi"/>
          <w:sz w:val="24"/>
          <w:szCs w:val="24"/>
        </w:rPr>
        <w:t xml:space="preserve">two </w:t>
      </w:r>
      <w:r w:rsidR="00F92053">
        <w:rPr>
          <w:rFonts w:asciiTheme="minorBidi" w:hAnsiTheme="minorBidi"/>
          <w:sz w:val="24"/>
          <w:szCs w:val="24"/>
        </w:rPr>
        <w:t>formulations of alfuzosin</w:t>
      </w:r>
      <w:r w:rsidRPr="000E7FE5">
        <w:rPr>
          <w:rFonts w:asciiTheme="minorBidi" w:hAnsiTheme="minorBidi"/>
          <w:sz w:val="24"/>
          <w:szCs w:val="24"/>
        </w:rPr>
        <w:t>.</w:t>
      </w:r>
      <w:r w:rsidR="005E021A" w:rsidRPr="000E7FE5">
        <w:rPr>
          <w:rFonts w:asciiTheme="minorBidi" w:hAnsiTheme="minorBidi"/>
          <w:sz w:val="24"/>
          <w:szCs w:val="24"/>
        </w:rPr>
        <w:t xml:space="preserve"> </w:t>
      </w:r>
    </w:p>
    <w:p w14:paraId="6EB5B697" w14:textId="3AD442E6" w:rsidR="000E7FE5" w:rsidRPr="000E7FE5" w:rsidRDefault="000E7FE5" w:rsidP="00A307B4">
      <w:pPr>
        <w:spacing w:after="240" w:line="48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572884">
        <w:rPr>
          <w:rFonts w:asciiTheme="minorBidi" w:hAnsiTheme="minorBidi"/>
          <w:sz w:val="24"/>
          <w:szCs w:val="24"/>
        </w:rPr>
        <w:lastRenderedPageBreak/>
        <w:t xml:space="preserve">ANOV A analysis on the log-transformed data, </w:t>
      </w:r>
      <w:proofErr w:type="spellStart"/>
      <w:r w:rsidRPr="00572884">
        <w:rPr>
          <w:rFonts w:asciiTheme="minorBidi" w:hAnsiTheme="minorBidi"/>
          <w:sz w:val="24"/>
          <w:szCs w:val="24"/>
        </w:rPr>
        <w:t>C</w:t>
      </w:r>
      <w:r w:rsidRPr="00572884">
        <w:rPr>
          <w:rFonts w:asciiTheme="minorBidi" w:hAnsiTheme="minorBidi"/>
          <w:sz w:val="24"/>
          <w:szCs w:val="24"/>
          <w:vertAlign w:val="subscript"/>
        </w:rPr>
        <w:t>max</w:t>
      </w:r>
      <w:proofErr w:type="spellEnd"/>
      <w:r w:rsidRPr="00572884">
        <w:rPr>
          <w:rFonts w:asciiTheme="minorBidi" w:hAnsiTheme="minorBidi"/>
          <w:sz w:val="24"/>
          <w:szCs w:val="24"/>
        </w:rPr>
        <w:t xml:space="preserve"> and </w:t>
      </w:r>
      <w:r w:rsidR="00572884" w:rsidRPr="00572884">
        <w:rPr>
          <w:rFonts w:asciiTheme="minorBidi" w:hAnsiTheme="minorBidi"/>
          <w:sz w:val="24"/>
          <w:szCs w:val="24"/>
        </w:rPr>
        <w:t>AUC</w:t>
      </w:r>
      <w:r w:rsidR="00572884" w:rsidRPr="00572884">
        <w:rPr>
          <w:rFonts w:asciiTheme="minorBidi" w:hAnsiTheme="minorBidi"/>
          <w:sz w:val="24"/>
          <w:szCs w:val="24"/>
          <w:vertAlign w:val="subscript"/>
        </w:rPr>
        <w:t>0→t</w:t>
      </w:r>
      <w:r w:rsidR="00572884" w:rsidRPr="00572884">
        <w:rPr>
          <w:rFonts w:asciiTheme="minorBidi" w:hAnsiTheme="minorBidi"/>
          <w:sz w:val="24"/>
          <w:szCs w:val="24"/>
        </w:rPr>
        <w:t xml:space="preserve"> </w:t>
      </w:r>
      <w:r w:rsidRPr="00572884">
        <w:rPr>
          <w:rFonts w:asciiTheme="minorBidi" w:hAnsiTheme="minorBidi"/>
          <w:sz w:val="24"/>
          <w:szCs w:val="24"/>
        </w:rPr>
        <w:t xml:space="preserve">and untransformed data for </w:t>
      </w:r>
      <w:proofErr w:type="spellStart"/>
      <w:r w:rsidRPr="00572884">
        <w:rPr>
          <w:rFonts w:asciiTheme="minorBidi" w:hAnsiTheme="minorBidi"/>
          <w:sz w:val="24"/>
          <w:szCs w:val="24"/>
        </w:rPr>
        <w:t>C</w:t>
      </w:r>
      <w:r w:rsidRPr="00572884">
        <w:rPr>
          <w:rFonts w:asciiTheme="minorBidi" w:hAnsiTheme="minorBidi"/>
          <w:sz w:val="24"/>
          <w:szCs w:val="24"/>
          <w:vertAlign w:val="subscript"/>
        </w:rPr>
        <w:t>max</w:t>
      </w:r>
      <w:proofErr w:type="spellEnd"/>
      <w:r w:rsidRPr="00572884">
        <w:rPr>
          <w:rFonts w:asciiTheme="minorBidi" w:hAnsiTheme="minorBidi"/>
          <w:sz w:val="24"/>
          <w:szCs w:val="24"/>
        </w:rPr>
        <w:t xml:space="preserve">, </w:t>
      </w:r>
      <w:r w:rsidR="00572884" w:rsidRPr="00572884">
        <w:rPr>
          <w:rFonts w:asciiTheme="minorBidi" w:hAnsiTheme="minorBidi"/>
          <w:sz w:val="24"/>
          <w:szCs w:val="24"/>
        </w:rPr>
        <w:t>AUC</w:t>
      </w:r>
      <w:r w:rsidR="00572884" w:rsidRPr="00572884">
        <w:rPr>
          <w:rFonts w:asciiTheme="minorBidi" w:hAnsiTheme="minorBidi"/>
          <w:sz w:val="24"/>
          <w:szCs w:val="24"/>
          <w:vertAlign w:val="subscript"/>
        </w:rPr>
        <w:t>0→t</w:t>
      </w:r>
      <w:r w:rsidRPr="00572884">
        <w:rPr>
          <w:rFonts w:asciiTheme="minorBidi" w:hAnsiTheme="minorBidi"/>
          <w:sz w:val="24"/>
          <w:szCs w:val="24"/>
        </w:rPr>
        <w:t xml:space="preserve">, </w:t>
      </w:r>
      <w:r w:rsidR="00572884" w:rsidRPr="00572884">
        <w:rPr>
          <w:rFonts w:asciiTheme="minorBidi" w:hAnsiTheme="minorBidi"/>
          <w:sz w:val="24"/>
          <w:szCs w:val="24"/>
        </w:rPr>
        <w:t>AUC</w:t>
      </w:r>
      <w:r w:rsidR="00572884" w:rsidRPr="00572884">
        <w:rPr>
          <w:rFonts w:asciiTheme="minorBidi" w:hAnsiTheme="minorBidi"/>
          <w:sz w:val="24"/>
          <w:szCs w:val="24"/>
          <w:vertAlign w:val="subscript"/>
        </w:rPr>
        <w:t>0→</w:t>
      </w:r>
      <w:r w:rsidR="00572884">
        <w:rPr>
          <w:rFonts w:asciiTheme="minorBidi" w:hAnsiTheme="minorBidi"/>
          <w:sz w:val="24"/>
          <w:szCs w:val="24"/>
          <w:vertAlign w:val="subscript"/>
        </w:rPr>
        <w:t>∞</w:t>
      </w:r>
      <w:r w:rsidRPr="0057288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572884">
        <w:rPr>
          <w:rFonts w:asciiTheme="minorBidi" w:hAnsiTheme="minorBidi"/>
          <w:sz w:val="24"/>
          <w:szCs w:val="24"/>
        </w:rPr>
        <w:t>Ke</w:t>
      </w:r>
      <w:r w:rsidR="00572884">
        <w:rPr>
          <w:rFonts w:asciiTheme="minorBidi" w:hAnsiTheme="minorBidi"/>
          <w:sz w:val="24"/>
          <w:szCs w:val="24"/>
        </w:rPr>
        <w:t>l</w:t>
      </w:r>
      <w:proofErr w:type="spellEnd"/>
      <w:r w:rsidR="00572884">
        <w:rPr>
          <w:rFonts w:asciiTheme="minorBidi" w:hAnsiTheme="minorBidi"/>
          <w:sz w:val="24"/>
          <w:szCs w:val="24"/>
        </w:rPr>
        <w:t>,</w:t>
      </w:r>
      <w:r w:rsidRPr="00572884">
        <w:rPr>
          <w:rFonts w:asciiTheme="minorBidi" w:hAnsiTheme="minorBidi"/>
          <w:sz w:val="24"/>
          <w:szCs w:val="24"/>
        </w:rPr>
        <w:t xml:space="preserve"> t</w:t>
      </w:r>
      <w:r w:rsidRPr="00572884">
        <w:rPr>
          <w:rFonts w:asciiTheme="minorBidi" w:hAnsiTheme="minorBidi"/>
          <w:sz w:val="24"/>
          <w:szCs w:val="24"/>
          <w:vertAlign w:val="subscript"/>
        </w:rPr>
        <w:t>1l2eI</w:t>
      </w:r>
      <w:r w:rsidRPr="00572884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Pr="00572884">
        <w:rPr>
          <w:rFonts w:asciiTheme="minorBidi" w:hAnsiTheme="minorBidi"/>
          <w:sz w:val="24"/>
          <w:szCs w:val="24"/>
        </w:rPr>
        <w:t>t</w:t>
      </w:r>
      <w:r w:rsidRPr="00572884">
        <w:rPr>
          <w:rFonts w:asciiTheme="minorBidi" w:hAnsiTheme="minorBidi"/>
          <w:sz w:val="24"/>
          <w:szCs w:val="24"/>
          <w:vertAlign w:val="subscript"/>
        </w:rPr>
        <w:t>max</w:t>
      </w:r>
      <w:proofErr w:type="spellEnd"/>
      <w:r w:rsidRPr="00572884">
        <w:rPr>
          <w:rFonts w:asciiTheme="minorBidi" w:hAnsiTheme="minorBidi"/>
          <w:sz w:val="24"/>
          <w:szCs w:val="24"/>
        </w:rPr>
        <w:t xml:space="preserve"> showed that sequence effect</w:t>
      </w:r>
      <w:r w:rsidR="00F92053">
        <w:rPr>
          <w:rFonts w:asciiTheme="minorBidi" w:hAnsiTheme="minorBidi"/>
          <w:sz w:val="24"/>
          <w:szCs w:val="24"/>
        </w:rPr>
        <w:t xml:space="preserve">s </w:t>
      </w:r>
      <w:r w:rsidR="009B018B">
        <w:rPr>
          <w:rFonts w:asciiTheme="minorBidi" w:hAnsiTheme="minorBidi"/>
          <w:sz w:val="24"/>
          <w:szCs w:val="24"/>
        </w:rPr>
        <w:t xml:space="preserve">and </w:t>
      </w:r>
      <w:r w:rsidR="009B018B" w:rsidRPr="00572884">
        <w:rPr>
          <w:rFonts w:asciiTheme="minorBidi" w:hAnsiTheme="minorBidi"/>
          <w:sz w:val="24"/>
          <w:szCs w:val="24"/>
        </w:rPr>
        <w:t>product</w:t>
      </w:r>
      <w:r w:rsidRPr="00572884">
        <w:rPr>
          <w:rFonts w:asciiTheme="minorBidi" w:hAnsiTheme="minorBidi"/>
          <w:sz w:val="24"/>
          <w:szCs w:val="24"/>
        </w:rPr>
        <w:t xml:space="preserve"> or period effect</w:t>
      </w:r>
      <w:r w:rsidR="00F92053">
        <w:rPr>
          <w:rFonts w:asciiTheme="minorBidi" w:hAnsiTheme="minorBidi"/>
          <w:sz w:val="24"/>
          <w:szCs w:val="24"/>
        </w:rPr>
        <w:t>s</w:t>
      </w:r>
      <w:r w:rsidRPr="00572884">
        <w:rPr>
          <w:rFonts w:asciiTheme="minorBidi" w:hAnsiTheme="minorBidi"/>
          <w:sz w:val="24"/>
          <w:szCs w:val="24"/>
        </w:rPr>
        <w:t xml:space="preserve"> for all these parameters did not significantly influence the outcome of the study. The mean plasma curves of both products </w:t>
      </w:r>
      <w:r w:rsidR="00A65055">
        <w:rPr>
          <w:rFonts w:asciiTheme="minorBidi" w:hAnsiTheme="minorBidi"/>
          <w:sz w:val="24"/>
          <w:szCs w:val="24"/>
        </w:rPr>
        <w:t xml:space="preserve">were </w:t>
      </w:r>
      <w:r w:rsidR="00441542">
        <w:rPr>
          <w:rFonts w:asciiTheme="minorBidi" w:hAnsiTheme="minorBidi"/>
          <w:sz w:val="24"/>
          <w:szCs w:val="24"/>
        </w:rPr>
        <w:t xml:space="preserve">almost </w:t>
      </w:r>
      <w:r w:rsidR="00A65055">
        <w:rPr>
          <w:rFonts w:asciiTheme="minorBidi" w:hAnsiTheme="minorBidi"/>
          <w:sz w:val="24"/>
          <w:szCs w:val="24"/>
        </w:rPr>
        <w:t>identical. However, the new alfuzosin formulation (test product)</w:t>
      </w:r>
      <w:r w:rsidR="00441542">
        <w:rPr>
          <w:rFonts w:asciiTheme="minorBidi" w:hAnsiTheme="minorBidi"/>
          <w:sz w:val="24"/>
          <w:szCs w:val="24"/>
        </w:rPr>
        <w:t xml:space="preserve"> exhibited</w:t>
      </w:r>
      <w:r w:rsidR="00A65055">
        <w:rPr>
          <w:rFonts w:asciiTheme="minorBidi" w:hAnsiTheme="minorBidi"/>
          <w:sz w:val="24"/>
          <w:szCs w:val="24"/>
        </w:rPr>
        <w:t xml:space="preserve"> </w:t>
      </w:r>
      <w:r w:rsidR="007854A6">
        <w:rPr>
          <w:rFonts w:asciiTheme="minorBidi" w:hAnsiTheme="minorBidi"/>
          <w:sz w:val="24"/>
          <w:szCs w:val="24"/>
        </w:rPr>
        <w:t xml:space="preserve">a minor increase </w:t>
      </w:r>
      <w:r w:rsidR="009B018B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="009B018B">
        <w:rPr>
          <w:rFonts w:asciiTheme="minorBidi" w:hAnsiTheme="minorBidi"/>
          <w:sz w:val="24"/>
          <w:szCs w:val="24"/>
        </w:rPr>
        <w:t>C</w:t>
      </w:r>
      <w:r w:rsidR="009B018B" w:rsidRPr="00441542">
        <w:rPr>
          <w:rFonts w:asciiTheme="minorBidi" w:hAnsiTheme="minorBidi"/>
          <w:sz w:val="24"/>
          <w:szCs w:val="24"/>
          <w:vertAlign w:val="subscript"/>
        </w:rPr>
        <w:t>max</w:t>
      </w:r>
      <w:proofErr w:type="spellEnd"/>
      <w:r w:rsidR="007854A6">
        <w:rPr>
          <w:rFonts w:asciiTheme="minorBidi" w:hAnsiTheme="minorBidi"/>
          <w:sz w:val="24"/>
          <w:szCs w:val="24"/>
        </w:rPr>
        <w:t>, which should not affect the efficacy or the safety of the new formulation.</w:t>
      </w:r>
    </w:p>
    <w:p w14:paraId="1C0D0220" w14:textId="7C174DDD" w:rsidR="00F40876" w:rsidRDefault="00441542" w:rsidP="00A307B4">
      <w:pPr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As</w:t>
      </w:r>
      <w:r w:rsidRPr="000E7FE5">
        <w:rPr>
          <w:rFonts w:asciiTheme="minorBidi" w:hAnsiTheme="minorBidi"/>
          <w:sz w:val="24"/>
          <w:szCs w:val="24"/>
        </w:rPr>
        <w:t xml:space="preserve"> </w:t>
      </w:r>
      <w:r w:rsidR="00E41377" w:rsidRPr="000E7FE5">
        <w:rPr>
          <w:rFonts w:asciiTheme="minorBidi" w:hAnsiTheme="minorBidi"/>
          <w:sz w:val="24"/>
          <w:szCs w:val="24"/>
        </w:rPr>
        <w:t>plasma levels are a meaningful surrogate for pharmacodynamic action and adverse events, this</w:t>
      </w:r>
      <w:r w:rsidR="005E021A" w:rsidRPr="000E7FE5">
        <w:rPr>
          <w:rFonts w:asciiTheme="minorBidi" w:hAnsiTheme="minorBidi"/>
          <w:sz w:val="24"/>
          <w:szCs w:val="24"/>
        </w:rPr>
        <w:t xml:space="preserve"> </w:t>
      </w:r>
      <w:r w:rsidR="00E41377" w:rsidRPr="000E7FE5">
        <w:rPr>
          <w:rFonts w:asciiTheme="minorBidi" w:hAnsiTheme="minorBidi"/>
          <w:sz w:val="24"/>
          <w:szCs w:val="24"/>
        </w:rPr>
        <w:t xml:space="preserve">demonstrates that an equivalent therapeutic activity and tolerance </w:t>
      </w:r>
      <w:r w:rsidR="00F92053">
        <w:rPr>
          <w:rFonts w:asciiTheme="minorBidi" w:hAnsiTheme="minorBidi"/>
          <w:sz w:val="24"/>
          <w:szCs w:val="24"/>
        </w:rPr>
        <w:t>are</w:t>
      </w:r>
      <w:r w:rsidR="00E41377" w:rsidRPr="000E7FE5">
        <w:rPr>
          <w:rFonts w:asciiTheme="minorBidi" w:hAnsiTheme="minorBidi"/>
          <w:sz w:val="24"/>
          <w:szCs w:val="24"/>
        </w:rPr>
        <w:t xml:space="preserve"> to be expected from </w:t>
      </w:r>
      <w:r w:rsidR="00F92053">
        <w:rPr>
          <w:rFonts w:asciiTheme="minorBidi" w:hAnsiTheme="minorBidi"/>
          <w:i/>
          <w:iCs/>
          <w:sz w:val="24"/>
          <w:szCs w:val="24"/>
        </w:rPr>
        <w:t>alfuzosin</w:t>
      </w:r>
      <w:r w:rsidR="00E41377" w:rsidRPr="000E7FE5">
        <w:rPr>
          <w:rFonts w:asciiTheme="minorBidi" w:hAnsiTheme="minorBidi"/>
          <w:i/>
          <w:iCs/>
          <w:sz w:val="24"/>
          <w:szCs w:val="24"/>
        </w:rPr>
        <w:t xml:space="preserve"> 10 mg</w:t>
      </w:r>
      <w:r w:rsidR="005E021A" w:rsidRPr="000E7FE5">
        <w:rPr>
          <w:rFonts w:asciiTheme="minorBidi" w:hAnsiTheme="minorBidi"/>
          <w:sz w:val="24"/>
          <w:szCs w:val="24"/>
        </w:rPr>
        <w:t xml:space="preserve"> </w:t>
      </w:r>
      <w:r w:rsidR="00F92053">
        <w:rPr>
          <w:rFonts w:asciiTheme="minorBidi" w:hAnsiTheme="minorBidi"/>
          <w:i/>
          <w:iCs/>
          <w:sz w:val="24"/>
          <w:szCs w:val="24"/>
        </w:rPr>
        <w:t>XR</w:t>
      </w:r>
      <w:r w:rsidR="00E41377" w:rsidRPr="000E7FE5">
        <w:rPr>
          <w:rFonts w:asciiTheme="minorBidi" w:hAnsiTheme="minorBidi"/>
          <w:i/>
          <w:iCs/>
          <w:sz w:val="24"/>
          <w:szCs w:val="24"/>
        </w:rPr>
        <w:t xml:space="preserve"> tablets</w:t>
      </w:r>
      <w:r w:rsidR="000E7FE5" w:rsidRPr="000E7FE5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B018B" w:rsidRPr="009B018B">
        <w:rPr>
          <w:rFonts w:asciiTheme="minorBidi" w:hAnsiTheme="minorBidi"/>
          <w:sz w:val="24"/>
          <w:szCs w:val="24"/>
        </w:rPr>
        <w:t>and</w:t>
      </w:r>
      <w:r w:rsidR="009B018B" w:rsidRPr="000E7FE5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9B018B" w:rsidRPr="009B018B">
        <w:rPr>
          <w:rFonts w:asciiTheme="minorBidi" w:hAnsiTheme="minorBidi"/>
          <w:i/>
          <w:iCs/>
          <w:sz w:val="24"/>
          <w:szCs w:val="24"/>
        </w:rPr>
        <w:t>Xatral</w:t>
      </w:r>
      <w:proofErr w:type="spellEnd"/>
      <w:r w:rsidR="00E41377" w:rsidRPr="000E7FE5">
        <w:rPr>
          <w:rFonts w:asciiTheme="minorBidi" w:hAnsiTheme="minorBidi"/>
          <w:i/>
          <w:iCs/>
          <w:sz w:val="24"/>
          <w:szCs w:val="24"/>
        </w:rPr>
        <w:t xml:space="preserve"> 10 mg </w:t>
      </w:r>
      <w:r w:rsidR="00F92053">
        <w:rPr>
          <w:rFonts w:asciiTheme="minorBidi" w:hAnsiTheme="minorBidi"/>
          <w:i/>
          <w:iCs/>
          <w:sz w:val="24"/>
          <w:szCs w:val="24"/>
        </w:rPr>
        <w:t xml:space="preserve">XR </w:t>
      </w:r>
      <w:r w:rsidR="000E7FE5" w:rsidRPr="000E7FE5">
        <w:rPr>
          <w:rFonts w:asciiTheme="minorBidi" w:hAnsiTheme="minorBidi"/>
          <w:sz w:val="24"/>
          <w:szCs w:val="24"/>
        </w:rPr>
        <w:t xml:space="preserve">tablets. </w:t>
      </w:r>
    </w:p>
    <w:p w14:paraId="7A1E7C85" w14:textId="77777777" w:rsidR="00DB295F" w:rsidRPr="0042588E" w:rsidRDefault="00DB295F" w:rsidP="00A307B4">
      <w:pPr>
        <w:spacing w:after="240" w:line="480" w:lineRule="auto"/>
        <w:jc w:val="both"/>
        <w:rPr>
          <w:rFonts w:asciiTheme="minorBidi" w:hAnsiTheme="minorBidi"/>
          <w:b/>
          <w:sz w:val="24"/>
          <w:szCs w:val="24"/>
        </w:rPr>
      </w:pPr>
      <w:r w:rsidRPr="0042588E">
        <w:rPr>
          <w:rFonts w:asciiTheme="minorBidi" w:hAnsiTheme="minorBidi"/>
          <w:b/>
          <w:sz w:val="24"/>
          <w:szCs w:val="24"/>
        </w:rPr>
        <w:t>Conclusion</w:t>
      </w:r>
    </w:p>
    <w:p w14:paraId="57AF449D" w14:textId="3DB1750A" w:rsidR="00DB295F" w:rsidRDefault="00DB295F" w:rsidP="00A307B4">
      <w:pPr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clinical study clearly illustrates the bioequivalence of the </w:t>
      </w:r>
      <w:r w:rsidR="00441542">
        <w:rPr>
          <w:rFonts w:asciiTheme="minorBidi" w:hAnsiTheme="minorBidi"/>
          <w:sz w:val="24"/>
          <w:szCs w:val="24"/>
        </w:rPr>
        <w:t xml:space="preserve">two </w:t>
      </w:r>
      <w:r>
        <w:rPr>
          <w:rFonts w:asciiTheme="minorBidi" w:hAnsiTheme="minorBidi"/>
          <w:sz w:val="24"/>
          <w:szCs w:val="24"/>
        </w:rPr>
        <w:t xml:space="preserve">formulations of </w:t>
      </w:r>
      <w:r w:rsidR="00F92053">
        <w:rPr>
          <w:rFonts w:asciiTheme="minorBidi" w:hAnsiTheme="minorBidi"/>
          <w:sz w:val="24"/>
          <w:szCs w:val="24"/>
        </w:rPr>
        <w:t>alfuzosin</w:t>
      </w:r>
      <w:r>
        <w:rPr>
          <w:rFonts w:asciiTheme="minorBidi" w:hAnsiTheme="minorBidi"/>
          <w:sz w:val="24"/>
          <w:szCs w:val="24"/>
        </w:rPr>
        <w:t xml:space="preserve"> 10 mg </w:t>
      </w:r>
      <w:r w:rsidR="00F92053">
        <w:rPr>
          <w:rFonts w:asciiTheme="minorBidi" w:hAnsiTheme="minorBidi"/>
          <w:sz w:val="24"/>
          <w:szCs w:val="24"/>
        </w:rPr>
        <w:t>XR</w:t>
      </w:r>
      <w:r>
        <w:rPr>
          <w:rFonts w:asciiTheme="minorBidi" w:hAnsiTheme="minorBidi"/>
          <w:sz w:val="24"/>
          <w:szCs w:val="24"/>
        </w:rPr>
        <w:t xml:space="preserve"> tablets. </w:t>
      </w:r>
      <w:r w:rsidR="00553045">
        <w:rPr>
          <w:rFonts w:asciiTheme="minorBidi" w:hAnsiTheme="minorBidi"/>
          <w:sz w:val="24"/>
          <w:szCs w:val="24"/>
        </w:rPr>
        <w:t xml:space="preserve">All estimates of the tested pharmacokinetic parameters were almost identical between the </w:t>
      </w:r>
      <w:r w:rsidR="00441542">
        <w:rPr>
          <w:rFonts w:asciiTheme="minorBidi" w:hAnsiTheme="minorBidi"/>
          <w:sz w:val="24"/>
          <w:szCs w:val="24"/>
        </w:rPr>
        <w:t xml:space="preserve">two </w:t>
      </w:r>
      <w:r w:rsidR="00553045">
        <w:rPr>
          <w:rFonts w:asciiTheme="minorBidi" w:hAnsiTheme="minorBidi"/>
          <w:sz w:val="24"/>
          <w:szCs w:val="24"/>
        </w:rPr>
        <w:t xml:space="preserve">formulations of </w:t>
      </w:r>
      <w:r w:rsidR="00F92053">
        <w:rPr>
          <w:rFonts w:asciiTheme="minorBidi" w:hAnsiTheme="minorBidi"/>
          <w:sz w:val="24"/>
          <w:szCs w:val="24"/>
        </w:rPr>
        <w:t>alfuzosin</w:t>
      </w:r>
      <w:r w:rsidR="00553045">
        <w:rPr>
          <w:rFonts w:asciiTheme="minorBidi" w:hAnsiTheme="minorBidi"/>
          <w:sz w:val="24"/>
          <w:szCs w:val="24"/>
        </w:rPr>
        <w:t xml:space="preserve">. The two formulations of </w:t>
      </w:r>
      <w:r w:rsidR="00C41FEC">
        <w:rPr>
          <w:rFonts w:asciiTheme="minorBidi" w:hAnsiTheme="minorBidi"/>
          <w:color w:val="000000" w:themeColor="text1"/>
          <w:sz w:val="24"/>
          <w:szCs w:val="24"/>
        </w:rPr>
        <w:t xml:space="preserve">alfuzosin </w:t>
      </w:r>
      <w:r w:rsidR="00553045">
        <w:rPr>
          <w:rFonts w:asciiTheme="minorBidi" w:hAnsiTheme="minorBidi"/>
          <w:sz w:val="24"/>
          <w:szCs w:val="24"/>
        </w:rPr>
        <w:t xml:space="preserve">tablets were well tolerated by all participants. There were no significant side effects or allergic reactions </w:t>
      </w:r>
      <w:r w:rsidR="00441542">
        <w:rPr>
          <w:rFonts w:asciiTheme="minorBidi" w:hAnsiTheme="minorBidi"/>
          <w:sz w:val="24"/>
          <w:szCs w:val="24"/>
        </w:rPr>
        <w:t>reported for any</w:t>
      </w:r>
      <w:r w:rsidR="00553045">
        <w:rPr>
          <w:rFonts w:asciiTheme="minorBidi" w:hAnsiTheme="minorBidi"/>
          <w:sz w:val="24"/>
          <w:szCs w:val="24"/>
        </w:rPr>
        <w:t xml:space="preserve"> participant. The presence of </w:t>
      </w:r>
      <w:r w:rsidR="009B018B">
        <w:rPr>
          <w:rFonts w:asciiTheme="minorBidi" w:hAnsiTheme="minorBidi"/>
          <w:sz w:val="24"/>
          <w:szCs w:val="24"/>
        </w:rPr>
        <w:t>a</w:t>
      </w:r>
      <w:r w:rsidR="00553045">
        <w:rPr>
          <w:rFonts w:asciiTheme="minorBidi" w:hAnsiTheme="minorBidi"/>
          <w:sz w:val="24"/>
          <w:szCs w:val="24"/>
        </w:rPr>
        <w:t xml:space="preserve"> bioequivalent form of 10 mg </w:t>
      </w:r>
      <w:r w:rsidR="00F92053">
        <w:rPr>
          <w:rFonts w:asciiTheme="minorBidi" w:hAnsiTheme="minorBidi"/>
          <w:sz w:val="24"/>
          <w:szCs w:val="24"/>
        </w:rPr>
        <w:t>alfuzosin</w:t>
      </w:r>
      <w:r w:rsidR="00553045">
        <w:rPr>
          <w:rFonts w:asciiTheme="minorBidi" w:hAnsiTheme="minorBidi"/>
          <w:sz w:val="24"/>
          <w:szCs w:val="24"/>
        </w:rPr>
        <w:t xml:space="preserve"> tablets provide</w:t>
      </w:r>
      <w:r w:rsidR="00441542">
        <w:rPr>
          <w:rFonts w:asciiTheme="minorBidi" w:hAnsiTheme="minorBidi"/>
          <w:sz w:val="24"/>
          <w:szCs w:val="24"/>
        </w:rPr>
        <w:t>s</w:t>
      </w:r>
      <w:r w:rsidR="00553045">
        <w:rPr>
          <w:rFonts w:asciiTheme="minorBidi" w:hAnsiTheme="minorBidi"/>
          <w:sz w:val="24"/>
          <w:szCs w:val="24"/>
        </w:rPr>
        <w:t xml:space="preserve"> an affordable option, and </w:t>
      </w:r>
      <w:r w:rsidR="00AE1FB7">
        <w:rPr>
          <w:rFonts w:asciiTheme="minorBidi" w:hAnsiTheme="minorBidi"/>
          <w:sz w:val="24"/>
          <w:szCs w:val="24"/>
        </w:rPr>
        <w:t xml:space="preserve">increased </w:t>
      </w:r>
      <w:r w:rsidR="00553045">
        <w:rPr>
          <w:rFonts w:asciiTheme="minorBidi" w:hAnsiTheme="minorBidi"/>
          <w:sz w:val="24"/>
          <w:szCs w:val="24"/>
        </w:rPr>
        <w:t xml:space="preserve">access to the medication in patients with </w:t>
      </w:r>
      <w:r w:rsidR="00F92053">
        <w:rPr>
          <w:rFonts w:asciiTheme="minorBidi" w:hAnsiTheme="minorBidi"/>
          <w:sz w:val="24"/>
          <w:szCs w:val="24"/>
        </w:rPr>
        <w:t>BPH</w:t>
      </w:r>
      <w:r w:rsidR="00553045">
        <w:rPr>
          <w:rFonts w:asciiTheme="minorBidi" w:hAnsiTheme="minorBidi"/>
          <w:sz w:val="24"/>
          <w:szCs w:val="24"/>
        </w:rPr>
        <w:t>.</w:t>
      </w:r>
    </w:p>
    <w:p w14:paraId="195DD284" w14:textId="77777777" w:rsidR="0046510E" w:rsidRPr="00C41FEC" w:rsidRDefault="0046510E" w:rsidP="00A307B4">
      <w:pPr>
        <w:spacing w:after="240" w:line="48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14:paraId="40ADB530" w14:textId="7F9755E2" w:rsidR="0042588E" w:rsidRPr="0042588E" w:rsidRDefault="0042588E" w:rsidP="00A307B4">
      <w:pPr>
        <w:spacing w:after="24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2588E">
        <w:rPr>
          <w:rFonts w:ascii="Arial" w:hAnsi="Arial" w:cs="Arial"/>
          <w:b/>
          <w:sz w:val="24"/>
          <w:szCs w:val="24"/>
        </w:rPr>
        <w:t>Declaration of Conflicting Interests</w:t>
      </w:r>
    </w:p>
    <w:p w14:paraId="60CD1900" w14:textId="3F7BD2E8" w:rsidR="00A12B73" w:rsidRDefault="0042588E" w:rsidP="00AE1FB7">
      <w:pPr>
        <w:tabs>
          <w:tab w:val="left" w:pos="90"/>
          <w:tab w:val="left" w:pos="450"/>
        </w:tabs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42588E">
        <w:rPr>
          <w:rFonts w:ascii="Arial" w:hAnsi="Arial" w:cs="Arial"/>
          <w:sz w:val="24"/>
          <w:szCs w:val="24"/>
          <w:lang w:eastAsia="zh-CN"/>
        </w:rPr>
        <w:t>The authors declare that they have no competing interests in this work.</w:t>
      </w:r>
      <w:r w:rsidR="00A12B73">
        <w:rPr>
          <w:rFonts w:asciiTheme="minorBidi" w:hAnsiTheme="minorBidi"/>
          <w:sz w:val="24"/>
          <w:szCs w:val="24"/>
        </w:rPr>
        <w:br w:type="page"/>
      </w:r>
    </w:p>
    <w:p w14:paraId="11973FD7" w14:textId="77777777" w:rsidR="00FA3798" w:rsidRPr="00DA6EBA" w:rsidRDefault="00FA3798" w:rsidP="00DA6EBA">
      <w:pPr>
        <w:spacing w:after="24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A6EBA">
        <w:rPr>
          <w:rFonts w:asciiTheme="minorBidi" w:hAnsiTheme="minorBidi"/>
          <w:b/>
          <w:bCs/>
          <w:sz w:val="24"/>
          <w:szCs w:val="24"/>
        </w:rPr>
        <w:lastRenderedPageBreak/>
        <w:t>References</w:t>
      </w:r>
    </w:p>
    <w:p w14:paraId="5C2A471C" w14:textId="77777777" w:rsidR="003A383A" w:rsidRPr="00254DA1" w:rsidRDefault="003A383A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t xml:space="preserve">Russo A, La Croce G, </w:t>
      </w:r>
      <w:proofErr w:type="spellStart"/>
      <w:r w:rsidRPr="00254DA1">
        <w:rPr>
          <w:rFonts w:asciiTheme="minorBidi" w:hAnsiTheme="minorBidi"/>
          <w:sz w:val="24"/>
          <w:szCs w:val="24"/>
        </w:rPr>
        <w:t>Capogrosso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P, Ventimiglia E, </w:t>
      </w:r>
      <w:proofErr w:type="spellStart"/>
      <w:r w:rsidRPr="00254DA1">
        <w:rPr>
          <w:rFonts w:asciiTheme="minorBidi" w:hAnsiTheme="minorBidi"/>
          <w:sz w:val="24"/>
          <w:szCs w:val="24"/>
        </w:rPr>
        <w:t>Colicchia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M, </w:t>
      </w:r>
      <w:proofErr w:type="spellStart"/>
      <w:r w:rsidRPr="00254DA1">
        <w:rPr>
          <w:rFonts w:asciiTheme="minorBidi" w:hAnsiTheme="minorBidi"/>
          <w:sz w:val="24"/>
          <w:szCs w:val="24"/>
        </w:rPr>
        <w:t>Serino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A, </w:t>
      </w:r>
      <w:proofErr w:type="spellStart"/>
      <w:r w:rsidRPr="00254DA1">
        <w:rPr>
          <w:rFonts w:asciiTheme="minorBidi" w:hAnsiTheme="minorBidi"/>
          <w:sz w:val="24"/>
          <w:szCs w:val="24"/>
        </w:rPr>
        <w:t>Mirone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V, Damiano R, </w:t>
      </w:r>
      <w:proofErr w:type="spellStart"/>
      <w:r w:rsidRPr="00254DA1">
        <w:rPr>
          <w:rFonts w:asciiTheme="minorBidi" w:hAnsiTheme="minorBidi"/>
          <w:sz w:val="24"/>
          <w:szCs w:val="24"/>
        </w:rPr>
        <w:t>Montorsi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F, </w:t>
      </w:r>
      <w:proofErr w:type="spellStart"/>
      <w:r w:rsidRPr="00254DA1">
        <w:rPr>
          <w:rFonts w:asciiTheme="minorBidi" w:hAnsiTheme="minorBidi"/>
          <w:sz w:val="24"/>
          <w:szCs w:val="24"/>
        </w:rPr>
        <w:t>Salonia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A. Latest pharmacotherapy options for benign prostatic hyperplasia. Expert opinion on pharmacotherapy. 2014 Nov 1;15(16):2319-28.</w:t>
      </w:r>
    </w:p>
    <w:p w14:paraId="08733341" w14:textId="7BD8E7B6" w:rsidR="00432CE0" w:rsidRPr="00254DA1" w:rsidRDefault="003A383A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254DA1">
        <w:rPr>
          <w:rFonts w:asciiTheme="minorBidi" w:hAnsiTheme="minorBidi"/>
          <w:sz w:val="24"/>
          <w:szCs w:val="24"/>
        </w:rPr>
        <w:t>Glina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S, </w:t>
      </w:r>
      <w:proofErr w:type="spellStart"/>
      <w:r w:rsidRPr="00254DA1">
        <w:rPr>
          <w:rFonts w:asciiTheme="minorBidi" w:hAnsiTheme="minorBidi"/>
          <w:sz w:val="24"/>
          <w:szCs w:val="24"/>
        </w:rPr>
        <w:t>Glina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FP. Pathogenic mechanisms linking benign prostatic hyperplasia, lower urinary tract symptoms and erectile dysfunction. Therapeutic </w:t>
      </w:r>
      <w:r w:rsidR="00857940" w:rsidRPr="00254DA1">
        <w:rPr>
          <w:rFonts w:asciiTheme="minorBidi" w:hAnsiTheme="minorBidi"/>
          <w:sz w:val="24"/>
          <w:szCs w:val="24"/>
        </w:rPr>
        <w:t>Advances in U</w:t>
      </w:r>
      <w:r w:rsidRPr="00254DA1">
        <w:rPr>
          <w:rFonts w:asciiTheme="minorBidi" w:hAnsiTheme="minorBidi"/>
          <w:sz w:val="24"/>
          <w:szCs w:val="24"/>
        </w:rPr>
        <w:t>rology. 2013 Aug;5(4):211-8.</w:t>
      </w:r>
    </w:p>
    <w:p w14:paraId="2DCF103F" w14:textId="45F8A5DD" w:rsidR="00FA3798" w:rsidRPr="00254DA1" w:rsidRDefault="00432CE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254DA1">
        <w:rPr>
          <w:rFonts w:asciiTheme="minorBidi" w:hAnsiTheme="minorBidi"/>
          <w:sz w:val="24"/>
          <w:szCs w:val="24"/>
        </w:rPr>
        <w:t>Pagariya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TP, Patil SB. Development and optimization of </w:t>
      </w:r>
      <w:proofErr w:type="spellStart"/>
      <w:r w:rsidRPr="00254DA1">
        <w:rPr>
          <w:rFonts w:asciiTheme="minorBidi" w:hAnsiTheme="minorBidi"/>
          <w:sz w:val="24"/>
          <w:szCs w:val="24"/>
        </w:rPr>
        <w:t>multiparticulate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drug delivery system of alfuzosin hydrochloride. Colloids and Surfaces B: </w:t>
      </w:r>
      <w:proofErr w:type="spellStart"/>
      <w:r w:rsidRPr="00254DA1">
        <w:rPr>
          <w:rFonts w:asciiTheme="minorBidi" w:hAnsiTheme="minorBidi"/>
          <w:sz w:val="24"/>
          <w:szCs w:val="24"/>
        </w:rPr>
        <w:t>Biointerfaces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. 2013 Feb </w:t>
      </w:r>
      <w:proofErr w:type="gramStart"/>
      <w:r w:rsidRPr="00254DA1">
        <w:rPr>
          <w:rFonts w:asciiTheme="minorBidi" w:hAnsiTheme="minorBidi"/>
          <w:sz w:val="24"/>
          <w:szCs w:val="24"/>
        </w:rPr>
        <w:t>1;102:171</w:t>
      </w:r>
      <w:proofErr w:type="gramEnd"/>
      <w:r w:rsidRPr="00254DA1">
        <w:rPr>
          <w:rFonts w:asciiTheme="minorBidi" w:hAnsiTheme="minorBidi"/>
          <w:sz w:val="24"/>
          <w:szCs w:val="24"/>
        </w:rPr>
        <w:t>-7.</w:t>
      </w:r>
    </w:p>
    <w:p w14:paraId="12A79738" w14:textId="7BE33C79" w:rsidR="00FA3798" w:rsidRPr="00254DA1" w:rsidRDefault="00432CE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t xml:space="preserve">Rossi C, </w:t>
      </w:r>
      <w:proofErr w:type="spellStart"/>
      <w:r w:rsidRPr="00254DA1">
        <w:rPr>
          <w:rFonts w:asciiTheme="minorBidi" w:hAnsiTheme="minorBidi"/>
          <w:sz w:val="24"/>
          <w:szCs w:val="24"/>
        </w:rPr>
        <w:t>Kortmann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BB, </w:t>
      </w:r>
      <w:proofErr w:type="spellStart"/>
      <w:r w:rsidRPr="00254DA1">
        <w:rPr>
          <w:rFonts w:asciiTheme="minorBidi" w:hAnsiTheme="minorBidi"/>
          <w:sz w:val="24"/>
          <w:szCs w:val="24"/>
        </w:rPr>
        <w:t>Sonke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GS, </w:t>
      </w:r>
      <w:proofErr w:type="spellStart"/>
      <w:r w:rsidRPr="00254DA1">
        <w:rPr>
          <w:rFonts w:asciiTheme="minorBidi" w:hAnsiTheme="minorBidi"/>
          <w:sz w:val="24"/>
          <w:szCs w:val="24"/>
        </w:rPr>
        <w:t>Floratos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DL, </w:t>
      </w:r>
      <w:proofErr w:type="spellStart"/>
      <w:r w:rsidRPr="00254DA1">
        <w:rPr>
          <w:rFonts w:asciiTheme="minorBidi" w:hAnsiTheme="minorBidi"/>
          <w:sz w:val="24"/>
          <w:szCs w:val="24"/>
        </w:rPr>
        <w:t>Kiemeney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LA, </w:t>
      </w:r>
      <w:proofErr w:type="spellStart"/>
      <w:r w:rsidRPr="00254DA1">
        <w:rPr>
          <w:rFonts w:asciiTheme="minorBidi" w:hAnsiTheme="minorBidi"/>
          <w:sz w:val="24"/>
          <w:szCs w:val="24"/>
        </w:rPr>
        <w:t>Wijkstra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H, de la ROSETTE JJ. α-Blockade improves symptoms suggestive of bladder outlet obstruction but fails to relieve it. The Journal of </w:t>
      </w:r>
      <w:r w:rsidR="00857940" w:rsidRPr="00254DA1">
        <w:rPr>
          <w:rFonts w:asciiTheme="minorBidi" w:hAnsiTheme="minorBidi"/>
          <w:sz w:val="24"/>
          <w:szCs w:val="24"/>
        </w:rPr>
        <w:t>Urology</w:t>
      </w:r>
      <w:r w:rsidRPr="00254DA1">
        <w:rPr>
          <w:rFonts w:asciiTheme="minorBidi" w:hAnsiTheme="minorBidi"/>
          <w:sz w:val="24"/>
          <w:szCs w:val="24"/>
        </w:rPr>
        <w:t>. 2001 Jan;165(1):38-41.</w:t>
      </w:r>
    </w:p>
    <w:p w14:paraId="73154F28" w14:textId="1451B283" w:rsidR="00432CE0" w:rsidRPr="00254DA1" w:rsidRDefault="00432CE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254DA1">
        <w:rPr>
          <w:rFonts w:asciiTheme="minorBidi" w:hAnsiTheme="minorBidi"/>
          <w:sz w:val="24"/>
          <w:szCs w:val="24"/>
        </w:rPr>
        <w:t>Roehrborn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CG, Cruz F, Fusco F. α1-Blockers in men with lower urinary tract symptoms suggestive of benign prostatic obstruction: </w:t>
      </w:r>
      <w:r w:rsidR="00857940" w:rsidRPr="00254DA1">
        <w:rPr>
          <w:rFonts w:asciiTheme="minorBidi" w:hAnsiTheme="minorBidi"/>
          <w:sz w:val="24"/>
          <w:szCs w:val="24"/>
        </w:rPr>
        <w:t xml:space="preserve">Is </w:t>
      </w:r>
      <w:r w:rsidRPr="00254DA1">
        <w:rPr>
          <w:rFonts w:asciiTheme="minorBidi" w:hAnsiTheme="minorBidi"/>
          <w:sz w:val="24"/>
          <w:szCs w:val="24"/>
        </w:rPr>
        <w:t xml:space="preserve">silodosin different? Advances in </w:t>
      </w:r>
      <w:r w:rsidR="00857940" w:rsidRPr="00254DA1">
        <w:rPr>
          <w:rFonts w:asciiTheme="minorBidi" w:hAnsiTheme="minorBidi"/>
          <w:sz w:val="24"/>
          <w:szCs w:val="24"/>
        </w:rPr>
        <w:t>Therapy</w:t>
      </w:r>
      <w:r w:rsidRPr="00254DA1">
        <w:rPr>
          <w:rFonts w:asciiTheme="minorBidi" w:hAnsiTheme="minorBidi"/>
          <w:sz w:val="24"/>
          <w:szCs w:val="24"/>
        </w:rPr>
        <w:t>. 2016 Dec 1;33(12):2110-21.</w:t>
      </w:r>
    </w:p>
    <w:p w14:paraId="4A334006" w14:textId="1B76C204" w:rsidR="00FA3798" w:rsidRPr="00254DA1" w:rsidRDefault="00432CE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t>Lowe FC. Role of the newer alpha,</w:t>
      </w:r>
      <w:r w:rsidR="00857940">
        <w:rPr>
          <w:rFonts w:asciiTheme="minorBidi" w:hAnsiTheme="minorBidi"/>
          <w:sz w:val="24"/>
          <w:szCs w:val="24"/>
        </w:rPr>
        <w:t xml:space="preserve"> </w:t>
      </w:r>
      <w:r w:rsidRPr="00254DA1">
        <w:rPr>
          <w:rFonts w:asciiTheme="minorBidi" w:hAnsiTheme="minorBidi"/>
          <w:sz w:val="24"/>
          <w:szCs w:val="24"/>
        </w:rPr>
        <w:t>-adrenergic-receptor antagonists</w:t>
      </w:r>
      <w:r w:rsidR="00857940">
        <w:rPr>
          <w:rFonts w:asciiTheme="minorBidi" w:hAnsiTheme="minorBidi"/>
          <w:sz w:val="24"/>
          <w:szCs w:val="24"/>
        </w:rPr>
        <w:t xml:space="preserve"> </w:t>
      </w:r>
      <w:r w:rsidRPr="00254DA1">
        <w:rPr>
          <w:rFonts w:asciiTheme="minorBidi" w:hAnsiTheme="minorBidi"/>
          <w:sz w:val="24"/>
          <w:szCs w:val="24"/>
        </w:rPr>
        <w:t xml:space="preserve">in the treatment of benign prostatic hyperplasia-related lower urinary tract symptoms. Clinical </w:t>
      </w:r>
      <w:r w:rsidR="00857940" w:rsidRPr="00254DA1">
        <w:rPr>
          <w:rFonts w:asciiTheme="minorBidi" w:hAnsiTheme="minorBidi"/>
          <w:sz w:val="24"/>
          <w:szCs w:val="24"/>
        </w:rPr>
        <w:t>Therapeutics</w:t>
      </w:r>
      <w:r w:rsidRPr="00254DA1">
        <w:rPr>
          <w:rFonts w:asciiTheme="minorBidi" w:hAnsiTheme="minorBidi"/>
          <w:sz w:val="24"/>
          <w:szCs w:val="24"/>
        </w:rPr>
        <w:t>. 2004 Nov 1;26(11):1701-13.</w:t>
      </w:r>
    </w:p>
    <w:p w14:paraId="484ADC90" w14:textId="77777777" w:rsidR="003A383A" w:rsidRPr="00254DA1" w:rsidRDefault="003A383A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254DA1">
        <w:rPr>
          <w:rFonts w:asciiTheme="minorBidi" w:hAnsiTheme="minorBidi"/>
          <w:sz w:val="24"/>
          <w:szCs w:val="24"/>
        </w:rPr>
        <w:t>Roehrborn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CG. Alfuzosin: overview of pharmacokinetics, safety, and efficacy of a clinically uroselective α-blocker. Urology. 2001 Dec 1;58(6):55-63.</w:t>
      </w:r>
    </w:p>
    <w:p w14:paraId="3E33815B" w14:textId="6C7E3472" w:rsidR="00CE2B15" w:rsidRPr="00254DA1" w:rsidRDefault="00CE2B15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254DA1">
        <w:rPr>
          <w:rFonts w:asciiTheme="minorBidi" w:hAnsiTheme="minorBidi"/>
          <w:sz w:val="24"/>
          <w:szCs w:val="24"/>
        </w:rPr>
        <w:t>Klasco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RK. DRUGDEX® System. Thomson Micromedex. Greenwood Village, CO. 2004 Sep.</w:t>
      </w:r>
    </w:p>
    <w:p w14:paraId="0CE593E1" w14:textId="0E7523CE" w:rsidR="003A383A" w:rsidRPr="00254DA1" w:rsidRDefault="003A383A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t xml:space="preserve">Liu Q, </w:t>
      </w:r>
      <w:proofErr w:type="spellStart"/>
      <w:r w:rsidRPr="00254DA1">
        <w:rPr>
          <w:rFonts w:asciiTheme="minorBidi" w:hAnsiTheme="minorBidi"/>
          <w:sz w:val="24"/>
          <w:szCs w:val="24"/>
        </w:rPr>
        <w:t>Fassihi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R. Zero-order delivery of a highly soluble, low dose drug alfuzosin hydrochloride via gastro-retentive system. International </w:t>
      </w:r>
      <w:r w:rsidR="00857940" w:rsidRPr="00254DA1">
        <w:rPr>
          <w:rFonts w:asciiTheme="minorBidi" w:hAnsiTheme="minorBidi"/>
          <w:sz w:val="24"/>
          <w:szCs w:val="24"/>
        </w:rPr>
        <w:t xml:space="preserve">Journal </w:t>
      </w:r>
      <w:r w:rsidRPr="00254DA1">
        <w:rPr>
          <w:rFonts w:asciiTheme="minorBidi" w:hAnsiTheme="minorBidi"/>
          <w:sz w:val="24"/>
          <w:szCs w:val="24"/>
        </w:rPr>
        <w:t xml:space="preserve">of </w:t>
      </w:r>
      <w:r w:rsidR="00857940" w:rsidRPr="00254DA1">
        <w:rPr>
          <w:rFonts w:asciiTheme="minorBidi" w:hAnsiTheme="minorBidi"/>
          <w:sz w:val="24"/>
          <w:szCs w:val="24"/>
        </w:rPr>
        <w:t>Pharmaceutics</w:t>
      </w:r>
      <w:r w:rsidRPr="00254DA1">
        <w:rPr>
          <w:rFonts w:asciiTheme="minorBidi" w:hAnsiTheme="minorBidi"/>
          <w:sz w:val="24"/>
          <w:szCs w:val="24"/>
        </w:rPr>
        <w:t>. 2008 Feb 4;348(1-2):27-34.</w:t>
      </w:r>
    </w:p>
    <w:p w14:paraId="6C9EBCEE" w14:textId="560A7A86" w:rsidR="003A383A" w:rsidRPr="00254DA1" w:rsidRDefault="003A383A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t xml:space="preserve">Coulson S, Rao A, Beck SL, Steels E, </w:t>
      </w:r>
      <w:proofErr w:type="spellStart"/>
      <w:r w:rsidRPr="00254DA1">
        <w:rPr>
          <w:rFonts w:asciiTheme="minorBidi" w:hAnsiTheme="minorBidi"/>
          <w:sz w:val="24"/>
          <w:szCs w:val="24"/>
        </w:rPr>
        <w:t>Gramotnev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H, </w:t>
      </w:r>
      <w:proofErr w:type="spellStart"/>
      <w:r w:rsidRPr="00254DA1">
        <w:rPr>
          <w:rFonts w:asciiTheme="minorBidi" w:hAnsiTheme="minorBidi"/>
          <w:sz w:val="24"/>
          <w:szCs w:val="24"/>
        </w:rPr>
        <w:t>Vitetta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L. A phase II randomised double-blind placebo-controlled clinical trial investigating the efficacy and safety of </w:t>
      </w:r>
      <w:proofErr w:type="spellStart"/>
      <w:r w:rsidRPr="00254DA1">
        <w:rPr>
          <w:rFonts w:asciiTheme="minorBidi" w:hAnsiTheme="minorBidi"/>
          <w:sz w:val="24"/>
          <w:szCs w:val="24"/>
        </w:rPr>
        <w:t>ProstateEZE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Max: </w:t>
      </w:r>
      <w:r w:rsidR="00857940" w:rsidRPr="00254DA1">
        <w:rPr>
          <w:rFonts w:asciiTheme="minorBidi" w:hAnsiTheme="minorBidi"/>
          <w:sz w:val="24"/>
          <w:szCs w:val="24"/>
        </w:rPr>
        <w:t xml:space="preserve">A </w:t>
      </w:r>
      <w:r w:rsidRPr="00254DA1">
        <w:rPr>
          <w:rFonts w:asciiTheme="minorBidi" w:hAnsiTheme="minorBidi"/>
          <w:sz w:val="24"/>
          <w:szCs w:val="24"/>
        </w:rPr>
        <w:t xml:space="preserve">herbal medicine preparation for the management of symptoms of benign prostatic hypertrophy. Complementary </w:t>
      </w:r>
      <w:r w:rsidR="00857940" w:rsidRPr="00254DA1">
        <w:rPr>
          <w:rFonts w:asciiTheme="minorBidi" w:hAnsiTheme="minorBidi"/>
          <w:sz w:val="24"/>
          <w:szCs w:val="24"/>
        </w:rPr>
        <w:t xml:space="preserve">Therapies </w:t>
      </w:r>
      <w:r w:rsidRPr="00254DA1">
        <w:rPr>
          <w:rFonts w:asciiTheme="minorBidi" w:hAnsiTheme="minorBidi"/>
          <w:sz w:val="24"/>
          <w:szCs w:val="24"/>
        </w:rPr>
        <w:t xml:space="preserve">in </w:t>
      </w:r>
      <w:r w:rsidR="00857940" w:rsidRPr="00254DA1">
        <w:rPr>
          <w:rFonts w:asciiTheme="minorBidi" w:hAnsiTheme="minorBidi"/>
          <w:sz w:val="24"/>
          <w:szCs w:val="24"/>
        </w:rPr>
        <w:t>Medicine</w:t>
      </w:r>
      <w:r w:rsidRPr="00254DA1">
        <w:rPr>
          <w:rFonts w:asciiTheme="minorBidi" w:hAnsiTheme="minorBidi"/>
          <w:sz w:val="24"/>
          <w:szCs w:val="24"/>
        </w:rPr>
        <w:t>. 2013 Jun 1;21(3):172-9.</w:t>
      </w:r>
    </w:p>
    <w:p w14:paraId="4975AFD8" w14:textId="1D155CE3" w:rsidR="00CE2B15" w:rsidRPr="00254DA1" w:rsidRDefault="00CE2B15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lastRenderedPageBreak/>
        <w:t xml:space="preserve">Salva P, </w:t>
      </w:r>
      <w:proofErr w:type="spellStart"/>
      <w:r w:rsidRPr="00254DA1">
        <w:rPr>
          <w:rFonts w:asciiTheme="minorBidi" w:hAnsiTheme="minorBidi"/>
          <w:sz w:val="24"/>
          <w:szCs w:val="24"/>
        </w:rPr>
        <w:t>Bianchetti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G, </w:t>
      </w:r>
      <w:proofErr w:type="spellStart"/>
      <w:r w:rsidRPr="00254DA1">
        <w:rPr>
          <w:rFonts w:asciiTheme="minorBidi" w:hAnsiTheme="minorBidi"/>
          <w:sz w:val="24"/>
          <w:szCs w:val="24"/>
        </w:rPr>
        <w:t>Morselli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P, Garcia</w:t>
      </w:r>
      <w:r w:rsidRPr="00254DA1">
        <w:rPr>
          <w:rFonts w:ascii="Cambria Math" w:hAnsi="Cambria Math" w:cs="Cambria Math"/>
          <w:sz w:val="24"/>
          <w:szCs w:val="24"/>
        </w:rPr>
        <w:t>‐</w:t>
      </w:r>
      <w:r w:rsidRPr="00254DA1">
        <w:rPr>
          <w:rFonts w:asciiTheme="minorBidi" w:hAnsiTheme="minorBidi"/>
          <w:sz w:val="24"/>
          <w:szCs w:val="24"/>
        </w:rPr>
        <w:t xml:space="preserve">Teresa G, Costa J. Pharmacokinetics of alfuzosin after single oral administration to healthy volunteers, of three different doses. Biopharmaceutics &amp; </w:t>
      </w:r>
      <w:r w:rsidR="00857940" w:rsidRPr="00254DA1">
        <w:rPr>
          <w:rFonts w:asciiTheme="minorBidi" w:hAnsiTheme="minorBidi"/>
          <w:sz w:val="24"/>
          <w:szCs w:val="24"/>
        </w:rPr>
        <w:t>Drug Disposition</w:t>
      </w:r>
      <w:r w:rsidRPr="00254DA1">
        <w:rPr>
          <w:rFonts w:asciiTheme="minorBidi" w:hAnsiTheme="minorBidi"/>
          <w:sz w:val="24"/>
          <w:szCs w:val="24"/>
        </w:rPr>
        <w:t>. 1992 Nov;13(8):583-90.</w:t>
      </w:r>
    </w:p>
    <w:p w14:paraId="7C524D21" w14:textId="61F16A52" w:rsidR="008A4430" w:rsidRPr="00254DA1" w:rsidRDefault="008A443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254DA1">
        <w:rPr>
          <w:rFonts w:asciiTheme="minorBidi" w:hAnsiTheme="minorBidi"/>
          <w:sz w:val="24"/>
          <w:szCs w:val="24"/>
        </w:rPr>
        <w:t>Ega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J, </w:t>
      </w:r>
      <w:proofErr w:type="spellStart"/>
      <w:r w:rsidRPr="00254DA1">
        <w:rPr>
          <w:rFonts w:asciiTheme="minorBidi" w:hAnsiTheme="minorBidi"/>
          <w:sz w:val="24"/>
          <w:szCs w:val="24"/>
        </w:rPr>
        <w:t>Siddoju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K, </w:t>
      </w:r>
      <w:proofErr w:type="spellStart"/>
      <w:r w:rsidRPr="00254DA1">
        <w:rPr>
          <w:rFonts w:asciiTheme="minorBidi" w:hAnsiTheme="minorBidi"/>
          <w:sz w:val="24"/>
          <w:szCs w:val="24"/>
        </w:rPr>
        <w:t>Battula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S. Formulation </w:t>
      </w:r>
      <w:r w:rsidR="00857940" w:rsidRPr="00254DA1">
        <w:rPr>
          <w:rFonts w:asciiTheme="minorBidi" w:hAnsiTheme="minorBidi"/>
          <w:sz w:val="24"/>
          <w:szCs w:val="24"/>
        </w:rPr>
        <w:t>of alfuzosin hydrogen chloride and evaluation of multilayer and monolithic extended release matrix tablets for benign prostatic hyperplasia</w:t>
      </w:r>
      <w:r w:rsidRPr="00254DA1">
        <w:rPr>
          <w:rFonts w:asciiTheme="minorBidi" w:hAnsiTheme="minorBidi"/>
          <w:sz w:val="24"/>
          <w:szCs w:val="24"/>
        </w:rPr>
        <w:t>. Imperial Journal of Interdisciplinary Research. 2016.</w:t>
      </w:r>
      <w:r w:rsidR="00196698">
        <w:rPr>
          <w:rFonts w:asciiTheme="minorBidi" w:hAnsiTheme="minorBidi"/>
          <w:sz w:val="24"/>
          <w:szCs w:val="24"/>
        </w:rPr>
        <w:t xml:space="preserve"> </w:t>
      </w:r>
      <w:r w:rsidRPr="00254DA1">
        <w:rPr>
          <w:rFonts w:asciiTheme="minorBidi" w:hAnsiTheme="minorBidi"/>
          <w:sz w:val="24"/>
          <w:szCs w:val="24"/>
        </w:rPr>
        <w:t>2(3)</w:t>
      </w:r>
    </w:p>
    <w:p w14:paraId="7C65D83B" w14:textId="35F0F7C8" w:rsidR="008A4430" w:rsidRPr="00254DA1" w:rsidRDefault="008A443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t>Reid JL, Vincent J. Clinical pharmacology and therapeutic role of prazosin and related alpha-adrenoceptor antagonists. Cardiology. 1986;73(3):164-74.</w:t>
      </w:r>
    </w:p>
    <w:p w14:paraId="6A254957" w14:textId="1688FD1B" w:rsidR="008A4430" w:rsidRPr="00254DA1" w:rsidRDefault="008A443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254DA1">
        <w:rPr>
          <w:rFonts w:asciiTheme="minorBidi" w:hAnsiTheme="minorBidi"/>
          <w:sz w:val="24"/>
          <w:szCs w:val="24"/>
        </w:rPr>
        <w:t>Ahtoy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P, Chrétien P, Dupain T, Rauch C, </w:t>
      </w:r>
      <w:proofErr w:type="spellStart"/>
      <w:r w:rsidRPr="00254DA1">
        <w:rPr>
          <w:rFonts w:asciiTheme="minorBidi" w:hAnsiTheme="minorBidi"/>
          <w:sz w:val="24"/>
          <w:szCs w:val="24"/>
        </w:rPr>
        <w:t>Rouchouse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A, </w:t>
      </w:r>
      <w:proofErr w:type="spellStart"/>
      <w:r w:rsidRPr="00254DA1">
        <w:rPr>
          <w:rFonts w:asciiTheme="minorBidi" w:hAnsiTheme="minorBidi"/>
          <w:sz w:val="24"/>
          <w:szCs w:val="24"/>
        </w:rPr>
        <w:t>Delfolie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A. Alfuzosin, an alpha1-adrenoceptor antagonist for the treatment of benign prostatic hyperplasia: once daily versus 3 times daily dosing in healthy subjects. International </w:t>
      </w:r>
      <w:r w:rsidR="00857940" w:rsidRPr="00254DA1">
        <w:rPr>
          <w:rFonts w:asciiTheme="minorBidi" w:hAnsiTheme="minorBidi"/>
          <w:sz w:val="24"/>
          <w:szCs w:val="24"/>
        </w:rPr>
        <w:t xml:space="preserve">Journal </w:t>
      </w:r>
      <w:r w:rsidRPr="00254DA1">
        <w:rPr>
          <w:rFonts w:asciiTheme="minorBidi" w:hAnsiTheme="minorBidi"/>
          <w:sz w:val="24"/>
          <w:szCs w:val="24"/>
        </w:rPr>
        <w:t xml:space="preserve">of </w:t>
      </w:r>
      <w:r w:rsidR="00857940" w:rsidRPr="00254DA1">
        <w:rPr>
          <w:rFonts w:asciiTheme="minorBidi" w:hAnsiTheme="minorBidi"/>
          <w:sz w:val="24"/>
          <w:szCs w:val="24"/>
        </w:rPr>
        <w:t>Clinical Phar</w:t>
      </w:r>
      <w:r w:rsidRPr="00254DA1">
        <w:rPr>
          <w:rFonts w:asciiTheme="minorBidi" w:hAnsiTheme="minorBidi"/>
          <w:sz w:val="24"/>
          <w:szCs w:val="24"/>
        </w:rPr>
        <w:t xml:space="preserve">macology and </w:t>
      </w:r>
      <w:r w:rsidR="00857940" w:rsidRPr="00254DA1">
        <w:rPr>
          <w:rFonts w:asciiTheme="minorBidi" w:hAnsiTheme="minorBidi"/>
          <w:sz w:val="24"/>
          <w:szCs w:val="24"/>
        </w:rPr>
        <w:t>Therapeutics</w:t>
      </w:r>
      <w:r w:rsidRPr="00254DA1">
        <w:rPr>
          <w:rFonts w:asciiTheme="minorBidi" w:hAnsiTheme="minorBidi"/>
          <w:sz w:val="24"/>
          <w:szCs w:val="24"/>
        </w:rPr>
        <w:t>. 2002 Jul;40(7):289-94.</w:t>
      </w:r>
    </w:p>
    <w:p w14:paraId="337B7CD3" w14:textId="3EEC16F6" w:rsidR="008A4430" w:rsidRPr="00254DA1" w:rsidRDefault="008A443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254DA1">
        <w:rPr>
          <w:rFonts w:asciiTheme="minorBidi" w:hAnsiTheme="minorBidi"/>
          <w:sz w:val="24"/>
          <w:szCs w:val="24"/>
        </w:rPr>
        <w:t>Osselton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MD, Watts J. Clarke's analysis of drugs and poisons. </w:t>
      </w:r>
      <w:proofErr w:type="spellStart"/>
      <w:r w:rsidRPr="00254DA1">
        <w:rPr>
          <w:rFonts w:asciiTheme="minorBidi" w:hAnsiTheme="minorBidi"/>
          <w:sz w:val="24"/>
          <w:szCs w:val="24"/>
        </w:rPr>
        <w:t>Moffat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AC, </w:t>
      </w:r>
      <w:proofErr w:type="spellStart"/>
      <w:r w:rsidRPr="00254DA1">
        <w:rPr>
          <w:rFonts w:asciiTheme="minorBidi" w:hAnsiTheme="minorBidi"/>
          <w:sz w:val="24"/>
          <w:szCs w:val="24"/>
        </w:rPr>
        <w:t>Widdop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B, editors. London: Pharmaceutical press; 2011.</w:t>
      </w:r>
    </w:p>
    <w:p w14:paraId="23708BE9" w14:textId="2506E1C5" w:rsidR="008A4430" w:rsidRPr="00254DA1" w:rsidRDefault="008A443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t xml:space="preserve">Fahmy RH. Statistical approach for assessing the influence of calcium silicate and HPMC on the formulation of novel alfuzosin hydrochloride mucoadhesive-floating beads as </w:t>
      </w:r>
      <w:proofErr w:type="spellStart"/>
      <w:r w:rsidRPr="00254DA1">
        <w:rPr>
          <w:rFonts w:asciiTheme="minorBidi" w:hAnsiTheme="minorBidi"/>
          <w:sz w:val="24"/>
          <w:szCs w:val="24"/>
        </w:rPr>
        <w:t>gastroretentive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drug delivery systems. AAPS </w:t>
      </w:r>
      <w:proofErr w:type="spellStart"/>
      <w:r w:rsidRPr="00254DA1">
        <w:rPr>
          <w:rFonts w:asciiTheme="minorBidi" w:hAnsiTheme="minorBidi"/>
          <w:sz w:val="24"/>
          <w:szCs w:val="24"/>
        </w:rPr>
        <w:t>PharmSciTech</w:t>
      </w:r>
      <w:proofErr w:type="spellEnd"/>
      <w:r w:rsidRPr="00254DA1">
        <w:rPr>
          <w:rFonts w:asciiTheme="minorBidi" w:hAnsiTheme="minorBidi"/>
          <w:sz w:val="24"/>
          <w:szCs w:val="24"/>
        </w:rPr>
        <w:t>. 2012 Sep 1;13(3):990-1004.</w:t>
      </w:r>
    </w:p>
    <w:p w14:paraId="2FB43AA5" w14:textId="1A134178" w:rsidR="008A4430" w:rsidRPr="00254DA1" w:rsidRDefault="008A443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t xml:space="preserve">Maggi L, Conte U, </w:t>
      </w:r>
      <w:proofErr w:type="spellStart"/>
      <w:r w:rsidRPr="00254DA1">
        <w:rPr>
          <w:rFonts w:asciiTheme="minorBidi" w:hAnsiTheme="minorBidi"/>
          <w:sz w:val="24"/>
          <w:szCs w:val="24"/>
        </w:rPr>
        <w:t>Grenier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P, </w:t>
      </w:r>
      <w:proofErr w:type="spellStart"/>
      <w:r w:rsidRPr="00254DA1">
        <w:rPr>
          <w:rFonts w:asciiTheme="minorBidi" w:hAnsiTheme="minorBidi"/>
          <w:sz w:val="24"/>
          <w:szCs w:val="24"/>
        </w:rPr>
        <w:t>Vergnault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G, Dufour A, </w:t>
      </w:r>
      <w:proofErr w:type="spellStart"/>
      <w:r w:rsidRPr="00254DA1">
        <w:rPr>
          <w:rFonts w:asciiTheme="minorBidi" w:hAnsiTheme="minorBidi"/>
          <w:sz w:val="24"/>
          <w:szCs w:val="24"/>
        </w:rPr>
        <w:t>Jarreau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FX, Rauch-</w:t>
      </w:r>
      <w:proofErr w:type="spellStart"/>
      <w:r w:rsidRPr="00254DA1">
        <w:rPr>
          <w:rFonts w:asciiTheme="minorBidi" w:hAnsiTheme="minorBidi"/>
          <w:sz w:val="24"/>
          <w:szCs w:val="24"/>
        </w:rPr>
        <w:t>Desanti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C, inventors; </w:t>
      </w:r>
      <w:proofErr w:type="spellStart"/>
      <w:r w:rsidRPr="00254DA1">
        <w:rPr>
          <w:rFonts w:asciiTheme="minorBidi" w:hAnsiTheme="minorBidi"/>
          <w:sz w:val="24"/>
          <w:szCs w:val="24"/>
        </w:rPr>
        <w:t>Jagotec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AG, </w:t>
      </w:r>
      <w:proofErr w:type="spellStart"/>
      <w:r w:rsidRPr="00254DA1">
        <w:rPr>
          <w:rFonts w:asciiTheme="minorBidi" w:hAnsiTheme="minorBidi"/>
          <w:sz w:val="24"/>
          <w:szCs w:val="24"/>
        </w:rPr>
        <w:t>Synthelabo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, assignee. Tablet with controlled release of </w:t>
      </w:r>
      <w:proofErr w:type="spellStart"/>
      <w:r w:rsidRPr="00254DA1">
        <w:rPr>
          <w:rFonts w:asciiTheme="minorBidi" w:hAnsiTheme="minorBidi"/>
          <w:sz w:val="24"/>
          <w:szCs w:val="24"/>
        </w:rPr>
        <w:t>alfuzosine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254DA1">
        <w:rPr>
          <w:rFonts w:asciiTheme="minorBidi" w:hAnsiTheme="minorBidi"/>
          <w:sz w:val="24"/>
          <w:szCs w:val="24"/>
        </w:rPr>
        <w:t>chlorhydrate</w:t>
      </w:r>
      <w:proofErr w:type="spellEnd"/>
      <w:r w:rsidRPr="00254DA1">
        <w:rPr>
          <w:rFonts w:asciiTheme="minorBidi" w:hAnsiTheme="minorBidi"/>
          <w:sz w:val="24"/>
          <w:szCs w:val="24"/>
        </w:rPr>
        <w:t>. United States patent US 6,149,940. 2000 Nov 21.</w:t>
      </w:r>
    </w:p>
    <w:p w14:paraId="303A8CFB" w14:textId="279C126F" w:rsidR="008A4430" w:rsidRPr="00254DA1" w:rsidRDefault="008A443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254DA1">
        <w:rPr>
          <w:rFonts w:asciiTheme="minorBidi" w:hAnsiTheme="minorBidi"/>
          <w:sz w:val="24"/>
          <w:szCs w:val="24"/>
        </w:rPr>
        <w:t>Fda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254DA1">
        <w:rPr>
          <w:rFonts w:asciiTheme="minorBidi" w:hAnsiTheme="minorBidi"/>
          <w:sz w:val="24"/>
          <w:szCs w:val="24"/>
        </w:rPr>
        <w:t>Cder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254DA1">
        <w:rPr>
          <w:rFonts w:asciiTheme="minorBidi" w:hAnsiTheme="minorBidi"/>
          <w:sz w:val="24"/>
          <w:szCs w:val="24"/>
        </w:rPr>
        <w:t>Purdief</w:t>
      </w:r>
      <w:proofErr w:type="spellEnd"/>
      <w:r w:rsidRPr="00254DA1">
        <w:rPr>
          <w:rFonts w:asciiTheme="minorBidi" w:hAnsiTheme="minorBidi"/>
          <w:sz w:val="24"/>
          <w:szCs w:val="24"/>
        </w:rPr>
        <w:t>. Guidance for Industry Bioavailability and Bioequivalence Studies Submitted in NDAs or INDs General Considerations Guidance for Industry.</w:t>
      </w:r>
      <w:r w:rsidR="00254DA1">
        <w:rPr>
          <w:rFonts w:asciiTheme="minorBidi" w:hAnsiTheme="minorBidi"/>
          <w:sz w:val="24"/>
          <w:szCs w:val="24"/>
        </w:rPr>
        <w:t xml:space="preserve"> </w:t>
      </w:r>
      <w:r w:rsidRPr="00254DA1">
        <w:rPr>
          <w:rFonts w:asciiTheme="minorBidi" w:hAnsiTheme="minorBidi"/>
          <w:sz w:val="24"/>
          <w:szCs w:val="24"/>
        </w:rPr>
        <w:t>http://www.fda.gov/Drugs/GuidanceComplianceRegulatoryInformation/Guidances/default.htm. Accessed March 22, 201</w:t>
      </w:r>
      <w:r w:rsidR="00254DA1">
        <w:rPr>
          <w:rFonts w:asciiTheme="minorBidi" w:hAnsiTheme="minorBidi"/>
          <w:sz w:val="24"/>
          <w:szCs w:val="24"/>
        </w:rPr>
        <w:t>9</w:t>
      </w:r>
      <w:r w:rsidRPr="00254DA1">
        <w:rPr>
          <w:rFonts w:asciiTheme="minorBidi" w:hAnsiTheme="minorBidi"/>
          <w:sz w:val="24"/>
          <w:szCs w:val="24"/>
        </w:rPr>
        <w:t>.</w:t>
      </w:r>
    </w:p>
    <w:p w14:paraId="513F4622" w14:textId="35416F0B" w:rsidR="008A4430" w:rsidRDefault="008A443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t xml:space="preserve">Gomes, Noel A., Ashutosh </w:t>
      </w:r>
      <w:proofErr w:type="spellStart"/>
      <w:r w:rsidRPr="00254DA1">
        <w:rPr>
          <w:rFonts w:asciiTheme="minorBidi" w:hAnsiTheme="minorBidi"/>
          <w:sz w:val="24"/>
          <w:szCs w:val="24"/>
        </w:rPr>
        <w:t>Pudage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, Santosh S. Joshi, Vikas V. Vaidya, Sagar A. Parekh, and </w:t>
      </w:r>
      <w:proofErr w:type="spellStart"/>
      <w:r w:rsidRPr="00254DA1">
        <w:rPr>
          <w:rFonts w:asciiTheme="minorBidi" w:hAnsiTheme="minorBidi"/>
          <w:sz w:val="24"/>
          <w:szCs w:val="24"/>
        </w:rPr>
        <w:t>Amod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V. </w:t>
      </w:r>
      <w:proofErr w:type="spellStart"/>
      <w:r w:rsidRPr="00254DA1">
        <w:rPr>
          <w:rFonts w:asciiTheme="minorBidi" w:hAnsiTheme="minorBidi"/>
          <w:sz w:val="24"/>
          <w:szCs w:val="24"/>
        </w:rPr>
        <w:t>Tamhankar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. Rapid and sensitive LC–MS–MS method for the simultaneous estimation of alfuzosin and dutasteride in human plasma. </w:t>
      </w:r>
      <w:proofErr w:type="spellStart"/>
      <w:r w:rsidRPr="00254DA1">
        <w:rPr>
          <w:rFonts w:asciiTheme="minorBidi" w:hAnsiTheme="minorBidi"/>
          <w:sz w:val="24"/>
          <w:szCs w:val="24"/>
        </w:rPr>
        <w:t>Chromatographia</w:t>
      </w:r>
      <w:proofErr w:type="spellEnd"/>
      <w:r w:rsidRPr="00254DA1">
        <w:rPr>
          <w:rFonts w:asciiTheme="minorBidi" w:hAnsiTheme="minorBidi"/>
          <w:sz w:val="24"/>
          <w:szCs w:val="24"/>
        </w:rPr>
        <w:t xml:space="preserve"> 69, no. 1-2 (2009): 9-18.</w:t>
      </w:r>
    </w:p>
    <w:p w14:paraId="03727519" w14:textId="491A95A3" w:rsidR="008A4430" w:rsidRPr="00254DA1" w:rsidRDefault="008A4430" w:rsidP="00254DA1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Theme="minorBidi" w:hAnsiTheme="minorBidi"/>
          <w:sz w:val="24"/>
          <w:szCs w:val="24"/>
        </w:rPr>
      </w:pPr>
      <w:r w:rsidRPr="00254DA1">
        <w:rPr>
          <w:rFonts w:asciiTheme="minorBidi" w:hAnsiTheme="minorBidi"/>
          <w:sz w:val="24"/>
          <w:szCs w:val="24"/>
        </w:rPr>
        <w:lastRenderedPageBreak/>
        <w:t>ICH Harmonised Tripartite Guideline Validation of Analytical Procedures: Text and Methodology Q2(R1) Guideline on Validation of Analytical Procedures: Methodology developed to complement the Parent Guideline. 2005. https://www.ich.org/fileadmin/Public_</w:t>
      </w:r>
      <w:proofErr w:type="spellStart"/>
      <w:r w:rsidRPr="00254DA1">
        <w:rPr>
          <w:rFonts w:asciiTheme="minorBidi" w:hAnsiTheme="minorBidi"/>
          <w:sz w:val="24"/>
          <w:szCs w:val="24"/>
          <w:lang w:val="en-US"/>
        </w:rPr>
        <w:t>Web_Site</w:t>
      </w:r>
      <w:proofErr w:type="spellEnd"/>
      <w:r w:rsidRPr="00254DA1">
        <w:rPr>
          <w:rFonts w:asciiTheme="minorBidi" w:hAnsiTheme="minorBidi"/>
          <w:sz w:val="24"/>
          <w:szCs w:val="24"/>
          <w:lang w:val="en-US"/>
        </w:rPr>
        <w:t>/</w:t>
      </w:r>
      <w:proofErr w:type="spellStart"/>
      <w:r w:rsidRPr="00254DA1">
        <w:rPr>
          <w:rFonts w:asciiTheme="minorBidi" w:hAnsiTheme="minorBidi"/>
          <w:sz w:val="24"/>
          <w:szCs w:val="24"/>
          <w:lang w:val="en-US"/>
        </w:rPr>
        <w:t>ICH_Products</w:t>
      </w:r>
      <w:proofErr w:type="spellEnd"/>
      <w:r w:rsidRPr="00254DA1">
        <w:rPr>
          <w:rFonts w:asciiTheme="minorBidi" w:hAnsiTheme="minorBidi"/>
          <w:sz w:val="24"/>
          <w:szCs w:val="24"/>
          <w:lang w:val="en-US"/>
        </w:rPr>
        <w:t>/Guidelines/Quality/Q2_R1/ Step4/Q2_R1__Guideline.pdf. Accessed March 22, 201</w:t>
      </w:r>
      <w:r w:rsidR="00254DA1">
        <w:rPr>
          <w:rFonts w:asciiTheme="minorBidi" w:hAnsiTheme="minorBidi"/>
          <w:sz w:val="24"/>
          <w:szCs w:val="24"/>
          <w:lang w:val="en-US"/>
        </w:rPr>
        <w:t>9</w:t>
      </w:r>
      <w:r w:rsidRPr="00254DA1">
        <w:rPr>
          <w:rFonts w:asciiTheme="minorBidi" w:hAnsiTheme="minorBidi"/>
          <w:sz w:val="24"/>
          <w:szCs w:val="24"/>
          <w:lang w:val="en-US"/>
        </w:rPr>
        <w:t>.</w:t>
      </w:r>
    </w:p>
    <w:p w14:paraId="714678DA" w14:textId="1FC58725" w:rsidR="008A2D22" w:rsidRPr="000E7FE5" w:rsidRDefault="008A2D22" w:rsidP="008A4430">
      <w:pPr>
        <w:ind w:left="284"/>
        <w:jc w:val="both"/>
        <w:rPr>
          <w:rFonts w:asciiTheme="minorBidi" w:hAnsiTheme="minorBidi"/>
          <w:sz w:val="24"/>
          <w:szCs w:val="24"/>
          <w:lang w:val="en-US"/>
        </w:rPr>
      </w:pPr>
    </w:p>
    <w:sectPr w:rsidR="008A2D22" w:rsidRPr="000E7FE5" w:rsidSect="00D11577">
      <w:footerReference w:type="default" r:id="rId16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C974E" w14:textId="77777777" w:rsidR="001B6843" w:rsidRDefault="001B6843" w:rsidP="00B00AA9">
      <w:pPr>
        <w:spacing w:after="0" w:line="240" w:lineRule="auto"/>
      </w:pPr>
      <w:r>
        <w:separator/>
      </w:r>
    </w:p>
  </w:endnote>
  <w:endnote w:type="continuationSeparator" w:id="0">
    <w:p w14:paraId="09AE5AF2" w14:textId="77777777" w:rsidR="001B6843" w:rsidRDefault="001B6843" w:rsidP="00B0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425260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4A1F8" w14:textId="77E798C2" w:rsidR="003A2999" w:rsidRPr="00A12B73" w:rsidRDefault="003A2999">
        <w:pPr>
          <w:pStyle w:val="Footer"/>
          <w:jc w:val="center"/>
          <w:rPr>
            <w:rFonts w:ascii="Arial" w:hAnsi="Arial" w:cs="Arial"/>
          </w:rPr>
        </w:pPr>
        <w:r w:rsidRPr="00A12B73">
          <w:rPr>
            <w:rFonts w:ascii="Arial" w:hAnsi="Arial" w:cs="Arial"/>
          </w:rPr>
          <w:fldChar w:fldCharType="begin"/>
        </w:r>
        <w:r w:rsidRPr="00A12B73">
          <w:rPr>
            <w:rFonts w:ascii="Arial" w:hAnsi="Arial" w:cs="Arial"/>
          </w:rPr>
          <w:instrText xml:space="preserve"> PAGE   \* MERGEFORMAT </w:instrText>
        </w:r>
        <w:r w:rsidRPr="00A12B73">
          <w:rPr>
            <w:rFonts w:ascii="Arial" w:hAnsi="Arial" w:cs="Arial"/>
          </w:rPr>
          <w:fldChar w:fldCharType="separate"/>
        </w:r>
        <w:r w:rsidR="00DF2366" w:rsidRPr="00A12B73">
          <w:rPr>
            <w:rFonts w:ascii="Arial" w:hAnsi="Arial" w:cs="Arial"/>
            <w:noProof/>
          </w:rPr>
          <w:t>13</w:t>
        </w:r>
        <w:r w:rsidRPr="00A12B73">
          <w:rPr>
            <w:rFonts w:ascii="Arial" w:hAnsi="Arial" w:cs="Arial"/>
            <w:noProof/>
          </w:rPr>
          <w:fldChar w:fldCharType="end"/>
        </w:r>
      </w:p>
    </w:sdtContent>
  </w:sdt>
  <w:p w14:paraId="6D8BB938" w14:textId="77777777" w:rsidR="003A2999" w:rsidRPr="00A12B73" w:rsidRDefault="003A299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57176" w14:textId="77777777" w:rsidR="001B6843" w:rsidRDefault="001B6843" w:rsidP="00B00AA9">
      <w:pPr>
        <w:spacing w:after="0" w:line="240" w:lineRule="auto"/>
      </w:pPr>
      <w:r>
        <w:separator/>
      </w:r>
    </w:p>
  </w:footnote>
  <w:footnote w:type="continuationSeparator" w:id="0">
    <w:p w14:paraId="5023F549" w14:textId="77777777" w:rsidR="001B6843" w:rsidRDefault="001B6843" w:rsidP="00B0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01081"/>
    <w:multiLevelType w:val="hybridMultilevel"/>
    <w:tmpl w:val="D2A469F4"/>
    <w:lvl w:ilvl="0" w:tplc="2506D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04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00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2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8C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09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02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E9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8D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4A3"/>
    <w:multiLevelType w:val="hybridMultilevel"/>
    <w:tmpl w:val="B9CA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D2841"/>
    <w:multiLevelType w:val="hybridMultilevel"/>
    <w:tmpl w:val="260CE926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2932"/>
    <w:multiLevelType w:val="hybridMultilevel"/>
    <w:tmpl w:val="531E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606E8"/>
    <w:multiLevelType w:val="hybridMultilevel"/>
    <w:tmpl w:val="657CB8C6"/>
    <w:lvl w:ilvl="0" w:tplc="2E66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C4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4D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E6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26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06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24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8D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15B9"/>
    <w:multiLevelType w:val="hybridMultilevel"/>
    <w:tmpl w:val="0C9CF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07"/>
    <w:rsid w:val="000224C5"/>
    <w:rsid w:val="000343A1"/>
    <w:rsid w:val="0005079E"/>
    <w:rsid w:val="00052FC1"/>
    <w:rsid w:val="0006704C"/>
    <w:rsid w:val="00076305"/>
    <w:rsid w:val="000B65FC"/>
    <w:rsid w:val="000D6307"/>
    <w:rsid w:val="000E7FE5"/>
    <w:rsid w:val="00104B00"/>
    <w:rsid w:val="00123EB5"/>
    <w:rsid w:val="001544D1"/>
    <w:rsid w:val="00165E4E"/>
    <w:rsid w:val="00177174"/>
    <w:rsid w:val="00196698"/>
    <w:rsid w:val="001A144E"/>
    <w:rsid w:val="001A6094"/>
    <w:rsid w:val="001A6B72"/>
    <w:rsid w:val="001B6843"/>
    <w:rsid w:val="0020578B"/>
    <w:rsid w:val="00227FEF"/>
    <w:rsid w:val="00247EEF"/>
    <w:rsid w:val="00254DA1"/>
    <w:rsid w:val="002814F4"/>
    <w:rsid w:val="00290EC7"/>
    <w:rsid w:val="00291AA5"/>
    <w:rsid w:val="00292BFC"/>
    <w:rsid w:val="0029572E"/>
    <w:rsid w:val="002A4B17"/>
    <w:rsid w:val="002B3E9C"/>
    <w:rsid w:val="002B5165"/>
    <w:rsid w:val="002D3A3E"/>
    <w:rsid w:val="002F5F1E"/>
    <w:rsid w:val="00306EFD"/>
    <w:rsid w:val="00316A0E"/>
    <w:rsid w:val="0032459C"/>
    <w:rsid w:val="00326D54"/>
    <w:rsid w:val="003354F9"/>
    <w:rsid w:val="0037163F"/>
    <w:rsid w:val="00371B60"/>
    <w:rsid w:val="00387F67"/>
    <w:rsid w:val="003A03C8"/>
    <w:rsid w:val="003A239B"/>
    <w:rsid w:val="003A2999"/>
    <w:rsid w:val="003A383A"/>
    <w:rsid w:val="003A510A"/>
    <w:rsid w:val="003B1A54"/>
    <w:rsid w:val="003B4FFA"/>
    <w:rsid w:val="003B76B5"/>
    <w:rsid w:val="003C5B93"/>
    <w:rsid w:val="003D68D4"/>
    <w:rsid w:val="003D7E25"/>
    <w:rsid w:val="003E1028"/>
    <w:rsid w:val="003E7832"/>
    <w:rsid w:val="00403449"/>
    <w:rsid w:val="00423204"/>
    <w:rsid w:val="00423760"/>
    <w:rsid w:val="004251B4"/>
    <w:rsid w:val="004257BE"/>
    <w:rsid w:val="0042588E"/>
    <w:rsid w:val="00427424"/>
    <w:rsid w:val="00432CE0"/>
    <w:rsid w:val="00441542"/>
    <w:rsid w:val="0044456B"/>
    <w:rsid w:val="00445022"/>
    <w:rsid w:val="0046510E"/>
    <w:rsid w:val="00475C38"/>
    <w:rsid w:val="0048768A"/>
    <w:rsid w:val="00492FC6"/>
    <w:rsid w:val="0049450A"/>
    <w:rsid w:val="004B2A9F"/>
    <w:rsid w:val="004B4EB4"/>
    <w:rsid w:val="004C421C"/>
    <w:rsid w:val="004D62B8"/>
    <w:rsid w:val="004E7243"/>
    <w:rsid w:val="004F2EB1"/>
    <w:rsid w:val="004F3187"/>
    <w:rsid w:val="00513805"/>
    <w:rsid w:val="00516894"/>
    <w:rsid w:val="00526AFE"/>
    <w:rsid w:val="005308E2"/>
    <w:rsid w:val="00533261"/>
    <w:rsid w:val="005479D5"/>
    <w:rsid w:val="00553045"/>
    <w:rsid w:val="00557932"/>
    <w:rsid w:val="005664FB"/>
    <w:rsid w:val="00572884"/>
    <w:rsid w:val="0058103E"/>
    <w:rsid w:val="005849D8"/>
    <w:rsid w:val="00586600"/>
    <w:rsid w:val="005866B6"/>
    <w:rsid w:val="00587604"/>
    <w:rsid w:val="00595B1F"/>
    <w:rsid w:val="005B1830"/>
    <w:rsid w:val="005C489F"/>
    <w:rsid w:val="005E021A"/>
    <w:rsid w:val="005F211D"/>
    <w:rsid w:val="00602560"/>
    <w:rsid w:val="0061642D"/>
    <w:rsid w:val="00634FE6"/>
    <w:rsid w:val="00644A66"/>
    <w:rsid w:val="00677F94"/>
    <w:rsid w:val="006D37DE"/>
    <w:rsid w:val="006F1A2F"/>
    <w:rsid w:val="006F3B86"/>
    <w:rsid w:val="0071142D"/>
    <w:rsid w:val="00714D1C"/>
    <w:rsid w:val="00750C57"/>
    <w:rsid w:val="00782A23"/>
    <w:rsid w:val="007830A3"/>
    <w:rsid w:val="007854A6"/>
    <w:rsid w:val="00790301"/>
    <w:rsid w:val="00794DFB"/>
    <w:rsid w:val="00795530"/>
    <w:rsid w:val="007A2287"/>
    <w:rsid w:val="007A5D64"/>
    <w:rsid w:val="007D4C82"/>
    <w:rsid w:val="007F6F62"/>
    <w:rsid w:val="00810011"/>
    <w:rsid w:val="00810D1E"/>
    <w:rsid w:val="00831BB8"/>
    <w:rsid w:val="00854651"/>
    <w:rsid w:val="00857940"/>
    <w:rsid w:val="00875144"/>
    <w:rsid w:val="00882D03"/>
    <w:rsid w:val="008836ED"/>
    <w:rsid w:val="00886BBE"/>
    <w:rsid w:val="00887F15"/>
    <w:rsid w:val="00890D9B"/>
    <w:rsid w:val="008A2D22"/>
    <w:rsid w:val="008A4430"/>
    <w:rsid w:val="008B4771"/>
    <w:rsid w:val="008C04D9"/>
    <w:rsid w:val="008C124F"/>
    <w:rsid w:val="008D1129"/>
    <w:rsid w:val="00900782"/>
    <w:rsid w:val="009013FB"/>
    <w:rsid w:val="0090360B"/>
    <w:rsid w:val="0090645E"/>
    <w:rsid w:val="009123F4"/>
    <w:rsid w:val="00914CEF"/>
    <w:rsid w:val="00923613"/>
    <w:rsid w:val="00924DD8"/>
    <w:rsid w:val="00933ACE"/>
    <w:rsid w:val="0093697D"/>
    <w:rsid w:val="00942094"/>
    <w:rsid w:val="00950B39"/>
    <w:rsid w:val="00962502"/>
    <w:rsid w:val="00984243"/>
    <w:rsid w:val="00997B84"/>
    <w:rsid w:val="009A58EA"/>
    <w:rsid w:val="009A59A5"/>
    <w:rsid w:val="009A6162"/>
    <w:rsid w:val="009A7793"/>
    <w:rsid w:val="009B018B"/>
    <w:rsid w:val="009B7D5E"/>
    <w:rsid w:val="009B7F62"/>
    <w:rsid w:val="009C1BD2"/>
    <w:rsid w:val="009C2057"/>
    <w:rsid w:val="009E4C83"/>
    <w:rsid w:val="009E7EA1"/>
    <w:rsid w:val="009F09BE"/>
    <w:rsid w:val="009F3BB3"/>
    <w:rsid w:val="00A12B73"/>
    <w:rsid w:val="00A15B89"/>
    <w:rsid w:val="00A22B32"/>
    <w:rsid w:val="00A301C9"/>
    <w:rsid w:val="00A307B4"/>
    <w:rsid w:val="00A32E58"/>
    <w:rsid w:val="00A356A1"/>
    <w:rsid w:val="00A36EEF"/>
    <w:rsid w:val="00A61D6A"/>
    <w:rsid w:val="00A65055"/>
    <w:rsid w:val="00A82100"/>
    <w:rsid w:val="00AA6962"/>
    <w:rsid w:val="00AB38C8"/>
    <w:rsid w:val="00AB3AEB"/>
    <w:rsid w:val="00AB44C7"/>
    <w:rsid w:val="00AD352F"/>
    <w:rsid w:val="00AE1FB7"/>
    <w:rsid w:val="00AF114D"/>
    <w:rsid w:val="00AF69A6"/>
    <w:rsid w:val="00AF774C"/>
    <w:rsid w:val="00B00AA9"/>
    <w:rsid w:val="00B27236"/>
    <w:rsid w:val="00B31BB3"/>
    <w:rsid w:val="00B3519F"/>
    <w:rsid w:val="00B51DF9"/>
    <w:rsid w:val="00B71E76"/>
    <w:rsid w:val="00B743CE"/>
    <w:rsid w:val="00BB00ED"/>
    <w:rsid w:val="00BE5D3A"/>
    <w:rsid w:val="00BF1A14"/>
    <w:rsid w:val="00C00F81"/>
    <w:rsid w:val="00C01B34"/>
    <w:rsid w:val="00C04CA0"/>
    <w:rsid w:val="00C25DE2"/>
    <w:rsid w:val="00C41FEC"/>
    <w:rsid w:val="00C42EAB"/>
    <w:rsid w:val="00C43BF8"/>
    <w:rsid w:val="00C44081"/>
    <w:rsid w:val="00C51293"/>
    <w:rsid w:val="00C8188B"/>
    <w:rsid w:val="00C87BA6"/>
    <w:rsid w:val="00C92B16"/>
    <w:rsid w:val="00CA4EAA"/>
    <w:rsid w:val="00CB02DA"/>
    <w:rsid w:val="00CB69A2"/>
    <w:rsid w:val="00CC0CFA"/>
    <w:rsid w:val="00CD3A3C"/>
    <w:rsid w:val="00CD7050"/>
    <w:rsid w:val="00CE1BFE"/>
    <w:rsid w:val="00CE2B15"/>
    <w:rsid w:val="00CF7AAF"/>
    <w:rsid w:val="00D00F4F"/>
    <w:rsid w:val="00D11577"/>
    <w:rsid w:val="00D1455D"/>
    <w:rsid w:val="00D2368E"/>
    <w:rsid w:val="00D43959"/>
    <w:rsid w:val="00D44F13"/>
    <w:rsid w:val="00D52BBD"/>
    <w:rsid w:val="00D83532"/>
    <w:rsid w:val="00D92EEC"/>
    <w:rsid w:val="00DA2582"/>
    <w:rsid w:val="00DA6EBA"/>
    <w:rsid w:val="00DB127D"/>
    <w:rsid w:val="00DB295F"/>
    <w:rsid w:val="00DB664A"/>
    <w:rsid w:val="00DC5680"/>
    <w:rsid w:val="00DF2366"/>
    <w:rsid w:val="00E20BFE"/>
    <w:rsid w:val="00E2662D"/>
    <w:rsid w:val="00E41377"/>
    <w:rsid w:val="00E8635A"/>
    <w:rsid w:val="00E87013"/>
    <w:rsid w:val="00E94003"/>
    <w:rsid w:val="00E97173"/>
    <w:rsid w:val="00EA13E0"/>
    <w:rsid w:val="00EB54E8"/>
    <w:rsid w:val="00EC7D7C"/>
    <w:rsid w:val="00ED1F35"/>
    <w:rsid w:val="00ED1F84"/>
    <w:rsid w:val="00EE4D61"/>
    <w:rsid w:val="00EF60BD"/>
    <w:rsid w:val="00F00B7A"/>
    <w:rsid w:val="00F03C7E"/>
    <w:rsid w:val="00F24B9E"/>
    <w:rsid w:val="00F3165A"/>
    <w:rsid w:val="00F33094"/>
    <w:rsid w:val="00F40876"/>
    <w:rsid w:val="00F41D4C"/>
    <w:rsid w:val="00F70EFE"/>
    <w:rsid w:val="00F92053"/>
    <w:rsid w:val="00F932C4"/>
    <w:rsid w:val="00FA3798"/>
    <w:rsid w:val="00FC395F"/>
    <w:rsid w:val="00FE2A45"/>
    <w:rsid w:val="00FF0B03"/>
    <w:rsid w:val="00FF476E"/>
    <w:rsid w:val="3ED6C735"/>
    <w:rsid w:val="4996C983"/>
    <w:rsid w:val="51867DD3"/>
    <w:rsid w:val="549ED4BE"/>
    <w:rsid w:val="6711A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3D67"/>
  <w15:chartTrackingRefBased/>
  <w15:docId w15:val="{435D39B2-ED99-4F7D-B1C9-5FE4156F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3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AA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00AA9"/>
  </w:style>
  <w:style w:type="paragraph" w:styleId="Header">
    <w:name w:val="header"/>
    <w:basedOn w:val="Normal"/>
    <w:link w:val="HeaderChar"/>
    <w:uiPriority w:val="99"/>
    <w:unhideWhenUsed/>
    <w:rsid w:val="00B00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AA9"/>
  </w:style>
  <w:style w:type="paragraph" w:styleId="Footer">
    <w:name w:val="footer"/>
    <w:basedOn w:val="Normal"/>
    <w:link w:val="FooterChar"/>
    <w:uiPriority w:val="99"/>
    <w:unhideWhenUsed/>
    <w:rsid w:val="00B00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AA9"/>
  </w:style>
  <w:style w:type="paragraph" w:customStyle="1" w:styleId="Default">
    <w:name w:val="Default"/>
    <w:rsid w:val="00C25D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4DA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11577"/>
  </w:style>
  <w:style w:type="character" w:styleId="UnresolvedMention">
    <w:name w:val="Unresolved Mention"/>
    <w:basedOn w:val="DefaultParagraphFont"/>
    <w:uiPriority w:val="99"/>
    <w:semiHidden/>
    <w:unhideWhenUsed/>
    <w:rsid w:val="00D00F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1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elqader.albawab@zuj.edu.jo" TargetMode="External"/><Relationship Id="rId13" Type="http://schemas.openxmlformats.org/officeDocument/2006/relationships/hyperlink" Target="mailto:sami.qassim@tabukpharmaceutical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raa.Barahmieh@gju.edu.j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.khalidi@ju.edu.j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nathan.ling@sunderland.ac.uk" TargetMode="External"/><Relationship Id="rId10" Type="http://schemas.openxmlformats.org/officeDocument/2006/relationships/hyperlink" Target="mailto:Waleed.qirim@zuj.edu.j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delqader.albawab@zuj.edu.jo" TargetMode="External"/><Relationship Id="rId14" Type="http://schemas.openxmlformats.org/officeDocument/2006/relationships/hyperlink" Target="mailto:mohammad.alsaifi@tabukpharmaceutic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2AF1-BCB0-4F73-9047-595AE206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3031</Words>
  <Characters>16583</Characters>
  <Application>Microsoft Office Word</Application>
  <DocSecurity>0</DocSecurity>
  <Lines>360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Qader al bawab</dc:creator>
  <cp:keywords/>
  <dc:description/>
  <cp:lastModifiedBy>Jonathan Ling</cp:lastModifiedBy>
  <cp:revision>9</cp:revision>
  <dcterms:created xsi:type="dcterms:W3CDTF">2019-11-09T21:21:00Z</dcterms:created>
  <dcterms:modified xsi:type="dcterms:W3CDTF">2020-07-16T14:05:00Z</dcterms:modified>
</cp:coreProperties>
</file>