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06A8" w14:textId="77777777" w:rsidR="009851D5" w:rsidRPr="00FF0B33" w:rsidRDefault="009851D5" w:rsidP="009851D5">
      <w:bookmarkStart w:id="0" w:name="_GoBack"/>
      <w:bookmarkEnd w:id="0"/>
      <w:r w:rsidRPr="00FF0B33">
        <w:t>Short Report</w:t>
      </w:r>
    </w:p>
    <w:p w14:paraId="47AF4C19" w14:textId="77777777" w:rsidR="009851D5" w:rsidRPr="00FF0B33" w:rsidRDefault="009851D5" w:rsidP="009851D5"/>
    <w:p w14:paraId="2B0738AB" w14:textId="77777777" w:rsidR="009851D5" w:rsidRPr="00FF0B33" w:rsidRDefault="009851D5" w:rsidP="009851D5">
      <w:r w:rsidRPr="00FF0B33">
        <w:t>Submitting author:</w:t>
      </w:r>
    </w:p>
    <w:p w14:paraId="4F15CCF0" w14:textId="77777777" w:rsidR="009851D5" w:rsidRPr="00FF0B33" w:rsidRDefault="009851D5" w:rsidP="009851D5">
      <w:r w:rsidRPr="00FF0B33">
        <w:t>Michael Tremlett</w:t>
      </w:r>
    </w:p>
    <w:p w14:paraId="126404B5" w14:textId="77777777" w:rsidR="009851D5" w:rsidRPr="00FF0B33" w:rsidRDefault="009851D5" w:rsidP="009851D5">
      <w:r w:rsidRPr="00FF0B33">
        <w:t xml:space="preserve">Department of </w:t>
      </w:r>
      <w:proofErr w:type="spellStart"/>
      <w:r w:rsidRPr="00FF0B33">
        <w:t>Anaesthetics</w:t>
      </w:r>
      <w:proofErr w:type="spellEnd"/>
      <w:r w:rsidRPr="00FF0B33">
        <w:t>,</w:t>
      </w:r>
    </w:p>
    <w:p w14:paraId="22154E5A" w14:textId="77777777" w:rsidR="009851D5" w:rsidRPr="00FF0B33" w:rsidRDefault="009851D5" w:rsidP="009851D5">
      <w:r w:rsidRPr="00FF0B33">
        <w:t>James Cook University Hospital,</w:t>
      </w:r>
    </w:p>
    <w:p w14:paraId="266B87D2" w14:textId="77777777" w:rsidR="009851D5" w:rsidRPr="00FF0B33" w:rsidRDefault="009851D5" w:rsidP="009851D5">
      <w:proofErr w:type="spellStart"/>
      <w:r w:rsidRPr="00FF0B33">
        <w:t>Marton</w:t>
      </w:r>
      <w:proofErr w:type="spellEnd"/>
      <w:r w:rsidRPr="00FF0B33">
        <w:t xml:space="preserve"> Road,</w:t>
      </w:r>
    </w:p>
    <w:p w14:paraId="064654D1" w14:textId="77777777" w:rsidR="009851D5" w:rsidRPr="00FF0B33" w:rsidRDefault="009851D5" w:rsidP="009851D5">
      <w:r w:rsidRPr="00FF0B33">
        <w:t>Middlesbrough TS4 3BW</w:t>
      </w:r>
    </w:p>
    <w:p w14:paraId="53307B04" w14:textId="77777777" w:rsidR="009851D5" w:rsidRPr="00FF0B33" w:rsidRDefault="009851D5" w:rsidP="009851D5">
      <w:r w:rsidRPr="00FF0B33">
        <w:t>UK</w:t>
      </w:r>
    </w:p>
    <w:p w14:paraId="05EC1EED" w14:textId="77777777" w:rsidR="009851D5" w:rsidRPr="00FF0B33" w:rsidRDefault="009851D5" w:rsidP="009851D5"/>
    <w:p w14:paraId="4E6B0EBD" w14:textId="77777777" w:rsidR="009851D5" w:rsidRPr="00FF0B33" w:rsidRDefault="009851D5" w:rsidP="009851D5">
      <w:r w:rsidRPr="00FF0B33">
        <w:t>Title:</w:t>
      </w:r>
    </w:p>
    <w:p w14:paraId="7C213BAD" w14:textId="77777777" w:rsidR="009851D5" w:rsidRPr="00FF0B33" w:rsidRDefault="009851D5" w:rsidP="009851D5">
      <w:r w:rsidRPr="00FF0B33">
        <w:t xml:space="preserve">A single </w:t>
      </w:r>
      <w:proofErr w:type="spellStart"/>
      <w:r w:rsidRPr="00FF0B33">
        <w:t>centre</w:t>
      </w:r>
      <w:proofErr w:type="spellEnd"/>
      <w:r w:rsidRPr="00FF0B33">
        <w:t xml:space="preserve"> change of practice audit of pain after coblation intracapsular tonsillectomy compared to standard dissection tonsillectomy in a discrete paediatric population.</w:t>
      </w:r>
    </w:p>
    <w:p w14:paraId="21FB65F1" w14:textId="77777777" w:rsidR="009851D5" w:rsidRPr="00FF0B33" w:rsidRDefault="009851D5" w:rsidP="009851D5"/>
    <w:p w14:paraId="44829F66" w14:textId="77777777" w:rsidR="009851D5" w:rsidRPr="00FF0B33" w:rsidRDefault="009851D5" w:rsidP="009851D5">
      <w:r w:rsidRPr="00FF0B33">
        <w:t>Authors:</w:t>
      </w:r>
    </w:p>
    <w:p w14:paraId="6229E584" w14:textId="77777777" w:rsidR="009851D5" w:rsidRPr="00FF0B33" w:rsidRDefault="009851D5" w:rsidP="009851D5">
      <w:r w:rsidRPr="00FF0B33">
        <w:t>M.</w:t>
      </w:r>
      <w:proofErr w:type="gramStart"/>
      <w:r w:rsidRPr="00FF0B33">
        <w:t>R.Tremlett</w:t>
      </w:r>
      <w:proofErr w:type="gramEnd"/>
      <w:r w:rsidRPr="00FF0B33">
        <w:t>,</w:t>
      </w:r>
      <w:r w:rsidRPr="00FF0B33">
        <w:rPr>
          <w:vertAlign w:val="superscript"/>
        </w:rPr>
        <w:t>1</w:t>
      </w:r>
      <w:r w:rsidRPr="00FF0B33">
        <w:t xml:space="preserve"> J.Rees,</w:t>
      </w:r>
      <w:r w:rsidRPr="00FF0B33">
        <w:rPr>
          <w:vertAlign w:val="superscript"/>
        </w:rPr>
        <w:t>2</w:t>
      </w:r>
      <w:r w:rsidRPr="00FF0B33">
        <w:t xml:space="preserve"> </w:t>
      </w:r>
      <w:proofErr w:type="spellStart"/>
      <w:r w:rsidRPr="00FF0B33">
        <w:t>T.J.Bonner</w:t>
      </w:r>
      <w:proofErr w:type="spellEnd"/>
      <w:r w:rsidRPr="00FF0B33">
        <w:t xml:space="preserve"> T,</w:t>
      </w:r>
      <w:r w:rsidRPr="00FF0B33">
        <w:rPr>
          <w:vertAlign w:val="superscript"/>
        </w:rPr>
        <w:t>3</w:t>
      </w:r>
      <w:r w:rsidRPr="00FF0B33">
        <w:t xml:space="preserve"> L. Lazarova,</w:t>
      </w:r>
      <w:r w:rsidRPr="00FF0B33">
        <w:rPr>
          <w:vertAlign w:val="superscript"/>
        </w:rPr>
        <w:t>4</w:t>
      </w:r>
      <w:r w:rsidRPr="00FF0B33">
        <w:t xml:space="preserve"> </w:t>
      </w:r>
      <w:proofErr w:type="spellStart"/>
      <w:r w:rsidRPr="00FF0B33">
        <w:t>C.Kang</w:t>
      </w:r>
      <w:proofErr w:type="spellEnd"/>
      <w:r w:rsidRPr="00FF0B33">
        <w:t xml:space="preserve"> ,</w:t>
      </w:r>
      <w:r w:rsidRPr="00FF0B33">
        <w:rPr>
          <w:vertAlign w:val="superscript"/>
        </w:rPr>
        <w:t>4</w:t>
      </w:r>
      <w:r w:rsidRPr="00FF0B33">
        <w:t xml:space="preserve"> D.A.Bosman,</w:t>
      </w:r>
      <w:r w:rsidRPr="00FF0B33">
        <w:rPr>
          <w:vertAlign w:val="superscript"/>
        </w:rPr>
        <w:t>4</w:t>
      </w:r>
      <w:r w:rsidRPr="00FF0B33">
        <w:t xml:space="preserve"> and K.J.Blackmore</w:t>
      </w:r>
      <w:r w:rsidRPr="00FF0B33">
        <w:rPr>
          <w:vertAlign w:val="superscript"/>
        </w:rPr>
        <w:t>4</w:t>
      </w:r>
    </w:p>
    <w:p w14:paraId="7C56F482" w14:textId="77777777" w:rsidR="009851D5" w:rsidRPr="00FF0B33" w:rsidRDefault="009851D5" w:rsidP="009851D5">
      <w:r w:rsidRPr="00FF0B33">
        <w:t xml:space="preserve">1. Department of </w:t>
      </w:r>
      <w:proofErr w:type="spellStart"/>
      <w:r w:rsidRPr="00FF0B33">
        <w:t>Anaesthetics</w:t>
      </w:r>
      <w:proofErr w:type="spellEnd"/>
      <w:r w:rsidRPr="00FF0B33">
        <w:t xml:space="preserve">, 3. Department of </w:t>
      </w:r>
      <w:proofErr w:type="spellStart"/>
      <w:r w:rsidRPr="00FF0B33">
        <w:t>Orthopaedics</w:t>
      </w:r>
      <w:proofErr w:type="spellEnd"/>
      <w:r w:rsidRPr="00FF0B33">
        <w:t>, 4. Department of Otolaryngology, James Cook University Hospital, Middlesbrough, UK</w:t>
      </w:r>
    </w:p>
    <w:p w14:paraId="2EEF0D39" w14:textId="77777777" w:rsidR="009851D5" w:rsidRPr="00FF0B33" w:rsidRDefault="009851D5" w:rsidP="009851D5">
      <w:r w:rsidRPr="00FF0B33">
        <w:t>2. Department of Psychology, University of Sunderland and Academic Health Sciences Network, North East and Cumbria.</w:t>
      </w:r>
    </w:p>
    <w:p w14:paraId="23DB1010" w14:textId="77777777" w:rsidR="009851D5" w:rsidRPr="00FF0B33" w:rsidRDefault="009851D5" w:rsidP="009851D5"/>
    <w:p w14:paraId="2603ECD0" w14:textId="77777777" w:rsidR="009851D5" w:rsidRPr="00FF0B33" w:rsidRDefault="009851D5" w:rsidP="009851D5">
      <w:r w:rsidRPr="00FF0B33">
        <w:t>Corresponding author:</w:t>
      </w:r>
    </w:p>
    <w:p w14:paraId="7FA0A779" w14:textId="77777777" w:rsidR="009851D5" w:rsidRPr="00FF0B33" w:rsidRDefault="009851D5" w:rsidP="009851D5">
      <w:r w:rsidRPr="00FF0B33">
        <w:t>Michael Tremlett</w:t>
      </w:r>
    </w:p>
    <w:p w14:paraId="5145CAD6" w14:textId="77777777" w:rsidR="009851D5" w:rsidRPr="00FF0B33" w:rsidRDefault="009851D5" w:rsidP="009851D5">
      <w:r w:rsidRPr="00FF0B33">
        <w:t xml:space="preserve">E mail: </w:t>
      </w:r>
      <w:hyperlink r:id="rId7" w:history="1">
        <w:r w:rsidRPr="00FF0B33">
          <w:rPr>
            <w:rStyle w:val="Hyperlink"/>
          </w:rPr>
          <w:t>Mike.tremlett@nhs.net</w:t>
        </w:r>
      </w:hyperlink>
    </w:p>
    <w:p w14:paraId="7D835392" w14:textId="77777777" w:rsidR="009851D5" w:rsidRPr="00FF0B33" w:rsidRDefault="009851D5" w:rsidP="009851D5"/>
    <w:p w14:paraId="322A1475" w14:textId="77777777" w:rsidR="009851D5" w:rsidRPr="00FF0B33" w:rsidRDefault="009851D5" w:rsidP="009851D5">
      <w:r w:rsidRPr="00FF0B33">
        <w:t>Key Words: Paediatric, Pain, Tonsillectomy</w:t>
      </w:r>
    </w:p>
    <w:p w14:paraId="135F8F45" w14:textId="77777777" w:rsidR="009851D5" w:rsidRPr="00FF0B33" w:rsidRDefault="009851D5" w:rsidP="009851D5"/>
    <w:p w14:paraId="5407F779" w14:textId="77777777" w:rsidR="009851D5" w:rsidRPr="00FF0B33" w:rsidRDefault="009851D5" w:rsidP="009851D5">
      <w:r w:rsidRPr="00FF0B33">
        <w:t>Short title: Pain after coblation intracapsular tonsillectomy</w:t>
      </w:r>
    </w:p>
    <w:p w14:paraId="50ADB9A5" w14:textId="77777777" w:rsidR="009851D5" w:rsidRPr="00FF0B33" w:rsidRDefault="009851D5" w:rsidP="009851D5"/>
    <w:p w14:paraId="33B7BCDE" w14:textId="77777777" w:rsidR="009851D5" w:rsidRDefault="009851D5" w:rsidP="009851D5">
      <w:pPr>
        <w:spacing w:line="480" w:lineRule="auto"/>
      </w:pPr>
      <w:r w:rsidRPr="00FF0B33">
        <w:t>Word Cou</w:t>
      </w:r>
      <w:r>
        <w:t>nt = 809 without references (949 with references)</w:t>
      </w:r>
      <w:r w:rsidRPr="00FF0B33">
        <w:t xml:space="preserve"> </w:t>
      </w:r>
    </w:p>
    <w:p w14:paraId="2AD566E4" w14:textId="77777777" w:rsidR="009851D5" w:rsidRDefault="009851D5">
      <w:r>
        <w:br w:type="page"/>
      </w:r>
    </w:p>
    <w:p w14:paraId="57D9154A" w14:textId="77777777" w:rsidR="004E4F01" w:rsidRDefault="004E4F01" w:rsidP="009851D5">
      <w:pPr>
        <w:spacing w:line="480" w:lineRule="auto"/>
      </w:pPr>
      <w:r>
        <w:lastRenderedPageBreak/>
        <w:t>Background:</w:t>
      </w:r>
    </w:p>
    <w:p w14:paraId="3E129744" w14:textId="77777777" w:rsidR="004E4F01" w:rsidRDefault="004E4F01" w:rsidP="004E4F01">
      <w:pPr>
        <w:spacing w:line="480" w:lineRule="auto"/>
      </w:pPr>
      <w:r>
        <w:t xml:space="preserve">The gold standard method of tonsillectomy is “cold steel” dissection (DT). A dissector is used to separate the tonsil and capsule from the underlying muscle layer, with diathermy / surgical ties to achieve hemostasis. It causes significant postoperative pain and risk of bleeding (return to theatre rate 1.6%). </w:t>
      </w:r>
    </w:p>
    <w:p w14:paraId="6A41EE4E" w14:textId="77777777" w:rsidR="004E4F01" w:rsidRDefault="004E4F01" w:rsidP="004E4F01">
      <w:pPr>
        <w:spacing w:line="480" w:lineRule="auto"/>
      </w:pPr>
      <w:r>
        <w:t>Tonsillectomy techniques using low temperatures and avoiding dissection deep to the tonsillar capsule (intracapsular as against extracapsular)</w:t>
      </w:r>
      <w:r w:rsidRPr="002C31A1">
        <w:rPr>
          <w:vertAlign w:val="superscript"/>
        </w:rPr>
        <w:t xml:space="preserve"> </w:t>
      </w:r>
      <w:r>
        <w:rPr>
          <w:vertAlign w:val="superscript"/>
        </w:rPr>
        <w:t xml:space="preserve">1 </w:t>
      </w:r>
      <w:r>
        <w:t>are associated with reduced postoperative hemorrhage, but severity of postoperative pain is unclear. Use of radiofrequency energy at low temperature to ablate tonsillar lymphoid tissue leaving the posterior capsule intact is called Coblation intracapsular tonsillectomy (CIT). A series of 500 CIT operations reported no cases needing to return to theatre for bleeding but no prospective information on pain</w:t>
      </w:r>
      <w:r>
        <w:rPr>
          <w:vertAlign w:val="superscript"/>
        </w:rPr>
        <w:t>2</w:t>
      </w:r>
      <w:r>
        <w:t xml:space="preserve">. </w:t>
      </w:r>
    </w:p>
    <w:p w14:paraId="7E602809" w14:textId="77777777" w:rsidR="004E4F01" w:rsidRDefault="004E4F01" w:rsidP="004E4F01">
      <w:pPr>
        <w:spacing w:line="480" w:lineRule="auto"/>
      </w:pPr>
      <w:r>
        <w:t xml:space="preserve">CIT is being marketed as a painless method of tonsillectomy. </w:t>
      </w:r>
      <w:r w:rsidRPr="005B61F3">
        <w:rPr>
          <w:b/>
        </w:rPr>
        <w:t>The</w:t>
      </w:r>
      <w:r w:rsidRPr="005B61F3">
        <w:rPr>
          <w:rFonts w:ascii="AdvMINION" w:hAnsi="AdvMINION"/>
          <w:b/>
        </w:rPr>
        <w:t xml:space="preserve"> Children’</w:t>
      </w:r>
      <w:r w:rsidRPr="005B61F3">
        <w:rPr>
          <w:rFonts w:ascii="AdvMINION" w:hAnsi="AdvMINION" w:hint="eastAsia"/>
          <w:b/>
        </w:rPr>
        <w:t>s</w:t>
      </w:r>
      <w:r w:rsidRPr="005B61F3">
        <w:rPr>
          <w:rFonts w:ascii="AdvMINION" w:hAnsi="AdvMINION"/>
          <w:b/>
        </w:rPr>
        <w:t xml:space="preserve"> Hospital o</w:t>
      </w:r>
      <w:r>
        <w:rPr>
          <w:rFonts w:ascii="AdvMINION" w:hAnsi="AdvMINION"/>
          <w:b/>
        </w:rPr>
        <w:t>f Orange County blog describ</w:t>
      </w:r>
      <w:r w:rsidRPr="005B61F3">
        <w:rPr>
          <w:rFonts w:ascii="AdvMINION" w:hAnsi="AdvMINION"/>
          <w:b/>
        </w:rPr>
        <w:t xml:space="preserve">es the procedure under the headline </w:t>
      </w:r>
      <w:r>
        <w:rPr>
          <w:rFonts w:ascii="AdvMINION" w:hAnsi="AdvMINION" w:hint="eastAsia"/>
          <w:b/>
        </w:rPr>
        <w:t>“</w:t>
      </w:r>
      <w:r w:rsidRPr="005B61F3">
        <w:rPr>
          <w:b/>
          <w:i/>
        </w:rPr>
        <w:t>Goodbye popsicles and painkillers. How painless tonsillectomies are changing choc patients recoveries”</w:t>
      </w:r>
      <w:r w:rsidRPr="005B61F3">
        <w:rPr>
          <w:rFonts w:ascii="AdvMINION" w:hAnsi="AdvMINION"/>
          <w:b/>
        </w:rPr>
        <w:t xml:space="preserve"> – accessed 11/3/20</w:t>
      </w:r>
      <w:r w:rsidRPr="005B61F3">
        <w:rPr>
          <w:b/>
        </w:rPr>
        <w:t>).</w:t>
      </w:r>
      <w:r w:rsidRPr="001E46A7">
        <w:t xml:space="preserve"> </w:t>
      </w:r>
    </w:p>
    <w:p w14:paraId="49ECCB38" w14:textId="77777777" w:rsidR="004E4F01" w:rsidRDefault="004E4F01" w:rsidP="004E4F01">
      <w:pPr>
        <w:spacing w:line="480" w:lineRule="auto"/>
      </w:pPr>
      <w:r w:rsidRPr="005B61F3">
        <w:rPr>
          <w:b/>
        </w:rPr>
        <w:t xml:space="preserve">Two surgeons within South Tees Hospitals proposed to convert from DT to CIT as their primary method of tonsillectomy in children. The change was considered and approved by the hospital Clinical Standards Committee. </w:t>
      </w:r>
      <w:r>
        <w:t xml:space="preserve">We report the results of a sequential change of practice audit assessing pain after DT and CIT in a discrete paediatric population. </w:t>
      </w:r>
    </w:p>
    <w:p w14:paraId="1C3CF731" w14:textId="77777777" w:rsidR="004E4F01" w:rsidRDefault="004E4F01" w:rsidP="004E4F01">
      <w:pPr>
        <w:spacing w:line="480" w:lineRule="auto"/>
      </w:pPr>
    </w:p>
    <w:p w14:paraId="69E3D017" w14:textId="77777777" w:rsidR="004E4F01" w:rsidRDefault="004E4F01" w:rsidP="004E4F01">
      <w:pPr>
        <w:spacing w:line="480" w:lineRule="auto"/>
      </w:pPr>
      <w:r>
        <w:t>Method:</w:t>
      </w:r>
    </w:p>
    <w:p w14:paraId="63B2F285" w14:textId="77777777" w:rsidR="004E4F01" w:rsidRDefault="004E4F01" w:rsidP="004E4F01">
      <w:pPr>
        <w:spacing w:line="480" w:lineRule="auto"/>
      </w:pPr>
      <w:r>
        <w:lastRenderedPageBreak/>
        <w:t>The audit population was pre-school aged children undergoing adenotonsillectomy for Sleep Disordered Breathing. Initial patients (September 2018 – March 2019) underwent standard DT. Patients (March to September 2019) underwent CIT</w:t>
      </w:r>
      <w:r>
        <w:rPr>
          <w:vertAlign w:val="superscript"/>
        </w:rPr>
        <w:t>2</w:t>
      </w:r>
      <w:r>
        <w:t xml:space="preserve">. All children received a standardized anesthetic technique, and went home the morning after surgery if they met discharge criteria. All had the same postoperative analgesic regime (paracetamol 15mg/kg, ibuprofen 5mg/kg both six hourly for seven days; morphine sulphate solution100mcg/kg for breakthrough pain as required). Pain was assessed by the primary care giver using a validated eleven point Numeric Pain Rating Scale (NRS) anchored at 0 and 10. They scored the child’s worst and usual pain in three twelve-hour periods; on the morning after surgery on the ward (Day 1) and three (Day 3) and seven (Day 7) days after operation. The child’s level of activity and of eating / drinking at the each time point was prospectively assessed. </w:t>
      </w:r>
    </w:p>
    <w:p w14:paraId="630ED54C" w14:textId="77777777" w:rsidR="004E4F01" w:rsidRPr="005B61F3" w:rsidRDefault="004E4F01" w:rsidP="004E4F01">
      <w:pPr>
        <w:spacing w:line="480" w:lineRule="auto"/>
        <w:rPr>
          <w:b/>
        </w:rPr>
      </w:pPr>
      <w:r w:rsidRPr="005B61F3">
        <w:rPr>
          <w:b/>
        </w:rPr>
        <w:t>Non-parametric analyses (two-sided Mann Whitney with Bonferroni correction for multiple comparisons) were used in the main, as data were not normally distributed (IBM SPSS v25.02).</w:t>
      </w:r>
    </w:p>
    <w:p w14:paraId="4B199D8D" w14:textId="77777777" w:rsidR="004E4F01" w:rsidRDefault="004E4F01" w:rsidP="004E4F01">
      <w:pPr>
        <w:spacing w:line="480" w:lineRule="auto"/>
      </w:pPr>
    </w:p>
    <w:p w14:paraId="30BDF501" w14:textId="77777777" w:rsidR="004E4F01" w:rsidRDefault="004E4F01" w:rsidP="004E4F01">
      <w:pPr>
        <w:spacing w:line="480" w:lineRule="auto"/>
      </w:pPr>
      <w:r>
        <w:t>Results:</w:t>
      </w:r>
    </w:p>
    <w:p w14:paraId="026CE57C" w14:textId="77777777" w:rsidR="004E4F01" w:rsidRPr="00C1268D" w:rsidRDefault="004E4F01" w:rsidP="004E4F01">
      <w:pPr>
        <w:spacing w:line="480" w:lineRule="auto"/>
        <w:rPr>
          <w:color w:val="000000"/>
        </w:rPr>
      </w:pPr>
      <w:r w:rsidRPr="006633A4">
        <w:rPr>
          <w:color w:val="000000"/>
        </w:rPr>
        <w:t>Worst pain (U = 346.0. z = 3.29, p = 0.003, d = 0.81), usual pain (U = 384.5. z = 2.96, p</w:t>
      </w:r>
      <w:r>
        <w:rPr>
          <w:color w:val="000000"/>
        </w:rPr>
        <w:t xml:space="preserve"> = 0.009, d = 0.69) and percentage normal eating/drinking</w:t>
      </w:r>
      <w:r w:rsidRPr="006633A4">
        <w:rPr>
          <w:color w:val="000000"/>
        </w:rPr>
        <w:t xml:space="preserve"> (U = 361.5. z = 3.21</w:t>
      </w:r>
      <w:r>
        <w:rPr>
          <w:color w:val="000000"/>
        </w:rPr>
        <w:t xml:space="preserve">, p = 0.003, d = 0.76) </w:t>
      </w:r>
      <w:r w:rsidRPr="006633A4">
        <w:rPr>
          <w:color w:val="000000"/>
        </w:rPr>
        <w:t>significantly differ</w:t>
      </w:r>
      <w:r>
        <w:rPr>
          <w:color w:val="000000"/>
        </w:rPr>
        <w:t>ed</w:t>
      </w:r>
      <w:r w:rsidRPr="006633A4">
        <w:rPr>
          <w:color w:val="000000"/>
        </w:rPr>
        <w:t xml:space="preserve"> between</w:t>
      </w:r>
      <w:r>
        <w:rPr>
          <w:color w:val="000000"/>
        </w:rPr>
        <w:t xml:space="preserve"> operative techniques on Day 1</w:t>
      </w:r>
      <w:r w:rsidRPr="006633A4">
        <w:rPr>
          <w:color w:val="000000"/>
        </w:rPr>
        <w:t xml:space="preserve"> but not </w:t>
      </w:r>
      <w:r>
        <w:rPr>
          <w:color w:val="000000"/>
        </w:rPr>
        <w:t>thereafter.</w:t>
      </w:r>
      <w:r w:rsidRPr="00292A5A">
        <w:rPr>
          <w:rStyle w:val="apple-converted-space"/>
          <w:color w:val="000000"/>
        </w:rPr>
        <w:t xml:space="preserve"> </w:t>
      </w:r>
      <w:r>
        <w:rPr>
          <w:rStyle w:val="apple-converted-space"/>
          <w:color w:val="000000"/>
        </w:rPr>
        <w:t>There was</w:t>
      </w:r>
      <w:r w:rsidRPr="006633A4">
        <w:rPr>
          <w:color w:val="000000"/>
        </w:rPr>
        <w:t xml:space="preserve"> no significant difference between </w:t>
      </w:r>
      <w:r>
        <w:rPr>
          <w:color w:val="000000"/>
        </w:rPr>
        <w:t xml:space="preserve">operative </w:t>
      </w:r>
      <w:r w:rsidRPr="006633A4">
        <w:rPr>
          <w:color w:val="000000"/>
        </w:rPr>
        <w:t>techniques in morphine doses administered or activity at all time intervals.</w:t>
      </w:r>
      <w:r>
        <w:rPr>
          <w:rStyle w:val="apple-converted-space"/>
          <w:color w:val="000000"/>
        </w:rPr>
        <w:br/>
      </w:r>
      <w:r w:rsidRPr="006633A4">
        <w:rPr>
          <w:color w:val="000000"/>
        </w:rPr>
        <w:t>A series of Friedman’s non-parametric ANOVAs were performed to examin</w:t>
      </w:r>
      <w:r>
        <w:rPr>
          <w:color w:val="000000"/>
        </w:rPr>
        <w:t>e</w:t>
      </w:r>
      <w:r w:rsidRPr="006633A4">
        <w:rPr>
          <w:color w:val="000000"/>
        </w:rPr>
        <w:t xml:space="preserve"> </w:t>
      </w:r>
      <w:r w:rsidRPr="006633A4">
        <w:rPr>
          <w:color w:val="000000"/>
        </w:rPr>
        <w:lastRenderedPageBreak/>
        <w:t>change across time in each group for each variable</w:t>
      </w:r>
      <w:r>
        <w:rPr>
          <w:color w:val="000000"/>
        </w:rPr>
        <w:t>. E</w:t>
      </w:r>
      <w:r w:rsidRPr="006633A4">
        <w:rPr>
          <w:color w:val="000000"/>
        </w:rPr>
        <w:t>ach demonstrate</w:t>
      </w:r>
      <w:r>
        <w:rPr>
          <w:color w:val="000000"/>
        </w:rPr>
        <w:t>d</w:t>
      </w:r>
      <w:r w:rsidRPr="006633A4">
        <w:rPr>
          <w:color w:val="000000"/>
        </w:rPr>
        <w:t xml:space="preserve"> a significant trend across time in the expecte</w:t>
      </w:r>
      <w:r>
        <w:rPr>
          <w:color w:val="000000"/>
        </w:rPr>
        <w:t>d direction</w:t>
      </w:r>
      <w:r w:rsidRPr="006633A4">
        <w:rPr>
          <w:color w:val="000000"/>
        </w:rPr>
        <w:t xml:space="preserve"> for post-operative recovery with the sole exception of a significant increase in worst pain from day 1 to day 3 in the Coblation group (T = 201,5, z</w:t>
      </w:r>
      <w:r>
        <w:rPr>
          <w:color w:val="000000"/>
        </w:rPr>
        <w:t xml:space="preserve"> = 2.47, p = 0.026, d = 0.77)</w:t>
      </w:r>
      <w:r w:rsidRPr="006633A4">
        <w:rPr>
          <w:color w:val="000000"/>
        </w:rPr>
        <w:t xml:space="preserve"> compared to no significant change in the cold steel group (T = 138.0, z = 0.35, p = 0.99, d = 0.01).</w:t>
      </w:r>
      <w:r w:rsidRPr="006633A4">
        <w:rPr>
          <w:rStyle w:val="apple-converted-space"/>
          <w:color w:val="000000"/>
        </w:rPr>
        <w:t> </w:t>
      </w:r>
    </w:p>
    <w:p w14:paraId="26AC696A" w14:textId="77777777" w:rsidR="004E4F01" w:rsidRDefault="004E4F01" w:rsidP="004E4F01">
      <w:pPr>
        <w:spacing w:line="480" w:lineRule="auto"/>
      </w:pPr>
    </w:p>
    <w:p w14:paraId="3F54D729" w14:textId="77777777" w:rsidR="004E4F01" w:rsidRDefault="004E4F01" w:rsidP="004E4F01">
      <w:pPr>
        <w:spacing w:line="480" w:lineRule="auto"/>
      </w:pPr>
    </w:p>
    <w:p w14:paraId="34CF0D99" w14:textId="77777777" w:rsidR="004E4F01" w:rsidRDefault="004E4F01" w:rsidP="004E4F01">
      <w:pPr>
        <w:spacing w:line="480" w:lineRule="auto"/>
      </w:pPr>
      <w:r>
        <w:t>Discussion:</w:t>
      </w:r>
    </w:p>
    <w:p w14:paraId="064967EC" w14:textId="77777777" w:rsidR="004E4F01" w:rsidRDefault="004E4F01" w:rsidP="004E4F01">
      <w:pPr>
        <w:spacing w:line="480" w:lineRule="auto"/>
      </w:pPr>
      <w:r>
        <w:t xml:space="preserve">We have found that CIT caused statistically significant less pain on the first day after surgery than DT, but the difference was not sustained on Days 3 and 7. Pain increased from Day 1 to Day 3 after CIT. More than 60% of children reported worst pain of at least 3/10 (moderately severe range) at all time periods after CIT. The pain experienced was not due to any difference in analgesia received. The difference in pain on Day 1 following coblation was associated with improved oral intake initially but no other functional improvement and no change in percentage of children discharged on time. </w:t>
      </w:r>
    </w:p>
    <w:p w14:paraId="49248B32" w14:textId="77777777" w:rsidR="004E4F01" w:rsidRPr="005B61F3" w:rsidRDefault="004E4F01" w:rsidP="004E4F01">
      <w:pPr>
        <w:spacing w:line="480" w:lineRule="auto"/>
        <w:rPr>
          <w:b/>
        </w:rPr>
      </w:pPr>
      <w:r>
        <w:rPr>
          <w:b/>
        </w:rPr>
        <w:t>P</w:t>
      </w:r>
      <w:r w:rsidRPr="005B61F3">
        <w:rPr>
          <w:b/>
        </w:rPr>
        <w:t>ain after coblation versus other methods of tonsillectomy</w:t>
      </w:r>
      <w:r>
        <w:rPr>
          <w:b/>
        </w:rPr>
        <w:t xml:space="preserve"> has been considered in three recent meta-analyses</w:t>
      </w:r>
      <w:r w:rsidRPr="005B61F3">
        <w:rPr>
          <w:b/>
        </w:rPr>
        <w:t xml:space="preserve">. All comment on the lack of </w:t>
      </w:r>
      <w:r>
        <w:rPr>
          <w:b/>
        </w:rPr>
        <w:t xml:space="preserve">published </w:t>
      </w:r>
      <w:r w:rsidRPr="005B61F3">
        <w:rPr>
          <w:b/>
        </w:rPr>
        <w:t>pain data available. A Cochrane review</w:t>
      </w:r>
      <w:r w:rsidRPr="005B61F3">
        <w:rPr>
          <w:b/>
          <w:vertAlign w:val="superscript"/>
        </w:rPr>
        <w:t>3</w:t>
      </w:r>
      <w:r w:rsidRPr="005B61F3">
        <w:rPr>
          <w:b/>
        </w:rPr>
        <w:t xml:space="preserve"> concluded “with a very high level of uncertainty” that coblation may cause less pain on Day 1 than other techniques. </w:t>
      </w:r>
      <w:r>
        <w:rPr>
          <w:b/>
        </w:rPr>
        <w:t>A meta-analysis</w:t>
      </w:r>
      <w:r w:rsidRPr="00C91F0E">
        <w:rPr>
          <w:b/>
          <w:vertAlign w:val="superscript"/>
        </w:rPr>
        <w:t xml:space="preserve">4 </w:t>
      </w:r>
      <w:r>
        <w:rPr>
          <w:b/>
        </w:rPr>
        <w:t>of pediatric studies considering pain after Coblation tonsillectomy versus DT identified only two studies with adequate pain data both of which are extracapsular rather than intracapsular coblation procedures. A</w:t>
      </w:r>
      <w:r w:rsidRPr="005B61F3">
        <w:rPr>
          <w:b/>
        </w:rPr>
        <w:t xml:space="preserve"> meta-analysis of adult tonsillectomy </w:t>
      </w:r>
      <w:r w:rsidRPr="005B61F3">
        <w:rPr>
          <w:b/>
        </w:rPr>
        <w:lastRenderedPageBreak/>
        <w:t>studies</w:t>
      </w:r>
      <w:r w:rsidRPr="005B61F3">
        <w:rPr>
          <w:b/>
          <w:vertAlign w:val="superscript"/>
        </w:rPr>
        <w:t xml:space="preserve">5 </w:t>
      </w:r>
      <w:r>
        <w:rPr>
          <w:b/>
        </w:rPr>
        <w:t>compared</w:t>
      </w:r>
      <w:r w:rsidRPr="005B61F3">
        <w:rPr>
          <w:b/>
        </w:rPr>
        <w:t xml:space="preserve"> multiple </w:t>
      </w:r>
      <w:r>
        <w:rPr>
          <w:b/>
        </w:rPr>
        <w:t xml:space="preserve">different </w:t>
      </w:r>
      <w:r w:rsidRPr="005B61F3">
        <w:rPr>
          <w:b/>
        </w:rPr>
        <w:t>cold techniques (including coblation) with hot techniques (cautery)</w:t>
      </w:r>
      <w:r>
        <w:rPr>
          <w:b/>
        </w:rPr>
        <w:t xml:space="preserve"> unsurprisingly found</w:t>
      </w:r>
      <w:r w:rsidRPr="005B61F3">
        <w:rPr>
          <w:b/>
        </w:rPr>
        <w:t xml:space="preserve"> more pain with hot techniques.</w:t>
      </w:r>
    </w:p>
    <w:p w14:paraId="19FCDB6D" w14:textId="77777777" w:rsidR="004E4F01" w:rsidRDefault="004E4F01" w:rsidP="004E4F01">
      <w:pPr>
        <w:spacing w:line="480" w:lineRule="auto"/>
      </w:pPr>
      <w:r>
        <w:t>In summary, we report information not previously available on severity of pain in children after CIT. We believe that CIT results in less pain than DT on the first day after surgery but not thereafter. Children still require multi-modal take home analgesia. CIT should not be regarded as “painless tonsillectomy.”</w:t>
      </w:r>
    </w:p>
    <w:p w14:paraId="147AAB68" w14:textId="77777777" w:rsidR="004E4F01" w:rsidRDefault="004E4F01" w:rsidP="004E4F01">
      <w:pPr>
        <w:spacing w:line="480" w:lineRule="auto"/>
      </w:pPr>
    </w:p>
    <w:p w14:paraId="410E8135" w14:textId="77777777" w:rsidR="004E4F01" w:rsidRPr="00EF7247" w:rsidRDefault="004E4F01" w:rsidP="004E4F01">
      <w:pPr>
        <w:spacing w:line="480" w:lineRule="auto"/>
      </w:pPr>
      <w:r>
        <w:t>References:</w:t>
      </w:r>
    </w:p>
    <w:p w14:paraId="647FB295" w14:textId="77777777" w:rsidR="004E4F01" w:rsidRDefault="004E4F01" w:rsidP="004E4F01">
      <w:pPr>
        <w:spacing w:line="480" w:lineRule="auto"/>
        <w:rPr>
          <w:rFonts w:ascii="AdvMINION" w:hAnsi="AdvMINION" w:hint="eastAsia"/>
        </w:rPr>
      </w:pPr>
    </w:p>
    <w:p w14:paraId="11F2E04A" w14:textId="77777777" w:rsidR="004E4F01" w:rsidRPr="002A50E2" w:rsidRDefault="004E4F01" w:rsidP="004E4F01">
      <w:pPr>
        <w:spacing w:line="480" w:lineRule="auto"/>
        <w:rPr>
          <w:rFonts w:ascii="Cambria" w:hAnsi="Cambria"/>
        </w:rPr>
      </w:pPr>
      <w:r>
        <w:rPr>
          <w:rFonts w:ascii="Cambria" w:hAnsi="Cambria"/>
        </w:rPr>
        <w:t>1</w:t>
      </w:r>
      <w:r w:rsidRPr="002A50E2">
        <w:rPr>
          <w:rFonts w:ascii="Cambria" w:hAnsi="Cambria"/>
        </w:rPr>
        <w:t xml:space="preserve">. </w:t>
      </w:r>
      <w:r>
        <w:rPr>
          <w:rFonts w:ascii="Cambria" w:hAnsi="Cambria"/>
        </w:rPr>
        <w:t xml:space="preserve">Odhagen E, Stalfors J, Sunnergren O. Morbidity after pediatric tonsillotomy versus tonsillectomy: a population-based cohort study. </w:t>
      </w:r>
      <w:r w:rsidRPr="00A16092">
        <w:rPr>
          <w:rFonts w:ascii="Cambria" w:hAnsi="Cambria"/>
          <w:i/>
        </w:rPr>
        <w:t xml:space="preserve">Laryngoscope </w:t>
      </w:r>
      <w:proofErr w:type="gramStart"/>
      <w:r>
        <w:rPr>
          <w:rFonts w:ascii="Cambria" w:hAnsi="Cambria"/>
        </w:rPr>
        <w:t>2019;129:2619</w:t>
      </w:r>
      <w:proofErr w:type="gramEnd"/>
      <w:r>
        <w:rPr>
          <w:rFonts w:ascii="Cambria" w:hAnsi="Cambria"/>
        </w:rPr>
        <w:t>-2626.</w:t>
      </w:r>
    </w:p>
    <w:p w14:paraId="2D932869" w14:textId="77777777" w:rsidR="004E4F01" w:rsidRDefault="004E4F01" w:rsidP="004E4F01">
      <w:pPr>
        <w:spacing w:line="480" w:lineRule="auto"/>
        <w:rPr>
          <w:rFonts w:ascii="Cambria" w:hAnsi="Cambria"/>
        </w:rPr>
      </w:pPr>
      <w:r>
        <w:rPr>
          <w:rFonts w:ascii="Cambria" w:hAnsi="Cambria"/>
        </w:rPr>
        <w:t>2</w:t>
      </w:r>
      <w:r w:rsidRPr="002A50E2">
        <w:rPr>
          <w:rFonts w:ascii="Cambria" w:hAnsi="Cambria"/>
        </w:rPr>
        <w:t>. Hoey AW,</w:t>
      </w:r>
      <w:r>
        <w:rPr>
          <w:rFonts w:ascii="Cambria" w:hAnsi="Cambria"/>
        </w:rPr>
        <w:t xml:space="preserve"> Foden NM</w:t>
      </w:r>
      <w:r w:rsidRPr="002A50E2">
        <w:rPr>
          <w:rFonts w:ascii="Cambria" w:hAnsi="Cambria"/>
        </w:rPr>
        <w:t xml:space="preserve"> et al. Coblation intracapsular tonsillectomy (tonsillotomy) in children: a prospective study of 500 consecutive cases with long term follow up. </w:t>
      </w:r>
      <w:r w:rsidRPr="002A50E2">
        <w:rPr>
          <w:rFonts w:ascii="Cambria" w:hAnsi="Cambria"/>
          <w:i/>
        </w:rPr>
        <w:t>Clin Otolaryngol</w:t>
      </w:r>
      <w:r w:rsidRPr="002A50E2">
        <w:rPr>
          <w:rFonts w:ascii="Cambria" w:hAnsi="Cambria"/>
        </w:rPr>
        <w:t xml:space="preserve"> </w:t>
      </w:r>
      <w:proofErr w:type="gramStart"/>
      <w:r w:rsidRPr="002A50E2">
        <w:rPr>
          <w:rFonts w:ascii="Cambria" w:hAnsi="Cambria"/>
        </w:rPr>
        <w:t>2017;42:1211</w:t>
      </w:r>
      <w:proofErr w:type="gramEnd"/>
      <w:r w:rsidRPr="002A50E2">
        <w:rPr>
          <w:rFonts w:ascii="Cambria" w:hAnsi="Cambria"/>
        </w:rPr>
        <w:t>-1217</w:t>
      </w:r>
    </w:p>
    <w:p w14:paraId="01822076" w14:textId="77777777" w:rsidR="004E4F01" w:rsidRPr="005B61F3" w:rsidRDefault="004E4F01" w:rsidP="004E4F01">
      <w:pPr>
        <w:spacing w:line="480" w:lineRule="auto"/>
        <w:rPr>
          <w:rFonts w:ascii="Cambria" w:hAnsi="Cambria"/>
          <w:b/>
        </w:rPr>
      </w:pPr>
      <w:r w:rsidRPr="005B61F3">
        <w:rPr>
          <w:rFonts w:ascii="Cambria" w:hAnsi="Cambria"/>
          <w:b/>
        </w:rPr>
        <w:t>3. Pynnonen M, Brinkmeier JV, Thorne MC et al. Coblation versus other surgical techniques for tonsillectomy. Cochrane Database Sys Rev. 2017 August 22:8(8):CD004619</w:t>
      </w:r>
    </w:p>
    <w:p w14:paraId="7823F9F3" w14:textId="77777777" w:rsidR="004E4F01" w:rsidRPr="005B61F3" w:rsidRDefault="004E4F01" w:rsidP="004E4F01">
      <w:pPr>
        <w:spacing w:line="480" w:lineRule="auto"/>
        <w:rPr>
          <w:rFonts w:ascii="Cambria" w:hAnsi="Cambria"/>
          <w:b/>
        </w:rPr>
      </w:pPr>
      <w:r w:rsidRPr="005B61F3">
        <w:rPr>
          <w:rFonts w:ascii="Cambria" w:hAnsi="Cambria"/>
          <w:b/>
        </w:rPr>
        <w:t xml:space="preserve">4. Ahmad MU, Wardak AN, Hampton T et al. Coblation versus cold dissection in paediatric tonsillectomy: a systemic review and meta-analysis of randomized controlled trails. </w:t>
      </w:r>
      <w:r w:rsidRPr="005B61F3">
        <w:rPr>
          <w:rFonts w:ascii="Cambria" w:hAnsi="Cambria"/>
          <w:b/>
          <w:i/>
        </w:rPr>
        <w:t>J Laryngol Otol.</w:t>
      </w:r>
      <w:r w:rsidRPr="005B61F3">
        <w:rPr>
          <w:rFonts w:ascii="Cambria" w:hAnsi="Cambria"/>
          <w:b/>
        </w:rPr>
        <w:t xml:space="preserve"> 2020; 134:197-204</w:t>
      </w:r>
    </w:p>
    <w:p w14:paraId="1738CA21" w14:textId="77777777" w:rsidR="004E4F01" w:rsidRPr="005B61F3" w:rsidRDefault="004E4F01" w:rsidP="004E4F01">
      <w:pPr>
        <w:spacing w:line="480" w:lineRule="auto"/>
        <w:rPr>
          <w:rFonts w:ascii="Cambria" w:hAnsi="Cambria"/>
          <w:b/>
        </w:rPr>
      </w:pPr>
      <w:r w:rsidRPr="005B61F3">
        <w:rPr>
          <w:rFonts w:ascii="Cambria" w:hAnsi="Cambria"/>
          <w:b/>
        </w:rPr>
        <w:t xml:space="preserve">5. Lee YC, Hsin LJ, Lin WN et al. Adolescent and adults undergoing temperature-controlled surgical instruments versus electrocautery in </w:t>
      </w:r>
      <w:r w:rsidRPr="005B61F3">
        <w:rPr>
          <w:rFonts w:ascii="Cambria" w:hAnsi="Cambria"/>
          <w:b/>
        </w:rPr>
        <w:lastRenderedPageBreak/>
        <w:t xml:space="preserve">tonsillectomy: a systematic review and meta-analysis of randomized clinical trials. </w:t>
      </w:r>
      <w:r w:rsidRPr="005B61F3">
        <w:rPr>
          <w:rFonts w:ascii="Cambria" w:hAnsi="Cambria"/>
          <w:b/>
          <w:i/>
        </w:rPr>
        <w:t xml:space="preserve">JAMA Otolaryngol Head Neck Surgery </w:t>
      </w:r>
      <w:r w:rsidRPr="005B61F3">
        <w:rPr>
          <w:rFonts w:ascii="Cambria" w:hAnsi="Cambria"/>
          <w:b/>
        </w:rPr>
        <w:t xml:space="preserve">2020; 146:339-346. </w:t>
      </w:r>
    </w:p>
    <w:p w14:paraId="78AF13C0" w14:textId="77777777" w:rsidR="00461133" w:rsidRDefault="00461133">
      <w:r>
        <w:br w:type="page"/>
      </w:r>
    </w:p>
    <w:p w14:paraId="6F959CB1" w14:textId="77777777" w:rsidR="00461133" w:rsidRDefault="00461133" w:rsidP="00461133">
      <w:r>
        <w:lastRenderedPageBreak/>
        <w:t>Results:</w:t>
      </w:r>
    </w:p>
    <w:tbl>
      <w:tblPr>
        <w:tblStyle w:val="TableGrid"/>
        <w:tblW w:w="0" w:type="auto"/>
        <w:tblLayout w:type="fixed"/>
        <w:tblLook w:val="04A0" w:firstRow="1" w:lastRow="0" w:firstColumn="1" w:lastColumn="0" w:noHBand="0" w:noVBand="1"/>
      </w:tblPr>
      <w:tblGrid>
        <w:gridCol w:w="3794"/>
        <w:gridCol w:w="1559"/>
        <w:gridCol w:w="1843"/>
        <w:gridCol w:w="1320"/>
      </w:tblGrid>
      <w:tr w:rsidR="00461133" w14:paraId="1175BC33" w14:textId="77777777" w:rsidTr="000F5B12">
        <w:tc>
          <w:tcPr>
            <w:tcW w:w="3794" w:type="dxa"/>
          </w:tcPr>
          <w:p w14:paraId="59A91A86" w14:textId="77777777" w:rsidR="00461133" w:rsidRDefault="00461133" w:rsidP="000F5B12">
            <w:r>
              <w:t>Operation:</w:t>
            </w:r>
          </w:p>
          <w:p w14:paraId="476B79FF" w14:textId="77777777" w:rsidR="00461133" w:rsidRDefault="00461133" w:rsidP="000F5B12"/>
          <w:p w14:paraId="0133F406" w14:textId="77777777" w:rsidR="00461133" w:rsidRDefault="00461133" w:rsidP="000F5B12"/>
        </w:tc>
        <w:tc>
          <w:tcPr>
            <w:tcW w:w="1559" w:type="dxa"/>
          </w:tcPr>
          <w:p w14:paraId="41252920" w14:textId="77777777" w:rsidR="00461133" w:rsidRDefault="00461133" w:rsidP="000F5B12">
            <w:r>
              <w:t>Cold Steel Dissection</w:t>
            </w:r>
          </w:p>
        </w:tc>
        <w:tc>
          <w:tcPr>
            <w:tcW w:w="1843" w:type="dxa"/>
          </w:tcPr>
          <w:p w14:paraId="49A78B24" w14:textId="77777777" w:rsidR="00461133" w:rsidRDefault="00461133" w:rsidP="000F5B12">
            <w:r>
              <w:t>Coblation</w:t>
            </w:r>
          </w:p>
          <w:p w14:paraId="3B91B334" w14:textId="77777777" w:rsidR="00461133" w:rsidRDefault="00461133" w:rsidP="000F5B12">
            <w:r>
              <w:t>Intracapsular</w:t>
            </w:r>
          </w:p>
        </w:tc>
        <w:tc>
          <w:tcPr>
            <w:tcW w:w="1320" w:type="dxa"/>
          </w:tcPr>
          <w:p w14:paraId="5F94A489" w14:textId="77777777" w:rsidR="00461133" w:rsidRDefault="00461133" w:rsidP="000F5B12">
            <w:r>
              <w:t>Corrected P value:</w:t>
            </w:r>
          </w:p>
          <w:p w14:paraId="64790305" w14:textId="77777777" w:rsidR="00461133" w:rsidRDefault="00461133" w:rsidP="000F5B12"/>
        </w:tc>
      </w:tr>
      <w:tr w:rsidR="00461133" w14:paraId="2B068A05" w14:textId="77777777" w:rsidTr="000F5B12">
        <w:tc>
          <w:tcPr>
            <w:tcW w:w="3794" w:type="dxa"/>
          </w:tcPr>
          <w:p w14:paraId="6CC19AC9" w14:textId="77777777" w:rsidR="00461133" w:rsidRDefault="00461133" w:rsidP="000F5B12">
            <w:r>
              <w:t>Number</w:t>
            </w:r>
          </w:p>
        </w:tc>
        <w:tc>
          <w:tcPr>
            <w:tcW w:w="1559" w:type="dxa"/>
          </w:tcPr>
          <w:p w14:paraId="5A5BFBF1" w14:textId="77777777" w:rsidR="00461133" w:rsidRDefault="00461133" w:rsidP="000F5B12">
            <w:pPr>
              <w:jc w:val="center"/>
            </w:pPr>
            <w:r>
              <w:t>27</w:t>
            </w:r>
          </w:p>
        </w:tc>
        <w:tc>
          <w:tcPr>
            <w:tcW w:w="1843" w:type="dxa"/>
          </w:tcPr>
          <w:p w14:paraId="15DD2E2F" w14:textId="77777777" w:rsidR="00461133" w:rsidRDefault="00461133" w:rsidP="000F5B12">
            <w:pPr>
              <w:jc w:val="center"/>
            </w:pPr>
            <w:r>
              <w:t>47</w:t>
            </w:r>
          </w:p>
        </w:tc>
        <w:tc>
          <w:tcPr>
            <w:tcW w:w="1320" w:type="dxa"/>
          </w:tcPr>
          <w:p w14:paraId="61418E8C" w14:textId="77777777" w:rsidR="00461133" w:rsidRDefault="00461133" w:rsidP="000F5B12">
            <w:pPr>
              <w:jc w:val="center"/>
            </w:pPr>
          </w:p>
        </w:tc>
      </w:tr>
      <w:tr w:rsidR="00461133" w14:paraId="5D2EE89A" w14:textId="77777777" w:rsidTr="000F5B12">
        <w:tc>
          <w:tcPr>
            <w:tcW w:w="3794" w:type="dxa"/>
          </w:tcPr>
          <w:p w14:paraId="34E9B0A4" w14:textId="77777777" w:rsidR="00461133" w:rsidRDefault="00461133" w:rsidP="000F5B12">
            <w:r>
              <w:t xml:space="preserve">Age/ months </w:t>
            </w:r>
          </w:p>
          <w:p w14:paraId="042A60B8" w14:textId="77777777" w:rsidR="00461133" w:rsidRDefault="00461133" w:rsidP="000F5B12">
            <w:r>
              <w:t xml:space="preserve">Mean </w:t>
            </w:r>
          </w:p>
          <w:p w14:paraId="68CD1DDA" w14:textId="77777777" w:rsidR="00461133" w:rsidRDefault="00461133" w:rsidP="000F5B12">
            <w:r>
              <w:t>(95% confidence interval)</w:t>
            </w:r>
          </w:p>
        </w:tc>
        <w:tc>
          <w:tcPr>
            <w:tcW w:w="1559" w:type="dxa"/>
          </w:tcPr>
          <w:p w14:paraId="1FFF1814" w14:textId="77777777" w:rsidR="00461133" w:rsidRDefault="00461133" w:rsidP="000F5B12">
            <w:pPr>
              <w:jc w:val="center"/>
            </w:pPr>
          </w:p>
          <w:p w14:paraId="184B6F9D" w14:textId="77777777" w:rsidR="00461133" w:rsidRDefault="00461133" w:rsidP="000F5B12">
            <w:pPr>
              <w:jc w:val="center"/>
            </w:pPr>
            <w:r>
              <w:t>40.8</w:t>
            </w:r>
          </w:p>
          <w:p w14:paraId="2105A44B" w14:textId="77777777" w:rsidR="00461133" w:rsidRDefault="00461133" w:rsidP="000F5B12">
            <w:pPr>
              <w:jc w:val="center"/>
            </w:pPr>
            <w:r>
              <w:t>(36.4-44.0)</w:t>
            </w:r>
          </w:p>
        </w:tc>
        <w:tc>
          <w:tcPr>
            <w:tcW w:w="1843" w:type="dxa"/>
          </w:tcPr>
          <w:p w14:paraId="707C84F2" w14:textId="77777777" w:rsidR="00461133" w:rsidRDefault="00461133" w:rsidP="000F5B12">
            <w:pPr>
              <w:jc w:val="center"/>
            </w:pPr>
          </w:p>
          <w:p w14:paraId="74051E7D" w14:textId="77777777" w:rsidR="00461133" w:rsidRDefault="00461133" w:rsidP="000F5B12">
            <w:pPr>
              <w:jc w:val="center"/>
            </w:pPr>
            <w:r>
              <w:t>41.5</w:t>
            </w:r>
          </w:p>
          <w:p w14:paraId="036F94E1" w14:textId="77777777" w:rsidR="00461133" w:rsidRDefault="00461133" w:rsidP="000F5B12">
            <w:pPr>
              <w:jc w:val="center"/>
            </w:pPr>
            <w:r>
              <w:t>(38.8-44.0)</w:t>
            </w:r>
          </w:p>
        </w:tc>
        <w:tc>
          <w:tcPr>
            <w:tcW w:w="1320" w:type="dxa"/>
          </w:tcPr>
          <w:p w14:paraId="6AAF2BC4" w14:textId="77777777" w:rsidR="00461133" w:rsidRDefault="00461133" w:rsidP="000F5B12">
            <w:pPr>
              <w:jc w:val="center"/>
            </w:pPr>
          </w:p>
        </w:tc>
      </w:tr>
      <w:tr w:rsidR="00461133" w14:paraId="796E6CA6" w14:textId="77777777" w:rsidTr="000F5B12">
        <w:tc>
          <w:tcPr>
            <w:tcW w:w="3794" w:type="dxa"/>
          </w:tcPr>
          <w:p w14:paraId="6B9E3316" w14:textId="77777777" w:rsidR="00461133" w:rsidRDefault="00461133" w:rsidP="000F5B12">
            <w:r>
              <w:t>Weight / kg</w:t>
            </w:r>
          </w:p>
          <w:p w14:paraId="2F1AB659" w14:textId="77777777" w:rsidR="00461133" w:rsidRDefault="00461133" w:rsidP="000F5B12">
            <w:r>
              <w:t xml:space="preserve">Mean </w:t>
            </w:r>
          </w:p>
          <w:p w14:paraId="2ED248C7" w14:textId="77777777" w:rsidR="00461133" w:rsidRDefault="00461133" w:rsidP="000F5B12">
            <w:r>
              <w:t>(95% confidence interval)</w:t>
            </w:r>
          </w:p>
        </w:tc>
        <w:tc>
          <w:tcPr>
            <w:tcW w:w="1559" w:type="dxa"/>
          </w:tcPr>
          <w:p w14:paraId="543EC8F7" w14:textId="77777777" w:rsidR="00461133" w:rsidRDefault="00461133" w:rsidP="000F5B12">
            <w:pPr>
              <w:jc w:val="center"/>
            </w:pPr>
          </w:p>
          <w:p w14:paraId="07B0A14C" w14:textId="77777777" w:rsidR="00461133" w:rsidRDefault="00461133" w:rsidP="000F5B12">
            <w:pPr>
              <w:jc w:val="center"/>
            </w:pPr>
            <w:r>
              <w:t>16.0</w:t>
            </w:r>
          </w:p>
          <w:p w14:paraId="1E2893DD" w14:textId="77777777" w:rsidR="00461133" w:rsidRDefault="00461133" w:rsidP="000F5B12">
            <w:pPr>
              <w:jc w:val="center"/>
            </w:pPr>
            <w:r>
              <w:t>(15.3-16.7)</w:t>
            </w:r>
          </w:p>
        </w:tc>
        <w:tc>
          <w:tcPr>
            <w:tcW w:w="1843" w:type="dxa"/>
          </w:tcPr>
          <w:p w14:paraId="15BD420E" w14:textId="77777777" w:rsidR="00461133" w:rsidRDefault="00461133" w:rsidP="000F5B12">
            <w:pPr>
              <w:jc w:val="center"/>
            </w:pPr>
          </w:p>
          <w:p w14:paraId="189BD27A" w14:textId="77777777" w:rsidR="00461133" w:rsidRDefault="00461133" w:rsidP="000F5B12">
            <w:pPr>
              <w:jc w:val="center"/>
            </w:pPr>
            <w:r>
              <w:t>16.3</w:t>
            </w:r>
          </w:p>
          <w:p w14:paraId="2CE65F6C" w14:textId="77777777" w:rsidR="00461133" w:rsidRDefault="00461133" w:rsidP="000F5B12">
            <w:pPr>
              <w:jc w:val="center"/>
            </w:pPr>
            <w:r>
              <w:t>(15.3-17.3)</w:t>
            </w:r>
          </w:p>
        </w:tc>
        <w:tc>
          <w:tcPr>
            <w:tcW w:w="1320" w:type="dxa"/>
          </w:tcPr>
          <w:p w14:paraId="1CE7888E" w14:textId="77777777" w:rsidR="00461133" w:rsidRDefault="00461133" w:rsidP="000F5B12">
            <w:pPr>
              <w:jc w:val="center"/>
            </w:pPr>
          </w:p>
        </w:tc>
      </w:tr>
      <w:tr w:rsidR="00461133" w14:paraId="26DD0A08" w14:textId="77777777" w:rsidTr="000F5B12">
        <w:tc>
          <w:tcPr>
            <w:tcW w:w="3794" w:type="dxa"/>
          </w:tcPr>
          <w:p w14:paraId="1C4B1DEF" w14:textId="77777777" w:rsidR="00461133" w:rsidRDefault="00461133" w:rsidP="000F5B12">
            <w:r>
              <w:t>Height / cm</w:t>
            </w:r>
          </w:p>
          <w:p w14:paraId="08C81698" w14:textId="77777777" w:rsidR="00461133" w:rsidRDefault="00461133" w:rsidP="000F5B12">
            <w:r>
              <w:t xml:space="preserve">Mean </w:t>
            </w:r>
          </w:p>
          <w:p w14:paraId="7F17849B" w14:textId="77777777" w:rsidR="00461133" w:rsidRDefault="00461133" w:rsidP="000F5B12">
            <w:r>
              <w:t>(95% confidence interval)</w:t>
            </w:r>
          </w:p>
        </w:tc>
        <w:tc>
          <w:tcPr>
            <w:tcW w:w="1559" w:type="dxa"/>
          </w:tcPr>
          <w:p w14:paraId="444721C6" w14:textId="77777777" w:rsidR="00461133" w:rsidRDefault="00461133" w:rsidP="000F5B12">
            <w:pPr>
              <w:jc w:val="center"/>
            </w:pPr>
          </w:p>
          <w:p w14:paraId="77E77F52" w14:textId="77777777" w:rsidR="00461133" w:rsidRDefault="00461133" w:rsidP="000F5B12">
            <w:pPr>
              <w:jc w:val="center"/>
            </w:pPr>
            <w:r>
              <w:t>97.1</w:t>
            </w:r>
          </w:p>
          <w:p w14:paraId="070C5731" w14:textId="77777777" w:rsidR="00461133" w:rsidRDefault="00461133" w:rsidP="000F5B12">
            <w:pPr>
              <w:jc w:val="center"/>
            </w:pPr>
            <w:r>
              <w:t>(92.7-100.6)</w:t>
            </w:r>
          </w:p>
        </w:tc>
        <w:tc>
          <w:tcPr>
            <w:tcW w:w="1843" w:type="dxa"/>
          </w:tcPr>
          <w:p w14:paraId="7F79A393" w14:textId="77777777" w:rsidR="00461133" w:rsidRDefault="00461133" w:rsidP="000F5B12">
            <w:pPr>
              <w:jc w:val="center"/>
            </w:pPr>
          </w:p>
          <w:p w14:paraId="7885481E" w14:textId="77777777" w:rsidR="00461133" w:rsidRDefault="00461133" w:rsidP="000F5B12">
            <w:pPr>
              <w:jc w:val="center"/>
            </w:pPr>
            <w:r>
              <w:t>98.8</w:t>
            </w:r>
          </w:p>
          <w:p w14:paraId="2C2CA1B5" w14:textId="77777777" w:rsidR="00461133" w:rsidRDefault="00461133" w:rsidP="000F5B12">
            <w:pPr>
              <w:jc w:val="center"/>
            </w:pPr>
            <w:r>
              <w:t>(97.0-100.6)</w:t>
            </w:r>
          </w:p>
        </w:tc>
        <w:tc>
          <w:tcPr>
            <w:tcW w:w="1320" w:type="dxa"/>
          </w:tcPr>
          <w:p w14:paraId="47446B81" w14:textId="77777777" w:rsidR="00461133" w:rsidRDefault="00461133" w:rsidP="000F5B12">
            <w:pPr>
              <w:jc w:val="center"/>
            </w:pPr>
          </w:p>
        </w:tc>
      </w:tr>
      <w:tr w:rsidR="00461133" w14:paraId="56D7063B" w14:textId="77777777" w:rsidTr="000F5B12">
        <w:tc>
          <w:tcPr>
            <w:tcW w:w="3794" w:type="dxa"/>
          </w:tcPr>
          <w:p w14:paraId="08D6AA67" w14:textId="77777777" w:rsidR="00461133" w:rsidRDefault="00461133" w:rsidP="000F5B12">
            <w:r>
              <w:t>Gender (male / female)</w:t>
            </w:r>
          </w:p>
        </w:tc>
        <w:tc>
          <w:tcPr>
            <w:tcW w:w="1559" w:type="dxa"/>
          </w:tcPr>
          <w:p w14:paraId="2E53EE90" w14:textId="77777777" w:rsidR="00461133" w:rsidRDefault="00461133" w:rsidP="000F5B12">
            <w:pPr>
              <w:jc w:val="center"/>
            </w:pPr>
            <w:r>
              <w:t>17/10</w:t>
            </w:r>
          </w:p>
        </w:tc>
        <w:tc>
          <w:tcPr>
            <w:tcW w:w="1843" w:type="dxa"/>
          </w:tcPr>
          <w:p w14:paraId="64F3C62E" w14:textId="77777777" w:rsidR="00461133" w:rsidRDefault="00461133" w:rsidP="000F5B12">
            <w:pPr>
              <w:jc w:val="center"/>
            </w:pPr>
            <w:r>
              <w:t>32/15</w:t>
            </w:r>
          </w:p>
        </w:tc>
        <w:tc>
          <w:tcPr>
            <w:tcW w:w="1320" w:type="dxa"/>
          </w:tcPr>
          <w:p w14:paraId="7706B191" w14:textId="77777777" w:rsidR="00461133" w:rsidRDefault="00461133" w:rsidP="000F5B12">
            <w:pPr>
              <w:jc w:val="center"/>
            </w:pPr>
          </w:p>
        </w:tc>
      </w:tr>
      <w:tr w:rsidR="00461133" w14:paraId="2B61658C" w14:textId="77777777" w:rsidTr="000F5B12">
        <w:tc>
          <w:tcPr>
            <w:tcW w:w="3794" w:type="dxa"/>
          </w:tcPr>
          <w:p w14:paraId="1216D755" w14:textId="77777777" w:rsidR="00461133" w:rsidRDefault="00461133" w:rsidP="000F5B12">
            <w:r>
              <w:t>Ethnicity</w:t>
            </w:r>
          </w:p>
          <w:p w14:paraId="114F9FD0" w14:textId="77777777" w:rsidR="00461133" w:rsidRDefault="00461133" w:rsidP="000F5B12">
            <w:r>
              <w:t>(</w:t>
            </w:r>
            <w:proofErr w:type="spellStart"/>
            <w:r>
              <w:t>Cauc</w:t>
            </w:r>
            <w:proofErr w:type="spellEnd"/>
            <w:r>
              <w:t xml:space="preserve"> / mixed / black)</w:t>
            </w:r>
          </w:p>
        </w:tc>
        <w:tc>
          <w:tcPr>
            <w:tcW w:w="1559" w:type="dxa"/>
          </w:tcPr>
          <w:p w14:paraId="36B2B06D" w14:textId="77777777" w:rsidR="00461133" w:rsidRDefault="00461133" w:rsidP="000F5B12">
            <w:pPr>
              <w:jc w:val="center"/>
            </w:pPr>
          </w:p>
          <w:p w14:paraId="0027127A" w14:textId="77777777" w:rsidR="00461133" w:rsidRDefault="00461133" w:rsidP="000F5B12">
            <w:pPr>
              <w:jc w:val="center"/>
            </w:pPr>
            <w:r>
              <w:t>27/0/0</w:t>
            </w:r>
          </w:p>
        </w:tc>
        <w:tc>
          <w:tcPr>
            <w:tcW w:w="1843" w:type="dxa"/>
          </w:tcPr>
          <w:p w14:paraId="75FC93BB" w14:textId="77777777" w:rsidR="00461133" w:rsidRDefault="00461133" w:rsidP="000F5B12">
            <w:pPr>
              <w:jc w:val="center"/>
            </w:pPr>
          </w:p>
          <w:p w14:paraId="75BC5CBA" w14:textId="77777777" w:rsidR="00461133" w:rsidRDefault="00461133" w:rsidP="000F5B12">
            <w:pPr>
              <w:jc w:val="center"/>
            </w:pPr>
            <w:r>
              <w:t>44/2/1</w:t>
            </w:r>
          </w:p>
        </w:tc>
        <w:tc>
          <w:tcPr>
            <w:tcW w:w="1320" w:type="dxa"/>
          </w:tcPr>
          <w:p w14:paraId="563E3418" w14:textId="77777777" w:rsidR="00461133" w:rsidRDefault="00461133" w:rsidP="000F5B12">
            <w:pPr>
              <w:jc w:val="center"/>
            </w:pPr>
          </w:p>
        </w:tc>
      </w:tr>
      <w:tr w:rsidR="00461133" w14:paraId="362060AE" w14:textId="77777777" w:rsidTr="000F5B12">
        <w:tc>
          <w:tcPr>
            <w:tcW w:w="3794" w:type="dxa"/>
            <w:tcBorders>
              <w:bottom w:val="single" w:sz="4" w:space="0" w:color="auto"/>
            </w:tcBorders>
          </w:tcPr>
          <w:p w14:paraId="528163C1" w14:textId="77777777" w:rsidR="00461133" w:rsidRDefault="00461133" w:rsidP="000F5B12">
            <w:r>
              <w:t>ASA (1/2/3)</w:t>
            </w:r>
          </w:p>
        </w:tc>
        <w:tc>
          <w:tcPr>
            <w:tcW w:w="1559" w:type="dxa"/>
            <w:tcBorders>
              <w:bottom w:val="single" w:sz="4" w:space="0" w:color="auto"/>
            </w:tcBorders>
          </w:tcPr>
          <w:p w14:paraId="48DCD049" w14:textId="77777777" w:rsidR="00461133" w:rsidRDefault="00461133" w:rsidP="000F5B12">
            <w:pPr>
              <w:jc w:val="center"/>
            </w:pPr>
            <w:r>
              <w:t>23/4/0</w:t>
            </w:r>
          </w:p>
        </w:tc>
        <w:tc>
          <w:tcPr>
            <w:tcW w:w="1843" w:type="dxa"/>
            <w:tcBorders>
              <w:bottom w:val="single" w:sz="4" w:space="0" w:color="auto"/>
            </w:tcBorders>
          </w:tcPr>
          <w:p w14:paraId="5A2F4CF2" w14:textId="77777777" w:rsidR="00461133" w:rsidRDefault="00461133" w:rsidP="000F5B12">
            <w:pPr>
              <w:jc w:val="center"/>
            </w:pPr>
            <w:r>
              <w:t>37/9/1</w:t>
            </w:r>
          </w:p>
        </w:tc>
        <w:tc>
          <w:tcPr>
            <w:tcW w:w="1320" w:type="dxa"/>
            <w:tcBorders>
              <w:bottom w:val="single" w:sz="4" w:space="0" w:color="auto"/>
            </w:tcBorders>
          </w:tcPr>
          <w:p w14:paraId="63A7C43E" w14:textId="77777777" w:rsidR="00461133" w:rsidRDefault="00461133" w:rsidP="000F5B12">
            <w:pPr>
              <w:jc w:val="center"/>
            </w:pPr>
          </w:p>
        </w:tc>
      </w:tr>
      <w:tr w:rsidR="00461133" w14:paraId="4ABF11B8" w14:textId="77777777" w:rsidTr="000F5B12">
        <w:tc>
          <w:tcPr>
            <w:tcW w:w="3794" w:type="dxa"/>
            <w:tcBorders>
              <w:bottom w:val="thinThickSmallGap" w:sz="24" w:space="0" w:color="auto"/>
            </w:tcBorders>
          </w:tcPr>
          <w:p w14:paraId="1329CB1B" w14:textId="77777777" w:rsidR="00461133" w:rsidRDefault="00461133" w:rsidP="000F5B12">
            <w:r>
              <w:t>Number also having grommet insertion</w:t>
            </w:r>
          </w:p>
        </w:tc>
        <w:tc>
          <w:tcPr>
            <w:tcW w:w="1559" w:type="dxa"/>
            <w:tcBorders>
              <w:bottom w:val="thinThickSmallGap" w:sz="24" w:space="0" w:color="auto"/>
            </w:tcBorders>
          </w:tcPr>
          <w:p w14:paraId="456180C2" w14:textId="77777777" w:rsidR="00461133" w:rsidRDefault="00461133" w:rsidP="000F5B12">
            <w:pPr>
              <w:jc w:val="center"/>
            </w:pPr>
            <w:r>
              <w:t>3</w:t>
            </w:r>
          </w:p>
        </w:tc>
        <w:tc>
          <w:tcPr>
            <w:tcW w:w="1843" w:type="dxa"/>
            <w:tcBorders>
              <w:bottom w:val="thinThickSmallGap" w:sz="24" w:space="0" w:color="auto"/>
            </w:tcBorders>
          </w:tcPr>
          <w:p w14:paraId="489563EC" w14:textId="77777777" w:rsidR="00461133" w:rsidRDefault="00461133" w:rsidP="000F5B12">
            <w:pPr>
              <w:jc w:val="center"/>
            </w:pPr>
            <w:r>
              <w:t>12</w:t>
            </w:r>
          </w:p>
        </w:tc>
        <w:tc>
          <w:tcPr>
            <w:tcW w:w="1320" w:type="dxa"/>
            <w:tcBorders>
              <w:bottom w:val="thinThickSmallGap" w:sz="24" w:space="0" w:color="auto"/>
            </w:tcBorders>
          </w:tcPr>
          <w:p w14:paraId="26273F96" w14:textId="77777777" w:rsidR="00461133" w:rsidRDefault="00461133" w:rsidP="000F5B12">
            <w:pPr>
              <w:jc w:val="center"/>
            </w:pPr>
          </w:p>
        </w:tc>
      </w:tr>
      <w:tr w:rsidR="00461133" w14:paraId="32C09A44" w14:textId="77777777" w:rsidTr="000F5B12">
        <w:tc>
          <w:tcPr>
            <w:tcW w:w="3794" w:type="dxa"/>
            <w:tcBorders>
              <w:top w:val="thinThickSmallGap" w:sz="24" w:space="0" w:color="auto"/>
            </w:tcBorders>
          </w:tcPr>
          <w:p w14:paraId="1F178A7A" w14:textId="77777777" w:rsidR="00461133" w:rsidRDefault="00461133" w:rsidP="000F5B12">
            <w:r>
              <w:t xml:space="preserve">Outcome </w:t>
            </w:r>
            <w:r w:rsidR="00334BBD">
              <w:t>Data :</w:t>
            </w:r>
          </w:p>
          <w:p w14:paraId="65281A7F" w14:textId="77777777" w:rsidR="00461133" w:rsidRDefault="00461133" w:rsidP="000F5B12">
            <w:r>
              <w:t>Median (95% Confidence interval)</w:t>
            </w:r>
          </w:p>
        </w:tc>
        <w:tc>
          <w:tcPr>
            <w:tcW w:w="1559" w:type="dxa"/>
            <w:tcBorders>
              <w:top w:val="thinThickSmallGap" w:sz="24" w:space="0" w:color="auto"/>
            </w:tcBorders>
          </w:tcPr>
          <w:p w14:paraId="4E8D7279" w14:textId="77777777" w:rsidR="00461133" w:rsidRDefault="00461133" w:rsidP="000F5B12">
            <w:pPr>
              <w:jc w:val="center"/>
            </w:pPr>
          </w:p>
          <w:p w14:paraId="236D5ADC" w14:textId="77777777" w:rsidR="00461133" w:rsidRDefault="00461133" w:rsidP="000F5B12">
            <w:pPr>
              <w:jc w:val="center"/>
            </w:pPr>
          </w:p>
        </w:tc>
        <w:tc>
          <w:tcPr>
            <w:tcW w:w="1843" w:type="dxa"/>
            <w:tcBorders>
              <w:top w:val="thinThickSmallGap" w:sz="24" w:space="0" w:color="auto"/>
            </w:tcBorders>
          </w:tcPr>
          <w:p w14:paraId="354367AA" w14:textId="77777777" w:rsidR="00461133" w:rsidRDefault="00461133" w:rsidP="000F5B12">
            <w:pPr>
              <w:jc w:val="center"/>
            </w:pPr>
          </w:p>
          <w:p w14:paraId="75ECB202" w14:textId="77777777" w:rsidR="00461133" w:rsidRDefault="00461133" w:rsidP="000F5B12">
            <w:pPr>
              <w:jc w:val="center"/>
            </w:pPr>
          </w:p>
        </w:tc>
        <w:tc>
          <w:tcPr>
            <w:tcW w:w="1320" w:type="dxa"/>
            <w:tcBorders>
              <w:top w:val="thinThickSmallGap" w:sz="24" w:space="0" w:color="auto"/>
            </w:tcBorders>
          </w:tcPr>
          <w:p w14:paraId="1475DAFC" w14:textId="77777777" w:rsidR="00461133" w:rsidRDefault="00461133" w:rsidP="000F5B12">
            <w:pPr>
              <w:jc w:val="center"/>
            </w:pPr>
          </w:p>
          <w:p w14:paraId="085EAA86" w14:textId="77777777" w:rsidR="00461133" w:rsidRPr="003329BA" w:rsidRDefault="00461133" w:rsidP="000F5B12">
            <w:pPr>
              <w:jc w:val="center"/>
              <w:rPr>
                <w:b/>
              </w:rPr>
            </w:pPr>
          </w:p>
        </w:tc>
      </w:tr>
      <w:tr w:rsidR="00461133" w14:paraId="5B7A4492" w14:textId="77777777" w:rsidTr="000F5B12">
        <w:tc>
          <w:tcPr>
            <w:tcW w:w="3794" w:type="dxa"/>
          </w:tcPr>
          <w:p w14:paraId="21EAF666" w14:textId="77777777" w:rsidR="00461133" w:rsidRDefault="00461133" w:rsidP="000F5B12">
            <w:r>
              <w:t>Day 1</w:t>
            </w:r>
          </w:p>
          <w:p w14:paraId="4DFB7CC6" w14:textId="77777777" w:rsidR="00461133" w:rsidRDefault="00461133" w:rsidP="000F5B12">
            <w:r>
              <w:t>Worst Pain score</w:t>
            </w:r>
          </w:p>
        </w:tc>
        <w:tc>
          <w:tcPr>
            <w:tcW w:w="1559" w:type="dxa"/>
          </w:tcPr>
          <w:p w14:paraId="43EE89FA" w14:textId="77777777" w:rsidR="00461133" w:rsidRDefault="00461133" w:rsidP="000F5B12">
            <w:pPr>
              <w:jc w:val="center"/>
            </w:pPr>
          </w:p>
          <w:p w14:paraId="313011B0" w14:textId="77777777" w:rsidR="00461133" w:rsidRDefault="00461133" w:rsidP="000F5B12">
            <w:pPr>
              <w:jc w:val="center"/>
            </w:pPr>
            <w:r>
              <w:t>8 (6-8)</w:t>
            </w:r>
          </w:p>
        </w:tc>
        <w:tc>
          <w:tcPr>
            <w:tcW w:w="1843" w:type="dxa"/>
          </w:tcPr>
          <w:p w14:paraId="1C236CEC" w14:textId="77777777" w:rsidR="00461133" w:rsidRDefault="00461133" w:rsidP="000F5B12">
            <w:pPr>
              <w:jc w:val="center"/>
            </w:pPr>
          </w:p>
          <w:p w14:paraId="1616675D" w14:textId="77777777" w:rsidR="00461133" w:rsidRDefault="00461133" w:rsidP="000F5B12">
            <w:pPr>
              <w:jc w:val="center"/>
            </w:pPr>
            <w:r>
              <w:t>4 (2-6)</w:t>
            </w:r>
          </w:p>
        </w:tc>
        <w:tc>
          <w:tcPr>
            <w:tcW w:w="1320" w:type="dxa"/>
          </w:tcPr>
          <w:p w14:paraId="74881527" w14:textId="77777777" w:rsidR="00461133" w:rsidRDefault="00461133" w:rsidP="000F5B12">
            <w:pPr>
              <w:jc w:val="center"/>
              <w:rPr>
                <w:b/>
              </w:rPr>
            </w:pPr>
          </w:p>
          <w:p w14:paraId="23A0661E" w14:textId="77777777" w:rsidR="00461133" w:rsidRDefault="00461133" w:rsidP="000F5B12">
            <w:pPr>
              <w:jc w:val="center"/>
            </w:pPr>
            <w:r w:rsidRPr="003329BA">
              <w:rPr>
                <w:b/>
              </w:rPr>
              <w:t>0.003</w:t>
            </w:r>
          </w:p>
        </w:tc>
      </w:tr>
      <w:tr w:rsidR="00461133" w14:paraId="76B8813B" w14:textId="77777777" w:rsidTr="000F5B12">
        <w:tc>
          <w:tcPr>
            <w:tcW w:w="3794" w:type="dxa"/>
          </w:tcPr>
          <w:p w14:paraId="7CA56D4D" w14:textId="77777777" w:rsidR="00461133" w:rsidRDefault="00461133" w:rsidP="000F5B12">
            <w:r>
              <w:t>Day 3</w:t>
            </w:r>
          </w:p>
          <w:p w14:paraId="715F2220" w14:textId="77777777" w:rsidR="00461133" w:rsidRDefault="00461133" w:rsidP="000F5B12">
            <w:r>
              <w:t>Worst Pain score</w:t>
            </w:r>
          </w:p>
        </w:tc>
        <w:tc>
          <w:tcPr>
            <w:tcW w:w="1559" w:type="dxa"/>
          </w:tcPr>
          <w:p w14:paraId="69AD08E7" w14:textId="77777777" w:rsidR="00461133" w:rsidRDefault="00461133" w:rsidP="000F5B12">
            <w:pPr>
              <w:jc w:val="center"/>
            </w:pPr>
          </w:p>
          <w:p w14:paraId="2E3B79AF" w14:textId="77777777" w:rsidR="00461133" w:rsidRDefault="00461133" w:rsidP="000F5B12">
            <w:pPr>
              <w:jc w:val="center"/>
            </w:pPr>
            <w:r>
              <w:t>7 (6-8)</w:t>
            </w:r>
          </w:p>
        </w:tc>
        <w:tc>
          <w:tcPr>
            <w:tcW w:w="1843" w:type="dxa"/>
          </w:tcPr>
          <w:p w14:paraId="3AB7FA67" w14:textId="77777777" w:rsidR="00461133" w:rsidRDefault="00461133" w:rsidP="000F5B12">
            <w:pPr>
              <w:jc w:val="center"/>
            </w:pPr>
          </w:p>
          <w:p w14:paraId="3F0E145D" w14:textId="77777777" w:rsidR="00461133" w:rsidRDefault="00461133" w:rsidP="000F5B12">
            <w:pPr>
              <w:jc w:val="center"/>
            </w:pPr>
            <w:r>
              <w:t>6 (5-6)</w:t>
            </w:r>
          </w:p>
        </w:tc>
        <w:tc>
          <w:tcPr>
            <w:tcW w:w="1320" w:type="dxa"/>
          </w:tcPr>
          <w:p w14:paraId="1A30108D" w14:textId="77777777" w:rsidR="00461133" w:rsidRDefault="00461133" w:rsidP="000F5B12">
            <w:pPr>
              <w:jc w:val="center"/>
            </w:pPr>
          </w:p>
          <w:p w14:paraId="40F79FC1" w14:textId="77777777" w:rsidR="00461133" w:rsidRDefault="00461133" w:rsidP="000F5B12">
            <w:pPr>
              <w:jc w:val="center"/>
            </w:pPr>
            <w:r>
              <w:t>0.35</w:t>
            </w:r>
          </w:p>
        </w:tc>
      </w:tr>
      <w:tr w:rsidR="00461133" w14:paraId="02A67BC7" w14:textId="77777777" w:rsidTr="000F5B12">
        <w:tc>
          <w:tcPr>
            <w:tcW w:w="3794" w:type="dxa"/>
          </w:tcPr>
          <w:p w14:paraId="1F42B7A3" w14:textId="77777777" w:rsidR="00461133" w:rsidRDefault="00461133" w:rsidP="000F5B12">
            <w:r>
              <w:t>Day 7</w:t>
            </w:r>
          </w:p>
          <w:p w14:paraId="5D8B9DC9" w14:textId="77777777" w:rsidR="00461133" w:rsidRDefault="00461133" w:rsidP="000F5B12">
            <w:r>
              <w:t>Worst Pain score</w:t>
            </w:r>
          </w:p>
        </w:tc>
        <w:tc>
          <w:tcPr>
            <w:tcW w:w="1559" w:type="dxa"/>
          </w:tcPr>
          <w:p w14:paraId="5031235A" w14:textId="77777777" w:rsidR="00461133" w:rsidRDefault="00461133" w:rsidP="000F5B12">
            <w:pPr>
              <w:jc w:val="center"/>
            </w:pPr>
          </w:p>
          <w:p w14:paraId="08260CCA" w14:textId="77777777" w:rsidR="00461133" w:rsidRDefault="00461133" w:rsidP="000F5B12">
            <w:pPr>
              <w:jc w:val="center"/>
            </w:pPr>
            <w:r>
              <w:t>5 (4-8)</w:t>
            </w:r>
          </w:p>
        </w:tc>
        <w:tc>
          <w:tcPr>
            <w:tcW w:w="1843" w:type="dxa"/>
          </w:tcPr>
          <w:p w14:paraId="36C553BC" w14:textId="77777777" w:rsidR="00461133" w:rsidRDefault="00461133" w:rsidP="000F5B12">
            <w:pPr>
              <w:jc w:val="center"/>
            </w:pPr>
          </w:p>
          <w:p w14:paraId="4B2A2F89" w14:textId="77777777" w:rsidR="00461133" w:rsidRDefault="00461133" w:rsidP="000F5B12">
            <w:pPr>
              <w:jc w:val="center"/>
            </w:pPr>
            <w:r>
              <w:t>4 (2-5)</w:t>
            </w:r>
          </w:p>
        </w:tc>
        <w:tc>
          <w:tcPr>
            <w:tcW w:w="1320" w:type="dxa"/>
          </w:tcPr>
          <w:p w14:paraId="2C6E6540" w14:textId="77777777" w:rsidR="00461133" w:rsidRDefault="00461133" w:rsidP="000F5B12">
            <w:pPr>
              <w:jc w:val="center"/>
            </w:pPr>
          </w:p>
          <w:p w14:paraId="222F10DC" w14:textId="77777777" w:rsidR="00461133" w:rsidRDefault="00461133" w:rsidP="000F5B12">
            <w:pPr>
              <w:jc w:val="center"/>
            </w:pPr>
            <w:r>
              <w:t>0.13</w:t>
            </w:r>
          </w:p>
        </w:tc>
      </w:tr>
      <w:tr w:rsidR="00461133" w14:paraId="6D757280" w14:textId="77777777" w:rsidTr="000F5B12">
        <w:tc>
          <w:tcPr>
            <w:tcW w:w="3794" w:type="dxa"/>
          </w:tcPr>
          <w:p w14:paraId="47E72914" w14:textId="77777777" w:rsidR="00461133" w:rsidRDefault="00461133" w:rsidP="000F5B12">
            <w:r>
              <w:t>Day 1</w:t>
            </w:r>
          </w:p>
          <w:p w14:paraId="0A1FCF6B" w14:textId="77777777" w:rsidR="00461133" w:rsidRDefault="00461133" w:rsidP="000F5B12">
            <w:r>
              <w:t>Usual level of Pain score</w:t>
            </w:r>
          </w:p>
        </w:tc>
        <w:tc>
          <w:tcPr>
            <w:tcW w:w="1559" w:type="dxa"/>
          </w:tcPr>
          <w:p w14:paraId="0164FC9D" w14:textId="77777777" w:rsidR="00461133" w:rsidRDefault="00461133" w:rsidP="000F5B12">
            <w:pPr>
              <w:jc w:val="center"/>
            </w:pPr>
          </w:p>
          <w:p w14:paraId="1A3BC41E" w14:textId="77777777" w:rsidR="00461133" w:rsidRDefault="00461133" w:rsidP="000F5B12">
            <w:pPr>
              <w:jc w:val="center"/>
            </w:pPr>
            <w:r>
              <w:t>2 (2-2)</w:t>
            </w:r>
          </w:p>
        </w:tc>
        <w:tc>
          <w:tcPr>
            <w:tcW w:w="1843" w:type="dxa"/>
          </w:tcPr>
          <w:p w14:paraId="01DF6568" w14:textId="77777777" w:rsidR="00461133" w:rsidRDefault="00461133" w:rsidP="000F5B12">
            <w:pPr>
              <w:jc w:val="center"/>
            </w:pPr>
          </w:p>
          <w:p w14:paraId="7241EFBA" w14:textId="77777777" w:rsidR="00461133" w:rsidRDefault="00461133" w:rsidP="000F5B12">
            <w:pPr>
              <w:jc w:val="center"/>
            </w:pPr>
            <w:r>
              <w:t>2 (0-2)</w:t>
            </w:r>
          </w:p>
        </w:tc>
        <w:tc>
          <w:tcPr>
            <w:tcW w:w="1320" w:type="dxa"/>
          </w:tcPr>
          <w:p w14:paraId="6696A9D2" w14:textId="77777777" w:rsidR="00461133" w:rsidRDefault="00461133" w:rsidP="000F5B12">
            <w:pPr>
              <w:jc w:val="center"/>
            </w:pPr>
          </w:p>
          <w:p w14:paraId="3CFDBE2C" w14:textId="77777777" w:rsidR="00461133" w:rsidRPr="003329BA" w:rsidRDefault="00461133" w:rsidP="000F5B12">
            <w:pPr>
              <w:jc w:val="center"/>
              <w:rPr>
                <w:b/>
              </w:rPr>
            </w:pPr>
            <w:r w:rsidRPr="003329BA">
              <w:rPr>
                <w:b/>
              </w:rPr>
              <w:t>0.009</w:t>
            </w:r>
          </w:p>
        </w:tc>
      </w:tr>
      <w:tr w:rsidR="00461133" w14:paraId="4F7A52ED" w14:textId="77777777" w:rsidTr="000F5B12">
        <w:tc>
          <w:tcPr>
            <w:tcW w:w="3794" w:type="dxa"/>
            <w:tcBorders>
              <w:bottom w:val="single" w:sz="4" w:space="0" w:color="auto"/>
            </w:tcBorders>
          </w:tcPr>
          <w:p w14:paraId="4DB69481" w14:textId="77777777" w:rsidR="00461133" w:rsidRDefault="00461133" w:rsidP="000F5B12">
            <w:r>
              <w:t>Day 3</w:t>
            </w:r>
          </w:p>
          <w:p w14:paraId="706C0A61" w14:textId="77777777" w:rsidR="00461133" w:rsidRDefault="00461133" w:rsidP="000F5B12">
            <w:r>
              <w:t>Usual level of Pain score</w:t>
            </w:r>
          </w:p>
        </w:tc>
        <w:tc>
          <w:tcPr>
            <w:tcW w:w="1559" w:type="dxa"/>
            <w:tcBorders>
              <w:bottom w:val="single" w:sz="4" w:space="0" w:color="auto"/>
            </w:tcBorders>
          </w:tcPr>
          <w:p w14:paraId="7BD70C31" w14:textId="77777777" w:rsidR="00461133" w:rsidRDefault="00461133" w:rsidP="000F5B12">
            <w:pPr>
              <w:jc w:val="center"/>
            </w:pPr>
          </w:p>
          <w:p w14:paraId="03FBB5CE" w14:textId="77777777" w:rsidR="00461133" w:rsidRDefault="00461133" w:rsidP="000F5B12">
            <w:pPr>
              <w:jc w:val="center"/>
            </w:pPr>
            <w:r>
              <w:t>2 (2-4)</w:t>
            </w:r>
          </w:p>
        </w:tc>
        <w:tc>
          <w:tcPr>
            <w:tcW w:w="1843" w:type="dxa"/>
            <w:tcBorders>
              <w:bottom w:val="single" w:sz="4" w:space="0" w:color="auto"/>
            </w:tcBorders>
          </w:tcPr>
          <w:p w14:paraId="6A7A5901" w14:textId="77777777" w:rsidR="00461133" w:rsidRDefault="00461133" w:rsidP="000F5B12">
            <w:pPr>
              <w:jc w:val="center"/>
            </w:pPr>
          </w:p>
          <w:p w14:paraId="72B56BE7" w14:textId="77777777" w:rsidR="00461133" w:rsidRDefault="00461133" w:rsidP="000F5B12">
            <w:pPr>
              <w:jc w:val="center"/>
            </w:pPr>
            <w:r>
              <w:t>2 (2-2)</w:t>
            </w:r>
          </w:p>
        </w:tc>
        <w:tc>
          <w:tcPr>
            <w:tcW w:w="1320" w:type="dxa"/>
            <w:tcBorders>
              <w:bottom w:val="single" w:sz="4" w:space="0" w:color="auto"/>
            </w:tcBorders>
          </w:tcPr>
          <w:p w14:paraId="34F97661" w14:textId="77777777" w:rsidR="00461133" w:rsidRDefault="00461133" w:rsidP="000F5B12">
            <w:pPr>
              <w:jc w:val="center"/>
            </w:pPr>
          </w:p>
          <w:p w14:paraId="613F2BA5" w14:textId="77777777" w:rsidR="00461133" w:rsidRDefault="00461133" w:rsidP="000F5B12">
            <w:pPr>
              <w:jc w:val="center"/>
            </w:pPr>
            <w:r>
              <w:t>0.45</w:t>
            </w:r>
          </w:p>
        </w:tc>
      </w:tr>
      <w:tr w:rsidR="00461133" w14:paraId="6EDD8848" w14:textId="77777777" w:rsidTr="000F5B12">
        <w:tc>
          <w:tcPr>
            <w:tcW w:w="3794" w:type="dxa"/>
            <w:tcBorders>
              <w:bottom w:val="single" w:sz="4" w:space="0" w:color="auto"/>
            </w:tcBorders>
          </w:tcPr>
          <w:p w14:paraId="22CC1CD9" w14:textId="77777777" w:rsidR="00461133" w:rsidRDefault="00461133" w:rsidP="000F5B12">
            <w:r>
              <w:t>Day 7</w:t>
            </w:r>
          </w:p>
          <w:p w14:paraId="0B7B8701" w14:textId="77777777" w:rsidR="00461133" w:rsidRDefault="00461133" w:rsidP="000F5B12">
            <w:r>
              <w:t>Usual level of Pain score</w:t>
            </w:r>
          </w:p>
        </w:tc>
        <w:tc>
          <w:tcPr>
            <w:tcW w:w="1559" w:type="dxa"/>
            <w:tcBorders>
              <w:bottom w:val="single" w:sz="4" w:space="0" w:color="auto"/>
            </w:tcBorders>
          </w:tcPr>
          <w:p w14:paraId="1CF6E07F" w14:textId="77777777" w:rsidR="00461133" w:rsidRDefault="00461133" w:rsidP="000F5B12">
            <w:pPr>
              <w:jc w:val="center"/>
            </w:pPr>
          </w:p>
          <w:p w14:paraId="460F2547" w14:textId="77777777" w:rsidR="00461133" w:rsidRDefault="00461133" w:rsidP="000F5B12">
            <w:pPr>
              <w:jc w:val="center"/>
            </w:pPr>
            <w:r>
              <w:t>2 (0-2)</w:t>
            </w:r>
          </w:p>
        </w:tc>
        <w:tc>
          <w:tcPr>
            <w:tcW w:w="1843" w:type="dxa"/>
            <w:tcBorders>
              <w:bottom w:val="single" w:sz="4" w:space="0" w:color="auto"/>
            </w:tcBorders>
          </w:tcPr>
          <w:p w14:paraId="4E15F706" w14:textId="77777777" w:rsidR="00461133" w:rsidRDefault="00461133" w:rsidP="000F5B12">
            <w:pPr>
              <w:jc w:val="center"/>
            </w:pPr>
          </w:p>
          <w:p w14:paraId="3BB2800A" w14:textId="77777777" w:rsidR="00461133" w:rsidRDefault="00461133" w:rsidP="000F5B12">
            <w:pPr>
              <w:jc w:val="center"/>
            </w:pPr>
            <w:r>
              <w:t>0 (0-2)</w:t>
            </w:r>
          </w:p>
        </w:tc>
        <w:tc>
          <w:tcPr>
            <w:tcW w:w="1320" w:type="dxa"/>
            <w:tcBorders>
              <w:bottom w:val="single" w:sz="4" w:space="0" w:color="auto"/>
            </w:tcBorders>
          </w:tcPr>
          <w:p w14:paraId="49E6D7D3" w14:textId="77777777" w:rsidR="00461133" w:rsidRDefault="00461133" w:rsidP="000F5B12">
            <w:pPr>
              <w:jc w:val="center"/>
            </w:pPr>
          </w:p>
          <w:p w14:paraId="37F28B7A" w14:textId="77777777" w:rsidR="00461133" w:rsidRDefault="00461133" w:rsidP="000F5B12">
            <w:pPr>
              <w:jc w:val="center"/>
            </w:pPr>
            <w:r>
              <w:t>0.77</w:t>
            </w:r>
          </w:p>
        </w:tc>
      </w:tr>
      <w:tr w:rsidR="00461133" w14:paraId="699B89B4" w14:textId="77777777" w:rsidTr="000F5B12">
        <w:tc>
          <w:tcPr>
            <w:tcW w:w="3794" w:type="dxa"/>
            <w:tcBorders>
              <w:top w:val="single" w:sz="4" w:space="0" w:color="auto"/>
            </w:tcBorders>
          </w:tcPr>
          <w:p w14:paraId="43C21E81" w14:textId="77777777" w:rsidR="00461133" w:rsidRDefault="00461133" w:rsidP="000F5B12">
            <w:r>
              <w:t>Morphine doses:</w:t>
            </w:r>
          </w:p>
          <w:p w14:paraId="09190785" w14:textId="77777777" w:rsidR="00461133" w:rsidRDefault="00461133" w:rsidP="000F5B12">
            <w:r>
              <w:t>From operation to first morning after operation</w:t>
            </w:r>
          </w:p>
        </w:tc>
        <w:tc>
          <w:tcPr>
            <w:tcW w:w="1559" w:type="dxa"/>
            <w:tcBorders>
              <w:top w:val="single" w:sz="4" w:space="0" w:color="auto"/>
            </w:tcBorders>
          </w:tcPr>
          <w:p w14:paraId="204225D3" w14:textId="77777777" w:rsidR="00461133" w:rsidRDefault="00461133" w:rsidP="000F5B12">
            <w:pPr>
              <w:jc w:val="center"/>
            </w:pPr>
          </w:p>
          <w:p w14:paraId="24B1E572" w14:textId="77777777" w:rsidR="00461133" w:rsidRDefault="00461133" w:rsidP="000F5B12">
            <w:pPr>
              <w:jc w:val="center"/>
            </w:pPr>
            <w:r>
              <w:t>2 (2-2)</w:t>
            </w:r>
          </w:p>
        </w:tc>
        <w:tc>
          <w:tcPr>
            <w:tcW w:w="1843" w:type="dxa"/>
            <w:tcBorders>
              <w:top w:val="single" w:sz="4" w:space="0" w:color="auto"/>
            </w:tcBorders>
          </w:tcPr>
          <w:p w14:paraId="57BC1F6E" w14:textId="77777777" w:rsidR="00461133" w:rsidRDefault="00461133" w:rsidP="000F5B12">
            <w:pPr>
              <w:jc w:val="center"/>
            </w:pPr>
          </w:p>
          <w:p w14:paraId="670E90B5" w14:textId="77777777" w:rsidR="00461133" w:rsidRDefault="00461133" w:rsidP="000F5B12">
            <w:pPr>
              <w:jc w:val="center"/>
            </w:pPr>
            <w:r>
              <w:t>1 (1-2)</w:t>
            </w:r>
          </w:p>
        </w:tc>
        <w:tc>
          <w:tcPr>
            <w:tcW w:w="1320" w:type="dxa"/>
            <w:tcBorders>
              <w:top w:val="single" w:sz="4" w:space="0" w:color="auto"/>
            </w:tcBorders>
          </w:tcPr>
          <w:p w14:paraId="34D2501D" w14:textId="77777777" w:rsidR="00461133" w:rsidRDefault="00461133" w:rsidP="000F5B12">
            <w:pPr>
              <w:jc w:val="center"/>
            </w:pPr>
          </w:p>
          <w:p w14:paraId="035832A5" w14:textId="77777777" w:rsidR="00461133" w:rsidRDefault="00461133" w:rsidP="000F5B12">
            <w:pPr>
              <w:jc w:val="center"/>
            </w:pPr>
            <w:r>
              <w:t>0.2</w:t>
            </w:r>
          </w:p>
        </w:tc>
      </w:tr>
      <w:tr w:rsidR="00461133" w14:paraId="63B8A0EC" w14:textId="77777777" w:rsidTr="000F5B12">
        <w:tc>
          <w:tcPr>
            <w:tcW w:w="3794" w:type="dxa"/>
            <w:tcBorders>
              <w:top w:val="single" w:sz="4" w:space="0" w:color="auto"/>
              <w:bottom w:val="single" w:sz="4" w:space="0" w:color="auto"/>
            </w:tcBorders>
          </w:tcPr>
          <w:p w14:paraId="0EFEAD36" w14:textId="77777777" w:rsidR="00461133" w:rsidRDefault="00461133" w:rsidP="000F5B12">
            <w:r>
              <w:t>Morphine doses:</w:t>
            </w:r>
          </w:p>
          <w:p w14:paraId="5B47BCE5" w14:textId="77777777" w:rsidR="00461133" w:rsidRDefault="00461133" w:rsidP="000F5B12">
            <w:r>
              <w:t>From first morning after operation to Day 3 after surgery</w:t>
            </w:r>
          </w:p>
        </w:tc>
        <w:tc>
          <w:tcPr>
            <w:tcW w:w="1559" w:type="dxa"/>
            <w:tcBorders>
              <w:top w:val="single" w:sz="4" w:space="0" w:color="auto"/>
              <w:bottom w:val="single" w:sz="4" w:space="0" w:color="auto"/>
            </w:tcBorders>
          </w:tcPr>
          <w:p w14:paraId="6A267395" w14:textId="77777777" w:rsidR="00461133" w:rsidRDefault="00461133" w:rsidP="000F5B12">
            <w:pPr>
              <w:jc w:val="center"/>
            </w:pPr>
          </w:p>
          <w:p w14:paraId="602D0587" w14:textId="77777777" w:rsidR="00461133" w:rsidRDefault="00461133" w:rsidP="000F5B12">
            <w:pPr>
              <w:jc w:val="center"/>
            </w:pPr>
            <w:r>
              <w:t>3 (2-3)</w:t>
            </w:r>
          </w:p>
        </w:tc>
        <w:tc>
          <w:tcPr>
            <w:tcW w:w="1843" w:type="dxa"/>
            <w:tcBorders>
              <w:top w:val="single" w:sz="4" w:space="0" w:color="auto"/>
              <w:bottom w:val="single" w:sz="4" w:space="0" w:color="auto"/>
            </w:tcBorders>
          </w:tcPr>
          <w:p w14:paraId="3A39E32F" w14:textId="77777777" w:rsidR="00461133" w:rsidRDefault="00461133" w:rsidP="000F5B12">
            <w:pPr>
              <w:jc w:val="center"/>
            </w:pPr>
          </w:p>
          <w:p w14:paraId="59CD656E" w14:textId="77777777" w:rsidR="00461133" w:rsidRDefault="00461133" w:rsidP="000F5B12">
            <w:pPr>
              <w:jc w:val="center"/>
            </w:pPr>
            <w:r>
              <w:t>2 (2-3)</w:t>
            </w:r>
          </w:p>
        </w:tc>
        <w:tc>
          <w:tcPr>
            <w:tcW w:w="1320" w:type="dxa"/>
            <w:tcBorders>
              <w:top w:val="single" w:sz="4" w:space="0" w:color="auto"/>
              <w:bottom w:val="single" w:sz="4" w:space="0" w:color="auto"/>
            </w:tcBorders>
          </w:tcPr>
          <w:p w14:paraId="37B90142" w14:textId="77777777" w:rsidR="00461133" w:rsidRDefault="00461133" w:rsidP="000F5B12">
            <w:pPr>
              <w:jc w:val="center"/>
            </w:pPr>
          </w:p>
          <w:p w14:paraId="4F7201B7" w14:textId="77777777" w:rsidR="00461133" w:rsidRDefault="00461133" w:rsidP="000F5B12">
            <w:pPr>
              <w:jc w:val="center"/>
            </w:pPr>
            <w:r>
              <w:t>0.99</w:t>
            </w:r>
          </w:p>
        </w:tc>
      </w:tr>
      <w:tr w:rsidR="00461133" w14:paraId="48CB3494" w14:textId="77777777" w:rsidTr="000F5B12">
        <w:tc>
          <w:tcPr>
            <w:tcW w:w="3794" w:type="dxa"/>
            <w:tcBorders>
              <w:top w:val="single" w:sz="4" w:space="0" w:color="auto"/>
            </w:tcBorders>
          </w:tcPr>
          <w:p w14:paraId="3D02569A" w14:textId="77777777" w:rsidR="00461133" w:rsidRDefault="00461133" w:rsidP="000F5B12">
            <w:r>
              <w:t>Morphine doses:</w:t>
            </w:r>
          </w:p>
          <w:p w14:paraId="1DC115C2" w14:textId="77777777" w:rsidR="00461133" w:rsidRDefault="00461133" w:rsidP="000F5B12">
            <w:r>
              <w:t>From Day 3 to Day 7 after surgery</w:t>
            </w:r>
          </w:p>
        </w:tc>
        <w:tc>
          <w:tcPr>
            <w:tcW w:w="1559" w:type="dxa"/>
            <w:tcBorders>
              <w:top w:val="single" w:sz="4" w:space="0" w:color="auto"/>
            </w:tcBorders>
          </w:tcPr>
          <w:p w14:paraId="136C75B7" w14:textId="77777777" w:rsidR="00461133" w:rsidRDefault="00461133" w:rsidP="000F5B12">
            <w:pPr>
              <w:jc w:val="center"/>
            </w:pPr>
          </w:p>
          <w:p w14:paraId="42ECB6D6" w14:textId="77777777" w:rsidR="00461133" w:rsidRDefault="00461133" w:rsidP="000F5B12">
            <w:pPr>
              <w:jc w:val="center"/>
            </w:pPr>
            <w:r>
              <w:t>2 (1.5-3)</w:t>
            </w:r>
          </w:p>
        </w:tc>
        <w:tc>
          <w:tcPr>
            <w:tcW w:w="1843" w:type="dxa"/>
            <w:tcBorders>
              <w:top w:val="single" w:sz="4" w:space="0" w:color="auto"/>
            </w:tcBorders>
          </w:tcPr>
          <w:p w14:paraId="0E2F02EA" w14:textId="77777777" w:rsidR="00461133" w:rsidRDefault="00461133" w:rsidP="000F5B12">
            <w:pPr>
              <w:jc w:val="center"/>
            </w:pPr>
          </w:p>
          <w:p w14:paraId="3C8F9650" w14:textId="77777777" w:rsidR="00461133" w:rsidRDefault="00461133" w:rsidP="000F5B12">
            <w:pPr>
              <w:jc w:val="center"/>
            </w:pPr>
            <w:r>
              <w:t>1 (1-2)</w:t>
            </w:r>
          </w:p>
        </w:tc>
        <w:tc>
          <w:tcPr>
            <w:tcW w:w="1320" w:type="dxa"/>
            <w:tcBorders>
              <w:top w:val="single" w:sz="4" w:space="0" w:color="auto"/>
            </w:tcBorders>
          </w:tcPr>
          <w:p w14:paraId="6B864397" w14:textId="77777777" w:rsidR="00461133" w:rsidRDefault="00461133" w:rsidP="000F5B12">
            <w:pPr>
              <w:jc w:val="center"/>
            </w:pPr>
          </w:p>
          <w:p w14:paraId="18DBF178" w14:textId="77777777" w:rsidR="00461133" w:rsidRDefault="00461133" w:rsidP="000F5B12">
            <w:pPr>
              <w:jc w:val="center"/>
            </w:pPr>
            <w:r>
              <w:t>0.72</w:t>
            </w:r>
          </w:p>
        </w:tc>
      </w:tr>
      <w:tr w:rsidR="00461133" w14:paraId="0E081A55" w14:textId="77777777" w:rsidTr="000F5B12">
        <w:tc>
          <w:tcPr>
            <w:tcW w:w="3794" w:type="dxa"/>
            <w:tcBorders>
              <w:top w:val="single" w:sz="4" w:space="0" w:color="auto"/>
            </w:tcBorders>
          </w:tcPr>
          <w:p w14:paraId="36ACDD25" w14:textId="77777777" w:rsidR="00461133" w:rsidRDefault="00461133" w:rsidP="000F5B12">
            <w:r>
              <w:t>Activity day 1</w:t>
            </w:r>
          </w:p>
          <w:p w14:paraId="20ACA3F1" w14:textId="77777777" w:rsidR="00461133" w:rsidRDefault="00461133" w:rsidP="000F5B12">
            <w:r>
              <w:t>% of normal</w:t>
            </w:r>
          </w:p>
        </w:tc>
        <w:tc>
          <w:tcPr>
            <w:tcW w:w="1559" w:type="dxa"/>
            <w:tcBorders>
              <w:top w:val="single" w:sz="4" w:space="0" w:color="auto"/>
            </w:tcBorders>
          </w:tcPr>
          <w:p w14:paraId="1A1A23AD" w14:textId="77777777" w:rsidR="00461133" w:rsidRDefault="00461133" w:rsidP="000F5B12">
            <w:pPr>
              <w:jc w:val="center"/>
            </w:pPr>
          </w:p>
          <w:p w14:paraId="77D7767E" w14:textId="77777777" w:rsidR="00461133" w:rsidRDefault="00461133" w:rsidP="000F5B12">
            <w:pPr>
              <w:jc w:val="center"/>
            </w:pPr>
            <w:r>
              <w:t>80 (40-80)</w:t>
            </w:r>
          </w:p>
        </w:tc>
        <w:tc>
          <w:tcPr>
            <w:tcW w:w="1843" w:type="dxa"/>
            <w:tcBorders>
              <w:top w:val="single" w:sz="4" w:space="0" w:color="auto"/>
            </w:tcBorders>
          </w:tcPr>
          <w:p w14:paraId="1FE9A707" w14:textId="77777777" w:rsidR="00461133" w:rsidRDefault="00461133" w:rsidP="000F5B12">
            <w:pPr>
              <w:jc w:val="center"/>
            </w:pPr>
          </w:p>
          <w:p w14:paraId="61B976B5" w14:textId="77777777" w:rsidR="00461133" w:rsidRDefault="00461133" w:rsidP="000F5B12">
            <w:pPr>
              <w:jc w:val="center"/>
            </w:pPr>
            <w:r>
              <w:t>90 (70-100)</w:t>
            </w:r>
          </w:p>
        </w:tc>
        <w:tc>
          <w:tcPr>
            <w:tcW w:w="1320" w:type="dxa"/>
            <w:tcBorders>
              <w:top w:val="single" w:sz="4" w:space="0" w:color="auto"/>
            </w:tcBorders>
          </w:tcPr>
          <w:p w14:paraId="230BDC51" w14:textId="77777777" w:rsidR="00461133" w:rsidRDefault="00461133" w:rsidP="000F5B12">
            <w:pPr>
              <w:jc w:val="center"/>
            </w:pPr>
          </w:p>
          <w:p w14:paraId="190FCBBF" w14:textId="77777777" w:rsidR="00461133" w:rsidRDefault="00461133" w:rsidP="000F5B12">
            <w:pPr>
              <w:jc w:val="center"/>
            </w:pPr>
            <w:r>
              <w:t>0.23</w:t>
            </w:r>
          </w:p>
        </w:tc>
      </w:tr>
      <w:tr w:rsidR="00461133" w14:paraId="627B5B3D" w14:textId="77777777" w:rsidTr="000F5B12">
        <w:tc>
          <w:tcPr>
            <w:tcW w:w="3794" w:type="dxa"/>
            <w:tcBorders>
              <w:top w:val="single" w:sz="4" w:space="0" w:color="auto"/>
            </w:tcBorders>
          </w:tcPr>
          <w:p w14:paraId="67E6EE57" w14:textId="77777777" w:rsidR="00461133" w:rsidRDefault="00461133" w:rsidP="000F5B12">
            <w:r>
              <w:t>Activity day 3</w:t>
            </w:r>
          </w:p>
          <w:p w14:paraId="21527A0A" w14:textId="77777777" w:rsidR="00461133" w:rsidRDefault="00461133" w:rsidP="000F5B12">
            <w:r>
              <w:t>% of normal</w:t>
            </w:r>
          </w:p>
        </w:tc>
        <w:tc>
          <w:tcPr>
            <w:tcW w:w="1559" w:type="dxa"/>
            <w:tcBorders>
              <w:top w:val="single" w:sz="4" w:space="0" w:color="auto"/>
            </w:tcBorders>
          </w:tcPr>
          <w:p w14:paraId="7420A3D4" w14:textId="77777777" w:rsidR="00461133" w:rsidRDefault="00461133" w:rsidP="000F5B12">
            <w:pPr>
              <w:jc w:val="center"/>
            </w:pPr>
          </w:p>
          <w:p w14:paraId="2339DFD2" w14:textId="77777777" w:rsidR="00461133" w:rsidRDefault="00461133" w:rsidP="000F5B12">
            <w:pPr>
              <w:jc w:val="center"/>
            </w:pPr>
            <w:r>
              <w:t>70 (60-80)</w:t>
            </w:r>
          </w:p>
        </w:tc>
        <w:tc>
          <w:tcPr>
            <w:tcW w:w="1843" w:type="dxa"/>
            <w:tcBorders>
              <w:top w:val="single" w:sz="4" w:space="0" w:color="auto"/>
            </w:tcBorders>
          </w:tcPr>
          <w:p w14:paraId="7E4C5307" w14:textId="77777777" w:rsidR="00461133" w:rsidRDefault="00461133" w:rsidP="000F5B12">
            <w:pPr>
              <w:jc w:val="center"/>
            </w:pPr>
          </w:p>
          <w:p w14:paraId="511A2848" w14:textId="77777777" w:rsidR="00461133" w:rsidRDefault="00461133" w:rsidP="000F5B12">
            <w:pPr>
              <w:jc w:val="center"/>
            </w:pPr>
            <w:r>
              <w:t>80 (75-100)</w:t>
            </w:r>
          </w:p>
        </w:tc>
        <w:tc>
          <w:tcPr>
            <w:tcW w:w="1320" w:type="dxa"/>
            <w:tcBorders>
              <w:top w:val="single" w:sz="4" w:space="0" w:color="auto"/>
            </w:tcBorders>
          </w:tcPr>
          <w:p w14:paraId="73882BFE" w14:textId="77777777" w:rsidR="00461133" w:rsidRDefault="00461133" w:rsidP="000F5B12">
            <w:pPr>
              <w:jc w:val="center"/>
            </w:pPr>
          </w:p>
          <w:p w14:paraId="4A0CA74F" w14:textId="77777777" w:rsidR="00461133" w:rsidRDefault="00461133" w:rsidP="000F5B12">
            <w:pPr>
              <w:jc w:val="center"/>
            </w:pPr>
            <w:r>
              <w:t>0.27</w:t>
            </w:r>
          </w:p>
        </w:tc>
      </w:tr>
      <w:tr w:rsidR="00461133" w14:paraId="42F52360" w14:textId="77777777" w:rsidTr="000F5B12">
        <w:tc>
          <w:tcPr>
            <w:tcW w:w="3794" w:type="dxa"/>
            <w:tcBorders>
              <w:top w:val="single" w:sz="4" w:space="0" w:color="auto"/>
              <w:bottom w:val="single" w:sz="4" w:space="0" w:color="auto"/>
            </w:tcBorders>
          </w:tcPr>
          <w:p w14:paraId="31680F53" w14:textId="77777777" w:rsidR="00461133" w:rsidRDefault="00461133" w:rsidP="000F5B12">
            <w:r>
              <w:t>Activity day 7</w:t>
            </w:r>
          </w:p>
          <w:p w14:paraId="0020A6AB" w14:textId="77777777" w:rsidR="00461133" w:rsidRDefault="00461133" w:rsidP="000F5B12">
            <w:r>
              <w:t>% of normal</w:t>
            </w:r>
          </w:p>
        </w:tc>
        <w:tc>
          <w:tcPr>
            <w:tcW w:w="1559" w:type="dxa"/>
            <w:tcBorders>
              <w:top w:val="single" w:sz="4" w:space="0" w:color="auto"/>
              <w:bottom w:val="single" w:sz="4" w:space="0" w:color="auto"/>
            </w:tcBorders>
          </w:tcPr>
          <w:p w14:paraId="7FA6947B" w14:textId="77777777" w:rsidR="00461133" w:rsidRDefault="00461133" w:rsidP="000F5B12">
            <w:pPr>
              <w:jc w:val="center"/>
            </w:pPr>
          </w:p>
          <w:p w14:paraId="349B32E3" w14:textId="77777777" w:rsidR="00461133" w:rsidRDefault="00461133" w:rsidP="000F5B12">
            <w:pPr>
              <w:jc w:val="center"/>
            </w:pPr>
            <w:r>
              <w:t>90 (70-100)</w:t>
            </w:r>
          </w:p>
        </w:tc>
        <w:tc>
          <w:tcPr>
            <w:tcW w:w="1843" w:type="dxa"/>
            <w:tcBorders>
              <w:top w:val="single" w:sz="4" w:space="0" w:color="auto"/>
              <w:bottom w:val="single" w:sz="4" w:space="0" w:color="auto"/>
            </w:tcBorders>
          </w:tcPr>
          <w:p w14:paraId="40FC0E99" w14:textId="77777777" w:rsidR="00461133" w:rsidRDefault="00461133" w:rsidP="000F5B12">
            <w:pPr>
              <w:jc w:val="center"/>
            </w:pPr>
          </w:p>
          <w:p w14:paraId="20C8DF26" w14:textId="77777777" w:rsidR="00461133" w:rsidRDefault="00461133" w:rsidP="000F5B12">
            <w:pPr>
              <w:jc w:val="center"/>
            </w:pPr>
            <w:r>
              <w:t>100 (90-100)</w:t>
            </w:r>
          </w:p>
        </w:tc>
        <w:tc>
          <w:tcPr>
            <w:tcW w:w="1320" w:type="dxa"/>
            <w:tcBorders>
              <w:top w:val="single" w:sz="4" w:space="0" w:color="auto"/>
              <w:bottom w:val="single" w:sz="4" w:space="0" w:color="auto"/>
            </w:tcBorders>
          </w:tcPr>
          <w:p w14:paraId="552566EE" w14:textId="77777777" w:rsidR="00461133" w:rsidRDefault="00461133" w:rsidP="000F5B12">
            <w:pPr>
              <w:jc w:val="center"/>
            </w:pPr>
          </w:p>
          <w:p w14:paraId="16EAA629" w14:textId="77777777" w:rsidR="00461133" w:rsidRDefault="00461133" w:rsidP="000F5B12">
            <w:pPr>
              <w:jc w:val="center"/>
            </w:pPr>
            <w:r>
              <w:t>0.23</w:t>
            </w:r>
          </w:p>
        </w:tc>
      </w:tr>
      <w:tr w:rsidR="00461133" w14:paraId="6897860B" w14:textId="77777777" w:rsidTr="000F5B12">
        <w:tc>
          <w:tcPr>
            <w:tcW w:w="3794" w:type="dxa"/>
            <w:tcBorders>
              <w:top w:val="single" w:sz="4" w:space="0" w:color="auto"/>
              <w:bottom w:val="single" w:sz="4" w:space="0" w:color="auto"/>
            </w:tcBorders>
          </w:tcPr>
          <w:p w14:paraId="515AE15B" w14:textId="77777777" w:rsidR="00461133" w:rsidRDefault="00461133" w:rsidP="000F5B12">
            <w:r>
              <w:lastRenderedPageBreak/>
              <w:t>Eating and drinking      Day 1</w:t>
            </w:r>
          </w:p>
          <w:p w14:paraId="268444D7" w14:textId="77777777" w:rsidR="00461133" w:rsidRDefault="00461133" w:rsidP="000F5B12">
            <w:r>
              <w:t>% of normal</w:t>
            </w:r>
          </w:p>
        </w:tc>
        <w:tc>
          <w:tcPr>
            <w:tcW w:w="1559" w:type="dxa"/>
            <w:tcBorders>
              <w:top w:val="single" w:sz="4" w:space="0" w:color="auto"/>
              <w:bottom w:val="single" w:sz="4" w:space="0" w:color="auto"/>
            </w:tcBorders>
          </w:tcPr>
          <w:p w14:paraId="3B51AB58" w14:textId="77777777" w:rsidR="00461133" w:rsidRDefault="00461133" w:rsidP="000F5B12">
            <w:pPr>
              <w:jc w:val="center"/>
            </w:pPr>
          </w:p>
          <w:p w14:paraId="4727347F" w14:textId="77777777" w:rsidR="00461133" w:rsidRDefault="00461133" w:rsidP="000F5B12">
            <w:pPr>
              <w:jc w:val="center"/>
            </w:pPr>
            <w:r>
              <w:t>80 (40-80)</w:t>
            </w:r>
          </w:p>
        </w:tc>
        <w:tc>
          <w:tcPr>
            <w:tcW w:w="1843" w:type="dxa"/>
            <w:tcBorders>
              <w:top w:val="single" w:sz="4" w:space="0" w:color="auto"/>
              <w:bottom w:val="single" w:sz="4" w:space="0" w:color="auto"/>
            </w:tcBorders>
          </w:tcPr>
          <w:p w14:paraId="4615CAB2" w14:textId="77777777" w:rsidR="00461133" w:rsidRDefault="00461133" w:rsidP="000F5B12">
            <w:pPr>
              <w:jc w:val="center"/>
            </w:pPr>
          </w:p>
          <w:p w14:paraId="4D0DF158" w14:textId="77777777" w:rsidR="00461133" w:rsidRDefault="00461133" w:rsidP="000F5B12">
            <w:pPr>
              <w:jc w:val="center"/>
            </w:pPr>
            <w:r>
              <w:t>100 (80-100)</w:t>
            </w:r>
          </w:p>
        </w:tc>
        <w:tc>
          <w:tcPr>
            <w:tcW w:w="1320" w:type="dxa"/>
            <w:tcBorders>
              <w:top w:val="single" w:sz="4" w:space="0" w:color="auto"/>
              <w:bottom w:val="single" w:sz="4" w:space="0" w:color="auto"/>
            </w:tcBorders>
          </w:tcPr>
          <w:p w14:paraId="2AF09F47" w14:textId="77777777" w:rsidR="00461133" w:rsidRDefault="00461133" w:rsidP="000F5B12">
            <w:pPr>
              <w:jc w:val="center"/>
            </w:pPr>
          </w:p>
          <w:p w14:paraId="6C1B2641" w14:textId="77777777" w:rsidR="00461133" w:rsidRPr="003329BA" w:rsidRDefault="00461133" w:rsidP="000F5B12">
            <w:pPr>
              <w:jc w:val="center"/>
              <w:rPr>
                <w:b/>
              </w:rPr>
            </w:pPr>
            <w:r w:rsidRPr="003329BA">
              <w:rPr>
                <w:b/>
              </w:rPr>
              <w:t>0.003</w:t>
            </w:r>
          </w:p>
        </w:tc>
      </w:tr>
      <w:tr w:rsidR="00461133" w14:paraId="3F4967B9" w14:textId="77777777" w:rsidTr="000F5B12">
        <w:tc>
          <w:tcPr>
            <w:tcW w:w="3794" w:type="dxa"/>
            <w:tcBorders>
              <w:top w:val="single" w:sz="4" w:space="0" w:color="auto"/>
              <w:bottom w:val="single" w:sz="4" w:space="0" w:color="auto"/>
            </w:tcBorders>
          </w:tcPr>
          <w:p w14:paraId="17FE4CB5" w14:textId="77777777" w:rsidR="00461133" w:rsidRDefault="00461133" w:rsidP="000F5B12">
            <w:r>
              <w:t>Eating and drinking      Day 3</w:t>
            </w:r>
          </w:p>
          <w:p w14:paraId="11D18723" w14:textId="77777777" w:rsidR="00461133" w:rsidRDefault="00461133" w:rsidP="000F5B12">
            <w:r>
              <w:t>% of normal</w:t>
            </w:r>
          </w:p>
        </w:tc>
        <w:tc>
          <w:tcPr>
            <w:tcW w:w="1559" w:type="dxa"/>
            <w:tcBorders>
              <w:top w:val="single" w:sz="4" w:space="0" w:color="auto"/>
              <w:bottom w:val="single" w:sz="4" w:space="0" w:color="auto"/>
            </w:tcBorders>
          </w:tcPr>
          <w:p w14:paraId="2E39F2DA" w14:textId="77777777" w:rsidR="00461133" w:rsidRDefault="00461133" w:rsidP="000F5B12">
            <w:pPr>
              <w:jc w:val="center"/>
            </w:pPr>
          </w:p>
          <w:p w14:paraId="00266453" w14:textId="77777777" w:rsidR="00461133" w:rsidRDefault="00461133" w:rsidP="000F5B12">
            <w:pPr>
              <w:jc w:val="center"/>
            </w:pPr>
            <w:r>
              <w:t>60 (50-70)</w:t>
            </w:r>
          </w:p>
        </w:tc>
        <w:tc>
          <w:tcPr>
            <w:tcW w:w="1843" w:type="dxa"/>
            <w:tcBorders>
              <w:top w:val="single" w:sz="4" w:space="0" w:color="auto"/>
              <w:bottom w:val="single" w:sz="4" w:space="0" w:color="auto"/>
            </w:tcBorders>
          </w:tcPr>
          <w:p w14:paraId="5BE3706F" w14:textId="77777777" w:rsidR="00461133" w:rsidRDefault="00461133" w:rsidP="000F5B12">
            <w:pPr>
              <w:jc w:val="center"/>
            </w:pPr>
          </w:p>
          <w:p w14:paraId="3F5D3994" w14:textId="77777777" w:rsidR="00461133" w:rsidRDefault="00461133" w:rsidP="000F5B12">
            <w:pPr>
              <w:jc w:val="center"/>
            </w:pPr>
            <w:r>
              <w:t>80 (60-80)</w:t>
            </w:r>
          </w:p>
        </w:tc>
        <w:tc>
          <w:tcPr>
            <w:tcW w:w="1320" w:type="dxa"/>
            <w:tcBorders>
              <w:top w:val="single" w:sz="4" w:space="0" w:color="auto"/>
              <w:bottom w:val="single" w:sz="4" w:space="0" w:color="auto"/>
            </w:tcBorders>
          </w:tcPr>
          <w:p w14:paraId="7676B02A" w14:textId="77777777" w:rsidR="00461133" w:rsidRDefault="00461133" w:rsidP="000F5B12">
            <w:pPr>
              <w:jc w:val="center"/>
            </w:pPr>
          </w:p>
          <w:p w14:paraId="42512D73" w14:textId="77777777" w:rsidR="00461133" w:rsidRDefault="00461133" w:rsidP="000F5B12">
            <w:pPr>
              <w:jc w:val="center"/>
            </w:pPr>
            <w:r>
              <w:t>0.17</w:t>
            </w:r>
          </w:p>
        </w:tc>
      </w:tr>
      <w:tr w:rsidR="00461133" w14:paraId="17FC56CC" w14:textId="77777777" w:rsidTr="000F5B12">
        <w:tc>
          <w:tcPr>
            <w:tcW w:w="3794" w:type="dxa"/>
            <w:tcBorders>
              <w:top w:val="single" w:sz="4" w:space="0" w:color="auto"/>
              <w:bottom w:val="thinThickSmallGap" w:sz="24" w:space="0" w:color="auto"/>
            </w:tcBorders>
          </w:tcPr>
          <w:p w14:paraId="7E1D00F7" w14:textId="77777777" w:rsidR="00461133" w:rsidRDefault="00461133" w:rsidP="000F5B12">
            <w:r>
              <w:t>Eating and drinking      Day 7</w:t>
            </w:r>
          </w:p>
          <w:p w14:paraId="39BAFEFD" w14:textId="77777777" w:rsidR="00461133" w:rsidRDefault="00461133" w:rsidP="000F5B12">
            <w:r>
              <w:t>% of normal</w:t>
            </w:r>
          </w:p>
          <w:p w14:paraId="55D5021B" w14:textId="77777777" w:rsidR="00461133" w:rsidRDefault="00461133" w:rsidP="000F5B12"/>
        </w:tc>
        <w:tc>
          <w:tcPr>
            <w:tcW w:w="1559" w:type="dxa"/>
            <w:tcBorders>
              <w:top w:val="single" w:sz="4" w:space="0" w:color="auto"/>
              <w:bottom w:val="thinThickSmallGap" w:sz="24" w:space="0" w:color="auto"/>
            </w:tcBorders>
          </w:tcPr>
          <w:p w14:paraId="67BEA99C" w14:textId="77777777" w:rsidR="00461133" w:rsidRDefault="00461133" w:rsidP="000F5B12">
            <w:pPr>
              <w:jc w:val="center"/>
            </w:pPr>
          </w:p>
          <w:p w14:paraId="187DC3C7" w14:textId="77777777" w:rsidR="00461133" w:rsidRDefault="00461133" w:rsidP="000F5B12">
            <w:pPr>
              <w:jc w:val="center"/>
            </w:pPr>
            <w:r>
              <w:t>80 (70-80)</w:t>
            </w:r>
          </w:p>
        </w:tc>
        <w:tc>
          <w:tcPr>
            <w:tcW w:w="1843" w:type="dxa"/>
            <w:tcBorders>
              <w:top w:val="single" w:sz="4" w:space="0" w:color="auto"/>
              <w:bottom w:val="thinThickSmallGap" w:sz="24" w:space="0" w:color="auto"/>
            </w:tcBorders>
          </w:tcPr>
          <w:p w14:paraId="2BCC77AB" w14:textId="77777777" w:rsidR="00461133" w:rsidRDefault="00461133" w:rsidP="000F5B12">
            <w:pPr>
              <w:jc w:val="center"/>
            </w:pPr>
          </w:p>
          <w:p w14:paraId="5E17B4CF" w14:textId="77777777" w:rsidR="00461133" w:rsidRDefault="00461133" w:rsidP="000F5B12">
            <w:pPr>
              <w:jc w:val="center"/>
            </w:pPr>
            <w:r>
              <w:t>90 (80-100)</w:t>
            </w:r>
          </w:p>
        </w:tc>
        <w:tc>
          <w:tcPr>
            <w:tcW w:w="1320" w:type="dxa"/>
            <w:tcBorders>
              <w:top w:val="single" w:sz="4" w:space="0" w:color="auto"/>
              <w:bottom w:val="thinThickSmallGap" w:sz="24" w:space="0" w:color="auto"/>
            </w:tcBorders>
          </w:tcPr>
          <w:p w14:paraId="4E80534C" w14:textId="77777777" w:rsidR="00461133" w:rsidRDefault="00461133" w:rsidP="000F5B12">
            <w:pPr>
              <w:jc w:val="center"/>
            </w:pPr>
          </w:p>
          <w:p w14:paraId="2C086C3E" w14:textId="77777777" w:rsidR="00461133" w:rsidRDefault="00461133" w:rsidP="000F5B12">
            <w:pPr>
              <w:jc w:val="center"/>
            </w:pPr>
            <w:r>
              <w:t>0.38</w:t>
            </w:r>
          </w:p>
          <w:p w14:paraId="5A2D53FF" w14:textId="77777777" w:rsidR="00461133" w:rsidRDefault="00461133" w:rsidP="000F5B12">
            <w:pPr>
              <w:jc w:val="center"/>
            </w:pPr>
          </w:p>
        </w:tc>
      </w:tr>
      <w:tr w:rsidR="00461133" w14:paraId="7D57BA44" w14:textId="77777777" w:rsidTr="000F5B12">
        <w:tc>
          <w:tcPr>
            <w:tcW w:w="3794" w:type="dxa"/>
            <w:tcBorders>
              <w:top w:val="thinThickSmallGap" w:sz="24" w:space="0" w:color="auto"/>
              <w:bottom w:val="single" w:sz="4" w:space="0" w:color="auto"/>
            </w:tcBorders>
          </w:tcPr>
          <w:p w14:paraId="469A9EEF" w14:textId="77777777" w:rsidR="00461133" w:rsidRDefault="00461133" w:rsidP="000F5B12">
            <w:r>
              <w:t>Number of children failing to meet discharge criteria.</w:t>
            </w:r>
          </w:p>
        </w:tc>
        <w:tc>
          <w:tcPr>
            <w:tcW w:w="1559" w:type="dxa"/>
            <w:tcBorders>
              <w:top w:val="thinThickSmallGap" w:sz="24" w:space="0" w:color="auto"/>
              <w:bottom w:val="single" w:sz="4" w:space="0" w:color="auto"/>
            </w:tcBorders>
          </w:tcPr>
          <w:p w14:paraId="34D013F6" w14:textId="77777777" w:rsidR="00461133" w:rsidRDefault="00461133" w:rsidP="000F5B12">
            <w:pPr>
              <w:jc w:val="center"/>
            </w:pPr>
            <w:r>
              <w:t>6</w:t>
            </w:r>
          </w:p>
          <w:p w14:paraId="2D9A95BE" w14:textId="77777777" w:rsidR="00461133" w:rsidRPr="006375D6" w:rsidRDefault="00461133" w:rsidP="000F5B12">
            <w:pPr>
              <w:jc w:val="center"/>
              <w:rPr>
                <w:sz w:val="20"/>
                <w:szCs w:val="20"/>
              </w:rPr>
            </w:pPr>
            <w:r w:rsidRPr="006375D6">
              <w:rPr>
                <w:sz w:val="20"/>
                <w:szCs w:val="20"/>
              </w:rPr>
              <w:t>(All = inadequate oral intake)</w:t>
            </w:r>
          </w:p>
        </w:tc>
        <w:tc>
          <w:tcPr>
            <w:tcW w:w="1843" w:type="dxa"/>
            <w:tcBorders>
              <w:top w:val="thinThickSmallGap" w:sz="24" w:space="0" w:color="auto"/>
              <w:bottom w:val="single" w:sz="4" w:space="0" w:color="auto"/>
            </w:tcBorders>
          </w:tcPr>
          <w:p w14:paraId="1E6F578B" w14:textId="77777777" w:rsidR="00461133" w:rsidRDefault="00461133" w:rsidP="000F5B12">
            <w:pPr>
              <w:jc w:val="center"/>
            </w:pPr>
            <w:r>
              <w:t>9</w:t>
            </w:r>
          </w:p>
          <w:p w14:paraId="307E27D8" w14:textId="77777777" w:rsidR="00461133" w:rsidRPr="006375D6" w:rsidRDefault="00461133" w:rsidP="000F5B12">
            <w:pPr>
              <w:jc w:val="center"/>
              <w:rPr>
                <w:sz w:val="20"/>
                <w:szCs w:val="20"/>
              </w:rPr>
            </w:pPr>
            <w:r>
              <w:rPr>
                <w:sz w:val="20"/>
                <w:szCs w:val="20"/>
              </w:rPr>
              <w:t>(1 = inadequate oral intake, 8 poor overnight SaO</w:t>
            </w:r>
            <w:r w:rsidRPr="006375D6">
              <w:rPr>
                <w:sz w:val="20"/>
                <w:szCs w:val="20"/>
                <w:vertAlign w:val="subscript"/>
              </w:rPr>
              <w:t>2</w:t>
            </w:r>
            <w:r>
              <w:rPr>
                <w:sz w:val="20"/>
                <w:szCs w:val="20"/>
              </w:rPr>
              <w:t>)</w:t>
            </w:r>
          </w:p>
        </w:tc>
        <w:tc>
          <w:tcPr>
            <w:tcW w:w="1320" w:type="dxa"/>
            <w:tcBorders>
              <w:top w:val="thinThickSmallGap" w:sz="24" w:space="0" w:color="auto"/>
              <w:bottom w:val="single" w:sz="4" w:space="0" w:color="auto"/>
            </w:tcBorders>
          </w:tcPr>
          <w:p w14:paraId="72CB53B8" w14:textId="77777777" w:rsidR="00461133" w:rsidRDefault="00461133" w:rsidP="000F5B12">
            <w:pPr>
              <w:jc w:val="center"/>
            </w:pPr>
            <w:r>
              <w:t>0.75</w:t>
            </w:r>
          </w:p>
        </w:tc>
      </w:tr>
      <w:tr w:rsidR="00461133" w14:paraId="1351EA39" w14:textId="77777777" w:rsidTr="000F5B12">
        <w:tc>
          <w:tcPr>
            <w:tcW w:w="3794" w:type="dxa"/>
            <w:tcBorders>
              <w:top w:val="single" w:sz="4" w:space="0" w:color="auto"/>
            </w:tcBorders>
          </w:tcPr>
          <w:p w14:paraId="2991CFCB" w14:textId="77777777" w:rsidR="00461133" w:rsidRDefault="00461133" w:rsidP="000F5B12">
            <w:r>
              <w:t>Number of children seeking advice following discharge</w:t>
            </w:r>
          </w:p>
          <w:p w14:paraId="59DD79C8" w14:textId="77777777" w:rsidR="00461133" w:rsidRDefault="00461133" w:rsidP="000F5B12">
            <w:r>
              <w:t>(Predominately from GPs)</w:t>
            </w:r>
          </w:p>
        </w:tc>
        <w:tc>
          <w:tcPr>
            <w:tcW w:w="1559" w:type="dxa"/>
            <w:tcBorders>
              <w:top w:val="single" w:sz="4" w:space="0" w:color="auto"/>
            </w:tcBorders>
          </w:tcPr>
          <w:p w14:paraId="2095E219" w14:textId="77777777" w:rsidR="00461133" w:rsidRDefault="00461133" w:rsidP="000F5B12">
            <w:pPr>
              <w:jc w:val="center"/>
            </w:pPr>
          </w:p>
          <w:p w14:paraId="310F96E6" w14:textId="77777777" w:rsidR="00461133" w:rsidRDefault="00461133" w:rsidP="000F5B12">
            <w:pPr>
              <w:jc w:val="center"/>
            </w:pPr>
            <w:r>
              <w:t>6</w:t>
            </w:r>
          </w:p>
        </w:tc>
        <w:tc>
          <w:tcPr>
            <w:tcW w:w="1843" w:type="dxa"/>
            <w:tcBorders>
              <w:top w:val="single" w:sz="4" w:space="0" w:color="auto"/>
            </w:tcBorders>
          </w:tcPr>
          <w:p w14:paraId="3E1CC9C6" w14:textId="77777777" w:rsidR="00461133" w:rsidRDefault="00461133" w:rsidP="000F5B12">
            <w:pPr>
              <w:jc w:val="center"/>
            </w:pPr>
          </w:p>
          <w:p w14:paraId="7175910F" w14:textId="77777777" w:rsidR="00461133" w:rsidRDefault="00461133" w:rsidP="000F5B12">
            <w:pPr>
              <w:jc w:val="center"/>
            </w:pPr>
            <w:r>
              <w:t>9</w:t>
            </w:r>
          </w:p>
        </w:tc>
        <w:tc>
          <w:tcPr>
            <w:tcW w:w="1320" w:type="dxa"/>
            <w:tcBorders>
              <w:top w:val="single" w:sz="4" w:space="0" w:color="auto"/>
            </w:tcBorders>
          </w:tcPr>
          <w:p w14:paraId="464AEE60" w14:textId="77777777" w:rsidR="00461133" w:rsidRDefault="00461133" w:rsidP="000F5B12">
            <w:pPr>
              <w:jc w:val="center"/>
            </w:pPr>
          </w:p>
          <w:p w14:paraId="43A7B184" w14:textId="77777777" w:rsidR="00461133" w:rsidRDefault="00461133" w:rsidP="000F5B12">
            <w:pPr>
              <w:jc w:val="center"/>
            </w:pPr>
            <w:r>
              <w:t>0.75</w:t>
            </w:r>
          </w:p>
        </w:tc>
      </w:tr>
    </w:tbl>
    <w:p w14:paraId="48935B4E" w14:textId="77777777" w:rsidR="00461133" w:rsidRDefault="00461133" w:rsidP="00461133"/>
    <w:p w14:paraId="5822ADEE" w14:textId="77777777" w:rsidR="00461133" w:rsidRDefault="00461133" w:rsidP="00461133"/>
    <w:p w14:paraId="45776132" w14:textId="77777777" w:rsidR="004E4F01" w:rsidRDefault="004E4F01" w:rsidP="004E4F01">
      <w:pPr>
        <w:spacing w:line="480" w:lineRule="auto"/>
      </w:pPr>
    </w:p>
    <w:p w14:paraId="0FD89DEC" w14:textId="77777777" w:rsidR="004E4F01" w:rsidRDefault="004E4F01" w:rsidP="004E4F01">
      <w:pPr>
        <w:spacing w:line="480" w:lineRule="auto"/>
      </w:pPr>
    </w:p>
    <w:p w14:paraId="042F29A6" w14:textId="77777777" w:rsidR="004E4F01" w:rsidRPr="00B1717C" w:rsidRDefault="004E4F01" w:rsidP="004E4F01">
      <w:pPr>
        <w:spacing w:line="480" w:lineRule="auto"/>
      </w:pPr>
    </w:p>
    <w:p w14:paraId="205D80A6" w14:textId="77777777" w:rsidR="007140E0" w:rsidRDefault="007140E0" w:rsidP="004E4F01">
      <w:pPr>
        <w:spacing w:line="480" w:lineRule="auto"/>
      </w:pPr>
    </w:p>
    <w:sectPr w:rsidR="007140E0" w:rsidSect="001F76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dvMINIO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01"/>
    <w:rsid w:val="001F7696"/>
    <w:rsid w:val="00334BBD"/>
    <w:rsid w:val="00461133"/>
    <w:rsid w:val="004E4F01"/>
    <w:rsid w:val="007140E0"/>
    <w:rsid w:val="007B22CB"/>
    <w:rsid w:val="0098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1BCCC"/>
  <w14:defaultImageDpi w14:val="300"/>
  <w15:docId w15:val="{A1CED040-CCB8-4BE5-A1CD-81E0BBBE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4F01"/>
  </w:style>
  <w:style w:type="character" w:styleId="Hyperlink">
    <w:name w:val="Hyperlink"/>
    <w:basedOn w:val="DefaultParagraphFont"/>
    <w:uiPriority w:val="99"/>
    <w:unhideWhenUsed/>
    <w:rsid w:val="009851D5"/>
    <w:rPr>
      <w:color w:val="0000FF" w:themeColor="hyperlink"/>
      <w:u w:val="single"/>
    </w:rPr>
  </w:style>
  <w:style w:type="table" w:styleId="TableGrid">
    <w:name w:val="Table Grid"/>
    <w:basedOn w:val="TableNormal"/>
    <w:uiPriority w:val="59"/>
    <w:rsid w:val="0046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ike.Tremlett@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3" ma:contentTypeDescription="Create a new document." ma:contentTypeScope="" ma:versionID="7e7083d882973d11468214559d01185e">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3b16d6833dadb8abbc1fefcba44b7ad0"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3D48D-BAFC-40D0-89A2-BCBCC71D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7D881-2CC8-4597-B6DB-D75377A18425}">
  <ds:schemaRefs>
    <ds:schemaRef ds:uri="http://schemas.microsoft.com/sharepoint/v3/contenttype/forms"/>
  </ds:schemaRefs>
</ds:datastoreItem>
</file>

<file path=customXml/itemProps3.xml><?xml version="1.0" encoding="utf-8"?>
<ds:datastoreItem xmlns:ds="http://schemas.openxmlformats.org/officeDocument/2006/customXml" ds:itemID="{227080D2-1842-4593-9717-D017EDFFA7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7679</Characters>
  <Application>Microsoft Office Word</Application>
  <DocSecurity>4</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tremlett</dc:creator>
  <cp:keywords/>
  <dc:description/>
  <cp:lastModifiedBy>Leah Maughan (Staff)</cp:lastModifiedBy>
  <cp:revision>2</cp:revision>
  <dcterms:created xsi:type="dcterms:W3CDTF">2020-11-04T15:17:00Z</dcterms:created>
  <dcterms:modified xsi:type="dcterms:W3CDTF">2020-11-04T15:17:00Z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