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7D0C4" w14:textId="77777777" w:rsidR="00106BCC" w:rsidRDefault="002C7052" w:rsidP="008C5DC4">
      <w:pPr>
        <w:spacing w:line="480" w:lineRule="auto"/>
        <w:jc w:val="center"/>
        <w:rPr>
          <w:rFonts w:cstheme="minorHAnsi"/>
          <w:b/>
          <w:sz w:val="28"/>
        </w:rPr>
      </w:pPr>
      <w:bookmarkStart w:id="0" w:name="_Hlk44141739"/>
      <w:r w:rsidRPr="008C5DC4">
        <w:rPr>
          <w:rFonts w:cstheme="minorHAnsi"/>
          <w:b/>
          <w:sz w:val="28"/>
        </w:rPr>
        <w:t>A</w:t>
      </w:r>
      <w:r w:rsidR="00B93E78">
        <w:rPr>
          <w:rFonts w:cstheme="minorHAnsi"/>
          <w:b/>
          <w:sz w:val="28"/>
        </w:rPr>
        <w:t xml:space="preserve">n </w:t>
      </w:r>
      <w:r w:rsidR="008C1A3C">
        <w:rPr>
          <w:rFonts w:cstheme="minorHAnsi"/>
          <w:b/>
          <w:sz w:val="28"/>
        </w:rPr>
        <w:t>I</w:t>
      </w:r>
      <w:r w:rsidR="00B93E78">
        <w:rPr>
          <w:rFonts w:cstheme="minorHAnsi"/>
          <w:b/>
          <w:sz w:val="28"/>
        </w:rPr>
        <w:t xml:space="preserve">nexpensive </w:t>
      </w:r>
      <w:r w:rsidRPr="008C5DC4">
        <w:rPr>
          <w:rFonts w:cstheme="minorHAnsi"/>
          <w:b/>
          <w:sz w:val="28"/>
        </w:rPr>
        <w:t xml:space="preserve">Retrospective </w:t>
      </w:r>
      <w:r w:rsidR="0045214B" w:rsidRPr="008C5DC4">
        <w:rPr>
          <w:rFonts w:cstheme="minorHAnsi"/>
          <w:b/>
          <w:sz w:val="28"/>
        </w:rPr>
        <w:t xml:space="preserve">Standard Setting </w:t>
      </w:r>
      <w:r w:rsidRPr="008C5DC4">
        <w:rPr>
          <w:rFonts w:cstheme="minorHAnsi"/>
          <w:b/>
          <w:sz w:val="28"/>
        </w:rPr>
        <w:t xml:space="preserve">Method Based on </w:t>
      </w:r>
    </w:p>
    <w:p w14:paraId="7310CC30" w14:textId="77777777" w:rsidR="006B48ED" w:rsidRPr="008C5DC4" w:rsidRDefault="002C7052" w:rsidP="008C5DC4">
      <w:pPr>
        <w:spacing w:line="480" w:lineRule="auto"/>
        <w:jc w:val="center"/>
        <w:rPr>
          <w:rFonts w:cstheme="minorHAnsi"/>
          <w:sz w:val="24"/>
        </w:rPr>
      </w:pPr>
      <w:r w:rsidRPr="008C5DC4">
        <w:rPr>
          <w:rFonts w:cstheme="minorHAnsi"/>
          <w:b/>
          <w:sz w:val="28"/>
        </w:rPr>
        <w:t>Item Facilities</w:t>
      </w:r>
    </w:p>
    <w:bookmarkEnd w:id="0"/>
    <w:p w14:paraId="6676373C" w14:textId="17148058" w:rsidR="008C5DC4" w:rsidRDefault="008C5DC4" w:rsidP="00925D98">
      <w:pPr>
        <w:spacing w:line="480" w:lineRule="auto"/>
        <w:rPr>
          <w:rFonts w:cstheme="minorHAnsi"/>
        </w:rPr>
      </w:pPr>
    </w:p>
    <w:p w14:paraId="6031E4EB" w14:textId="4D4F0F6F" w:rsidR="0045214B" w:rsidRPr="008C5DC4" w:rsidRDefault="006B48ED" w:rsidP="008C5DC4">
      <w:pPr>
        <w:spacing w:line="480" w:lineRule="auto"/>
        <w:jc w:val="center"/>
        <w:rPr>
          <w:rFonts w:cstheme="minorHAnsi"/>
          <w:b/>
          <w:vertAlign w:val="superscript"/>
        </w:rPr>
      </w:pPr>
      <w:r w:rsidRPr="008C5DC4">
        <w:rPr>
          <w:rFonts w:cstheme="minorHAnsi"/>
          <w:b/>
        </w:rPr>
        <w:t>John C McLachlan</w:t>
      </w:r>
      <w:r w:rsidR="008C5DC4" w:rsidRPr="008C5DC4">
        <w:rPr>
          <w:rFonts w:cstheme="minorHAnsi"/>
          <w:b/>
          <w:vertAlign w:val="superscript"/>
        </w:rPr>
        <w:t>1</w:t>
      </w:r>
      <w:r w:rsidRPr="008C5DC4">
        <w:rPr>
          <w:rFonts w:cstheme="minorHAnsi"/>
          <w:b/>
        </w:rPr>
        <w:t>, K. Alex Robertson</w:t>
      </w:r>
      <w:r w:rsidR="008C5DC4" w:rsidRPr="008C5DC4">
        <w:rPr>
          <w:rFonts w:cstheme="minorHAnsi"/>
          <w:b/>
          <w:vertAlign w:val="superscript"/>
        </w:rPr>
        <w:t>2</w:t>
      </w:r>
      <w:r w:rsidRPr="008C5DC4">
        <w:rPr>
          <w:rFonts w:cstheme="minorHAnsi"/>
          <w:b/>
        </w:rPr>
        <w:t xml:space="preserve">, </w:t>
      </w:r>
      <w:r w:rsidR="005219CE" w:rsidRPr="008C5DC4">
        <w:rPr>
          <w:rFonts w:cstheme="minorHAnsi"/>
          <w:b/>
        </w:rPr>
        <w:t>Bridget Weller</w:t>
      </w:r>
      <w:r w:rsidR="008C5DC4" w:rsidRPr="008C5DC4">
        <w:rPr>
          <w:rFonts w:cstheme="minorHAnsi"/>
          <w:b/>
          <w:vertAlign w:val="superscript"/>
        </w:rPr>
        <w:t>1</w:t>
      </w:r>
      <w:r w:rsidR="00496511">
        <w:rPr>
          <w:rFonts w:cstheme="minorHAnsi"/>
          <w:b/>
          <w:vertAlign w:val="superscript"/>
        </w:rPr>
        <w:t xml:space="preserve"> </w:t>
      </w:r>
      <w:r w:rsidR="00496511" w:rsidRPr="00496511">
        <w:rPr>
          <w:rFonts w:cstheme="minorHAnsi"/>
          <w:b/>
        </w:rPr>
        <w:t>and</w:t>
      </w:r>
      <w:r w:rsidR="00496511">
        <w:rPr>
          <w:rFonts w:cstheme="minorHAnsi"/>
          <w:b/>
        </w:rPr>
        <w:t xml:space="preserve"> Marina Sawdon</w:t>
      </w:r>
    </w:p>
    <w:p w14:paraId="7527E954" w14:textId="77777777" w:rsidR="008C5DC4" w:rsidRDefault="008C5DC4" w:rsidP="00925D98">
      <w:pPr>
        <w:spacing w:line="480" w:lineRule="auto"/>
        <w:rPr>
          <w:rFonts w:cstheme="minorHAnsi"/>
        </w:rPr>
      </w:pPr>
    </w:p>
    <w:p w14:paraId="172F332E" w14:textId="1BEFB6E2" w:rsidR="006B48ED" w:rsidRDefault="008C5DC4" w:rsidP="00925D98">
      <w:pPr>
        <w:spacing w:line="480" w:lineRule="auto"/>
        <w:rPr>
          <w:rFonts w:cstheme="minorHAnsi"/>
        </w:rPr>
      </w:pPr>
      <w:r w:rsidRPr="008C5DC4">
        <w:rPr>
          <w:rFonts w:cstheme="minorHAnsi"/>
          <w:vertAlign w:val="superscript"/>
        </w:rPr>
        <w:t>1</w:t>
      </w:r>
      <w:r w:rsidR="006B48ED">
        <w:rPr>
          <w:rFonts w:cstheme="minorHAnsi"/>
        </w:rPr>
        <w:t xml:space="preserve">University of Central Lancashire, </w:t>
      </w:r>
      <w:bookmarkStart w:id="1" w:name="_Hlk44053340"/>
      <w:r w:rsidR="006B48ED">
        <w:rPr>
          <w:rFonts w:cstheme="minorHAnsi"/>
        </w:rPr>
        <w:t>Harrington Building, 11 Victoria St, Preston PR1 7QS</w:t>
      </w:r>
      <w:bookmarkEnd w:id="1"/>
      <w:r w:rsidR="008D2E7F">
        <w:rPr>
          <w:rFonts w:cstheme="minorHAnsi"/>
        </w:rPr>
        <w:t xml:space="preserve">. </w:t>
      </w:r>
    </w:p>
    <w:p w14:paraId="08CB2256" w14:textId="0C82B25B" w:rsidR="005219CE" w:rsidRDefault="008C5DC4" w:rsidP="00925D98">
      <w:pPr>
        <w:spacing w:line="480" w:lineRule="auto"/>
        <w:rPr>
          <w:rFonts w:cstheme="minorHAnsi"/>
        </w:rPr>
      </w:pPr>
      <w:r w:rsidRPr="008C5DC4">
        <w:rPr>
          <w:rFonts w:cstheme="minorHAnsi"/>
          <w:vertAlign w:val="superscript"/>
        </w:rPr>
        <w:t>2</w:t>
      </w:r>
      <w:r w:rsidR="00A3112B">
        <w:rPr>
          <w:rFonts w:cstheme="minorHAnsi"/>
        </w:rPr>
        <w:t>C</w:t>
      </w:r>
      <w:bookmarkStart w:id="2" w:name="_Hlk44053236"/>
      <w:r w:rsidR="00A3112B">
        <w:rPr>
          <w:rFonts w:cstheme="minorHAnsi"/>
        </w:rPr>
        <w:t>NTW</w:t>
      </w:r>
      <w:r w:rsidR="006B48ED">
        <w:rPr>
          <w:rFonts w:cstheme="minorHAnsi"/>
        </w:rPr>
        <w:t xml:space="preserve"> Trust, </w:t>
      </w:r>
      <w:proofErr w:type="spellStart"/>
      <w:r w:rsidR="00A3112B">
        <w:rPr>
          <w:rFonts w:cstheme="minorHAnsi"/>
        </w:rPr>
        <w:t>Hopewood</w:t>
      </w:r>
      <w:proofErr w:type="spellEnd"/>
      <w:r w:rsidR="00A3112B">
        <w:rPr>
          <w:rFonts w:cstheme="minorHAnsi"/>
        </w:rPr>
        <w:t xml:space="preserve"> Park Hospital, Ryhope, Sunderland, SR2 0NB</w:t>
      </w:r>
      <w:r w:rsidR="006B48ED">
        <w:rPr>
          <w:rFonts w:cstheme="minorHAnsi"/>
        </w:rPr>
        <w:t xml:space="preserve">. </w:t>
      </w:r>
    </w:p>
    <w:p w14:paraId="0D0114FE" w14:textId="5E75FA58" w:rsidR="00496511" w:rsidRDefault="00496511" w:rsidP="00925D98">
      <w:pPr>
        <w:spacing w:line="480" w:lineRule="auto"/>
        <w:rPr>
          <w:rFonts w:cstheme="minorHAnsi"/>
        </w:rPr>
      </w:pPr>
      <w:r w:rsidRPr="00D00BE6">
        <w:rPr>
          <w:rFonts w:cstheme="minorHAnsi"/>
          <w:vertAlign w:val="superscript"/>
        </w:rPr>
        <w:t>3</w:t>
      </w:r>
      <w:r>
        <w:rPr>
          <w:rFonts w:cstheme="minorHAnsi"/>
        </w:rPr>
        <w:t>School of Medicine, University of Sunderland, Chester Rd, Sunderland SR1 3SD.</w:t>
      </w:r>
    </w:p>
    <w:bookmarkEnd w:id="2"/>
    <w:p w14:paraId="4C4EF520" w14:textId="610097CC" w:rsidR="00A41510" w:rsidRDefault="00A41510" w:rsidP="00925D98">
      <w:pPr>
        <w:spacing w:line="480" w:lineRule="auto"/>
        <w:rPr>
          <w:rFonts w:cstheme="minorHAnsi"/>
        </w:rPr>
      </w:pPr>
      <w:r>
        <w:rPr>
          <w:rFonts w:cstheme="minorHAnsi"/>
        </w:rPr>
        <w:t xml:space="preserve">Correspondence: </w:t>
      </w:r>
      <w:hyperlink r:id="rId10" w:history="1">
        <w:r w:rsidR="00947193" w:rsidRPr="009C64F5">
          <w:rPr>
            <w:rStyle w:val="Hyperlink"/>
            <w:rFonts w:cstheme="minorHAnsi"/>
          </w:rPr>
          <w:t>jcmclachlan1@uclan.ac.uk</w:t>
        </w:r>
      </w:hyperlink>
    </w:p>
    <w:p w14:paraId="7E5CAB89" w14:textId="12CA9758" w:rsidR="00947193" w:rsidRDefault="00947193" w:rsidP="00925D98">
      <w:pPr>
        <w:spacing w:line="480" w:lineRule="auto"/>
        <w:rPr>
          <w:rFonts w:cstheme="minorHAnsi"/>
        </w:rPr>
      </w:pPr>
    </w:p>
    <w:p w14:paraId="011CCC89" w14:textId="70302B89" w:rsidR="00947193" w:rsidRDefault="00947193" w:rsidP="00925D98">
      <w:pPr>
        <w:spacing w:line="480" w:lineRule="auto"/>
        <w:rPr>
          <w:rFonts w:cstheme="minorHAnsi"/>
        </w:rPr>
      </w:pPr>
    </w:p>
    <w:p w14:paraId="03031272" w14:textId="6E887B5F" w:rsidR="00947193" w:rsidRDefault="00947193" w:rsidP="00925D98">
      <w:pPr>
        <w:spacing w:line="480" w:lineRule="auto"/>
        <w:rPr>
          <w:rFonts w:cstheme="minorHAnsi"/>
        </w:rPr>
      </w:pPr>
    </w:p>
    <w:p w14:paraId="04F1EC51" w14:textId="29BA426C" w:rsidR="00947193" w:rsidRDefault="00947193" w:rsidP="00925D98">
      <w:pPr>
        <w:spacing w:line="480" w:lineRule="auto"/>
        <w:rPr>
          <w:rFonts w:cstheme="minorHAnsi"/>
        </w:rPr>
      </w:pPr>
    </w:p>
    <w:p w14:paraId="6992ED58" w14:textId="603C9525" w:rsidR="00947193" w:rsidRDefault="00947193" w:rsidP="00925D98">
      <w:pPr>
        <w:spacing w:line="480" w:lineRule="auto"/>
        <w:rPr>
          <w:rFonts w:cstheme="minorHAnsi"/>
        </w:rPr>
      </w:pPr>
    </w:p>
    <w:p w14:paraId="0F329F89" w14:textId="5B2AE170" w:rsidR="00947193" w:rsidRDefault="00947193" w:rsidP="00925D98">
      <w:pPr>
        <w:spacing w:line="480" w:lineRule="auto"/>
        <w:rPr>
          <w:rFonts w:cstheme="minorHAnsi"/>
        </w:rPr>
      </w:pPr>
    </w:p>
    <w:p w14:paraId="17175FAE" w14:textId="529C9D2B" w:rsidR="00947193" w:rsidRDefault="00947193" w:rsidP="00925D98">
      <w:pPr>
        <w:spacing w:line="480" w:lineRule="auto"/>
        <w:rPr>
          <w:rFonts w:cstheme="minorHAnsi"/>
        </w:rPr>
      </w:pPr>
    </w:p>
    <w:p w14:paraId="5D46561B" w14:textId="277769DF" w:rsidR="00947193" w:rsidRDefault="00947193" w:rsidP="00925D98">
      <w:pPr>
        <w:spacing w:line="480" w:lineRule="auto"/>
        <w:rPr>
          <w:rFonts w:cstheme="minorHAnsi"/>
        </w:rPr>
      </w:pPr>
    </w:p>
    <w:p w14:paraId="2B254F8D" w14:textId="5C7799F7" w:rsidR="00947193" w:rsidRDefault="00947193" w:rsidP="00925D98">
      <w:pPr>
        <w:spacing w:line="480" w:lineRule="auto"/>
        <w:rPr>
          <w:rFonts w:cstheme="minorHAnsi"/>
        </w:rPr>
      </w:pPr>
    </w:p>
    <w:p w14:paraId="735A7530" w14:textId="77777777" w:rsidR="00947193" w:rsidRDefault="00947193" w:rsidP="00925D98">
      <w:pPr>
        <w:spacing w:line="480" w:lineRule="auto"/>
        <w:rPr>
          <w:rFonts w:cstheme="minorHAnsi"/>
        </w:rPr>
      </w:pPr>
    </w:p>
    <w:p w14:paraId="31978021" w14:textId="7595D766" w:rsidR="00845955" w:rsidRPr="0091175D" w:rsidRDefault="00845955" w:rsidP="00947193">
      <w:pPr>
        <w:rPr>
          <w:rFonts w:cstheme="minorHAnsi"/>
          <w:b/>
          <w:sz w:val="24"/>
        </w:rPr>
      </w:pPr>
      <w:r w:rsidRPr="0091175D">
        <w:rPr>
          <w:rFonts w:cstheme="minorHAnsi"/>
          <w:b/>
          <w:sz w:val="24"/>
        </w:rPr>
        <w:lastRenderedPageBreak/>
        <w:t>Abstract</w:t>
      </w:r>
    </w:p>
    <w:p w14:paraId="1C1B4A55" w14:textId="1467D793" w:rsidR="00845955" w:rsidRPr="0091175D" w:rsidRDefault="00A102BD" w:rsidP="00925D98">
      <w:pPr>
        <w:spacing w:line="480" w:lineRule="auto"/>
        <w:rPr>
          <w:rFonts w:cstheme="minorHAnsi"/>
          <w:b/>
        </w:rPr>
      </w:pPr>
      <w:r>
        <w:rPr>
          <w:rFonts w:cstheme="minorHAnsi"/>
          <w:b/>
        </w:rPr>
        <w:t>Background</w:t>
      </w:r>
    </w:p>
    <w:p w14:paraId="5DFF5846" w14:textId="53104044" w:rsidR="00845955" w:rsidRPr="00A57885" w:rsidRDefault="00845955" w:rsidP="00925D98">
      <w:pPr>
        <w:spacing w:line="480" w:lineRule="auto"/>
        <w:rPr>
          <w:rFonts w:cstheme="minorHAnsi"/>
        </w:rPr>
      </w:pPr>
      <w:r>
        <w:rPr>
          <w:rFonts w:cstheme="minorHAnsi"/>
        </w:rPr>
        <w:t xml:space="preserve">Standard setting is one of the most challenging aspects of assessment in high-stakes healthcare settings. The </w:t>
      </w:r>
      <w:proofErr w:type="spellStart"/>
      <w:r>
        <w:rPr>
          <w:rFonts w:cstheme="minorHAnsi"/>
        </w:rPr>
        <w:t>Angoff</w:t>
      </w:r>
      <w:proofErr w:type="spellEnd"/>
      <w:r>
        <w:rPr>
          <w:rFonts w:cstheme="minorHAnsi"/>
        </w:rPr>
        <w:t xml:space="preserve"> methodology is widely used, but poses </w:t>
      </w:r>
      <w:proofErr w:type="gramStart"/>
      <w:r>
        <w:rPr>
          <w:rFonts w:cstheme="minorHAnsi"/>
        </w:rPr>
        <w:t>a number of</w:t>
      </w:r>
      <w:proofErr w:type="gramEnd"/>
      <w:r>
        <w:rPr>
          <w:rFonts w:cstheme="minorHAnsi"/>
        </w:rPr>
        <w:t xml:space="preserve"> challenges, </w:t>
      </w:r>
      <w:r w:rsidR="0000304C">
        <w:rPr>
          <w:rFonts w:cstheme="minorHAnsi"/>
        </w:rPr>
        <w:t xml:space="preserve">including </w:t>
      </w:r>
      <w:r w:rsidR="00BA5FBA" w:rsidRPr="00A57885">
        <w:rPr>
          <w:rFonts w:cstheme="minorHAnsi"/>
        </w:rPr>
        <w:t>concept</w:t>
      </w:r>
      <w:r w:rsidR="0000304C">
        <w:rPr>
          <w:rFonts w:cstheme="minorHAnsi"/>
        </w:rPr>
        <w:t>ualisation</w:t>
      </w:r>
      <w:r w:rsidRPr="00A57885">
        <w:rPr>
          <w:rFonts w:cstheme="minorHAnsi"/>
        </w:rPr>
        <w:t xml:space="preserve"> of the just-passing candidate, and the time-cost of implementing the method.</w:t>
      </w:r>
      <w:r w:rsidR="0000304C">
        <w:rPr>
          <w:rFonts w:cstheme="minorHAnsi"/>
        </w:rPr>
        <w:t xml:space="preserve"> Cohen methodologies are inexpensive and rapid but rely on the performance of an individual candidate. A new method of standard setting, based on the entire cohort and every item, would be valuable. </w:t>
      </w:r>
    </w:p>
    <w:p w14:paraId="27EA5484" w14:textId="77777777" w:rsidR="00845955" w:rsidRPr="00A57885" w:rsidRDefault="00845955" w:rsidP="00925D98">
      <w:pPr>
        <w:spacing w:line="480" w:lineRule="auto"/>
        <w:rPr>
          <w:rFonts w:cstheme="minorHAnsi"/>
          <w:b/>
        </w:rPr>
      </w:pPr>
      <w:r w:rsidRPr="00A57885">
        <w:rPr>
          <w:rFonts w:cstheme="minorHAnsi"/>
          <w:b/>
        </w:rPr>
        <w:t>Methods</w:t>
      </w:r>
    </w:p>
    <w:p w14:paraId="63B912AF" w14:textId="0B280EC5" w:rsidR="00845955" w:rsidRDefault="00845955" w:rsidP="00925D98">
      <w:pPr>
        <w:spacing w:line="480" w:lineRule="auto"/>
        <w:rPr>
          <w:rFonts w:cstheme="minorHAnsi"/>
        </w:rPr>
      </w:pPr>
      <w:r w:rsidRPr="00A57885">
        <w:rPr>
          <w:rFonts w:cstheme="minorHAnsi"/>
        </w:rPr>
        <w:t>We identified</w:t>
      </w:r>
      <w:r w:rsidR="00BA5FBA" w:rsidRPr="00A57885">
        <w:rPr>
          <w:rFonts w:cstheme="minorHAnsi"/>
        </w:rPr>
        <w:t xml:space="preserve"> </w:t>
      </w:r>
      <w:r w:rsidRPr="00A57885">
        <w:rPr>
          <w:rFonts w:cstheme="minorHAnsi"/>
        </w:rPr>
        <w:t xml:space="preserve">Borderline candidates by reviewing their performance across all assessments in an academic year. We plotted the item scores of the Borderline candidates </w:t>
      </w:r>
      <w:r>
        <w:rPr>
          <w:rFonts w:cstheme="minorHAnsi"/>
        </w:rPr>
        <w:t xml:space="preserve">in comparison with </w:t>
      </w:r>
      <w:r w:rsidR="007932FE">
        <w:rPr>
          <w:rFonts w:cstheme="minorHAnsi"/>
        </w:rPr>
        <w:t xml:space="preserve">Facility for </w:t>
      </w:r>
      <w:r>
        <w:rPr>
          <w:rFonts w:cstheme="minorHAnsi"/>
        </w:rPr>
        <w:t>the whole cohort</w:t>
      </w:r>
      <w:r w:rsidR="00106BCC">
        <w:rPr>
          <w:rFonts w:cstheme="minorHAnsi"/>
        </w:rPr>
        <w:t xml:space="preserve"> and fitted</w:t>
      </w:r>
      <w:r>
        <w:rPr>
          <w:rFonts w:cstheme="minorHAnsi"/>
        </w:rPr>
        <w:t xml:space="preserve"> curves to the resulting distribution. </w:t>
      </w:r>
    </w:p>
    <w:p w14:paraId="4E0EAF65" w14:textId="77777777" w:rsidR="00845955" w:rsidRPr="005219CE" w:rsidRDefault="00845955" w:rsidP="00925D98">
      <w:pPr>
        <w:spacing w:line="480" w:lineRule="auto"/>
        <w:rPr>
          <w:rFonts w:cstheme="minorHAnsi"/>
          <w:b/>
        </w:rPr>
      </w:pPr>
      <w:r w:rsidRPr="005219CE">
        <w:rPr>
          <w:rFonts w:cstheme="minorHAnsi"/>
          <w:b/>
        </w:rPr>
        <w:t>Results</w:t>
      </w:r>
    </w:p>
    <w:p w14:paraId="246B9E25" w14:textId="39B43E22" w:rsidR="00845955" w:rsidRDefault="002E2EEC" w:rsidP="00925D98">
      <w:pPr>
        <w:spacing w:line="480" w:lineRule="auto"/>
        <w:rPr>
          <w:rFonts w:cstheme="minorHAnsi"/>
        </w:rPr>
      </w:pPr>
      <w:r>
        <w:rPr>
          <w:rFonts w:cstheme="minorHAnsi"/>
        </w:rPr>
        <w:t>It is observed</w:t>
      </w:r>
      <w:r w:rsidR="00845955">
        <w:rPr>
          <w:rFonts w:cstheme="minorHAnsi"/>
        </w:rPr>
        <w:t xml:space="preserve"> that for any given Item, an equation of the form</w:t>
      </w:r>
    </w:p>
    <w:p w14:paraId="4F9EACDC" w14:textId="77777777" w:rsidR="00845955" w:rsidRDefault="00845955" w:rsidP="00925D98">
      <w:pPr>
        <w:spacing w:line="480" w:lineRule="auto"/>
        <w:rPr>
          <w:rFonts w:cstheme="minorHAnsi"/>
        </w:rPr>
      </w:pPr>
      <w:r>
        <w:rPr>
          <w:rFonts w:cstheme="minorHAnsi"/>
        </w:rPr>
        <w:tab/>
        <w:t xml:space="preserve">y </w:t>
      </w:r>
      <w:r w:rsidR="00EA12CB">
        <w:rPr>
          <w:rFonts w:cstheme="minorHAnsi"/>
        </w:rPr>
        <w:t>≈</w:t>
      </w:r>
      <w:r>
        <w:rPr>
          <w:rFonts w:cstheme="minorHAnsi"/>
        </w:rPr>
        <w:t xml:space="preserve"> </w:t>
      </w:r>
      <w:proofErr w:type="spellStart"/>
      <w:proofErr w:type="gramStart"/>
      <w:r>
        <w:rPr>
          <w:rFonts w:cstheme="minorHAnsi"/>
        </w:rPr>
        <w:t>C.e</w:t>
      </w:r>
      <w:r>
        <w:rPr>
          <w:rFonts w:cstheme="minorHAnsi"/>
          <w:vertAlign w:val="superscript"/>
        </w:rPr>
        <w:t>F</w:t>
      </w:r>
      <w:r w:rsidRPr="00D11C58">
        <w:rPr>
          <w:rFonts w:cstheme="minorHAnsi"/>
          <w:vertAlign w:val="superscript"/>
        </w:rPr>
        <w:t>x</w:t>
      </w:r>
      <w:proofErr w:type="spellEnd"/>
      <w:proofErr w:type="gramEnd"/>
    </w:p>
    <w:p w14:paraId="155A4F56" w14:textId="77777777" w:rsidR="00845955" w:rsidRDefault="00845955" w:rsidP="00925D98">
      <w:pPr>
        <w:spacing w:line="480" w:lineRule="auto"/>
        <w:ind w:left="720"/>
        <w:rPr>
          <w:rFonts w:cstheme="minorHAnsi"/>
        </w:rPr>
      </w:pPr>
      <w:r>
        <w:rPr>
          <w:rFonts w:cstheme="minorHAnsi"/>
        </w:rPr>
        <w:t>where y is the Facility of Borderline candidates on that Item, x is the observed</w:t>
      </w:r>
      <w:r w:rsidR="00EA12CB">
        <w:rPr>
          <w:rFonts w:cstheme="minorHAnsi"/>
        </w:rPr>
        <w:t xml:space="preserve"> </w:t>
      </w:r>
      <w:r>
        <w:rPr>
          <w:rFonts w:cstheme="minorHAnsi"/>
        </w:rPr>
        <w:t xml:space="preserve">Item Facility of the whole cohort, and C and F are constants, </w:t>
      </w:r>
    </w:p>
    <w:p w14:paraId="44A260CC" w14:textId="003C8A26" w:rsidR="00845955" w:rsidRDefault="00106BCC" w:rsidP="00925D98">
      <w:pPr>
        <w:spacing w:line="480" w:lineRule="auto"/>
        <w:rPr>
          <w:rFonts w:cstheme="minorHAnsi"/>
        </w:rPr>
      </w:pPr>
      <w:r>
        <w:rPr>
          <w:rFonts w:cstheme="minorHAnsi"/>
        </w:rPr>
        <w:t>predicts</w:t>
      </w:r>
      <w:r w:rsidR="00845955">
        <w:rPr>
          <w:rFonts w:cstheme="minorHAnsi"/>
        </w:rPr>
        <w:t xml:space="preserve"> the probable Facility for Borderline candidates over the test</w:t>
      </w:r>
      <w:r w:rsidR="00BA5FBA">
        <w:rPr>
          <w:rFonts w:cstheme="minorHAnsi"/>
        </w:rPr>
        <w:t xml:space="preserve">, in </w:t>
      </w:r>
      <w:r w:rsidR="00845955">
        <w:rPr>
          <w:rFonts w:cstheme="minorHAnsi"/>
        </w:rPr>
        <w:t xml:space="preserve">other words, the cut score for Borderline candidates. We describe ways of estimating C and F in any given circumstance, and suggest typical values arising from this </w:t>
      </w:r>
      <w:proofErr w:type="gramStart"/>
      <w:r w:rsidR="00845955">
        <w:rPr>
          <w:rFonts w:cstheme="minorHAnsi"/>
        </w:rPr>
        <w:t>particular study</w:t>
      </w:r>
      <w:proofErr w:type="gramEnd"/>
      <w:r w:rsidR="00845955">
        <w:rPr>
          <w:rFonts w:cstheme="minorHAnsi"/>
        </w:rPr>
        <w:t xml:space="preserve">: that C </w:t>
      </w:r>
      <w:r>
        <w:rPr>
          <w:rFonts w:cstheme="minorHAnsi"/>
        </w:rPr>
        <w:t xml:space="preserve">= </w:t>
      </w:r>
      <w:r w:rsidR="00845955">
        <w:rPr>
          <w:rFonts w:cstheme="minorHAnsi"/>
        </w:rPr>
        <w:t xml:space="preserve">12.3 and F </w:t>
      </w:r>
      <w:r>
        <w:rPr>
          <w:rFonts w:cstheme="minorHAnsi"/>
        </w:rPr>
        <w:t xml:space="preserve">= </w:t>
      </w:r>
      <w:r w:rsidR="00845955">
        <w:rPr>
          <w:rFonts w:cstheme="minorHAnsi"/>
        </w:rPr>
        <w:t>0.021.</w:t>
      </w:r>
    </w:p>
    <w:p w14:paraId="246841AF" w14:textId="1FA34748" w:rsidR="00845955" w:rsidRPr="005219CE" w:rsidRDefault="00845955" w:rsidP="00925D98">
      <w:pPr>
        <w:spacing w:line="480" w:lineRule="auto"/>
        <w:rPr>
          <w:rFonts w:cstheme="minorHAnsi"/>
          <w:b/>
        </w:rPr>
      </w:pPr>
      <w:r w:rsidRPr="005219CE">
        <w:rPr>
          <w:rFonts w:cstheme="minorHAnsi"/>
          <w:b/>
        </w:rPr>
        <w:t>Conclusion</w:t>
      </w:r>
      <w:r w:rsidR="001054C0">
        <w:rPr>
          <w:rFonts w:cstheme="minorHAnsi"/>
          <w:b/>
        </w:rPr>
        <w:t>s</w:t>
      </w:r>
    </w:p>
    <w:p w14:paraId="4ADAEEE4" w14:textId="4DE03566" w:rsidR="0000304C" w:rsidRDefault="00845955" w:rsidP="00925D98">
      <w:pPr>
        <w:spacing w:line="480" w:lineRule="auto"/>
        <w:rPr>
          <w:rFonts w:cstheme="minorHAnsi"/>
        </w:rPr>
      </w:pPr>
      <w:r>
        <w:rPr>
          <w:rFonts w:cstheme="minorHAnsi"/>
        </w:rPr>
        <w:lastRenderedPageBreak/>
        <w:t xml:space="preserve">C and F are relatively stable, and that </w:t>
      </w:r>
      <w:r w:rsidR="0000304C">
        <w:rPr>
          <w:rFonts w:cstheme="minorHAnsi"/>
        </w:rPr>
        <w:t xml:space="preserve">the equation </w:t>
      </w:r>
    </w:p>
    <w:p w14:paraId="1F7C0BCD" w14:textId="4A4D7B3D" w:rsidR="0000304C" w:rsidRDefault="0000304C" w:rsidP="00925D98">
      <w:pPr>
        <w:spacing w:line="480" w:lineRule="auto"/>
        <w:rPr>
          <w:rFonts w:cstheme="minorHAnsi"/>
        </w:rPr>
      </w:pPr>
      <w:r>
        <w:rPr>
          <w:rFonts w:cstheme="minorHAnsi"/>
        </w:rPr>
        <w:tab/>
        <w:t>y = 12.3.e</w:t>
      </w:r>
      <w:r w:rsidRPr="0000304C">
        <w:rPr>
          <w:rFonts w:cstheme="minorHAnsi"/>
          <w:vertAlign w:val="superscript"/>
        </w:rPr>
        <w:t>0.021x</w:t>
      </w:r>
    </w:p>
    <w:p w14:paraId="4EACACAB" w14:textId="751FCE6E" w:rsidR="00845955" w:rsidRDefault="0000304C" w:rsidP="00925D98">
      <w:pPr>
        <w:spacing w:line="480" w:lineRule="auto"/>
        <w:rPr>
          <w:rFonts w:cstheme="minorHAnsi"/>
        </w:rPr>
      </w:pPr>
      <w:r>
        <w:rPr>
          <w:rFonts w:cstheme="minorHAnsi"/>
        </w:rPr>
        <w:t xml:space="preserve">can rapidly be applied to the item Facility for every item. The average value represents the cut score for the </w:t>
      </w:r>
      <w:proofErr w:type="gramStart"/>
      <w:r>
        <w:rPr>
          <w:rFonts w:cstheme="minorHAnsi"/>
        </w:rPr>
        <w:t>assessment as a whole</w:t>
      </w:r>
      <w:proofErr w:type="gramEnd"/>
      <w:r>
        <w:rPr>
          <w:rFonts w:cstheme="minorHAnsi"/>
        </w:rPr>
        <w:t xml:space="preserve">. </w:t>
      </w:r>
      <w:r w:rsidR="00845955">
        <w:rPr>
          <w:rFonts w:cstheme="minorHAnsi"/>
        </w:rPr>
        <w:t xml:space="preserve">This represents a novel retrospective method based on test takers. </w:t>
      </w:r>
    </w:p>
    <w:p w14:paraId="5168EAA5" w14:textId="2D6D6BFD" w:rsidR="00845955" w:rsidRDefault="00845955" w:rsidP="00925D98">
      <w:pPr>
        <w:spacing w:line="480" w:lineRule="auto"/>
        <w:rPr>
          <w:rFonts w:cstheme="minorHAnsi"/>
        </w:rPr>
      </w:pPr>
      <w:r>
        <w:rPr>
          <w:rFonts w:cstheme="minorHAnsi"/>
        </w:rPr>
        <w:t>Compared to</w:t>
      </w:r>
      <w:r w:rsidRPr="006A5DCF">
        <w:rPr>
          <w:rFonts w:cstheme="minorHAnsi"/>
        </w:rPr>
        <w:t xml:space="preserve"> the Cohen method </w:t>
      </w:r>
      <w:r>
        <w:rPr>
          <w:rFonts w:cstheme="minorHAnsi"/>
        </w:rPr>
        <w:t xml:space="preserve">which draws on one score and one candidate, this method draws on all items and candidates in a test. </w:t>
      </w:r>
      <w:r w:rsidR="00A75C5A">
        <w:rPr>
          <w:rFonts w:cstheme="minorHAnsi"/>
        </w:rPr>
        <w:t>We propose that i</w:t>
      </w:r>
      <w:r w:rsidR="00B93E78">
        <w:rPr>
          <w:rFonts w:cstheme="minorHAnsi"/>
        </w:rPr>
        <w:t xml:space="preserve">t can be used to standard set a whole test, or a </w:t>
      </w:r>
      <w:proofErr w:type="gramStart"/>
      <w:r w:rsidR="00B93E78">
        <w:rPr>
          <w:rFonts w:cstheme="minorHAnsi"/>
        </w:rPr>
        <w:t>particular item</w:t>
      </w:r>
      <w:proofErr w:type="gramEnd"/>
      <w:r w:rsidR="00B93E78">
        <w:rPr>
          <w:rFonts w:cstheme="minorHAnsi"/>
        </w:rPr>
        <w:t xml:space="preserve"> where the predicted </w:t>
      </w:r>
      <w:proofErr w:type="spellStart"/>
      <w:r w:rsidR="00B93E78">
        <w:rPr>
          <w:rFonts w:cstheme="minorHAnsi"/>
        </w:rPr>
        <w:t>Angoff</w:t>
      </w:r>
      <w:proofErr w:type="spellEnd"/>
      <w:r w:rsidR="00B93E78">
        <w:rPr>
          <w:rFonts w:cstheme="minorHAnsi"/>
        </w:rPr>
        <w:t xml:space="preserve"> score is very different from the observed Facility. </w:t>
      </w:r>
      <w:r>
        <w:rPr>
          <w:rFonts w:cstheme="minorHAnsi"/>
        </w:rPr>
        <w:t xml:space="preserve"> </w:t>
      </w:r>
    </w:p>
    <w:p w14:paraId="17DEC582" w14:textId="77777777" w:rsidR="003B036C" w:rsidRDefault="003B036C" w:rsidP="00925D98">
      <w:pPr>
        <w:spacing w:line="480" w:lineRule="auto"/>
        <w:rPr>
          <w:rFonts w:cstheme="minorHAnsi"/>
        </w:rPr>
      </w:pPr>
    </w:p>
    <w:p w14:paraId="03D5D389" w14:textId="2C2A9933" w:rsidR="00845955" w:rsidRDefault="001054C0" w:rsidP="003B036C">
      <w:pPr>
        <w:spacing w:line="480" w:lineRule="auto"/>
        <w:rPr>
          <w:rFonts w:cstheme="minorHAnsi"/>
        </w:rPr>
      </w:pPr>
      <w:r>
        <w:rPr>
          <w:rFonts w:cstheme="minorHAnsi"/>
        </w:rPr>
        <w:t>Keywords: standard-setting, retrospective, cost, rapid, exponential</w:t>
      </w:r>
    </w:p>
    <w:p w14:paraId="7943FBFC" w14:textId="01519BBE" w:rsidR="003B036C" w:rsidRDefault="003B036C" w:rsidP="003B036C">
      <w:pPr>
        <w:spacing w:line="480" w:lineRule="auto"/>
        <w:rPr>
          <w:rFonts w:cstheme="minorHAnsi"/>
        </w:rPr>
      </w:pPr>
    </w:p>
    <w:p w14:paraId="32D07B0D" w14:textId="206C0F64" w:rsidR="003B036C" w:rsidRDefault="003B036C" w:rsidP="003B036C">
      <w:pPr>
        <w:spacing w:line="480" w:lineRule="auto"/>
        <w:rPr>
          <w:rFonts w:cstheme="minorHAnsi"/>
        </w:rPr>
      </w:pPr>
    </w:p>
    <w:p w14:paraId="6C9724C0" w14:textId="0F469228" w:rsidR="003B036C" w:rsidRDefault="003B036C" w:rsidP="003B036C">
      <w:pPr>
        <w:spacing w:line="480" w:lineRule="auto"/>
        <w:rPr>
          <w:rFonts w:cstheme="minorHAnsi"/>
        </w:rPr>
      </w:pPr>
    </w:p>
    <w:p w14:paraId="2161C0F4" w14:textId="5B3ECB1A" w:rsidR="003B036C" w:rsidRDefault="003B036C" w:rsidP="003B036C">
      <w:pPr>
        <w:spacing w:line="480" w:lineRule="auto"/>
        <w:rPr>
          <w:rFonts w:cstheme="minorHAnsi"/>
        </w:rPr>
      </w:pPr>
    </w:p>
    <w:p w14:paraId="13028E66" w14:textId="2671B109" w:rsidR="003B036C" w:rsidRDefault="003B036C" w:rsidP="003B036C">
      <w:pPr>
        <w:spacing w:line="480" w:lineRule="auto"/>
        <w:rPr>
          <w:rFonts w:cstheme="minorHAnsi"/>
        </w:rPr>
      </w:pPr>
    </w:p>
    <w:p w14:paraId="72A1795D" w14:textId="5965FCBE" w:rsidR="003B036C" w:rsidRDefault="003B036C" w:rsidP="003B036C">
      <w:pPr>
        <w:spacing w:line="480" w:lineRule="auto"/>
        <w:rPr>
          <w:rFonts w:cstheme="minorHAnsi"/>
        </w:rPr>
      </w:pPr>
    </w:p>
    <w:p w14:paraId="389DE2FC" w14:textId="31FF4CBC" w:rsidR="003B036C" w:rsidRDefault="003B036C" w:rsidP="003B036C">
      <w:pPr>
        <w:spacing w:line="480" w:lineRule="auto"/>
        <w:rPr>
          <w:rFonts w:cstheme="minorHAnsi"/>
        </w:rPr>
      </w:pPr>
    </w:p>
    <w:p w14:paraId="2A2F99D2" w14:textId="354506F7" w:rsidR="003B036C" w:rsidRDefault="003B036C" w:rsidP="003B036C">
      <w:pPr>
        <w:spacing w:line="480" w:lineRule="auto"/>
        <w:rPr>
          <w:rFonts w:cstheme="minorHAnsi"/>
        </w:rPr>
      </w:pPr>
    </w:p>
    <w:p w14:paraId="34290B92" w14:textId="7815C980" w:rsidR="003B036C" w:rsidRDefault="003B036C" w:rsidP="003B036C">
      <w:pPr>
        <w:spacing w:line="480" w:lineRule="auto"/>
        <w:rPr>
          <w:rFonts w:cstheme="minorHAnsi"/>
        </w:rPr>
      </w:pPr>
    </w:p>
    <w:p w14:paraId="1C5BB7EF" w14:textId="77777777" w:rsidR="003B036C" w:rsidRDefault="003B036C" w:rsidP="003B036C">
      <w:pPr>
        <w:spacing w:line="480" w:lineRule="auto"/>
        <w:rPr>
          <w:rFonts w:cstheme="minorHAnsi"/>
        </w:rPr>
      </w:pPr>
    </w:p>
    <w:p w14:paraId="3D20EACA" w14:textId="61D73A14" w:rsidR="005E1FE3" w:rsidRPr="005219CE" w:rsidRDefault="001054C0" w:rsidP="00925D98">
      <w:pPr>
        <w:spacing w:line="480" w:lineRule="auto"/>
        <w:rPr>
          <w:rFonts w:cstheme="minorHAnsi"/>
          <w:b/>
          <w:sz w:val="24"/>
        </w:rPr>
      </w:pPr>
      <w:r>
        <w:rPr>
          <w:rFonts w:cstheme="minorHAnsi"/>
          <w:b/>
          <w:sz w:val="24"/>
        </w:rPr>
        <w:lastRenderedPageBreak/>
        <w:t>Background</w:t>
      </w:r>
    </w:p>
    <w:p w14:paraId="32DC0DD1" w14:textId="77777777" w:rsidR="004D781B" w:rsidRPr="00F26734" w:rsidRDefault="004D781B" w:rsidP="00925D98">
      <w:pPr>
        <w:spacing w:line="480" w:lineRule="auto"/>
        <w:rPr>
          <w:rFonts w:cstheme="minorHAnsi"/>
        </w:rPr>
      </w:pPr>
      <w:r w:rsidRPr="00F26734">
        <w:rPr>
          <w:rFonts w:cstheme="minorHAnsi"/>
        </w:rPr>
        <w:t xml:space="preserve">Standard setting is both important and problematic in medical education. The </w:t>
      </w:r>
      <w:proofErr w:type="spellStart"/>
      <w:r w:rsidRPr="00F26734">
        <w:rPr>
          <w:rFonts w:cstheme="minorHAnsi"/>
        </w:rPr>
        <w:t>Angoff</w:t>
      </w:r>
      <w:proofErr w:type="spellEnd"/>
      <w:r w:rsidRPr="00F26734">
        <w:rPr>
          <w:rFonts w:cstheme="minorHAnsi"/>
        </w:rPr>
        <w:t xml:space="preserve"> method</w:t>
      </w:r>
      <w:r w:rsidR="004D55E6">
        <w:rPr>
          <w:rStyle w:val="EndnoteReference"/>
          <w:rFonts w:cstheme="minorHAnsi"/>
        </w:rPr>
        <w:endnoteReference w:id="1"/>
      </w:r>
      <w:r w:rsidR="00104A8F">
        <w:rPr>
          <w:rFonts w:cstheme="minorHAnsi"/>
        </w:rPr>
        <w:t xml:space="preserve"> </w:t>
      </w:r>
      <w:r w:rsidRPr="00F26734">
        <w:rPr>
          <w:rFonts w:cstheme="minorHAnsi"/>
        </w:rPr>
        <w:t>is wid</w:t>
      </w:r>
      <w:r w:rsidR="005219CE">
        <w:rPr>
          <w:rFonts w:cstheme="minorHAnsi"/>
        </w:rPr>
        <w:t>ely</w:t>
      </w:r>
      <w:r w:rsidR="007445F4">
        <w:rPr>
          <w:rFonts w:cstheme="minorHAnsi"/>
        </w:rPr>
        <w:t xml:space="preserve"> used for standard setting selected-response items</w:t>
      </w:r>
      <w:r w:rsidR="005219CE">
        <w:rPr>
          <w:rFonts w:cstheme="minorHAnsi"/>
        </w:rPr>
        <w:t xml:space="preserve"> </w:t>
      </w:r>
      <w:r w:rsidRPr="00F26734">
        <w:rPr>
          <w:rFonts w:cstheme="minorHAnsi"/>
        </w:rPr>
        <w:t xml:space="preserve">in high stakes settings such as the General Medical Council </w:t>
      </w:r>
      <w:r w:rsidR="00BD37D9" w:rsidRPr="00F26734">
        <w:rPr>
          <w:rFonts w:cstheme="minorHAnsi"/>
        </w:rPr>
        <w:t>tests</w:t>
      </w:r>
      <w:r w:rsidRPr="00F26734">
        <w:rPr>
          <w:rFonts w:cstheme="minorHAnsi"/>
        </w:rPr>
        <w:t xml:space="preserve"> for non-UK, non-EU doctor</w:t>
      </w:r>
      <w:r w:rsidR="00BD37D9" w:rsidRPr="00F26734">
        <w:rPr>
          <w:rFonts w:cstheme="minorHAnsi"/>
        </w:rPr>
        <w:t>s wishing to practice in the UK</w:t>
      </w:r>
      <w:r w:rsidR="00F26734" w:rsidRPr="00F26734">
        <w:rPr>
          <w:rFonts w:cstheme="minorHAnsi"/>
        </w:rPr>
        <w:t xml:space="preserve">, and USMLE </w:t>
      </w:r>
      <w:r w:rsidR="00F26734" w:rsidRPr="00A57885">
        <w:rPr>
          <w:rFonts w:cstheme="minorHAnsi"/>
        </w:rPr>
        <w:t>Step</w:t>
      </w:r>
      <w:r w:rsidR="00F26734" w:rsidRPr="00F26734">
        <w:rPr>
          <w:rFonts w:cstheme="minorHAnsi"/>
        </w:rPr>
        <w:t xml:space="preserve"> 1</w:t>
      </w:r>
      <w:r w:rsidR="00071802">
        <w:rPr>
          <w:rFonts w:cstheme="minorHAnsi"/>
        </w:rPr>
        <w:t>,</w:t>
      </w:r>
      <w:r w:rsidR="00BD37D9" w:rsidRPr="00F26734">
        <w:rPr>
          <w:rFonts w:cstheme="minorHAnsi"/>
        </w:rPr>
        <w:t xml:space="preserve"> </w:t>
      </w:r>
      <w:r w:rsidR="00071802">
        <w:rPr>
          <w:rFonts w:cstheme="minorHAnsi"/>
        </w:rPr>
        <w:t>y</w:t>
      </w:r>
      <w:r w:rsidR="00BD37D9" w:rsidRPr="00F26734">
        <w:rPr>
          <w:rFonts w:cstheme="minorHAnsi"/>
        </w:rPr>
        <w:t>et its use</w:t>
      </w:r>
      <w:r w:rsidRPr="00F26734">
        <w:rPr>
          <w:rFonts w:cstheme="minorHAnsi"/>
        </w:rPr>
        <w:t xml:space="preserve"> poses </w:t>
      </w:r>
      <w:proofErr w:type="gramStart"/>
      <w:r w:rsidRPr="00F26734">
        <w:rPr>
          <w:rFonts w:cstheme="minorHAnsi"/>
        </w:rPr>
        <w:t>a number of</w:t>
      </w:r>
      <w:proofErr w:type="gramEnd"/>
      <w:r w:rsidRPr="00F26734">
        <w:rPr>
          <w:rFonts w:cstheme="minorHAnsi"/>
        </w:rPr>
        <w:t xml:space="preserve"> challenges.</w:t>
      </w:r>
    </w:p>
    <w:p w14:paraId="3F0ADAE0" w14:textId="56112165" w:rsidR="00F63AB5" w:rsidRDefault="00BD37D9" w:rsidP="00925D98">
      <w:pPr>
        <w:spacing w:line="480" w:lineRule="auto"/>
        <w:rPr>
          <w:rFonts w:cstheme="minorHAnsi"/>
        </w:rPr>
      </w:pPr>
      <w:r w:rsidRPr="00F26734">
        <w:rPr>
          <w:rFonts w:cstheme="minorHAnsi"/>
        </w:rPr>
        <w:t xml:space="preserve">Perhaps the most significant of these is the requirement that assessors conceptualise a </w:t>
      </w:r>
      <w:proofErr w:type="gramStart"/>
      <w:r w:rsidRPr="00F26734">
        <w:rPr>
          <w:rFonts w:cstheme="minorHAnsi"/>
        </w:rPr>
        <w:t>particular kind</w:t>
      </w:r>
      <w:proofErr w:type="gramEnd"/>
      <w:r w:rsidRPr="00F26734">
        <w:rPr>
          <w:rFonts w:cstheme="minorHAnsi"/>
        </w:rPr>
        <w:t xml:space="preserve"> of candidate, </w:t>
      </w:r>
      <w:r w:rsidR="00071802">
        <w:rPr>
          <w:rFonts w:cstheme="minorHAnsi"/>
        </w:rPr>
        <w:t>often</w:t>
      </w:r>
      <w:r w:rsidR="00071802" w:rsidRPr="00F26734">
        <w:rPr>
          <w:rFonts w:cstheme="minorHAnsi"/>
        </w:rPr>
        <w:t xml:space="preserve"> </w:t>
      </w:r>
      <w:r w:rsidRPr="00F26734">
        <w:rPr>
          <w:rFonts w:cstheme="minorHAnsi"/>
        </w:rPr>
        <w:t>described as the ‘minimally competent’ or ‘</w:t>
      </w:r>
      <w:r w:rsidR="002A560C">
        <w:rPr>
          <w:rFonts w:cstheme="minorHAnsi"/>
        </w:rPr>
        <w:t>Borderline</w:t>
      </w:r>
      <w:r w:rsidR="00F63AB5">
        <w:rPr>
          <w:rFonts w:cstheme="minorHAnsi"/>
        </w:rPr>
        <w:t>’ candidate</w:t>
      </w:r>
      <w:r w:rsidRPr="00F26734">
        <w:rPr>
          <w:rFonts w:cstheme="minorHAnsi"/>
        </w:rPr>
        <w:t xml:space="preserve">. </w:t>
      </w:r>
      <w:r w:rsidR="00F63AB5">
        <w:rPr>
          <w:rFonts w:cstheme="minorHAnsi"/>
        </w:rPr>
        <w:t xml:space="preserve"> In the context of </w:t>
      </w:r>
      <w:proofErr w:type="spellStart"/>
      <w:r w:rsidR="00F63AB5">
        <w:rPr>
          <w:rFonts w:cstheme="minorHAnsi"/>
        </w:rPr>
        <w:t>Angoff</w:t>
      </w:r>
      <w:proofErr w:type="spellEnd"/>
      <w:r w:rsidR="00F63AB5">
        <w:rPr>
          <w:rFonts w:cstheme="minorHAnsi"/>
        </w:rPr>
        <w:t xml:space="preserve"> standard setting, ‘</w:t>
      </w:r>
      <w:r w:rsidR="00B052E3">
        <w:rPr>
          <w:rFonts w:cstheme="minorHAnsi"/>
        </w:rPr>
        <w:t>Borderline</w:t>
      </w:r>
      <w:r w:rsidR="00F63AB5">
        <w:rPr>
          <w:rFonts w:cstheme="minorHAnsi"/>
        </w:rPr>
        <w:t>’ ge</w:t>
      </w:r>
      <w:r w:rsidR="00F63AB5" w:rsidRPr="00A57885">
        <w:rPr>
          <w:rFonts w:cstheme="minorHAnsi"/>
        </w:rPr>
        <w:t xml:space="preserve">nerally </w:t>
      </w:r>
      <w:r w:rsidR="00BA5FBA" w:rsidRPr="00A57885">
        <w:rPr>
          <w:rFonts w:cstheme="minorHAnsi"/>
        </w:rPr>
        <w:t xml:space="preserve">represents a </w:t>
      </w:r>
      <w:r w:rsidR="00F63AB5">
        <w:rPr>
          <w:rFonts w:cstheme="minorHAnsi"/>
        </w:rPr>
        <w:t>‘</w:t>
      </w:r>
      <w:r w:rsidR="00B052E3">
        <w:rPr>
          <w:rFonts w:cstheme="minorHAnsi"/>
        </w:rPr>
        <w:t>Borderline</w:t>
      </w:r>
      <w:r w:rsidR="00F63AB5">
        <w:rPr>
          <w:rFonts w:cstheme="minorHAnsi"/>
        </w:rPr>
        <w:t xml:space="preserve"> pass’, and it is in this sense that we use it here. </w:t>
      </w:r>
    </w:p>
    <w:p w14:paraId="1E7B95F3" w14:textId="77777777" w:rsidR="00BD37D9" w:rsidRPr="00F26734" w:rsidRDefault="00071802" w:rsidP="00925D98">
      <w:pPr>
        <w:spacing w:line="480" w:lineRule="auto"/>
        <w:rPr>
          <w:rFonts w:cstheme="minorHAnsi"/>
        </w:rPr>
      </w:pPr>
      <w:r w:rsidRPr="00F26734">
        <w:rPr>
          <w:rFonts w:cstheme="minorHAnsi"/>
        </w:rPr>
        <w:t>Wh</w:t>
      </w:r>
      <w:r>
        <w:rPr>
          <w:rFonts w:cstheme="minorHAnsi"/>
        </w:rPr>
        <w:t>ich</w:t>
      </w:r>
      <w:r w:rsidRPr="00F26734">
        <w:rPr>
          <w:rFonts w:cstheme="minorHAnsi"/>
        </w:rPr>
        <w:t xml:space="preserve">ever </w:t>
      </w:r>
      <w:r w:rsidR="00BD37D9" w:rsidRPr="00F26734">
        <w:rPr>
          <w:rFonts w:cstheme="minorHAnsi"/>
        </w:rPr>
        <w:t>form of words is used, assessors may have very different ideas of what that class of candidates represents. This is compounded by the fact that subject specialists among the assessors may lack generalist knowledge</w:t>
      </w:r>
      <w:r w:rsidR="00312209">
        <w:rPr>
          <w:rFonts w:cstheme="minorHAnsi"/>
        </w:rPr>
        <w:t>,</w:t>
      </w:r>
      <w:r w:rsidR="000E638B">
        <w:rPr>
          <w:rStyle w:val="EndnoteReference"/>
          <w:rFonts w:cstheme="minorHAnsi"/>
        </w:rPr>
        <w:endnoteReference w:id="2"/>
      </w:r>
      <w:r w:rsidR="00BD37D9" w:rsidRPr="00F26734">
        <w:rPr>
          <w:rFonts w:cstheme="minorHAnsi"/>
        </w:rPr>
        <w:t xml:space="preserve"> or lack awareness of what </w:t>
      </w:r>
      <w:proofErr w:type="gramStart"/>
      <w:r w:rsidR="00BD37D9" w:rsidRPr="00F26734">
        <w:rPr>
          <w:rFonts w:cstheme="minorHAnsi"/>
        </w:rPr>
        <w:t>particular level</w:t>
      </w:r>
      <w:proofErr w:type="gramEnd"/>
      <w:r w:rsidR="00BD37D9" w:rsidRPr="00F26734">
        <w:rPr>
          <w:rFonts w:cstheme="minorHAnsi"/>
        </w:rPr>
        <w:t xml:space="preserve"> candidates would appropriately have achieved. </w:t>
      </w:r>
    </w:p>
    <w:p w14:paraId="06344533" w14:textId="77777777" w:rsidR="00BD37D9" w:rsidRDefault="00071802" w:rsidP="00925D98">
      <w:pPr>
        <w:spacing w:line="480" w:lineRule="auto"/>
        <w:rPr>
          <w:rFonts w:cstheme="minorHAnsi"/>
        </w:rPr>
      </w:pPr>
      <w:proofErr w:type="gramStart"/>
      <w:r>
        <w:rPr>
          <w:rFonts w:cstheme="minorHAnsi"/>
        </w:rPr>
        <w:t>As</w:t>
      </w:r>
      <w:r w:rsidR="00BD37D9" w:rsidRPr="00F26734">
        <w:rPr>
          <w:rFonts w:cstheme="minorHAnsi"/>
        </w:rPr>
        <w:t xml:space="preserve"> a consequence</w:t>
      </w:r>
      <w:proofErr w:type="gramEnd"/>
      <w:r w:rsidR="00BD37D9" w:rsidRPr="00F26734">
        <w:rPr>
          <w:rFonts w:cstheme="minorHAnsi"/>
        </w:rPr>
        <w:t>, a minimum numb</w:t>
      </w:r>
      <w:r w:rsidR="00F26734" w:rsidRPr="00F26734">
        <w:rPr>
          <w:rFonts w:cstheme="minorHAnsi"/>
        </w:rPr>
        <w:t>er of assessors may be required, and this in itself poses practical problems in identifying a sufficient number of assessors with sufficient expertise</w:t>
      </w:r>
      <w:r w:rsidR="005219CE">
        <w:rPr>
          <w:rFonts w:cstheme="minorHAnsi"/>
        </w:rPr>
        <w:t xml:space="preserve"> in the subject</w:t>
      </w:r>
      <w:r w:rsidR="00F26734" w:rsidRPr="00F26734">
        <w:rPr>
          <w:rFonts w:cstheme="minorHAnsi"/>
        </w:rPr>
        <w:t xml:space="preserve">, and indeed experience in using the </w:t>
      </w:r>
      <w:proofErr w:type="spellStart"/>
      <w:r w:rsidR="00F26734" w:rsidRPr="00F26734">
        <w:rPr>
          <w:rFonts w:cstheme="minorHAnsi"/>
        </w:rPr>
        <w:t>Angoff</w:t>
      </w:r>
      <w:proofErr w:type="spellEnd"/>
      <w:r w:rsidR="00F26734" w:rsidRPr="00F26734">
        <w:rPr>
          <w:rFonts w:cstheme="minorHAnsi"/>
        </w:rPr>
        <w:t xml:space="preserve"> </w:t>
      </w:r>
      <w:r w:rsidR="005219CE">
        <w:rPr>
          <w:rFonts w:cstheme="minorHAnsi"/>
        </w:rPr>
        <w:t>method. One safety</w:t>
      </w:r>
      <w:r>
        <w:rPr>
          <w:rFonts w:cstheme="minorHAnsi"/>
        </w:rPr>
        <w:t>-</w:t>
      </w:r>
      <w:r w:rsidR="005219CE">
        <w:rPr>
          <w:rFonts w:cstheme="minorHAnsi"/>
        </w:rPr>
        <w:t xml:space="preserve">net option is to </w:t>
      </w:r>
      <w:r w:rsidR="00F26734" w:rsidRPr="00F26734">
        <w:rPr>
          <w:rFonts w:cstheme="minorHAnsi"/>
        </w:rPr>
        <w:t xml:space="preserve">use </w:t>
      </w:r>
      <w:r w:rsidR="005219CE">
        <w:rPr>
          <w:rFonts w:cstheme="minorHAnsi"/>
        </w:rPr>
        <w:t xml:space="preserve">the </w:t>
      </w:r>
      <w:proofErr w:type="spellStart"/>
      <w:r w:rsidR="005219CE">
        <w:rPr>
          <w:rFonts w:cstheme="minorHAnsi"/>
        </w:rPr>
        <w:t>Hofstee</w:t>
      </w:r>
      <w:proofErr w:type="spellEnd"/>
      <w:r w:rsidR="005219CE">
        <w:rPr>
          <w:rFonts w:cstheme="minorHAnsi"/>
        </w:rPr>
        <w:t xml:space="preserve"> c</w:t>
      </w:r>
      <w:r w:rsidR="00F26734" w:rsidRPr="00F26734">
        <w:rPr>
          <w:rFonts w:cstheme="minorHAnsi"/>
        </w:rPr>
        <w:t>ompromise method</w:t>
      </w:r>
      <w:r w:rsidR="000E638B">
        <w:rPr>
          <w:rStyle w:val="EndnoteReference"/>
          <w:rFonts w:cstheme="minorHAnsi"/>
        </w:rPr>
        <w:endnoteReference w:id="3"/>
      </w:r>
      <w:r w:rsidR="006B48ED">
        <w:rPr>
          <w:rFonts w:cstheme="minorHAnsi"/>
        </w:rPr>
        <w:t xml:space="preserve"> </w:t>
      </w:r>
      <w:r w:rsidR="00F26734" w:rsidRPr="00F26734">
        <w:rPr>
          <w:rFonts w:cstheme="minorHAnsi"/>
        </w:rPr>
        <w:t xml:space="preserve">if any </w:t>
      </w:r>
      <w:r w:rsidR="00000E71">
        <w:rPr>
          <w:rFonts w:cstheme="minorHAnsi"/>
        </w:rPr>
        <w:t>‘</w:t>
      </w:r>
      <w:proofErr w:type="spellStart"/>
      <w:r w:rsidR="00F26734" w:rsidRPr="00F26734">
        <w:rPr>
          <w:rFonts w:cstheme="minorHAnsi"/>
        </w:rPr>
        <w:t>Angoffed</w:t>
      </w:r>
      <w:proofErr w:type="spellEnd"/>
      <w:r w:rsidR="00000E71">
        <w:rPr>
          <w:rFonts w:cstheme="minorHAnsi"/>
        </w:rPr>
        <w:t>’</w:t>
      </w:r>
      <w:r w:rsidR="005219CE">
        <w:rPr>
          <w:rFonts w:cstheme="minorHAnsi"/>
        </w:rPr>
        <w:t xml:space="preserve"> assessment fails</w:t>
      </w:r>
      <w:r w:rsidR="00F26734" w:rsidRPr="00F26734">
        <w:rPr>
          <w:rFonts w:cstheme="minorHAnsi"/>
        </w:rPr>
        <w:t xml:space="preserve"> a ‘Reality Check’</w:t>
      </w:r>
      <w:r w:rsidR="00312209">
        <w:rPr>
          <w:rFonts w:cstheme="minorHAnsi"/>
        </w:rPr>
        <w:t>.</w:t>
      </w:r>
      <w:r w:rsidR="009776D4">
        <w:rPr>
          <w:rStyle w:val="EndnoteReference"/>
          <w:rFonts w:cstheme="minorHAnsi"/>
        </w:rPr>
        <w:endnoteReference w:id="4"/>
      </w:r>
    </w:p>
    <w:p w14:paraId="1E4F78AA" w14:textId="060FD58E" w:rsidR="005E1FE3" w:rsidRDefault="00F26734" w:rsidP="00925D98">
      <w:pPr>
        <w:spacing w:line="480" w:lineRule="auto"/>
        <w:rPr>
          <w:rFonts w:cstheme="minorHAnsi"/>
        </w:rPr>
      </w:pPr>
      <w:r>
        <w:rPr>
          <w:rFonts w:cstheme="minorHAnsi"/>
        </w:rPr>
        <w:t xml:space="preserve">A particular tendency of novice assessors </w:t>
      </w:r>
      <w:r w:rsidR="00000E71">
        <w:rPr>
          <w:rFonts w:cstheme="minorHAnsi"/>
        </w:rPr>
        <w:t>is</w:t>
      </w:r>
      <w:r>
        <w:rPr>
          <w:rFonts w:cstheme="minorHAnsi"/>
        </w:rPr>
        <w:t xml:space="preserve"> ‘reversion</w:t>
      </w:r>
      <w:r w:rsidR="005219CE">
        <w:rPr>
          <w:rFonts w:cstheme="minorHAnsi"/>
        </w:rPr>
        <w:t xml:space="preserve"> to the mean’, where they tend</w:t>
      </w:r>
      <w:r>
        <w:rPr>
          <w:rFonts w:cstheme="minorHAnsi"/>
        </w:rPr>
        <w:t xml:space="preserve"> to award </w:t>
      </w:r>
      <w:proofErr w:type="spellStart"/>
      <w:r>
        <w:rPr>
          <w:rFonts w:cstheme="minorHAnsi"/>
        </w:rPr>
        <w:t>Angoff</w:t>
      </w:r>
      <w:proofErr w:type="spellEnd"/>
      <w:r>
        <w:rPr>
          <w:rFonts w:cstheme="minorHAnsi"/>
        </w:rPr>
        <w:t xml:space="preserve"> </w:t>
      </w:r>
      <w:r w:rsidRPr="00A57885">
        <w:rPr>
          <w:rFonts w:cstheme="minorHAnsi"/>
        </w:rPr>
        <w:t>scores</w:t>
      </w:r>
      <w:r w:rsidR="00071802" w:rsidRPr="00A57885">
        <w:rPr>
          <w:rFonts w:cstheme="minorHAnsi"/>
        </w:rPr>
        <w:t xml:space="preserve"> of</w:t>
      </w:r>
      <w:r w:rsidRPr="00A57885">
        <w:rPr>
          <w:rFonts w:cstheme="minorHAnsi"/>
        </w:rPr>
        <w:t xml:space="preserve"> around 50% rather than using the </w:t>
      </w:r>
      <w:proofErr w:type="gramStart"/>
      <w:r w:rsidR="00B03111" w:rsidRPr="00A57885">
        <w:rPr>
          <w:rFonts w:cstheme="minorHAnsi"/>
        </w:rPr>
        <w:t>full scale</w:t>
      </w:r>
      <w:proofErr w:type="gramEnd"/>
      <w:r w:rsidR="002C7052" w:rsidRPr="00A57885">
        <w:rPr>
          <w:rFonts w:cstheme="minorHAnsi"/>
        </w:rPr>
        <w:t xml:space="preserve"> range. This </w:t>
      </w:r>
      <w:r w:rsidRPr="00A57885">
        <w:rPr>
          <w:rFonts w:cstheme="minorHAnsi"/>
        </w:rPr>
        <w:t>result</w:t>
      </w:r>
      <w:r w:rsidR="002C7052" w:rsidRPr="00A57885">
        <w:rPr>
          <w:rFonts w:cstheme="minorHAnsi"/>
        </w:rPr>
        <w:t>s</w:t>
      </w:r>
      <w:r w:rsidRPr="00A57885">
        <w:rPr>
          <w:rFonts w:cstheme="minorHAnsi"/>
        </w:rPr>
        <w:t xml:space="preserve"> in a </w:t>
      </w:r>
      <w:r w:rsidR="005E1FE3" w:rsidRPr="00A57885">
        <w:rPr>
          <w:rFonts w:cstheme="minorHAnsi"/>
        </w:rPr>
        <w:t>l</w:t>
      </w:r>
      <w:r w:rsidRPr="00A57885">
        <w:rPr>
          <w:rFonts w:cstheme="minorHAnsi"/>
        </w:rPr>
        <w:t xml:space="preserve">ow correlation between </w:t>
      </w:r>
      <w:r w:rsidR="005E1FE3" w:rsidRPr="00A57885">
        <w:rPr>
          <w:rFonts w:cstheme="minorHAnsi"/>
        </w:rPr>
        <w:t xml:space="preserve">the </w:t>
      </w:r>
      <w:r w:rsidR="002C7052" w:rsidRPr="00A57885">
        <w:rPr>
          <w:rFonts w:cstheme="minorHAnsi"/>
        </w:rPr>
        <w:t xml:space="preserve">predicted </w:t>
      </w:r>
      <w:proofErr w:type="spellStart"/>
      <w:r w:rsidR="005E1FE3" w:rsidRPr="00A57885">
        <w:rPr>
          <w:rFonts w:cstheme="minorHAnsi"/>
        </w:rPr>
        <w:t>Angoff</w:t>
      </w:r>
      <w:proofErr w:type="spellEnd"/>
      <w:r w:rsidR="005E1FE3" w:rsidRPr="00A57885">
        <w:rPr>
          <w:rFonts w:cstheme="minorHAnsi"/>
        </w:rPr>
        <w:t xml:space="preserve"> value and the observed Facility </w:t>
      </w:r>
      <w:r w:rsidR="00FA406E" w:rsidRPr="00A57885">
        <w:rPr>
          <w:rFonts w:cstheme="minorHAnsi"/>
        </w:rPr>
        <w:t xml:space="preserve">(where Facility is the percentage of candidates answering correctly) </w:t>
      </w:r>
      <w:r w:rsidR="005E1FE3" w:rsidRPr="00A57885">
        <w:rPr>
          <w:rFonts w:cstheme="minorHAnsi"/>
        </w:rPr>
        <w:t>of the items</w:t>
      </w:r>
      <w:r w:rsidR="00B03111" w:rsidRPr="00A57885">
        <w:rPr>
          <w:rFonts w:cstheme="minorHAnsi"/>
        </w:rPr>
        <w:t xml:space="preserve">. </w:t>
      </w:r>
      <w:r w:rsidR="005E1FE3" w:rsidRPr="00A57885">
        <w:rPr>
          <w:rFonts w:cstheme="minorHAnsi"/>
        </w:rPr>
        <w:t xml:space="preserve"> </w:t>
      </w:r>
    </w:p>
    <w:p w14:paraId="28805DDD" w14:textId="532A3094" w:rsidR="003B036C" w:rsidRDefault="003B036C" w:rsidP="00925D98">
      <w:pPr>
        <w:spacing w:line="480" w:lineRule="auto"/>
        <w:rPr>
          <w:rFonts w:cstheme="minorHAnsi"/>
        </w:rPr>
      </w:pPr>
      <w:r>
        <w:rPr>
          <w:rFonts w:cstheme="minorHAnsi"/>
        </w:rPr>
        <w:lastRenderedPageBreak/>
        <w:t xml:space="preserve">Some of the same considerations apply to </w:t>
      </w:r>
      <w:proofErr w:type="spellStart"/>
      <w:r>
        <w:rPr>
          <w:rFonts w:cstheme="minorHAnsi"/>
        </w:rPr>
        <w:t>Ebel</w:t>
      </w:r>
      <w:proofErr w:type="spellEnd"/>
      <w:r>
        <w:rPr>
          <w:rFonts w:cstheme="minorHAnsi"/>
        </w:rPr>
        <w:t xml:space="preserve"> standard setting</w:t>
      </w:r>
      <w:r w:rsidR="000B7206">
        <w:rPr>
          <w:rStyle w:val="EndnoteReference"/>
          <w:rFonts w:cstheme="minorHAnsi"/>
        </w:rPr>
        <w:endnoteReference w:id="5"/>
      </w:r>
      <w:r>
        <w:rPr>
          <w:rFonts w:cstheme="minorHAnsi"/>
        </w:rPr>
        <w:t xml:space="preserve">. Again, the just-passing candidate is difficult to conceptualise, and a panel of experts is required to carry out the required classification. </w:t>
      </w:r>
    </w:p>
    <w:p w14:paraId="0BDF637B" w14:textId="2BEC9544" w:rsidR="00761242" w:rsidRDefault="003B036C" w:rsidP="00925D98">
      <w:pPr>
        <w:spacing w:line="480" w:lineRule="auto"/>
        <w:rPr>
          <w:rFonts w:cstheme="minorHAnsi"/>
        </w:rPr>
      </w:pPr>
      <w:r>
        <w:rPr>
          <w:rFonts w:cstheme="minorHAnsi"/>
        </w:rPr>
        <w:t xml:space="preserve">An inexpensive alternative is to use either the </w:t>
      </w:r>
      <w:r w:rsidRPr="00BA5FBA">
        <w:rPr>
          <w:rFonts w:cstheme="minorHAnsi"/>
        </w:rPr>
        <w:t xml:space="preserve">Cohen </w:t>
      </w:r>
      <w:r>
        <w:rPr>
          <w:rFonts w:cstheme="minorHAnsi"/>
        </w:rPr>
        <w:t>method</w:t>
      </w:r>
      <w:r>
        <w:rPr>
          <w:rStyle w:val="EndnoteReference"/>
          <w:rFonts w:cstheme="minorHAnsi"/>
        </w:rPr>
        <w:endnoteReference w:id="6"/>
      </w:r>
      <w:r>
        <w:rPr>
          <w:rFonts w:cstheme="minorHAnsi"/>
        </w:rPr>
        <w:t>, which derives the cut score from a multiple of the 95</w:t>
      </w:r>
      <w:r w:rsidRPr="003B036C">
        <w:rPr>
          <w:rFonts w:cstheme="minorHAnsi"/>
          <w:vertAlign w:val="superscript"/>
        </w:rPr>
        <w:t>th</w:t>
      </w:r>
      <w:r>
        <w:rPr>
          <w:rFonts w:cstheme="minorHAnsi"/>
        </w:rPr>
        <w:t xml:space="preserve"> centile candidate, or the similar modified Cohen method</w:t>
      </w:r>
      <w:r w:rsidR="000B7206">
        <w:rPr>
          <w:rStyle w:val="EndnoteReference"/>
          <w:rFonts w:cstheme="minorHAnsi"/>
        </w:rPr>
        <w:endnoteReference w:id="7"/>
      </w:r>
      <w:r>
        <w:rPr>
          <w:rFonts w:cstheme="minorHAnsi"/>
        </w:rPr>
        <w:t>, which relies on the 90</w:t>
      </w:r>
      <w:r w:rsidRPr="003B036C">
        <w:rPr>
          <w:rFonts w:cstheme="minorHAnsi"/>
          <w:vertAlign w:val="superscript"/>
        </w:rPr>
        <w:t>th</w:t>
      </w:r>
      <w:r>
        <w:rPr>
          <w:rFonts w:cstheme="minorHAnsi"/>
        </w:rPr>
        <w:t xml:space="preserve"> centile candidate. These methods are quick to implement, and do not require the input of expensive staff time. However, they may be criticised on the basis that they rely on the score of an individual candidate (or in the case of ties, a small number of candidates).</w:t>
      </w:r>
      <w:r w:rsidR="00761242">
        <w:rPr>
          <w:rFonts w:cstheme="minorHAnsi"/>
        </w:rPr>
        <w:t xml:space="preserve"> </w:t>
      </w:r>
      <w:r>
        <w:rPr>
          <w:rFonts w:cstheme="minorHAnsi"/>
        </w:rPr>
        <w:t xml:space="preserve">We return to this issue in the Discussion. </w:t>
      </w:r>
    </w:p>
    <w:p w14:paraId="68996F9D" w14:textId="5485D158" w:rsidR="003B036C" w:rsidRDefault="003B036C" w:rsidP="00925D98">
      <w:pPr>
        <w:spacing w:line="480" w:lineRule="auto"/>
        <w:rPr>
          <w:rFonts w:cstheme="minorHAnsi"/>
        </w:rPr>
      </w:pPr>
      <w:r>
        <w:rPr>
          <w:rFonts w:cstheme="minorHAnsi"/>
        </w:rPr>
        <w:t>However, it is possible that assessments vary more in difficulty than does the ability of the cohort, since medical students are highly selected for academic ability prior to entry. In this case, the difficulty of the assessment may be the key variable, and the cumulative Facility of the items</w:t>
      </w:r>
      <w:r w:rsidR="00761242">
        <w:rPr>
          <w:rFonts w:cstheme="minorHAnsi"/>
        </w:rPr>
        <w:t xml:space="preserve"> is</w:t>
      </w:r>
      <w:r>
        <w:rPr>
          <w:rFonts w:cstheme="minorHAnsi"/>
        </w:rPr>
        <w:t xml:space="preserve"> a guide to this.</w:t>
      </w:r>
    </w:p>
    <w:p w14:paraId="69D4E201" w14:textId="77777777" w:rsidR="002C7052" w:rsidRDefault="002C7052" w:rsidP="00925D98">
      <w:pPr>
        <w:spacing w:line="480" w:lineRule="auto"/>
        <w:rPr>
          <w:rFonts w:cstheme="minorHAnsi"/>
        </w:rPr>
      </w:pPr>
      <w:r>
        <w:rPr>
          <w:rFonts w:cstheme="minorHAnsi"/>
        </w:rPr>
        <w:t xml:space="preserve">Of course, Facility represents the whole cohort performance, rather than the performance of the </w:t>
      </w:r>
      <w:r w:rsidR="002A560C">
        <w:rPr>
          <w:rFonts w:cstheme="minorHAnsi"/>
        </w:rPr>
        <w:t>Borderline</w:t>
      </w:r>
      <w:r w:rsidR="00E16DEE">
        <w:rPr>
          <w:rFonts w:cstheme="minorHAnsi"/>
        </w:rPr>
        <w:t xml:space="preserve"> candidates.  We hypothesise</w:t>
      </w:r>
      <w:r w:rsidR="00B03111">
        <w:rPr>
          <w:rFonts w:cstheme="minorHAnsi"/>
        </w:rPr>
        <w:t>d</w:t>
      </w:r>
      <w:r>
        <w:rPr>
          <w:rFonts w:cstheme="minorHAnsi"/>
        </w:rPr>
        <w:t xml:space="preserve"> that for good quality </w:t>
      </w:r>
      <w:r w:rsidR="00B03111">
        <w:rPr>
          <w:rFonts w:cstheme="minorHAnsi"/>
        </w:rPr>
        <w:t>One-Best-of-Five</w:t>
      </w:r>
      <w:r>
        <w:rPr>
          <w:rFonts w:cstheme="minorHAnsi"/>
        </w:rPr>
        <w:t xml:space="preserve"> </w:t>
      </w:r>
      <w:r w:rsidR="00000E71">
        <w:rPr>
          <w:rFonts w:cstheme="minorHAnsi"/>
        </w:rPr>
        <w:t>MCQs, the</w:t>
      </w:r>
      <w:r>
        <w:rPr>
          <w:rFonts w:cstheme="minorHAnsi"/>
        </w:rPr>
        <w:t xml:space="preserve"> relationship between </w:t>
      </w:r>
      <w:r w:rsidR="002C0592">
        <w:rPr>
          <w:rFonts w:cstheme="minorHAnsi"/>
        </w:rPr>
        <w:t xml:space="preserve">Facility </w:t>
      </w:r>
      <w:r w:rsidR="00B03111">
        <w:rPr>
          <w:rFonts w:cstheme="minorHAnsi"/>
        </w:rPr>
        <w:t xml:space="preserve">for the whole cohort, </w:t>
      </w:r>
      <w:r>
        <w:rPr>
          <w:rFonts w:cstheme="minorHAnsi"/>
        </w:rPr>
        <w:t xml:space="preserve">and the </w:t>
      </w:r>
      <w:r w:rsidR="002C0592">
        <w:rPr>
          <w:rFonts w:cstheme="minorHAnsi"/>
        </w:rPr>
        <w:t>Facility</w:t>
      </w:r>
      <w:r w:rsidR="00B03111">
        <w:rPr>
          <w:rFonts w:cstheme="minorHAnsi"/>
        </w:rPr>
        <w:t xml:space="preserve"> for Borderline candidates,</w:t>
      </w:r>
      <w:r>
        <w:rPr>
          <w:rFonts w:cstheme="minorHAnsi"/>
        </w:rPr>
        <w:t xml:space="preserve"> </w:t>
      </w:r>
      <w:r w:rsidR="00B03111">
        <w:rPr>
          <w:rFonts w:cstheme="minorHAnsi"/>
        </w:rPr>
        <w:t xml:space="preserve">would be </w:t>
      </w:r>
      <w:r>
        <w:rPr>
          <w:rFonts w:cstheme="minorHAnsi"/>
        </w:rPr>
        <w:t>curvilinea</w:t>
      </w:r>
      <w:r w:rsidR="00412925">
        <w:rPr>
          <w:rFonts w:cstheme="minorHAnsi"/>
        </w:rPr>
        <w:t>r in nature, with the difference between them approaching zero as</w:t>
      </w:r>
      <w:r>
        <w:rPr>
          <w:rFonts w:cstheme="minorHAnsi"/>
        </w:rPr>
        <w:t xml:space="preserve"> the Facility approaches 100% and </w:t>
      </w:r>
      <w:r w:rsidR="00B03111">
        <w:rPr>
          <w:rFonts w:cstheme="minorHAnsi"/>
        </w:rPr>
        <w:t>2</w:t>
      </w:r>
      <w:r>
        <w:rPr>
          <w:rFonts w:cstheme="minorHAnsi"/>
        </w:rPr>
        <w:t xml:space="preserve">0%. This is because if the entire cohort scores an item correctly, then so will the </w:t>
      </w:r>
      <w:r w:rsidR="00B052E3">
        <w:rPr>
          <w:rFonts w:cstheme="minorHAnsi"/>
        </w:rPr>
        <w:t>Borderline</w:t>
      </w:r>
      <w:r w:rsidR="002C0592">
        <w:rPr>
          <w:rFonts w:cstheme="minorHAnsi"/>
        </w:rPr>
        <w:t xml:space="preserve"> candidates</w:t>
      </w:r>
      <w:r>
        <w:rPr>
          <w:rFonts w:cstheme="minorHAnsi"/>
        </w:rPr>
        <w:t xml:space="preserve">, and if the best candidates do no better than guessing, then neither will the </w:t>
      </w:r>
      <w:r w:rsidR="00B052E3">
        <w:rPr>
          <w:rFonts w:cstheme="minorHAnsi"/>
        </w:rPr>
        <w:t>Borderline</w:t>
      </w:r>
      <w:r w:rsidR="002C0592">
        <w:rPr>
          <w:rFonts w:cstheme="minorHAnsi"/>
        </w:rPr>
        <w:t xml:space="preserve"> candidates</w:t>
      </w:r>
      <w:r>
        <w:rPr>
          <w:rFonts w:cstheme="minorHAnsi"/>
        </w:rPr>
        <w:t xml:space="preserve">. </w:t>
      </w:r>
    </w:p>
    <w:p w14:paraId="26EF2ECF" w14:textId="77777777" w:rsidR="002C7052" w:rsidRDefault="002C7052" w:rsidP="00925D98">
      <w:pPr>
        <w:spacing w:line="480" w:lineRule="auto"/>
        <w:rPr>
          <w:rFonts w:cstheme="minorHAnsi"/>
        </w:rPr>
      </w:pPr>
      <w:r>
        <w:rPr>
          <w:rFonts w:cstheme="minorHAnsi"/>
        </w:rPr>
        <w:t>In this study we therefore attempted to explore the effect of classifying different numbers of students as ‘</w:t>
      </w:r>
      <w:r w:rsidR="002A560C">
        <w:rPr>
          <w:rFonts w:cstheme="minorHAnsi"/>
        </w:rPr>
        <w:t>Borderline</w:t>
      </w:r>
      <w:r w:rsidR="00273EDF">
        <w:rPr>
          <w:rFonts w:cstheme="minorHAnsi"/>
        </w:rPr>
        <w:t>’</w:t>
      </w:r>
      <w:r>
        <w:rPr>
          <w:rFonts w:cstheme="minorHAnsi"/>
        </w:rPr>
        <w:t xml:space="preserve"> in comparison with the </w:t>
      </w:r>
      <w:proofErr w:type="gramStart"/>
      <w:r>
        <w:rPr>
          <w:rFonts w:cstheme="minorHAnsi"/>
        </w:rPr>
        <w:t>cohort as a whole</w:t>
      </w:r>
      <w:proofErr w:type="gramEnd"/>
      <w:r>
        <w:rPr>
          <w:rFonts w:cstheme="minorHAnsi"/>
        </w:rPr>
        <w:t>. Classification was carried out based on performance across the whole range of modules undertaken by the students as described in the Methods</w:t>
      </w:r>
      <w:r w:rsidR="00106BCC">
        <w:rPr>
          <w:rFonts w:cstheme="minorHAnsi"/>
        </w:rPr>
        <w:t>.</w:t>
      </w:r>
    </w:p>
    <w:p w14:paraId="40E38B00" w14:textId="77777777" w:rsidR="002C7052" w:rsidRDefault="002C7052" w:rsidP="00925D98">
      <w:pPr>
        <w:spacing w:line="480" w:lineRule="auto"/>
        <w:rPr>
          <w:rFonts w:cstheme="minorHAnsi"/>
        </w:rPr>
      </w:pPr>
      <w:r>
        <w:rPr>
          <w:rFonts w:cstheme="minorHAnsi"/>
        </w:rPr>
        <w:lastRenderedPageBreak/>
        <w:t xml:space="preserve">The exact nature of the relationship between whole cohort and </w:t>
      </w:r>
      <w:r w:rsidR="002A560C">
        <w:rPr>
          <w:rFonts w:cstheme="minorHAnsi"/>
        </w:rPr>
        <w:t>Borderline</w:t>
      </w:r>
      <w:r w:rsidR="002C0592">
        <w:rPr>
          <w:rFonts w:cstheme="minorHAnsi"/>
        </w:rPr>
        <w:t xml:space="preserve"> </w:t>
      </w:r>
      <w:r>
        <w:rPr>
          <w:rFonts w:cstheme="minorHAnsi"/>
        </w:rPr>
        <w:t xml:space="preserve">Facility will depend on the proportion of </w:t>
      </w:r>
      <w:r w:rsidR="002A560C">
        <w:rPr>
          <w:rFonts w:cstheme="minorHAnsi"/>
        </w:rPr>
        <w:t>Borderline</w:t>
      </w:r>
      <w:r w:rsidR="002C0592">
        <w:rPr>
          <w:rFonts w:cstheme="minorHAnsi"/>
        </w:rPr>
        <w:t xml:space="preserve"> candidates </w:t>
      </w:r>
      <w:r>
        <w:rPr>
          <w:rFonts w:cstheme="minorHAnsi"/>
        </w:rPr>
        <w:t>in the class</w:t>
      </w:r>
      <w:r w:rsidR="00071802">
        <w:rPr>
          <w:rFonts w:cstheme="minorHAnsi"/>
        </w:rPr>
        <w:t>,</w:t>
      </w:r>
      <w:r>
        <w:rPr>
          <w:rFonts w:cstheme="minorHAnsi"/>
        </w:rPr>
        <w:t xml:space="preserve"> and we discuss ways in which this might be estimated. </w:t>
      </w:r>
    </w:p>
    <w:p w14:paraId="745843A2" w14:textId="77777777" w:rsidR="0046375E" w:rsidRDefault="00B03111" w:rsidP="00925D98">
      <w:pPr>
        <w:spacing w:line="480" w:lineRule="auto"/>
        <w:rPr>
          <w:rFonts w:cstheme="minorHAnsi"/>
        </w:rPr>
      </w:pPr>
      <w:r>
        <w:rPr>
          <w:rFonts w:cstheme="minorHAnsi"/>
        </w:rPr>
        <w:t xml:space="preserve">Where </w:t>
      </w:r>
      <w:r w:rsidR="002C7052">
        <w:rPr>
          <w:rFonts w:cstheme="minorHAnsi"/>
        </w:rPr>
        <w:t xml:space="preserve">such a relationship emerges, it would be of value in assisting novice </w:t>
      </w:r>
      <w:proofErr w:type="spellStart"/>
      <w:r w:rsidR="002C7052">
        <w:rPr>
          <w:rFonts w:cstheme="minorHAnsi"/>
        </w:rPr>
        <w:t>Angoff</w:t>
      </w:r>
      <w:proofErr w:type="spellEnd"/>
      <w:r w:rsidR="002C7052">
        <w:rPr>
          <w:rFonts w:cstheme="minorHAnsi"/>
        </w:rPr>
        <w:t xml:space="preserve"> assessors in estimating the performance </w:t>
      </w:r>
      <w:r w:rsidR="0046375E">
        <w:rPr>
          <w:rFonts w:cstheme="minorHAnsi"/>
        </w:rPr>
        <w:t xml:space="preserve">of </w:t>
      </w:r>
      <w:r w:rsidR="00B052E3">
        <w:rPr>
          <w:rFonts w:cstheme="minorHAnsi"/>
        </w:rPr>
        <w:t>Borderline</w:t>
      </w:r>
      <w:r w:rsidR="002C0592">
        <w:rPr>
          <w:rFonts w:cstheme="minorHAnsi"/>
        </w:rPr>
        <w:t xml:space="preserve"> candidates </w:t>
      </w:r>
      <w:r w:rsidR="00071802">
        <w:rPr>
          <w:rFonts w:cstheme="minorHAnsi"/>
        </w:rPr>
        <w:t>for</w:t>
      </w:r>
      <w:r w:rsidR="0046375E">
        <w:rPr>
          <w:rFonts w:cstheme="minorHAnsi"/>
        </w:rPr>
        <w:t xml:space="preserve"> an item which had been used before</w:t>
      </w:r>
      <w:r>
        <w:rPr>
          <w:rFonts w:cstheme="minorHAnsi"/>
        </w:rPr>
        <w:t xml:space="preserve">. It could also be used for adjusting any items where the discrepancy between the predicted </w:t>
      </w:r>
      <w:proofErr w:type="spellStart"/>
      <w:r>
        <w:rPr>
          <w:rFonts w:cstheme="minorHAnsi"/>
        </w:rPr>
        <w:t>Angoff</w:t>
      </w:r>
      <w:proofErr w:type="spellEnd"/>
      <w:r>
        <w:rPr>
          <w:rFonts w:cstheme="minorHAnsi"/>
        </w:rPr>
        <w:t xml:space="preserve"> value and the observed Facility for that item is greater than seems plausible. </w:t>
      </w:r>
      <w:r w:rsidR="0046375E">
        <w:rPr>
          <w:rFonts w:cstheme="minorHAnsi"/>
        </w:rPr>
        <w:t xml:space="preserve"> </w:t>
      </w:r>
    </w:p>
    <w:p w14:paraId="1711D77E" w14:textId="77777777" w:rsidR="00D1513D" w:rsidRDefault="0046375E" w:rsidP="00925D98">
      <w:pPr>
        <w:spacing w:line="480" w:lineRule="auto"/>
        <w:rPr>
          <w:rFonts w:cstheme="minorHAnsi"/>
        </w:rPr>
      </w:pPr>
      <w:r>
        <w:rPr>
          <w:rFonts w:cstheme="minorHAnsi"/>
        </w:rPr>
        <w:t xml:space="preserve">More importantly, the relationship could be used by itself as a standard setting method in conditions in which </w:t>
      </w:r>
      <w:proofErr w:type="spellStart"/>
      <w:r>
        <w:rPr>
          <w:rFonts w:cstheme="minorHAnsi"/>
        </w:rPr>
        <w:t>Angoff</w:t>
      </w:r>
      <w:proofErr w:type="spellEnd"/>
      <w:r>
        <w:rPr>
          <w:rFonts w:cstheme="minorHAnsi"/>
        </w:rPr>
        <w:t xml:space="preserve"> or similar methods were not practical: for instance, if too few subject matter experts were available to form an assessor panel, or where the resource costs of using the </w:t>
      </w:r>
      <w:proofErr w:type="spellStart"/>
      <w:r>
        <w:rPr>
          <w:rFonts w:cstheme="minorHAnsi"/>
        </w:rPr>
        <w:t>Angoff</w:t>
      </w:r>
      <w:proofErr w:type="spellEnd"/>
      <w:r>
        <w:rPr>
          <w:rFonts w:cstheme="minorHAnsi"/>
        </w:rPr>
        <w:t xml:space="preserve"> method wer</w:t>
      </w:r>
      <w:r w:rsidR="00000E71">
        <w:rPr>
          <w:rFonts w:cstheme="minorHAnsi"/>
        </w:rPr>
        <w:t>e too high. This would</w:t>
      </w:r>
      <w:r>
        <w:rPr>
          <w:rFonts w:cstheme="minorHAnsi"/>
        </w:rPr>
        <w:t xml:space="preserve"> </w:t>
      </w:r>
      <w:r w:rsidR="00761242">
        <w:rPr>
          <w:rFonts w:cstheme="minorHAnsi"/>
        </w:rPr>
        <w:t xml:space="preserve">then </w:t>
      </w:r>
      <w:r>
        <w:rPr>
          <w:rFonts w:cstheme="minorHAnsi"/>
        </w:rPr>
        <w:t>be a retrospective method based on test takers, rather than a prospective method based</w:t>
      </w:r>
      <w:r w:rsidR="000374C4">
        <w:rPr>
          <w:rFonts w:cstheme="minorHAnsi"/>
        </w:rPr>
        <w:t xml:space="preserve"> on test items</w:t>
      </w:r>
      <w:r w:rsidR="00761242">
        <w:rPr>
          <w:rFonts w:cstheme="minorHAnsi"/>
        </w:rPr>
        <w:t xml:space="preserve">. </w:t>
      </w:r>
      <w:r>
        <w:rPr>
          <w:rFonts w:cstheme="minorHAnsi"/>
        </w:rPr>
        <w:t xml:space="preserve"> </w:t>
      </w:r>
    </w:p>
    <w:p w14:paraId="79278660" w14:textId="3FDB6C83" w:rsidR="0046375E" w:rsidRDefault="00D1513D" w:rsidP="00925D98">
      <w:pPr>
        <w:spacing w:line="480" w:lineRule="auto"/>
        <w:rPr>
          <w:rFonts w:cstheme="minorHAnsi"/>
        </w:rPr>
      </w:pPr>
      <w:r w:rsidRPr="00D1513D">
        <w:rPr>
          <w:rFonts w:cstheme="minorHAnsi"/>
        </w:rPr>
        <w:t>The purpose of th</w:t>
      </w:r>
      <w:r>
        <w:rPr>
          <w:rFonts w:cstheme="minorHAnsi"/>
        </w:rPr>
        <w:t>is</w:t>
      </w:r>
      <w:r w:rsidRPr="00D1513D">
        <w:rPr>
          <w:rFonts w:cstheme="minorHAnsi"/>
        </w:rPr>
        <w:t xml:space="preserve"> study </w:t>
      </w:r>
      <w:r>
        <w:rPr>
          <w:rFonts w:cstheme="minorHAnsi"/>
        </w:rPr>
        <w:t>is</w:t>
      </w:r>
      <w:r w:rsidRPr="00D1513D">
        <w:rPr>
          <w:rFonts w:cstheme="minorHAnsi"/>
        </w:rPr>
        <w:t xml:space="preserve"> to show proof of concept and </w:t>
      </w:r>
      <w:r>
        <w:rPr>
          <w:rFonts w:cstheme="minorHAnsi"/>
        </w:rPr>
        <w:t xml:space="preserve">although </w:t>
      </w:r>
      <w:r w:rsidRPr="00D1513D">
        <w:rPr>
          <w:rFonts w:cstheme="minorHAnsi"/>
        </w:rPr>
        <w:t>the analys</w:t>
      </w:r>
      <w:r>
        <w:rPr>
          <w:rFonts w:cstheme="minorHAnsi"/>
        </w:rPr>
        <w:t>e</w:t>
      </w:r>
      <w:r w:rsidRPr="00D1513D">
        <w:rPr>
          <w:rFonts w:cstheme="minorHAnsi"/>
        </w:rPr>
        <w:t xml:space="preserve">s </w:t>
      </w:r>
      <w:r>
        <w:rPr>
          <w:rFonts w:cstheme="minorHAnsi"/>
        </w:rPr>
        <w:t>were</w:t>
      </w:r>
      <w:r w:rsidRPr="00D1513D">
        <w:rPr>
          <w:rFonts w:cstheme="minorHAnsi"/>
        </w:rPr>
        <w:t xml:space="preserve"> carried out locally, </w:t>
      </w:r>
      <w:r>
        <w:rPr>
          <w:rFonts w:cstheme="minorHAnsi"/>
        </w:rPr>
        <w:t>we believe</w:t>
      </w:r>
      <w:r w:rsidRPr="00D1513D">
        <w:rPr>
          <w:rFonts w:cstheme="minorHAnsi"/>
        </w:rPr>
        <w:t xml:space="preserve"> our results </w:t>
      </w:r>
      <w:r w:rsidR="0060200A">
        <w:rPr>
          <w:rFonts w:cstheme="minorHAnsi"/>
        </w:rPr>
        <w:t>would be</w:t>
      </w:r>
      <w:r w:rsidRPr="00D1513D">
        <w:rPr>
          <w:rFonts w:cstheme="minorHAnsi"/>
        </w:rPr>
        <w:t xml:space="preserve"> adaptable and of interest to other settings outside our school.</w:t>
      </w:r>
    </w:p>
    <w:p w14:paraId="492A265D" w14:textId="77777777" w:rsidR="00874D5D" w:rsidRDefault="00874D5D" w:rsidP="00925D98">
      <w:pPr>
        <w:spacing w:line="480" w:lineRule="auto"/>
        <w:rPr>
          <w:rFonts w:cstheme="minorHAnsi"/>
        </w:rPr>
      </w:pPr>
    </w:p>
    <w:p w14:paraId="710E8BA2" w14:textId="77777777" w:rsidR="005E1FE3" w:rsidRPr="00C8075F" w:rsidRDefault="005E1FE3" w:rsidP="00925D98">
      <w:pPr>
        <w:spacing w:line="480" w:lineRule="auto"/>
        <w:rPr>
          <w:rFonts w:cstheme="minorHAnsi"/>
          <w:b/>
          <w:sz w:val="24"/>
        </w:rPr>
      </w:pPr>
      <w:r w:rsidRPr="00C8075F">
        <w:rPr>
          <w:rFonts w:cstheme="minorHAnsi"/>
          <w:b/>
          <w:sz w:val="24"/>
        </w:rPr>
        <w:t>Methods</w:t>
      </w:r>
    </w:p>
    <w:p w14:paraId="560FBB7D" w14:textId="77777777" w:rsidR="0045214B" w:rsidRDefault="00E16DEE" w:rsidP="00925D98">
      <w:pPr>
        <w:spacing w:line="480" w:lineRule="auto"/>
        <w:rPr>
          <w:rFonts w:cstheme="minorHAnsi"/>
        </w:rPr>
      </w:pPr>
      <w:r>
        <w:rPr>
          <w:rFonts w:cstheme="minorHAnsi"/>
        </w:rPr>
        <w:t>The analyse</w:t>
      </w:r>
      <w:r w:rsidR="0045214B">
        <w:rPr>
          <w:rFonts w:cstheme="minorHAnsi"/>
        </w:rPr>
        <w:t xml:space="preserve">s </w:t>
      </w:r>
      <w:r>
        <w:rPr>
          <w:rFonts w:cstheme="minorHAnsi"/>
        </w:rPr>
        <w:t>were</w:t>
      </w:r>
      <w:r w:rsidR="0045214B">
        <w:rPr>
          <w:rFonts w:cstheme="minorHAnsi"/>
        </w:rPr>
        <w:t xml:space="preserve"> based on a cohort of students at a UK Medical School. The number of students involved was in the region of one hundred</w:t>
      </w:r>
      <w:r w:rsidR="0003605A">
        <w:rPr>
          <w:rFonts w:cstheme="minorHAnsi"/>
        </w:rPr>
        <w:t>,</w:t>
      </w:r>
      <w:r w:rsidR="0045214B">
        <w:rPr>
          <w:rFonts w:cstheme="minorHAnsi"/>
        </w:rPr>
        <w:t xml:space="preserve"> but the exact number is not disclosed since </w:t>
      </w:r>
      <w:r w:rsidR="0003605A">
        <w:rPr>
          <w:rFonts w:cstheme="minorHAnsi"/>
        </w:rPr>
        <w:t>this may</w:t>
      </w:r>
      <w:r w:rsidR="0045214B">
        <w:rPr>
          <w:rFonts w:cstheme="minorHAnsi"/>
        </w:rPr>
        <w:t xml:space="preserve"> enable the </w:t>
      </w:r>
      <w:proofErr w:type="gramStart"/>
      <w:r w:rsidR="0045214B">
        <w:rPr>
          <w:rFonts w:cstheme="minorHAnsi"/>
        </w:rPr>
        <w:t>particular cohort</w:t>
      </w:r>
      <w:proofErr w:type="gramEnd"/>
      <w:r w:rsidR="0045214B">
        <w:rPr>
          <w:rFonts w:cstheme="minorHAnsi"/>
        </w:rPr>
        <w:t xml:space="preserve"> to be identified. Student names were never used in the analysis, and student numbers were re-coded </w:t>
      </w:r>
      <w:proofErr w:type="gramStart"/>
      <w:r w:rsidR="0045214B">
        <w:rPr>
          <w:rFonts w:cstheme="minorHAnsi"/>
        </w:rPr>
        <w:t>automatically</w:t>
      </w:r>
      <w:proofErr w:type="gramEnd"/>
      <w:r w:rsidR="0045214B">
        <w:rPr>
          <w:rFonts w:cstheme="minorHAnsi"/>
        </w:rPr>
        <w:t xml:space="preserve"> so anonymity was preserved. </w:t>
      </w:r>
      <w:r w:rsidR="00874D5D">
        <w:rPr>
          <w:rFonts w:cstheme="minorHAnsi"/>
        </w:rPr>
        <w:t>The data were used retrospectively</w:t>
      </w:r>
      <w:r w:rsidR="0003605A">
        <w:rPr>
          <w:rFonts w:cstheme="minorHAnsi"/>
        </w:rPr>
        <w:t xml:space="preserve">, </w:t>
      </w:r>
      <w:r w:rsidR="00901F22">
        <w:rPr>
          <w:rFonts w:cstheme="minorHAnsi"/>
        </w:rPr>
        <w:t>and</w:t>
      </w:r>
      <w:r w:rsidR="00874D5D">
        <w:rPr>
          <w:rFonts w:cstheme="minorHAnsi"/>
        </w:rPr>
        <w:t xml:space="preserve"> this analysis </w:t>
      </w:r>
      <w:r w:rsidR="00814BAC">
        <w:rPr>
          <w:rFonts w:cstheme="minorHAnsi"/>
        </w:rPr>
        <w:t>has played</w:t>
      </w:r>
      <w:r w:rsidR="00874D5D">
        <w:rPr>
          <w:rFonts w:cstheme="minorHAnsi"/>
        </w:rPr>
        <w:t xml:space="preserve"> </w:t>
      </w:r>
      <w:r w:rsidR="00B03111">
        <w:rPr>
          <w:rFonts w:cstheme="minorHAnsi"/>
        </w:rPr>
        <w:t>no</w:t>
      </w:r>
      <w:r w:rsidR="00874D5D">
        <w:rPr>
          <w:rFonts w:cstheme="minorHAnsi"/>
        </w:rPr>
        <w:t xml:space="preserve"> part in summative decisions. </w:t>
      </w:r>
    </w:p>
    <w:p w14:paraId="34988B25" w14:textId="77777777" w:rsidR="0061145C" w:rsidRDefault="0061145C" w:rsidP="00925D98">
      <w:pPr>
        <w:spacing w:line="480" w:lineRule="auto"/>
        <w:rPr>
          <w:rFonts w:cstheme="minorHAnsi"/>
        </w:rPr>
      </w:pPr>
      <w:r>
        <w:rPr>
          <w:rFonts w:cstheme="minorHAnsi"/>
        </w:rPr>
        <w:lastRenderedPageBreak/>
        <w:t>All calculations were carried out, and graphs plotted, using Microsoft Excel</w:t>
      </w:r>
      <w:r w:rsidR="00D91FFF">
        <w:rPr>
          <w:rFonts w:cstheme="minorHAnsi"/>
        </w:rPr>
        <w:t>©</w:t>
      </w:r>
      <w:r w:rsidR="00F417D0">
        <w:rPr>
          <w:rFonts w:cstheme="minorHAnsi"/>
        </w:rPr>
        <w:t xml:space="preserve">. </w:t>
      </w:r>
    </w:p>
    <w:p w14:paraId="5B1ED106" w14:textId="77777777" w:rsidR="00F73398" w:rsidRPr="00F73398" w:rsidRDefault="00F73398" w:rsidP="00925D98">
      <w:pPr>
        <w:tabs>
          <w:tab w:val="left" w:pos="6690"/>
        </w:tabs>
        <w:spacing w:line="480" w:lineRule="auto"/>
      </w:pPr>
      <w:bookmarkStart w:id="3" w:name="_Hlk44141807"/>
      <w:r>
        <w:rPr>
          <w:rStyle w:val="PlaceholderText"/>
          <w:color w:val="auto"/>
        </w:rPr>
        <w:t>Ethical approval for the project on this basis and for publication of results was granted by the relevant University Ethical Approval Committee (approval code STEMH 1058</w:t>
      </w:r>
      <w:bookmarkEnd w:id="3"/>
      <w:r>
        <w:rPr>
          <w:rStyle w:val="PlaceholderText"/>
          <w:color w:val="auto"/>
        </w:rPr>
        <w:t xml:space="preserve">). </w:t>
      </w:r>
    </w:p>
    <w:p w14:paraId="4845B111" w14:textId="6338599B" w:rsidR="00874D5D" w:rsidRPr="007445F4" w:rsidRDefault="00874D5D" w:rsidP="00925D98">
      <w:pPr>
        <w:spacing w:line="480" w:lineRule="auto"/>
        <w:rPr>
          <w:rFonts w:cstheme="minorHAnsi"/>
        </w:rPr>
      </w:pPr>
      <w:r>
        <w:rPr>
          <w:rFonts w:cstheme="minorHAnsi"/>
        </w:rPr>
        <w:t>T</w:t>
      </w:r>
      <w:r w:rsidR="00741B16">
        <w:rPr>
          <w:rFonts w:cstheme="minorHAnsi"/>
        </w:rPr>
        <w:t xml:space="preserve">he </w:t>
      </w:r>
      <w:proofErr w:type="gramStart"/>
      <w:r w:rsidR="007445F4" w:rsidRPr="00BA5FBA">
        <w:rPr>
          <w:rFonts w:cstheme="minorHAnsi"/>
        </w:rPr>
        <w:t>First Year</w:t>
      </w:r>
      <w:proofErr w:type="gramEnd"/>
      <w:r w:rsidR="007445F4" w:rsidRPr="00BA5FBA">
        <w:rPr>
          <w:rFonts w:cstheme="minorHAnsi"/>
        </w:rPr>
        <w:t xml:space="preserve"> </w:t>
      </w:r>
      <w:r w:rsidR="007445F4">
        <w:rPr>
          <w:rFonts w:cstheme="minorHAnsi"/>
        </w:rPr>
        <w:t xml:space="preserve">medical student </w:t>
      </w:r>
      <w:r w:rsidR="00741B16">
        <w:rPr>
          <w:rFonts w:cstheme="minorHAnsi"/>
        </w:rPr>
        <w:t>course in question contains three</w:t>
      </w:r>
      <w:r>
        <w:rPr>
          <w:rFonts w:cstheme="minorHAnsi"/>
        </w:rPr>
        <w:t xml:space="preserve"> modules each year. Modules 1 and 2</w:t>
      </w:r>
      <w:r w:rsidR="00000E71">
        <w:rPr>
          <w:rFonts w:cstheme="minorHAnsi"/>
        </w:rPr>
        <w:t xml:space="preserve"> </w:t>
      </w:r>
      <w:r w:rsidR="006F4383">
        <w:rPr>
          <w:rFonts w:cstheme="minorHAnsi"/>
        </w:rPr>
        <w:t>address declarative knowledge, and</w:t>
      </w:r>
      <w:r>
        <w:rPr>
          <w:rFonts w:cstheme="minorHAnsi"/>
        </w:rPr>
        <w:t xml:space="preserve"> </w:t>
      </w:r>
      <w:r w:rsidR="00761242">
        <w:rPr>
          <w:rFonts w:cstheme="minorHAnsi"/>
        </w:rPr>
        <w:t>contained a total of three</w:t>
      </w:r>
      <w:r>
        <w:rPr>
          <w:rFonts w:cstheme="minorHAnsi"/>
        </w:rPr>
        <w:t xml:space="preserve"> </w:t>
      </w:r>
      <w:r w:rsidR="006F4383">
        <w:rPr>
          <w:rFonts w:cstheme="minorHAnsi"/>
        </w:rPr>
        <w:t xml:space="preserve">papers, and Module 3 involves an OSCE </w:t>
      </w:r>
      <w:r>
        <w:rPr>
          <w:rFonts w:cstheme="minorHAnsi"/>
        </w:rPr>
        <w:t xml:space="preserve">skills assessment. Standards are set for Modules 1 and 2 by the modified </w:t>
      </w:r>
      <w:proofErr w:type="spellStart"/>
      <w:r>
        <w:rPr>
          <w:rFonts w:cstheme="minorHAnsi"/>
        </w:rPr>
        <w:t>Angoff</w:t>
      </w:r>
      <w:proofErr w:type="spellEnd"/>
      <w:r>
        <w:rPr>
          <w:rFonts w:cstheme="minorHAnsi"/>
        </w:rPr>
        <w:t xml:space="preserve"> method, and for Module 3 by </w:t>
      </w:r>
      <w:r w:rsidR="00B052E3">
        <w:rPr>
          <w:rFonts w:cstheme="minorHAnsi"/>
        </w:rPr>
        <w:t>Borderline</w:t>
      </w:r>
      <w:r>
        <w:rPr>
          <w:rFonts w:cstheme="minorHAnsi"/>
        </w:rPr>
        <w:t xml:space="preserve"> Regression. </w:t>
      </w:r>
      <w:r w:rsidR="006F4383">
        <w:rPr>
          <w:rFonts w:cstheme="minorHAnsi"/>
        </w:rPr>
        <w:t>Module 3 had an additional conjunctive conditio</w:t>
      </w:r>
      <w:r w:rsidR="00000E71">
        <w:rPr>
          <w:rFonts w:cstheme="minorHAnsi"/>
        </w:rPr>
        <w:t>n</w:t>
      </w:r>
      <w:r w:rsidR="0003605A">
        <w:rPr>
          <w:rFonts w:cstheme="minorHAnsi"/>
        </w:rPr>
        <w:t xml:space="preserve"> which was</w:t>
      </w:r>
      <w:r w:rsidR="00000E71">
        <w:rPr>
          <w:rFonts w:cstheme="minorHAnsi"/>
        </w:rPr>
        <w:t xml:space="preserve"> that candidates </w:t>
      </w:r>
      <w:r w:rsidR="00000E71" w:rsidRPr="007445F4">
        <w:rPr>
          <w:rFonts w:cstheme="minorHAnsi"/>
        </w:rPr>
        <w:t xml:space="preserve">had to pass at least 75% </w:t>
      </w:r>
      <w:r w:rsidR="006F4383" w:rsidRPr="007445F4">
        <w:rPr>
          <w:rFonts w:cstheme="minorHAnsi"/>
        </w:rPr>
        <w:t>of the OSCE stations</w:t>
      </w:r>
      <w:r w:rsidR="007445F4" w:rsidRPr="007445F4">
        <w:rPr>
          <w:rFonts w:cstheme="minorHAnsi"/>
        </w:rPr>
        <w:t>.</w:t>
      </w:r>
    </w:p>
    <w:p w14:paraId="79268EC1" w14:textId="26AB404C" w:rsidR="00E66804" w:rsidRPr="00E66804" w:rsidRDefault="003A622D" w:rsidP="00E66804">
      <w:pPr>
        <w:spacing w:line="480" w:lineRule="auto"/>
        <w:rPr>
          <w:rFonts w:cstheme="minorHAnsi"/>
        </w:rPr>
      </w:pPr>
      <w:r>
        <w:rPr>
          <w:rFonts w:cstheme="minorHAnsi"/>
        </w:rPr>
        <w:t xml:space="preserve">The anonymised </w:t>
      </w:r>
      <w:r w:rsidR="00412925">
        <w:rPr>
          <w:rFonts w:cstheme="minorHAnsi"/>
        </w:rPr>
        <w:t>c</w:t>
      </w:r>
      <w:r w:rsidR="006F4383">
        <w:rPr>
          <w:rFonts w:cstheme="minorHAnsi"/>
        </w:rPr>
        <w:t xml:space="preserve">andidates were classified by their performance in </w:t>
      </w:r>
      <w:r w:rsidR="00F417D0">
        <w:rPr>
          <w:rFonts w:cstheme="minorHAnsi"/>
        </w:rPr>
        <w:t>each of</w:t>
      </w:r>
      <w:r w:rsidR="006F4383">
        <w:rPr>
          <w:rFonts w:cstheme="minorHAnsi"/>
        </w:rPr>
        <w:t xml:space="preserve"> their modules</w:t>
      </w:r>
      <w:r w:rsidR="00F417D0">
        <w:rPr>
          <w:rFonts w:cstheme="minorHAnsi"/>
        </w:rPr>
        <w:t xml:space="preserve">, with reference to the Standard Error of Measurement (SEM) of the </w:t>
      </w:r>
      <w:r w:rsidR="007932FE">
        <w:rPr>
          <w:rFonts w:cstheme="minorHAnsi"/>
        </w:rPr>
        <w:t>exam and</w:t>
      </w:r>
      <w:r w:rsidR="00F417D0">
        <w:rPr>
          <w:rFonts w:cstheme="minorHAnsi"/>
        </w:rPr>
        <w:t xml:space="preserve"> given a corresponding score as described </w:t>
      </w:r>
      <w:r w:rsidR="007932FE">
        <w:rPr>
          <w:rFonts w:cstheme="minorHAnsi"/>
        </w:rPr>
        <w:t>in Table 1</w:t>
      </w:r>
      <w:r w:rsidR="006F4383">
        <w:rPr>
          <w:rFonts w:cstheme="minorHAnsi"/>
        </w:rPr>
        <w:t xml:space="preserve">. </w:t>
      </w:r>
    </w:p>
    <w:tbl>
      <w:tblPr>
        <w:tblStyle w:val="TableGrid"/>
        <w:tblW w:w="0" w:type="auto"/>
        <w:tblLook w:val="04A0" w:firstRow="1" w:lastRow="0" w:firstColumn="1" w:lastColumn="0" w:noHBand="0" w:noVBand="1"/>
      </w:tblPr>
      <w:tblGrid>
        <w:gridCol w:w="2831"/>
        <w:gridCol w:w="2831"/>
        <w:gridCol w:w="2832"/>
      </w:tblGrid>
      <w:tr w:rsidR="00E66804" w14:paraId="5B4C0AD7" w14:textId="77777777" w:rsidTr="003B036C">
        <w:tc>
          <w:tcPr>
            <w:tcW w:w="2831" w:type="dxa"/>
          </w:tcPr>
          <w:p w14:paraId="573F713B" w14:textId="77777777" w:rsidR="00E66804" w:rsidRDefault="00E66804" w:rsidP="003B036C">
            <w:pPr>
              <w:jc w:val="center"/>
            </w:pPr>
            <w:r>
              <w:t>Description</w:t>
            </w:r>
          </w:p>
        </w:tc>
        <w:tc>
          <w:tcPr>
            <w:tcW w:w="2831" w:type="dxa"/>
          </w:tcPr>
          <w:p w14:paraId="37E7CCA9" w14:textId="77777777" w:rsidR="00E66804" w:rsidRDefault="00E66804" w:rsidP="003B036C">
            <w:pPr>
              <w:jc w:val="center"/>
            </w:pPr>
            <w:r>
              <w:t>Boundaries</w:t>
            </w:r>
          </w:p>
        </w:tc>
        <w:tc>
          <w:tcPr>
            <w:tcW w:w="2832" w:type="dxa"/>
          </w:tcPr>
          <w:p w14:paraId="52A33C45" w14:textId="77777777" w:rsidR="00E66804" w:rsidRDefault="00E66804" w:rsidP="003B036C">
            <w:pPr>
              <w:jc w:val="center"/>
            </w:pPr>
            <w:r>
              <w:t>Score</w:t>
            </w:r>
          </w:p>
        </w:tc>
      </w:tr>
      <w:tr w:rsidR="00E66804" w14:paraId="5DFB9AE3" w14:textId="77777777" w:rsidTr="003B036C">
        <w:tc>
          <w:tcPr>
            <w:tcW w:w="2831" w:type="dxa"/>
          </w:tcPr>
          <w:p w14:paraId="0F48C9E7" w14:textId="77777777" w:rsidR="00E66804" w:rsidRPr="00B2667F" w:rsidRDefault="00E66804" w:rsidP="003B036C">
            <w:pPr>
              <w:spacing w:before="240"/>
              <w:jc w:val="center"/>
              <w:rPr>
                <w:rFonts w:cstheme="minorHAnsi"/>
              </w:rPr>
            </w:pPr>
            <w:r w:rsidRPr="00B2667F">
              <w:rPr>
                <w:rFonts w:cstheme="minorHAnsi"/>
              </w:rPr>
              <w:t>Possible Borderline</w:t>
            </w:r>
          </w:p>
        </w:tc>
        <w:tc>
          <w:tcPr>
            <w:tcW w:w="2831" w:type="dxa"/>
          </w:tcPr>
          <w:p w14:paraId="767656B1" w14:textId="77777777" w:rsidR="00E66804" w:rsidRPr="00B2667F" w:rsidRDefault="00E66804" w:rsidP="003B036C">
            <w:pPr>
              <w:jc w:val="center"/>
              <w:rPr>
                <w:rFonts w:cstheme="minorHAnsi"/>
              </w:rPr>
            </w:pPr>
            <w:r w:rsidRPr="00B2667F">
              <w:rPr>
                <w:rFonts w:cstheme="minorHAnsi"/>
              </w:rPr>
              <w:t xml:space="preserve">between 1 and 2 SEM </w:t>
            </w:r>
            <w:r w:rsidRPr="00B2667F">
              <w:rPr>
                <w:rFonts w:cstheme="minorHAnsi"/>
                <w:i/>
              </w:rPr>
              <w:t>above</w:t>
            </w:r>
            <w:r w:rsidRPr="00B2667F">
              <w:rPr>
                <w:rFonts w:cstheme="minorHAnsi"/>
              </w:rPr>
              <w:t xml:space="preserve"> the cut score</w:t>
            </w:r>
          </w:p>
        </w:tc>
        <w:tc>
          <w:tcPr>
            <w:tcW w:w="2832" w:type="dxa"/>
          </w:tcPr>
          <w:p w14:paraId="34E8B1D9" w14:textId="77777777" w:rsidR="00E66804" w:rsidRPr="00B2667F" w:rsidRDefault="00E66804" w:rsidP="003B036C">
            <w:pPr>
              <w:spacing w:before="240"/>
              <w:jc w:val="center"/>
              <w:rPr>
                <w:rFonts w:cstheme="minorHAnsi"/>
              </w:rPr>
            </w:pPr>
            <w:r w:rsidRPr="00B2667F">
              <w:rPr>
                <w:rFonts w:cstheme="minorHAnsi"/>
              </w:rPr>
              <w:t>0.5 points</w:t>
            </w:r>
          </w:p>
        </w:tc>
      </w:tr>
      <w:tr w:rsidR="00E66804" w14:paraId="3BA13777" w14:textId="77777777" w:rsidTr="003B036C">
        <w:tc>
          <w:tcPr>
            <w:tcW w:w="2831" w:type="dxa"/>
          </w:tcPr>
          <w:p w14:paraId="1871D421" w14:textId="77777777" w:rsidR="00E66804" w:rsidRPr="00B2667F" w:rsidRDefault="00E66804" w:rsidP="003B036C">
            <w:pPr>
              <w:spacing w:before="240"/>
              <w:jc w:val="center"/>
              <w:rPr>
                <w:rFonts w:cstheme="minorHAnsi"/>
              </w:rPr>
            </w:pPr>
            <w:r w:rsidRPr="00B2667F">
              <w:rPr>
                <w:rFonts w:cstheme="minorHAnsi"/>
              </w:rPr>
              <w:t>Probable Borderline</w:t>
            </w:r>
          </w:p>
        </w:tc>
        <w:tc>
          <w:tcPr>
            <w:tcW w:w="2831" w:type="dxa"/>
          </w:tcPr>
          <w:p w14:paraId="61E3AB69" w14:textId="77777777" w:rsidR="00E66804" w:rsidRPr="00B2667F" w:rsidRDefault="00E66804" w:rsidP="003B036C">
            <w:pPr>
              <w:spacing w:before="240"/>
              <w:jc w:val="center"/>
              <w:rPr>
                <w:rFonts w:cstheme="minorHAnsi"/>
              </w:rPr>
            </w:pPr>
            <w:r w:rsidRPr="00B2667F">
              <w:rPr>
                <w:rFonts w:cstheme="minorHAnsi"/>
              </w:rPr>
              <w:t>within 1 SEM of the cut score</w:t>
            </w:r>
          </w:p>
        </w:tc>
        <w:tc>
          <w:tcPr>
            <w:tcW w:w="2832" w:type="dxa"/>
          </w:tcPr>
          <w:p w14:paraId="7633C889" w14:textId="77777777" w:rsidR="00E66804" w:rsidRPr="00B2667F" w:rsidRDefault="00E66804" w:rsidP="003B036C">
            <w:pPr>
              <w:spacing w:before="240"/>
              <w:jc w:val="center"/>
              <w:rPr>
                <w:rFonts w:cstheme="minorHAnsi"/>
              </w:rPr>
            </w:pPr>
            <w:r>
              <w:rPr>
                <w:rFonts w:cstheme="minorHAnsi"/>
              </w:rPr>
              <w:t>1 point</w:t>
            </w:r>
          </w:p>
        </w:tc>
      </w:tr>
      <w:tr w:rsidR="00E66804" w14:paraId="16FA1917" w14:textId="77777777" w:rsidTr="003B036C">
        <w:tc>
          <w:tcPr>
            <w:tcW w:w="2831" w:type="dxa"/>
          </w:tcPr>
          <w:p w14:paraId="32D9A846" w14:textId="77777777" w:rsidR="00E66804" w:rsidRPr="00B2667F" w:rsidRDefault="00E66804" w:rsidP="003B036C">
            <w:pPr>
              <w:spacing w:before="240"/>
              <w:jc w:val="center"/>
              <w:rPr>
                <w:rFonts w:cstheme="minorHAnsi"/>
              </w:rPr>
            </w:pPr>
            <w:r w:rsidRPr="00B2667F">
              <w:rPr>
                <w:rFonts w:cstheme="minorHAnsi"/>
              </w:rPr>
              <w:t>Definite Borderline</w:t>
            </w:r>
          </w:p>
        </w:tc>
        <w:tc>
          <w:tcPr>
            <w:tcW w:w="2831" w:type="dxa"/>
          </w:tcPr>
          <w:p w14:paraId="63194950" w14:textId="77777777" w:rsidR="00E66804" w:rsidRPr="00B2667F" w:rsidRDefault="00E66804" w:rsidP="003B036C">
            <w:pPr>
              <w:spacing w:before="240"/>
              <w:jc w:val="center"/>
              <w:rPr>
                <w:rFonts w:cstheme="minorHAnsi"/>
              </w:rPr>
            </w:pPr>
            <w:r w:rsidRPr="00B2667F">
              <w:rPr>
                <w:rFonts w:cstheme="minorHAnsi"/>
              </w:rPr>
              <w:t xml:space="preserve">between 1 and 2 SEM </w:t>
            </w:r>
            <w:r w:rsidRPr="00B2667F">
              <w:rPr>
                <w:rFonts w:cstheme="minorHAnsi"/>
                <w:i/>
                <w:iCs/>
              </w:rPr>
              <w:t>below</w:t>
            </w:r>
            <w:r w:rsidRPr="00B2667F">
              <w:rPr>
                <w:rFonts w:cstheme="minorHAnsi"/>
              </w:rPr>
              <w:t xml:space="preserve"> the cut score</w:t>
            </w:r>
          </w:p>
        </w:tc>
        <w:tc>
          <w:tcPr>
            <w:tcW w:w="2832" w:type="dxa"/>
          </w:tcPr>
          <w:p w14:paraId="5C1E71A1" w14:textId="77777777" w:rsidR="00E66804" w:rsidRPr="00B2667F" w:rsidRDefault="00E66804" w:rsidP="003B036C">
            <w:pPr>
              <w:spacing w:before="240"/>
              <w:jc w:val="center"/>
              <w:rPr>
                <w:rFonts w:cstheme="minorHAnsi"/>
              </w:rPr>
            </w:pPr>
            <w:r w:rsidRPr="00B2667F">
              <w:rPr>
                <w:rFonts w:cstheme="minorHAnsi"/>
              </w:rPr>
              <w:t>2 points</w:t>
            </w:r>
          </w:p>
        </w:tc>
      </w:tr>
    </w:tbl>
    <w:p w14:paraId="13A1348A" w14:textId="77777777" w:rsidR="00E66804" w:rsidRDefault="00E66804" w:rsidP="00E66804">
      <w:pPr>
        <w:spacing w:line="480" w:lineRule="auto"/>
      </w:pPr>
    </w:p>
    <w:p w14:paraId="1AD504D1" w14:textId="15FA5E99" w:rsidR="00E66804" w:rsidRDefault="00E66804" w:rsidP="00925D98">
      <w:pPr>
        <w:spacing w:line="480" w:lineRule="auto"/>
      </w:pPr>
      <w:r>
        <w:t>Table 1. Boundaries and score allocations for various Borderline categories</w:t>
      </w:r>
    </w:p>
    <w:p w14:paraId="28DC08B8" w14:textId="45FD2278" w:rsidR="00E66804" w:rsidRDefault="006F4383" w:rsidP="00925D98">
      <w:pPr>
        <w:spacing w:line="480" w:lineRule="auto"/>
        <w:rPr>
          <w:rFonts w:cstheme="minorHAnsi"/>
        </w:rPr>
      </w:pPr>
      <w:r>
        <w:rPr>
          <w:rFonts w:cstheme="minorHAnsi"/>
        </w:rPr>
        <w:t>For the skills mod</w:t>
      </w:r>
      <w:r w:rsidR="006857DE">
        <w:rPr>
          <w:rFonts w:cstheme="minorHAnsi"/>
        </w:rPr>
        <w:t>ule, candidates who had failed 25%</w:t>
      </w:r>
      <w:r>
        <w:rPr>
          <w:rFonts w:cstheme="minorHAnsi"/>
        </w:rPr>
        <w:t xml:space="preserve"> of the OSCE stations were also considered </w:t>
      </w:r>
      <w:r w:rsidR="007932FE">
        <w:rPr>
          <w:rFonts w:cstheme="minorHAnsi"/>
        </w:rPr>
        <w:t>Borderline and</w:t>
      </w:r>
      <w:r>
        <w:rPr>
          <w:rFonts w:cstheme="minorHAnsi"/>
        </w:rPr>
        <w:t xml:space="preserve"> </w:t>
      </w:r>
      <w:r w:rsidR="00741B16">
        <w:rPr>
          <w:rFonts w:cstheme="minorHAnsi"/>
        </w:rPr>
        <w:t>scored</w:t>
      </w:r>
      <w:r>
        <w:rPr>
          <w:rFonts w:cstheme="minorHAnsi"/>
        </w:rPr>
        <w:t xml:space="preserve"> </w:t>
      </w:r>
      <w:r w:rsidR="00741B16">
        <w:rPr>
          <w:rFonts w:cstheme="minorHAnsi"/>
        </w:rPr>
        <w:t xml:space="preserve">1 </w:t>
      </w:r>
      <w:r>
        <w:rPr>
          <w:rFonts w:cstheme="minorHAnsi"/>
        </w:rPr>
        <w:t xml:space="preserve">point. </w:t>
      </w:r>
      <w:r w:rsidR="003A622D">
        <w:rPr>
          <w:rFonts w:cstheme="minorHAnsi"/>
        </w:rPr>
        <w:t xml:space="preserve">See Table </w:t>
      </w:r>
      <w:r w:rsidR="007932FE">
        <w:rPr>
          <w:rFonts w:cstheme="minorHAnsi"/>
        </w:rPr>
        <w:t>2</w:t>
      </w:r>
      <w:r w:rsidR="003A622D">
        <w:rPr>
          <w:rFonts w:cstheme="minorHAnsi"/>
        </w:rPr>
        <w:t xml:space="preserve"> for the distribution of scores</w:t>
      </w:r>
      <w:r w:rsidR="004F7971">
        <w:rPr>
          <w:rFonts w:cstheme="minorHAnsi"/>
        </w:rPr>
        <w:t xml:space="preserve"> in this </w:t>
      </w:r>
      <w:proofErr w:type="gramStart"/>
      <w:r w:rsidR="004F7971">
        <w:rPr>
          <w:rFonts w:cstheme="minorHAnsi"/>
        </w:rPr>
        <w:t>particular cohort</w:t>
      </w:r>
      <w:proofErr w:type="gramEnd"/>
      <w:r w:rsidR="003A622D">
        <w:rPr>
          <w:rFonts w:cstheme="minorHAnsi"/>
        </w:rPr>
        <w:t>.</w:t>
      </w:r>
    </w:p>
    <w:tbl>
      <w:tblPr>
        <w:tblStyle w:val="TableGrid"/>
        <w:tblW w:w="0" w:type="auto"/>
        <w:tblLook w:val="04A0" w:firstRow="1" w:lastRow="0" w:firstColumn="1" w:lastColumn="0" w:noHBand="0" w:noVBand="1"/>
      </w:tblPr>
      <w:tblGrid>
        <w:gridCol w:w="1746"/>
        <w:gridCol w:w="1746"/>
      </w:tblGrid>
      <w:tr w:rsidR="00E66804" w14:paraId="6F1416F7" w14:textId="77777777" w:rsidTr="003B036C">
        <w:trPr>
          <w:trHeight w:val="457"/>
        </w:trPr>
        <w:tc>
          <w:tcPr>
            <w:tcW w:w="1746" w:type="dxa"/>
          </w:tcPr>
          <w:p w14:paraId="1C47397C" w14:textId="77777777" w:rsidR="00E66804" w:rsidRPr="00EE2293" w:rsidRDefault="00E66804" w:rsidP="00E66804">
            <w:pPr>
              <w:jc w:val="center"/>
            </w:pPr>
            <w:r w:rsidRPr="00EE2293">
              <w:rPr>
                <w:b/>
                <w:bCs/>
              </w:rPr>
              <w:t>‘Borderline’ Points</w:t>
            </w:r>
          </w:p>
        </w:tc>
        <w:tc>
          <w:tcPr>
            <w:tcW w:w="1746" w:type="dxa"/>
          </w:tcPr>
          <w:p w14:paraId="73751E30" w14:textId="77777777" w:rsidR="00E66804" w:rsidRPr="00EE2293" w:rsidRDefault="00E66804" w:rsidP="00E66804">
            <w:pPr>
              <w:jc w:val="center"/>
            </w:pPr>
            <w:r w:rsidRPr="00EE2293">
              <w:rPr>
                <w:b/>
                <w:bCs/>
              </w:rPr>
              <w:t>% of Cohort</w:t>
            </w:r>
          </w:p>
        </w:tc>
      </w:tr>
      <w:tr w:rsidR="00E66804" w14:paraId="1F16B3B5" w14:textId="77777777" w:rsidTr="003B036C">
        <w:trPr>
          <w:trHeight w:val="466"/>
        </w:trPr>
        <w:tc>
          <w:tcPr>
            <w:tcW w:w="1746" w:type="dxa"/>
          </w:tcPr>
          <w:p w14:paraId="70C1E190" w14:textId="77777777" w:rsidR="00E66804" w:rsidRPr="00EE2293" w:rsidRDefault="00E66804" w:rsidP="00E66804">
            <w:pPr>
              <w:jc w:val="center"/>
            </w:pPr>
            <w:r w:rsidRPr="00EE2293">
              <w:t>0.5</w:t>
            </w:r>
          </w:p>
        </w:tc>
        <w:tc>
          <w:tcPr>
            <w:tcW w:w="1746" w:type="dxa"/>
          </w:tcPr>
          <w:p w14:paraId="58F73770" w14:textId="77777777" w:rsidR="00E66804" w:rsidRPr="00EE2293" w:rsidRDefault="00E66804" w:rsidP="00E66804">
            <w:pPr>
              <w:jc w:val="center"/>
            </w:pPr>
            <w:r w:rsidRPr="00EE2293">
              <w:t>12</w:t>
            </w:r>
          </w:p>
        </w:tc>
      </w:tr>
      <w:tr w:rsidR="00E66804" w14:paraId="17318342" w14:textId="77777777" w:rsidTr="003B036C">
        <w:trPr>
          <w:trHeight w:val="457"/>
        </w:trPr>
        <w:tc>
          <w:tcPr>
            <w:tcW w:w="1746" w:type="dxa"/>
          </w:tcPr>
          <w:p w14:paraId="44F8EF6F" w14:textId="77777777" w:rsidR="00E66804" w:rsidRPr="00EE2293" w:rsidRDefault="00E66804" w:rsidP="00E66804">
            <w:pPr>
              <w:jc w:val="center"/>
            </w:pPr>
            <w:r w:rsidRPr="00EE2293">
              <w:lastRenderedPageBreak/>
              <w:t>1</w:t>
            </w:r>
          </w:p>
        </w:tc>
        <w:tc>
          <w:tcPr>
            <w:tcW w:w="1746" w:type="dxa"/>
          </w:tcPr>
          <w:p w14:paraId="1D065682" w14:textId="77777777" w:rsidR="00E66804" w:rsidRPr="00EE2293" w:rsidRDefault="00E66804" w:rsidP="00E66804">
            <w:pPr>
              <w:jc w:val="center"/>
            </w:pPr>
            <w:r w:rsidRPr="00EE2293">
              <w:t>9</w:t>
            </w:r>
          </w:p>
        </w:tc>
      </w:tr>
      <w:tr w:rsidR="00E66804" w14:paraId="50274826" w14:textId="77777777" w:rsidTr="003B036C">
        <w:trPr>
          <w:trHeight w:val="466"/>
        </w:trPr>
        <w:tc>
          <w:tcPr>
            <w:tcW w:w="1746" w:type="dxa"/>
          </w:tcPr>
          <w:p w14:paraId="61854022" w14:textId="77777777" w:rsidR="00E66804" w:rsidRPr="00EE2293" w:rsidRDefault="00E66804" w:rsidP="00E66804">
            <w:pPr>
              <w:jc w:val="center"/>
            </w:pPr>
            <w:r w:rsidRPr="00EE2293">
              <w:t>1.5</w:t>
            </w:r>
          </w:p>
        </w:tc>
        <w:tc>
          <w:tcPr>
            <w:tcW w:w="1746" w:type="dxa"/>
          </w:tcPr>
          <w:p w14:paraId="4FFA4B4A" w14:textId="77777777" w:rsidR="00E66804" w:rsidRPr="00EE2293" w:rsidRDefault="00E66804" w:rsidP="00E66804">
            <w:pPr>
              <w:jc w:val="center"/>
            </w:pPr>
            <w:r w:rsidRPr="00EE2293">
              <w:t>5</w:t>
            </w:r>
          </w:p>
        </w:tc>
      </w:tr>
      <w:tr w:rsidR="00E66804" w14:paraId="38E2D451" w14:textId="77777777" w:rsidTr="003B036C">
        <w:trPr>
          <w:trHeight w:val="457"/>
        </w:trPr>
        <w:tc>
          <w:tcPr>
            <w:tcW w:w="1746" w:type="dxa"/>
          </w:tcPr>
          <w:p w14:paraId="0E07B3B9" w14:textId="77777777" w:rsidR="00E66804" w:rsidRPr="00EE2293" w:rsidRDefault="00E66804" w:rsidP="00E66804">
            <w:pPr>
              <w:jc w:val="center"/>
            </w:pPr>
            <w:r w:rsidRPr="00EE2293">
              <w:t>2</w:t>
            </w:r>
          </w:p>
        </w:tc>
        <w:tc>
          <w:tcPr>
            <w:tcW w:w="1746" w:type="dxa"/>
          </w:tcPr>
          <w:p w14:paraId="5886727C" w14:textId="77777777" w:rsidR="00E66804" w:rsidRPr="00EE2293" w:rsidRDefault="00E66804" w:rsidP="00E66804">
            <w:pPr>
              <w:jc w:val="center"/>
            </w:pPr>
            <w:r w:rsidRPr="00EE2293">
              <w:t>4</w:t>
            </w:r>
          </w:p>
        </w:tc>
      </w:tr>
      <w:tr w:rsidR="00E66804" w14:paraId="49F6B3AA" w14:textId="77777777" w:rsidTr="003B036C">
        <w:trPr>
          <w:trHeight w:val="466"/>
        </w:trPr>
        <w:tc>
          <w:tcPr>
            <w:tcW w:w="1746" w:type="dxa"/>
          </w:tcPr>
          <w:p w14:paraId="70F7F606" w14:textId="77777777" w:rsidR="00E66804" w:rsidRPr="00EE2293" w:rsidRDefault="00E66804" w:rsidP="00E66804">
            <w:pPr>
              <w:jc w:val="center"/>
            </w:pPr>
            <w:r w:rsidRPr="00EE2293">
              <w:t>2.5</w:t>
            </w:r>
          </w:p>
        </w:tc>
        <w:tc>
          <w:tcPr>
            <w:tcW w:w="1746" w:type="dxa"/>
          </w:tcPr>
          <w:p w14:paraId="73A632C5" w14:textId="77777777" w:rsidR="00E66804" w:rsidRPr="00EE2293" w:rsidRDefault="00E66804" w:rsidP="00E66804">
            <w:pPr>
              <w:jc w:val="center"/>
            </w:pPr>
            <w:r w:rsidRPr="00EE2293">
              <w:t>2</w:t>
            </w:r>
          </w:p>
        </w:tc>
      </w:tr>
      <w:tr w:rsidR="00E66804" w14:paraId="367646E2" w14:textId="77777777" w:rsidTr="003B036C">
        <w:trPr>
          <w:trHeight w:val="457"/>
        </w:trPr>
        <w:tc>
          <w:tcPr>
            <w:tcW w:w="1746" w:type="dxa"/>
          </w:tcPr>
          <w:p w14:paraId="18576397" w14:textId="77777777" w:rsidR="00E66804" w:rsidRPr="00EE2293" w:rsidRDefault="00E66804" w:rsidP="00E66804">
            <w:pPr>
              <w:jc w:val="center"/>
            </w:pPr>
            <w:r w:rsidRPr="00EE2293">
              <w:t>3</w:t>
            </w:r>
          </w:p>
        </w:tc>
        <w:tc>
          <w:tcPr>
            <w:tcW w:w="1746" w:type="dxa"/>
          </w:tcPr>
          <w:p w14:paraId="6B9461BC" w14:textId="77777777" w:rsidR="00E66804" w:rsidRPr="00EE2293" w:rsidRDefault="00E66804" w:rsidP="00E66804">
            <w:pPr>
              <w:jc w:val="center"/>
            </w:pPr>
            <w:r w:rsidRPr="00EE2293">
              <w:t>2</w:t>
            </w:r>
          </w:p>
        </w:tc>
      </w:tr>
      <w:tr w:rsidR="00E66804" w14:paraId="57F6F750" w14:textId="77777777" w:rsidTr="003B036C">
        <w:trPr>
          <w:trHeight w:val="466"/>
        </w:trPr>
        <w:tc>
          <w:tcPr>
            <w:tcW w:w="1746" w:type="dxa"/>
          </w:tcPr>
          <w:p w14:paraId="728A20FE" w14:textId="77777777" w:rsidR="00E66804" w:rsidRPr="00EE2293" w:rsidRDefault="00E66804" w:rsidP="00E66804">
            <w:pPr>
              <w:jc w:val="center"/>
            </w:pPr>
            <w:r w:rsidRPr="00EE2293">
              <w:t>3.5</w:t>
            </w:r>
          </w:p>
        </w:tc>
        <w:tc>
          <w:tcPr>
            <w:tcW w:w="1746" w:type="dxa"/>
          </w:tcPr>
          <w:p w14:paraId="3820A8C2" w14:textId="77777777" w:rsidR="00E66804" w:rsidRPr="00EE2293" w:rsidRDefault="00E66804" w:rsidP="00E66804">
            <w:pPr>
              <w:jc w:val="center"/>
            </w:pPr>
            <w:r w:rsidRPr="00EE2293">
              <w:t>1</w:t>
            </w:r>
          </w:p>
        </w:tc>
      </w:tr>
      <w:tr w:rsidR="00E66804" w14:paraId="2B8ED14B" w14:textId="77777777" w:rsidTr="003B036C">
        <w:trPr>
          <w:trHeight w:val="457"/>
        </w:trPr>
        <w:tc>
          <w:tcPr>
            <w:tcW w:w="1746" w:type="dxa"/>
          </w:tcPr>
          <w:p w14:paraId="387A93ED" w14:textId="77777777" w:rsidR="00E66804" w:rsidRPr="00EE2293" w:rsidRDefault="00E66804" w:rsidP="00E66804">
            <w:pPr>
              <w:jc w:val="center"/>
            </w:pPr>
            <w:r w:rsidRPr="00EE2293">
              <w:t>4</w:t>
            </w:r>
          </w:p>
        </w:tc>
        <w:tc>
          <w:tcPr>
            <w:tcW w:w="1746" w:type="dxa"/>
          </w:tcPr>
          <w:p w14:paraId="5189B919" w14:textId="77777777" w:rsidR="00E66804" w:rsidRPr="00EE2293" w:rsidRDefault="00E66804" w:rsidP="00E66804">
            <w:pPr>
              <w:jc w:val="center"/>
            </w:pPr>
            <w:r w:rsidRPr="00EE2293">
              <w:t>1</w:t>
            </w:r>
          </w:p>
        </w:tc>
      </w:tr>
      <w:tr w:rsidR="00E66804" w14:paraId="1EC5BA56" w14:textId="77777777" w:rsidTr="003B036C">
        <w:trPr>
          <w:trHeight w:val="466"/>
        </w:trPr>
        <w:tc>
          <w:tcPr>
            <w:tcW w:w="1746" w:type="dxa"/>
          </w:tcPr>
          <w:p w14:paraId="21000297" w14:textId="77777777" w:rsidR="00E66804" w:rsidRPr="00EE2293" w:rsidRDefault="00E66804" w:rsidP="00E66804">
            <w:pPr>
              <w:jc w:val="center"/>
            </w:pPr>
            <w:r w:rsidRPr="00EE2293">
              <w:t>4.5</w:t>
            </w:r>
          </w:p>
        </w:tc>
        <w:tc>
          <w:tcPr>
            <w:tcW w:w="1746" w:type="dxa"/>
          </w:tcPr>
          <w:p w14:paraId="18701441" w14:textId="77777777" w:rsidR="00E66804" w:rsidRPr="00EE2293" w:rsidRDefault="00E66804" w:rsidP="00E66804">
            <w:pPr>
              <w:jc w:val="center"/>
            </w:pPr>
            <w:r w:rsidRPr="00EE2293">
              <w:t>2</w:t>
            </w:r>
          </w:p>
        </w:tc>
      </w:tr>
      <w:tr w:rsidR="00E66804" w14:paraId="2256AB3F" w14:textId="77777777" w:rsidTr="003B036C">
        <w:trPr>
          <w:trHeight w:val="457"/>
        </w:trPr>
        <w:tc>
          <w:tcPr>
            <w:tcW w:w="1746" w:type="dxa"/>
          </w:tcPr>
          <w:p w14:paraId="228A3BFA" w14:textId="77777777" w:rsidR="00E66804" w:rsidRPr="00EE2293" w:rsidRDefault="00E66804" w:rsidP="00E66804">
            <w:pPr>
              <w:jc w:val="center"/>
            </w:pPr>
            <w:r w:rsidRPr="00EE2293">
              <w:t>5</w:t>
            </w:r>
          </w:p>
        </w:tc>
        <w:tc>
          <w:tcPr>
            <w:tcW w:w="1746" w:type="dxa"/>
          </w:tcPr>
          <w:p w14:paraId="2C2BAB48" w14:textId="77777777" w:rsidR="00E66804" w:rsidRPr="00EE2293" w:rsidRDefault="00E66804" w:rsidP="00E66804">
            <w:pPr>
              <w:jc w:val="center"/>
            </w:pPr>
            <w:r w:rsidRPr="00EE2293">
              <w:t>2</w:t>
            </w:r>
          </w:p>
        </w:tc>
      </w:tr>
      <w:tr w:rsidR="00E66804" w14:paraId="60E3F24D" w14:textId="77777777" w:rsidTr="003B036C">
        <w:trPr>
          <w:trHeight w:val="457"/>
        </w:trPr>
        <w:tc>
          <w:tcPr>
            <w:tcW w:w="1746" w:type="dxa"/>
          </w:tcPr>
          <w:p w14:paraId="71F44B4D" w14:textId="77777777" w:rsidR="00E66804" w:rsidRPr="00EE2293" w:rsidRDefault="00E66804" w:rsidP="00E66804">
            <w:pPr>
              <w:jc w:val="center"/>
            </w:pPr>
            <w:r w:rsidRPr="00EE2293">
              <w:t>5.5</w:t>
            </w:r>
          </w:p>
        </w:tc>
        <w:tc>
          <w:tcPr>
            <w:tcW w:w="1746" w:type="dxa"/>
          </w:tcPr>
          <w:p w14:paraId="43F9CAC0" w14:textId="77777777" w:rsidR="00E66804" w:rsidRPr="00EE2293" w:rsidRDefault="00E66804" w:rsidP="00E66804">
            <w:pPr>
              <w:jc w:val="center"/>
            </w:pPr>
            <w:r w:rsidRPr="00EE2293">
              <w:t>0</w:t>
            </w:r>
          </w:p>
        </w:tc>
      </w:tr>
      <w:tr w:rsidR="00E66804" w14:paraId="1E845230" w14:textId="77777777" w:rsidTr="003B036C">
        <w:trPr>
          <w:trHeight w:val="466"/>
        </w:trPr>
        <w:tc>
          <w:tcPr>
            <w:tcW w:w="1746" w:type="dxa"/>
          </w:tcPr>
          <w:p w14:paraId="23D369E9" w14:textId="77777777" w:rsidR="00E66804" w:rsidRPr="00EE2293" w:rsidRDefault="00E66804" w:rsidP="00E66804">
            <w:pPr>
              <w:jc w:val="center"/>
            </w:pPr>
            <w:r w:rsidRPr="00EE2293">
              <w:t>6</w:t>
            </w:r>
          </w:p>
        </w:tc>
        <w:tc>
          <w:tcPr>
            <w:tcW w:w="1746" w:type="dxa"/>
          </w:tcPr>
          <w:p w14:paraId="0092E5BE" w14:textId="77777777" w:rsidR="00E66804" w:rsidRPr="00EE2293" w:rsidRDefault="00E66804" w:rsidP="00E66804">
            <w:pPr>
              <w:jc w:val="center"/>
            </w:pPr>
            <w:r w:rsidRPr="00EE2293">
              <w:t>0</w:t>
            </w:r>
          </w:p>
        </w:tc>
      </w:tr>
      <w:tr w:rsidR="00E66804" w14:paraId="7804FC97" w14:textId="77777777" w:rsidTr="003B036C">
        <w:trPr>
          <w:trHeight w:val="457"/>
        </w:trPr>
        <w:tc>
          <w:tcPr>
            <w:tcW w:w="1746" w:type="dxa"/>
          </w:tcPr>
          <w:p w14:paraId="5551BCB3" w14:textId="77777777" w:rsidR="00E66804" w:rsidRPr="00EE2293" w:rsidRDefault="00E66804" w:rsidP="00E66804">
            <w:pPr>
              <w:jc w:val="center"/>
            </w:pPr>
            <w:r w:rsidRPr="00EE2293">
              <w:t>6.5</w:t>
            </w:r>
          </w:p>
        </w:tc>
        <w:tc>
          <w:tcPr>
            <w:tcW w:w="1746" w:type="dxa"/>
          </w:tcPr>
          <w:p w14:paraId="3BC10C63" w14:textId="77777777" w:rsidR="00E66804" w:rsidRPr="00EE2293" w:rsidRDefault="00E66804" w:rsidP="00E66804">
            <w:pPr>
              <w:jc w:val="center"/>
            </w:pPr>
            <w:r w:rsidRPr="00EE2293">
              <w:t>2</w:t>
            </w:r>
          </w:p>
        </w:tc>
      </w:tr>
      <w:tr w:rsidR="00E66804" w14:paraId="64C8AD68" w14:textId="77777777" w:rsidTr="003B036C">
        <w:trPr>
          <w:trHeight w:val="466"/>
        </w:trPr>
        <w:tc>
          <w:tcPr>
            <w:tcW w:w="1746" w:type="dxa"/>
          </w:tcPr>
          <w:p w14:paraId="725B29C2" w14:textId="77777777" w:rsidR="00E66804" w:rsidRPr="00EE2293" w:rsidRDefault="00E66804" w:rsidP="00E66804">
            <w:pPr>
              <w:jc w:val="center"/>
            </w:pPr>
            <w:r w:rsidRPr="00EE2293">
              <w:t>All</w:t>
            </w:r>
          </w:p>
        </w:tc>
        <w:tc>
          <w:tcPr>
            <w:tcW w:w="1746" w:type="dxa"/>
          </w:tcPr>
          <w:p w14:paraId="2E5DEFE3" w14:textId="77777777" w:rsidR="00E66804" w:rsidRPr="00EE2293" w:rsidRDefault="00E66804" w:rsidP="00E66804">
            <w:pPr>
              <w:jc w:val="center"/>
            </w:pPr>
            <w:r w:rsidRPr="00EE2293">
              <w:t>43</w:t>
            </w:r>
          </w:p>
        </w:tc>
      </w:tr>
    </w:tbl>
    <w:p w14:paraId="01B155BD" w14:textId="77777777" w:rsidR="00E66804" w:rsidRDefault="00E66804" w:rsidP="00E66804">
      <w:pPr>
        <w:spacing w:line="480" w:lineRule="auto"/>
      </w:pPr>
    </w:p>
    <w:p w14:paraId="0B32D6CE" w14:textId="77777777" w:rsidR="00E66804" w:rsidRDefault="00E66804" w:rsidP="00E66804">
      <w:pPr>
        <w:spacing w:line="480" w:lineRule="auto"/>
      </w:pPr>
      <w:r w:rsidRPr="00EE2293">
        <w:t xml:space="preserve">Table </w:t>
      </w:r>
      <w:r>
        <w:t>2</w:t>
      </w:r>
      <w:r w:rsidRPr="00EE2293">
        <w:t xml:space="preserve">. Proportions of candidates scoring various numbers of ‘borderline’ points as calculated in the text. Those scoring 0.5 points lay between 1 and 2 standard errors of measurement above the cut score. </w:t>
      </w:r>
    </w:p>
    <w:p w14:paraId="37ED6FA6" w14:textId="55E40D38" w:rsidR="006F4383" w:rsidRDefault="006F4383" w:rsidP="00925D98">
      <w:pPr>
        <w:spacing w:line="480" w:lineRule="auto"/>
        <w:rPr>
          <w:rFonts w:cstheme="minorHAnsi"/>
        </w:rPr>
      </w:pPr>
      <w:r>
        <w:rPr>
          <w:rFonts w:cstheme="minorHAnsi"/>
        </w:rPr>
        <w:t xml:space="preserve">Obviously, a candidate could gather points from more than </w:t>
      </w:r>
      <w:r w:rsidR="006857DE">
        <w:rPr>
          <w:rFonts w:cstheme="minorHAnsi"/>
        </w:rPr>
        <w:t>one module. Points ranged from 0.5</w:t>
      </w:r>
      <w:r>
        <w:rPr>
          <w:rFonts w:cstheme="minorHAnsi"/>
        </w:rPr>
        <w:t xml:space="preserve"> f</w:t>
      </w:r>
      <w:r w:rsidR="0003605A">
        <w:rPr>
          <w:rFonts w:cstheme="minorHAnsi"/>
        </w:rPr>
        <w:t>or</w:t>
      </w:r>
      <w:r>
        <w:rPr>
          <w:rFonts w:cstheme="minorHAnsi"/>
        </w:rPr>
        <w:t xml:space="preserve"> approxim</w:t>
      </w:r>
      <w:r w:rsidR="006D51DC">
        <w:rPr>
          <w:rFonts w:cstheme="minorHAnsi"/>
        </w:rPr>
        <w:t>ately 12</w:t>
      </w:r>
      <w:r w:rsidR="006857DE">
        <w:rPr>
          <w:rFonts w:cstheme="minorHAnsi"/>
        </w:rPr>
        <w:t>% of the cohort, to 6.5</w:t>
      </w:r>
      <w:r>
        <w:rPr>
          <w:rFonts w:cstheme="minorHAnsi"/>
        </w:rPr>
        <w:t xml:space="preserve"> for a few individuals</w:t>
      </w:r>
      <w:r w:rsidR="006D51DC">
        <w:rPr>
          <w:rFonts w:cstheme="minorHAnsi"/>
        </w:rPr>
        <w:t>. In total, approximately 43</w:t>
      </w:r>
      <w:r>
        <w:rPr>
          <w:rFonts w:cstheme="minorHAnsi"/>
        </w:rPr>
        <w:t>% of the cohort h</w:t>
      </w:r>
      <w:r w:rsidR="006857DE">
        <w:rPr>
          <w:rFonts w:cstheme="minorHAnsi"/>
        </w:rPr>
        <w:t>ad points. However, a total score of 0.5</w:t>
      </w:r>
      <w:r>
        <w:rPr>
          <w:rFonts w:cstheme="minorHAnsi"/>
        </w:rPr>
        <w:t xml:space="preserve"> point</w:t>
      </w:r>
      <w:r w:rsidR="006857DE">
        <w:rPr>
          <w:rFonts w:cstheme="minorHAnsi"/>
        </w:rPr>
        <w:t>s</w:t>
      </w:r>
      <w:r>
        <w:rPr>
          <w:rFonts w:cstheme="minorHAnsi"/>
        </w:rPr>
        <w:t xml:space="preserve"> represented a performance </w:t>
      </w:r>
      <w:r w:rsidR="006857DE">
        <w:rPr>
          <w:rFonts w:cstheme="minorHAnsi"/>
        </w:rPr>
        <w:t xml:space="preserve">between one and two SEM </w:t>
      </w:r>
      <w:r w:rsidR="006857DE" w:rsidRPr="00765929">
        <w:rPr>
          <w:rFonts w:cstheme="minorHAnsi"/>
          <w:i/>
        </w:rPr>
        <w:t>above</w:t>
      </w:r>
      <w:r w:rsidR="006857DE">
        <w:rPr>
          <w:rFonts w:cstheme="minorHAnsi"/>
        </w:rPr>
        <w:t xml:space="preserve"> the cut score in one Module only</w:t>
      </w:r>
      <w:r w:rsidR="006D51DC">
        <w:rPr>
          <w:rFonts w:cstheme="minorHAnsi"/>
        </w:rPr>
        <w:t xml:space="preserve">, which is likely to be </w:t>
      </w:r>
      <w:r w:rsidR="003A622D">
        <w:rPr>
          <w:rFonts w:cstheme="minorHAnsi"/>
        </w:rPr>
        <w:t>the result of chance for an otherwise satisfactory candidate</w:t>
      </w:r>
      <w:r w:rsidR="006857DE">
        <w:rPr>
          <w:rFonts w:cstheme="minorHAnsi"/>
        </w:rPr>
        <w:t xml:space="preserve">. </w:t>
      </w:r>
      <w:r>
        <w:rPr>
          <w:rFonts w:cstheme="minorHAnsi"/>
        </w:rPr>
        <w:t xml:space="preserve"> </w:t>
      </w:r>
    </w:p>
    <w:p w14:paraId="2AE100DB" w14:textId="0DD07FDA" w:rsidR="006D2EB0" w:rsidRDefault="00E16DEE" w:rsidP="00925D98">
      <w:pPr>
        <w:spacing w:line="480" w:lineRule="auto"/>
        <w:rPr>
          <w:rFonts w:cstheme="minorHAnsi"/>
        </w:rPr>
      </w:pPr>
      <w:r>
        <w:rPr>
          <w:rFonts w:cstheme="minorHAnsi"/>
        </w:rPr>
        <w:t xml:space="preserve">The Facility of the </w:t>
      </w:r>
      <w:r w:rsidR="00B052E3">
        <w:rPr>
          <w:rFonts w:cstheme="minorHAnsi"/>
        </w:rPr>
        <w:t>Borderline</w:t>
      </w:r>
      <w:r w:rsidR="002C0592">
        <w:rPr>
          <w:rFonts w:cstheme="minorHAnsi"/>
        </w:rPr>
        <w:t xml:space="preserve"> candidates</w:t>
      </w:r>
      <w:r>
        <w:rPr>
          <w:rFonts w:cstheme="minorHAnsi"/>
        </w:rPr>
        <w:t xml:space="preserve"> for each item was plotted against the cohort facility</w:t>
      </w:r>
      <w:r w:rsidR="0025775B">
        <w:rPr>
          <w:rFonts w:cstheme="minorHAnsi"/>
        </w:rPr>
        <w:t>, first for all Borderline candidates, then for a variety of different</w:t>
      </w:r>
      <w:r w:rsidR="00043E6B">
        <w:rPr>
          <w:rFonts w:cstheme="minorHAnsi"/>
        </w:rPr>
        <w:t xml:space="preserve"> score combinations</w:t>
      </w:r>
      <w:r>
        <w:rPr>
          <w:rFonts w:cstheme="minorHAnsi"/>
        </w:rPr>
        <w:t xml:space="preserve">. </w:t>
      </w:r>
      <w:r w:rsidR="00D11C58">
        <w:rPr>
          <w:rFonts w:cstheme="minorHAnsi"/>
        </w:rPr>
        <w:t xml:space="preserve">Curves were </w:t>
      </w:r>
      <w:r w:rsidR="00043E6B">
        <w:rPr>
          <w:rFonts w:cstheme="minorHAnsi"/>
        </w:rPr>
        <w:t>fitted to these plots using the trendline f</w:t>
      </w:r>
      <w:r w:rsidR="0003605A">
        <w:rPr>
          <w:rFonts w:cstheme="minorHAnsi"/>
        </w:rPr>
        <w:t>unction</w:t>
      </w:r>
      <w:r w:rsidR="00043E6B">
        <w:rPr>
          <w:rFonts w:cstheme="minorHAnsi"/>
        </w:rPr>
        <w:t xml:space="preserve"> in Excel</w:t>
      </w:r>
      <w:r w:rsidR="004F7971">
        <w:rPr>
          <w:rFonts w:cstheme="minorHAnsi"/>
        </w:rPr>
        <w:t xml:space="preserve">. </w:t>
      </w:r>
      <w:r w:rsidR="00043E6B">
        <w:rPr>
          <w:rFonts w:cstheme="minorHAnsi"/>
        </w:rPr>
        <w:t xml:space="preserve"> </w:t>
      </w:r>
      <w:r w:rsidR="00A4089F">
        <w:rPr>
          <w:rFonts w:cstheme="minorHAnsi"/>
        </w:rPr>
        <w:t xml:space="preserve">This allowed us to explore the stability of the </w:t>
      </w:r>
      <w:r w:rsidR="00E42244">
        <w:rPr>
          <w:rFonts w:cstheme="minorHAnsi"/>
        </w:rPr>
        <w:t xml:space="preserve">curve in terms of </w:t>
      </w:r>
      <w:proofErr w:type="spellStart"/>
      <w:r w:rsidR="00E42244">
        <w:rPr>
          <w:rFonts w:cstheme="minorHAnsi"/>
        </w:rPr>
        <w:t>it’s</w:t>
      </w:r>
      <w:proofErr w:type="spellEnd"/>
      <w:r w:rsidR="00E42244">
        <w:rPr>
          <w:rFonts w:cstheme="minorHAnsi"/>
        </w:rPr>
        <w:t xml:space="preserve"> constants.</w:t>
      </w:r>
    </w:p>
    <w:p w14:paraId="14EAAB53" w14:textId="77777777" w:rsidR="00EA1D71" w:rsidRDefault="006D2EB0" w:rsidP="00925D98">
      <w:pPr>
        <w:spacing w:line="480" w:lineRule="auto"/>
        <w:rPr>
          <w:rFonts w:cstheme="minorHAnsi"/>
        </w:rPr>
      </w:pPr>
      <w:r>
        <w:rPr>
          <w:rFonts w:cstheme="minorHAnsi"/>
        </w:rPr>
        <w:lastRenderedPageBreak/>
        <w:t>A standardised</w:t>
      </w:r>
      <w:r w:rsidR="00EA1D71">
        <w:rPr>
          <w:rFonts w:cstheme="minorHAnsi"/>
        </w:rPr>
        <w:t xml:space="preserve"> </w:t>
      </w:r>
      <w:r w:rsidR="0025775B">
        <w:rPr>
          <w:rFonts w:cstheme="minorHAnsi"/>
        </w:rPr>
        <w:t>‘</w:t>
      </w:r>
      <w:r>
        <w:rPr>
          <w:rFonts w:cstheme="minorHAnsi"/>
        </w:rPr>
        <w:t>exponential</w:t>
      </w:r>
      <w:r w:rsidR="004F7971">
        <w:rPr>
          <w:rFonts w:cstheme="minorHAnsi"/>
        </w:rPr>
        <w:t xml:space="preserve"> </w:t>
      </w:r>
      <w:r w:rsidR="00EA1D71">
        <w:rPr>
          <w:rFonts w:cstheme="minorHAnsi"/>
        </w:rPr>
        <w:t>curve</w:t>
      </w:r>
      <w:r w:rsidR="0025775B">
        <w:rPr>
          <w:rFonts w:cstheme="minorHAnsi"/>
        </w:rPr>
        <w:t>’</w:t>
      </w:r>
      <w:r w:rsidR="00EA1D71">
        <w:rPr>
          <w:rFonts w:cstheme="minorHAnsi"/>
        </w:rPr>
        <w:t xml:space="preserve"> showing the relationship between the Facility of the </w:t>
      </w:r>
      <w:r w:rsidR="002A560C">
        <w:rPr>
          <w:rFonts w:cstheme="minorHAnsi"/>
        </w:rPr>
        <w:t>Borderline</w:t>
      </w:r>
      <w:r w:rsidR="002C0592">
        <w:rPr>
          <w:rFonts w:cstheme="minorHAnsi"/>
        </w:rPr>
        <w:t xml:space="preserve"> candidates </w:t>
      </w:r>
      <w:r w:rsidR="00EA1D71">
        <w:rPr>
          <w:rFonts w:cstheme="minorHAnsi"/>
        </w:rPr>
        <w:t xml:space="preserve">and that of the cohort </w:t>
      </w:r>
      <w:proofErr w:type="gramStart"/>
      <w:r w:rsidR="00EA1D71">
        <w:rPr>
          <w:rFonts w:cstheme="minorHAnsi"/>
        </w:rPr>
        <w:t xml:space="preserve">as a whole </w:t>
      </w:r>
      <w:r>
        <w:rPr>
          <w:rFonts w:cstheme="minorHAnsi"/>
        </w:rPr>
        <w:t>was</w:t>
      </w:r>
      <w:proofErr w:type="gramEnd"/>
      <w:r>
        <w:rPr>
          <w:rFonts w:cstheme="minorHAnsi"/>
        </w:rPr>
        <w:t xml:space="preserve"> then</w:t>
      </w:r>
      <w:r w:rsidR="00EA1D71">
        <w:rPr>
          <w:rFonts w:cstheme="minorHAnsi"/>
        </w:rPr>
        <w:t xml:space="preserve"> develop</w:t>
      </w:r>
      <w:r w:rsidR="00043E6B">
        <w:rPr>
          <w:rFonts w:cstheme="minorHAnsi"/>
        </w:rPr>
        <w:t>ed</w:t>
      </w:r>
      <w:r>
        <w:rPr>
          <w:rFonts w:cstheme="minorHAnsi"/>
        </w:rPr>
        <w:t>. It</w:t>
      </w:r>
      <w:r w:rsidR="00EA1D71">
        <w:rPr>
          <w:rFonts w:cstheme="minorHAnsi"/>
        </w:rPr>
        <w:t xml:space="preserve"> was retrospectively applied to </w:t>
      </w:r>
      <w:r w:rsidR="0025775B">
        <w:rPr>
          <w:rFonts w:cstheme="minorHAnsi"/>
        </w:rPr>
        <w:t xml:space="preserve">a total of </w:t>
      </w:r>
      <w:r w:rsidR="00F17ABA">
        <w:rPr>
          <w:rFonts w:cstheme="minorHAnsi"/>
        </w:rPr>
        <w:t>26</w:t>
      </w:r>
      <w:r w:rsidR="0025775B">
        <w:rPr>
          <w:rFonts w:cstheme="minorHAnsi"/>
        </w:rPr>
        <w:t xml:space="preserve"> previous </w:t>
      </w:r>
      <w:r w:rsidR="00F17ABA">
        <w:rPr>
          <w:rFonts w:cstheme="minorHAnsi"/>
        </w:rPr>
        <w:t xml:space="preserve">MCQ-style </w:t>
      </w:r>
      <w:r w:rsidR="00EA1D71">
        <w:rPr>
          <w:rFonts w:cstheme="minorHAnsi"/>
        </w:rPr>
        <w:t xml:space="preserve">assessments </w:t>
      </w:r>
      <w:r w:rsidR="00F17ABA">
        <w:rPr>
          <w:rFonts w:cstheme="minorHAnsi"/>
        </w:rPr>
        <w:t>over the last four years of the</w:t>
      </w:r>
      <w:r w:rsidR="00EA1D71">
        <w:rPr>
          <w:rFonts w:cstheme="minorHAnsi"/>
        </w:rPr>
        <w:t xml:space="preserve"> </w:t>
      </w:r>
      <w:r w:rsidR="0025775B">
        <w:rPr>
          <w:rFonts w:cstheme="minorHAnsi"/>
        </w:rPr>
        <w:t>Undergraduate medical programme</w:t>
      </w:r>
      <w:r>
        <w:rPr>
          <w:rFonts w:cstheme="minorHAnsi"/>
        </w:rPr>
        <w:t xml:space="preserve"> as a standard setting method</w:t>
      </w:r>
      <w:r w:rsidR="00EA1D71">
        <w:rPr>
          <w:rFonts w:cstheme="minorHAnsi"/>
        </w:rPr>
        <w:t xml:space="preserve">. </w:t>
      </w:r>
      <w:r w:rsidR="00BE3381">
        <w:rPr>
          <w:rFonts w:cstheme="minorHAnsi"/>
        </w:rPr>
        <w:t>C</w:t>
      </w:r>
      <w:r w:rsidR="00EA1D71">
        <w:rPr>
          <w:rFonts w:cstheme="minorHAnsi"/>
        </w:rPr>
        <w:t>ut</w:t>
      </w:r>
      <w:r w:rsidR="0025775B">
        <w:rPr>
          <w:rFonts w:cstheme="minorHAnsi"/>
        </w:rPr>
        <w:t xml:space="preserve"> </w:t>
      </w:r>
      <w:r w:rsidR="00EA1D71">
        <w:rPr>
          <w:rFonts w:cstheme="minorHAnsi"/>
        </w:rPr>
        <w:t>score</w:t>
      </w:r>
      <w:r w:rsidR="00BE3381">
        <w:rPr>
          <w:rFonts w:cstheme="minorHAnsi"/>
        </w:rPr>
        <w:t>s</w:t>
      </w:r>
      <w:r w:rsidR="00EA1D71">
        <w:rPr>
          <w:rFonts w:cstheme="minorHAnsi"/>
        </w:rPr>
        <w:t xml:space="preserve"> </w:t>
      </w:r>
      <w:r w:rsidR="00BE3381">
        <w:rPr>
          <w:rFonts w:cstheme="minorHAnsi"/>
        </w:rPr>
        <w:t xml:space="preserve">were </w:t>
      </w:r>
      <w:r w:rsidR="00EA1D71">
        <w:rPr>
          <w:rFonts w:cstheme="minorHAnsi"/>
        </w:rPr>
        <w:t xml:space="preserve">calculated </w:t>
      </w:r>
      <w:proofErr w:type="gramStart"/>
      <w:r w:rsidR="00EA1D71">
        <w:rPr>
          <w:rFonts w:cstheme="minorHAnsi"/>
        </w:rPr>
        <w:t>on the ba</w:t>
      </w:r>
      <w:r w:rsidR="00BE3381">
        <w:rPr>
          <w:rFonts w:cstheme="minorHAnsi"/>
        </w:rPr>
        <w:t>sis of</w:t>
      </w:r>
      <w:proofErr w:type="gramEnd"/>
      <w:r w:rsidR="00BE3381">
        <w:rPr>
          <w:rFonts w:cstheme="minorHAnsi"/>
        </w:rPr>
        <w:t xml:space="preserve"> this </w:t>
      </w:r>
      <w:r>
        <w:rPr>
          <w:rFonts w:cstheme="minorHAnsi"/>
        </w:rPr>
        <w:t xml:space="preserve">exponential </w:t>
      </w:r>
      <w:r w:rsidR="00BE3381">
        <w:rPr>
          <w:rFonts w:cstheme="minorHAnsi"/>
        </w:rPr>
        <w:t>curve</w:t>
      </w:r>
      <w:r w:rsidR="00EA1D71">
        <w:rPr>
          <w:rFonts w:cstheme="minorHAnsi"/>
        </w:rPr>
        <w:t xml:space="preserve"> and compared to </w:t>
      </w:r>
      <w:r w:rsidR="00BE3381">
        <w:rPr>
          <w:rFonts w:cstheme="minorHAnsi"/>
        </w:rPr>
        <w:t>those</w:t>
      </w:r>
      <w:r w:rsidR="00EA1D71">
        <w:rPr>
          <w:rFonts w:cstheme="minorHAnsi"/>
        </w:rPr>
        <w:t xml:space="preserve"> </w:t>
      </w:r>
      <w:r w:rsidR="00BE3381">
        <w:rPr>
          <w:rFonts w:cstheme="minorHAnsi"/>
        </w:rPr>
        <w:t xml:space="preserve">which had been </w:t>
      </w:r>
      <w:r w:rsidR="00EA1D71">
        <w:rPr>
          <w:rFonts w:cstheme="minorHAnsi"/>
        </w:rPr>
        <w:t xml:space="preserve">obtained by a full </w:t>
      </w:r>
      <w:proofErr w:type="spellStart"/>
      <w:r w:rsidR="00EA1D71">
        <w:rPr>
          <w:rFonts w:cstheme="minorHAnsi"/>
        </w:rPr>
        <w:t>Angoff</w:t>
      </w:r>
      <w:proofErr w:type="spellEnd"/>
      <w:r w:rsidR="00EA1D71">
        <w:rPr>
          <w:rFonts w:cstheme="minorHAnsi"/>
        </w:rPr>
        <w:t xml:space="preserve"> procedure. </w:t>
      </w:r>
      <w:r w:rsidR="0025775B">
        <w:rPr>
          <w:rFonts w:cstheme="minorHAnsi"/>
        </w:rPr>
        <w:t xml:space="preserve">Cohen and Modified Cohen </w:t>
      </w:r>
      <w:r w:rsidR="00106BCC">
        <w:rPr>
          <w:rFonts w:cstheme="minorHAnsi"/>
        </w:rPr>
        <w:t xml:space="preserve">method </w:t>
      </w:r>
      <w:r w:rsidR="0025775B">
        <w:rPr>
          <w:rFonts w:cstheme="minorHAnsi"/>
        </w:rPr>
        <w:t>cut scores were also calculated</w:t>
      </w:r>
      <w:r>
        <w:rPr>
          <w:rFonts w:cstheme="minorHAnsi"/>
        </w:rPr>
        <w:t xml:space="preserve"> for each exam</w:t>
      </w:r>
      <w:r w:rsidR="00106BCC">
        <w:rPr>
          <w:rFonts w:cstheme="minorHAnsi"/>
        </w:rPr>
        <w:t xml:space="preserve">, although in practice only </w:t>
      </w:r>
      <w:proofErr w:type="spellStart"/>
      <w:r w:rsidR="00106BCC">
        <w:rPr>
          <w:rFonts w:cstheme="minorHAnsi"/>
        </w:rPr>
        <w:t>Angoff</w:t>
      </w:r>
      <w:proofErr w:type="spellEnd"/>
      <w:r w:rsidR="00106BCC">
        <w:rPr>
          <w:rFonts w:cstheme="minorHAnsi"/>
        </w:rPr>
        <w:t xml:space="preserve"> methods had been used</w:t>
      </w:r>
      <w:r w:rsidR="0025775B">
        <w:rPr>
          <w:rFonts w:cstheme="minorHAnsi"/>
        </w:rPr>
        <w:t xml:space="preserve">. From these, the proportion of candidates who would have failed </w:t>
      </w:r>
      <w:r w:rsidR="00F17ABA">
        <w:rPr>
          <w:rFonts w:cstheme="minorHAnsi"/>
        </w:rPr>
        <w:t>each</w:t>
      </w:r>
      <w:r w:rsidR="0025775B">
        <w:rPr>
          <w:rFonts w:cstheme="minorHAnsi"/>
        </w:rPr>
        <w:t xml:space="preserve"> assessment </w:t>
      </w:r>
      <w:r w:rsidR="00F17ABA">
        <w:rPr>
          <w:rFonts w:cstheme="minorHAnsi"/>
        </w:rPr>
        <w:t xml:space="preserve">by each method </w:t>
      </w:r>
      <w:r w:rsidR="0025775B">
        <w:rPr>
          <w:rFonts w:cstheme="minorHAnsi"/>
        </w:rPr>
        <w:t xml:space="preserve">were calculated. </w:t>
      </w:r>
      <w:r w:rsidR="00A43E7E">
        <w:rPr>
          <w:rFonts w:cstheme="minorHAnsi"/>
        </w:rPr>
        <w:t xml:space="preserve">These results were plotted against the average score in each assessment. </w:t>
      </w:r>
    </w:p>
    <w:p w14:paraId="09BB59DC" w14:textId="77777777" w:rsidR="00F17ABA" w:rsidRDefault="00F17ABA" w:rsidP="00925D98">
      <w:pPr>
        <w:spacing w:line="480" w:lineRule="auto"/>
        <w:rPr>
          <w:rFonts w:cstheme="minorHAnsi"/>
        </w:rPr>
      </w:pPr>
      <w:r>
        <w:rPr>
          <w:rFonts w:cstheme="minorHAnsi"/>
        </w:rPr>
        <w:t xml:space="preserve">A </w:t>
      </w:r>
      <w:r w:rsidR="00E56EAB">
        <w:rPr>
          <w:rFonts w:cstheme="minorHAnsi"/>
        </w:rPr>
        <w:t xml:space="preserve">further </w:t>
      </w:r>
      <w:r>
        <w:rPr>
          <w:rFonts w:cstheme="minorHAnsi"/>
        </w:rPr>
        <w:t xml:space="preserve">theoretical calculation showing the effect of varying the proportion of candidates classed as Borderline </w:t>
      </w:r>
      <w:r w:rsidR="00E56EAB">
        <w:rPr>
          <w:rFonts w:cstheme="minorHAnsi"/>
        </w:rPr>
        <w:t xml:space="preserve">in the cohort </w:t>
      </w:r>
      <w:r>
        <w:rPr>
          <w:rFonts w:cstheme="minorHAnsi"/>
        </w:rPr>
        <w:t xml:space="preserve">was also carried out. </w:t>
      </w:r>
    </w:p>
    <w:p w14:paraId="73730411" w14:textId="77777777" w:rsidR="00874D5D" w:rsidRDefault="00874D5D" w:rsidP="00925D98">
      <w:pPr>
        <w:spacing w:line="480" w:lineRule="auto"/>
        <w:rPr>
          <w:rFonts w:cstheme="minorHAnsi"/>
        </w:rPr>
      </w:pPr>
    </w:p>
    <w:p w14:paraId="1E6FF464" w14:textId="77777777" w:rsidR="00993A86" w:rsidRPr="00C8075F" w:rsidRDefault="00993A86" w:rsidP="00925D98">
      <w:pPr>
        <w:spacing w:line="480" w:lineRule="auto"/>
        <w:rPr>
          <w:rFonts w:cstheme="minorHAnsi"/>
          <w:b/>
          <w:sz w:val="24"/>
        </w:rPr>
      </w:pPr>
      <w:r w:rsidRPr="00C8075F">
        <w:rPr>
          <w:rFonts w:cstheme="minorHAnsi"/>
          <w:b/>
          <w:sz w:val="24"/>
        </w:rPr>
        <w:t>Results</w:t>
      </w:r>
    </w:p>
    <w:p w14:paraId="47FF6FAD" w14:textId="4101CABA" w:rsidR="00B14856" w:rsidRDefault="00F17ABA" w:rsidP="00925D98">
      <w:pPr>
        <w:spacing w:line="480" w:lineRule="auto"/>
        <w:rPr>
          <w:rFonts w:cstheme="minorHAnsi"/>
        </w:rPr>
      </w:pPr>
      <w:r>
        <w:rPr>
          <w:rFonts w:cstheme="minorHAnsi"/>
        </w:rPr>
        <w:t>A plot was constructed of the Facility of</w:t>
      </w:r>
      <w:r w:rsidR="00F959F1">
        <w:rPr>
          <w:rFonts w:cstheme="minorHAnsi"/>
        </w:rPr>
        <w:t xml:space="preserve"> (a)</w:t>
      </w:r>
      <w:r>
        <w:rPr>
          <w:rFonts w:cstheme="minorHAnsi"/>
        </w:rPr>
        <w:t xml:space="preserve"> </w:t>
      </w:r>
      <w:r w:rsidR="00852056">
        <w:rPr>
          <w:rFonts w:cstheme="minorHAnsi"/>
        </w:rPr>
        <w:t xml:space="preserve">(shown in Table 3) </w:t>
      </w:r>
      <w:r>
        <w:rPr>
          <w:rFonts w:cstheme="minorHAnsi"/>
        </w:rPr>
        <w:t xml:space="preserve">each Item in the test compared to the score of all Borderline candidates, and the trendline added (Figure 1).   As can be seen, </w:t>
      </w:r>
      <w:r w:rsidR="00B14856">
        <w:rPr>
          <w:rFonts w:cstheme="minorHAnsi"/>
        </w:rPr>
        <w:t>as predicted a curved trendline, approaching zero at Item Facilities of 0 and 100 is indeed observed. The equation for this curve is shown on Figure 1, and is of the form</w:t>
      </w:r>
    </w:p>
    <w:p w14:paraId="2D6C2766" w14:textId="77777777" w:rsidR="00F17ABA" w:rsidRDefault="00B14856" w:rsidP="005D1EA7">
      <w:pPr>
        <w:spacing w:line="480" w:lineRule="auto"/>
        <w:ind w:firstLine="720"/>
        <w:rPr>
          <w:rFonts w:cstheme="minorHAnsi"/>
        </w:rPr>
      </w:pPr>
      <w:r>
        <w:rPr>
          <w:rFonts w:cstheme="minorHAnsi"/>
        </w:rPr>
        <w:t xml:space="preserve">y ≈ </w:t>
      </w:r>
      <w:proofErr w:type="spellStart"/>
      <w:proofErr w:type="gramStart"/>
      <w:r>
        <w:rPr>
          <w:rFonts w:cstheme="minorHAnsi"/>
        </w:rPr>
        <w:t>C.e</w:t>
      </w:r>
      <w:r>
        <w:rPr>
          <w:rFonts w:cstheme="minorHAnsi"/>
          <w:vertAlign w:val="superscript"/>
        </w:rPr>
        <w:t>F</w:t>
      </w:r>
      <w:r w:rsidRPr="00D11C58">
        <w:rPr>
          <w:rFonts w:cstheme="minorHAnsi"/>
          <w:vertAlign w:val="superscript"/>
        </w:rPr>
        <w:t>x</w:t>
      </w:r>
      <w:proofErr w:type="spellEnd"/>
      <w:proofErr w:type="gramEnd"/>
      <w:r>
        <w:rPr>
          <w:rFonts w:cstheme="minorHAnsi"/>
        </w:rPr>
        <w:t xml:space="preserve"> </w:t>
      </w:r>
    </w:p>
    <w:p w14:paraId="29304EF2" w14:textId="77777777" w:rsidR="005D1EA7" w:rsidRDefault="005D1EA7" w:rsidP="005D1EA7">
      <w:pPr>
        <w:spacing w:line="480" w:lineRule="auto"/>
        <w:rPr>
          <w:rFonts w:cstheme="minorHAnsi"/>
        </w:rPr>
      </w:pPr>
      <w:r>
        <w:rPr>
          <w:rFonts w:cstheme="minorHAnsi"/>
        </w:rPr>
        <w:t xml:space="preserve">Where y is the Facility of Borderline candidates, x is the observed Facility of the </w:t>
      </w:r>
      <w:proofErr w:type="gramStart"/>
      <w:r>
        <w:rPr>
          <w:rFonts w:cstheme="minorHAnsi"/>
        </w:rPr>
        <w:t>cohort as a whole, and</w:t>
      </w:r>
      <w:proofErr w:type="gramEnd"/>
      <w:r>
        <w:rPr>
          <w:rFonts w:cstheme="minorHAnsi"/>
        </w:rPr>
        <w:t xml:space="preserve"> C and F are constants. </w:t>
      </w:r>
    </w:p>
    <w:p w14:paraId="3D515A0E" w14:textId="0F7B9654" w:rsidR="00F959F1" w:rsidRDefault="00B14856" w:rsidP="00925D98">
      <w:pPr>
        <w:spacing w:line="480" w:lineRule="auto"/>
        <w:rPr>
          <w:rFonts w:cstheme="minorHAnsi"/>
        </w:rPr>
      </w:pPr>
      <w:r>
        <w:rPr>
          <w:rFonts w:cstheme="minorHAnsi"/>
        </w:rPr>
        <w:t xml:space="preserve">This process was repeated for various combinations of possible Borderline candidates, to explore how stable this curve was in terms of its constants. </w:t>
      </w:r>
      <w:r w:rsidR="00852056">
        <w:rPr>
          <w:rFonts w:cstheme="minorHAnsi"/>
        </w:rPr>
        <w:t>As listed in Table 3, t</w:t>
      </w:r>
      <w:r>
        <w:rPr>
          <w:rFonts w:cstheme="minorHAnsi"/>
        </w:rPr>
        <w:t>hese combinations were (</w:t>
      </w:r>
      <w:r w:rsidR="00F959F1">
        <w:rPr>
          <w:rFonts w:cstheme="minorHAnsi"/>
        </w:rPr>
        <w:t>b</w:t>
      </w:r>
      <w:r>
        <w:rPr>
          <w:rFonts w:cstheme="minorHAnsi"/>
        </w:rPr>
        <w:t xml:space="preserve">) excluding those who had scored only 0.5 points (i.e. had scored </w:t>
      </w:r>
      <w:r>
        <w:rPr>
          <w:rFonts w:cstheme="minorHAnsi"/>
        </w:rPr>
        <w:lastRenderedPageBreak/>
        <w:t>between 1 and 6.5 points) on the basis that a score of 0.5 (between 1 and 2 SEM above the cut-score in a single module) probably represents noise in the performance of otherwise capable students (</w:t>
      </w:r>
      <w:r w:rsidR="00F959F1">
        <w:rPr>
          <w:rFonts w:cstheme="minorHAnsi"/>
        </w:rPr>
        <w:t>c</w:t>
      </w:r>
      <w:r>
        <w:rPr>
          <w:rFonts w:cstheme="minorHAnsi"/>
        </w:rPr>
        <w:t>)</w:t>
      </w:r>
      <w:r w:rsidR="00F959F1">
        <w:rPr>
          <w:rFonts w:cstheme="minorHAnsi"/>
        </w:rPr>
        <w:t xml:space="preserve"> students who fell between 1.5 and 6.5 points, a more stringent interpretation of Borderline (d) candidates scoring between 1 and 5.5 points (excluding those candidates who would be clear fails and (e) showing only scores on different assessments from that shown in the plot, so that there is no element of circularity in the reasoning. The results are shown in Table </w:t>
      </w:r>
      <w:r w:rsidR="00E66804">
        <w:rPr>
          <w:rFonts w:cstheme="minorHAnsi"/>
        </w:rPr>
        <w:t>3</w:t>
      </w:r>
      <w:r w:rsidR="00F959F1">
        <w:rPr>
          <w:rFonts w:cstheme="minorHAnsi"/>
        </w:rPr>
        <w:t xml:space="preserve">. </w:t>
      </w:r>
    </w:p>
    <w:tbl>
      <w:tblPr>
        <w:tblStyle w:val="TableGrid"/>
        <w:tblW w:w="8494" w:type="dxa"/>
        <w:tblLook w:val="04A0" w:firstRow="1" w:lastRow="0" w:firstColumn="1" w:lastColumn="0" w:noHBand="0" w:noVBand="1"/>
      </w:tblPr>
      <w:tblGrid>
        <w:gridCol w:w="1413"/>
        <w:gridCol w:w="2432"/>
        <w:gridCol w:w="1516"/>
        <w:gridCol w:w="1511"/>
        <w:gridCol w:w="1622"/>
      </w:tblGrid>
      <w:tr w:rsidR="00E66804" w14:paraId="6B1C9F9B" w14:textId="77777777" w:rsidTr="003B036C">
        <w:tc>
          <w:tcPr>
            <w:tcW w:w="1413" w:type="dxa"/>
          </w:tcPr>
          <w:p w14:paraId="06C6D600" w14:textId="77777777" w:rsidR="00E66804" w:rsidRPr="00EE2293" w:rsidRDefault="00E66804" w:rsidP="003B036C">
            <w:pPr>
              <w:jc w:val="center"/>
              <w:rPr>
                <w:b/>
                <w:bCs/>
              </w:rPr>
            </w:pPr>
          </w:p>
        </w:tc>
        <w:tc>
          <w:tcPr>
            <w:tcW w:w="2432" w:type="dxa"/>
          </w:tcPr>
          <w:p w14:paraId="150C70BB" w14:textId="77777777" w:rsidR="00E66804" w:rsidRPr="00EE2293" w:rsidRDefault="00E66804" w:rsidP="003B036C">
            <w:pPr>
              <w:spacing w:after="160"/>
              <w:jc w:val="center"/>
            </w:pPr>
            <w:r w:rsidRPr="00EE2293">
              <w:rPr>
                <w:b/>
                <w:bCs/>
              </w:rPr>
              <w:t>Range of Borderline scores</w:t>
            </w:r>
          </w:p>
        </w:tc>
        <w:tc>
          <w:tcPr>
            <w:tcW w:w="1516" w:type="dxa"/>
          </w:tcPr>
          <w:p w14:paraId="194D684A" w14:textId="77777777" w:rsidR="00E66804" w:rsidRPr="00EE2293" w:rsidRDefault="00E66804" w:rsidP="003B036C">
            <w:pPr>
              <w:spacing w:after="160"/>
              <w:jc w:val="center"/>
            </w:pPr>
            <w:r w:rsidRPr="00EE2293">
              <w:rPr>
                <w:b/>
                <w:bCs/>
              </w:rPr>
              <w:t>% of cohort</w:t>
            </w:r>
          </w:p>
        </w:tc>
        <w:tc>
          <w:tcPr>
            <w:tcW w:w="1511" w:type="dxa"/>
          </w:tcPr>
          <w:p w14:paraId="49A694C2" w14:textId="77777777" w:rsidR="00E66804" w:rsidRPr="00EE2293" w:rsidRDefault="00E66804" w:rsidP="003B036C">
            <w:pPr>
              <w:spacing w:after="160"/>
              <w:jc w:val="center"/>
            </w:pPr>
            <w:r w:rsidRPr="00EE2293">
              <w:rPr>
                <w:b/>
                <w:bCs/>
              </w:rPr>
              <w:t>C</w:t>
            </w:r>
          </w:p>
        </w:tc>
        <w:tc>
          <w:tcPr>
            <w:tcW w:w="1622" w:type="dxa"/>
          </w:tcPr>
          <w:p w14:paraId="16A5A0F5" w14:textId="77777777" w:rsidR="00E66804" w:rsidRPr="00EE2293" w:rsidRDefault="00E66804" w:rsidP="003B036C">
            <w:pPr>
              <w:spacing w:after="160"/>
              <w:jc w:val="center"/>
            </w:pPr>
            <w:r w:rsidRPr="00EE2293">
              <w:rPr>
                <w:b/>
                <w:bCs/>
              </w:rPr>
              <w:t>F</w:t>
            </w:r>
          </w:p>
        </w:tc>
      </w:tr>
      <w:tr w:rsidR="00E66804" w14:paraId="5CE329D0" w14:textId="77777777" w:rsidTr="003B036C">
        <w:tc>
          <w:tcPr>
            <w:tcW w:w="1413" w:type="dxa"/>
          </w:tcPr>
          <w:p w14:paraId="4423FDE3" w14:textId="77777777" w:rsidR="00E66804" w:rsidRPr="00EE2293" w:rsidRDefault="00E66804" w:rsidP="003B036C">
            <w:pPr>
              <w:jc w:val="center"/>
            </w:pPr>
            <w:r>
              <w:t>(a)</w:t>
            </w:r>
          </w:p>
        </w:tc>
        <w:tc>
          <w:tcPr>
            <w:tcW w:w="2432" w:type="dxa"/>
          </w:tcPr>
          <w:p w14:paraId="33CFBB9E" w14:textId="77777777" w:rsidR="00E66804" w:rsidRPr="00EE2293" w:rsidRDefault="00E66804" w:rsidP="003B036C">
            <w:pPr>
              <w:spacing w:after="160"/>
            </w:pPr>
            <w:r w:rsidRPr="00EE2293">
              <w:t xml:space="preserve">All </w:t>
            </w:r>
            <w:r>
              <w:t xml:space="preserve">possible </w:t>
            </w:r>
            <w:r w:rsidRPr="00EE2293">
              <w:t>Borderlines</w:t>
            </w:r>
          </w:p>
        </w:tc>
        <w:tc>
          <w:tcPr>
            <w:tcW w:w="1516" w:type="dxa"/>
          </w:tcPr>
          <w:p w14:paraId="435D612F" w14:textId="77777777" w:rsidR="00E66804" w:rsidRPr="00EE2293" w:rsidRDefault="00E66804" w:rsidP="003B036C">
            <w:pPr>
              <w:spacing w:after="160"/>
              <w:jc w:val="center"/>
            </w:pPr>
            <w:r w:rsidRPr="00EE2293">
              <w:t>43</w:t>
            </w:r>
          </w:p>
        </w:tc>
        <w:tc>
          <w:tcPr>
            <w:tcW w:w="1511" w:type="dxa"/>
          </w:tcPr>
          <w:p w14:paraId="7066182C" w14:textId="77777777" w:rsidR="00E66804" w:rsidRPr="00EE2293" w:rsidRDefault="00E66804" w:rsidP="003B036C">
            <w:pPr>
              <w:spacing w:after="160"/>
              <w:jc w:val="center"/>
            </w:pPr>
            <w:r w:rsidRPr="00EE2293">
              <w:t>13.125</w:t>
            </w:r>
          </w:p>
        </w:tc>
        <w:tc>
          <w:tcPr>
            <w:tcW w:w="1622" w:type="dxa"/>
          </w:tcPr>
          <w:p w14:paraId="17BA307F" w14:textId="77777777" w:rsidR="00E66804" w:rsidRPr="00EE2293" w:rsidRDefault="00E66804" w:rsidP="003B036C">
            <w:pPr>
              <w:spacing w:after="160"/>
              <w:jc w:val="center"/>
            </w:pPr>
            <w:r w:rsidRPr="00EE2293">
              <w:t>0.021</w:t>
            </w:r>
          </w:p>
        </w:tc>
      </w:tr>
      <w:tr w:rsidR="00E66804" w14:paraId="0C10D6E0" w14:textId="77777777" w:rsidTr="003B036C">
        <w:tc>
          <w:tcPr>
            <w:tcW w:w="1413" w:type="dxa"/>
          </w:tcPr>
          <w:p w14:paraId="11C7FAD0" w14:textId="77777777" w:rsidR="00E66804" w:rsidRPr="00EE2293" w:rsidRDefault="00E66804" w:rsidP="003B036C">
            <w:pPr>
              <w:jc w:val="center"/>
            </w:pPr>
            <w:r>
              <w:t>(b)</w:t>
            </w:r>
          </w:p>
        </w:tc>
        <w:tc>
          <w:tcPr>
            <w:tcW w:w="2432" w:type="dxa"/>
          </w:tcPr>
          <w:p w14:paraId="3FEDC6C5" w14:textId="77777777" w:rsidR="00E66804" w:rsidRPr="00EE2293" w:rsidRDefault="00E66804" w:rsidP="003B036C">
            <w:pPr>
              <w:spacing w:after="160"/>
            </w:pPr>
            <w:r w:rsidRPr="00EE2293">
              <w:t>1 - 6.5</w:t>
            </w:r>
          </w:p>
        </w:tc>
        <w:tc>
          <w:tcPr>
            <w:tcW w:w="1516" w:type="dxa"/>
          </w:tcPr>
          <w:p w14:paraId="1FEF38CD" w14:textId="77777777" w:rsidR="00E66804" w:rsidRPr="00EE2293" w:rsidRDefault="00E66804" w:rsidP="003B036C">
            <w:pPr>
              <w:spacing w:after="160"/>
              <w:jc w:val="center"/>
            </w:pPr>
            <w:r w:rsidRPr="00EE2293">
              <w:t>32</w:t>
            </w:r>
          </w:p>
        </w:tc>
        <w:tc>
          <w:tcPr>
            <w:tcW w:w="1511" w:type="dxa"/>
          </w:tcPr>
          <w:p w14:paraId="3762E405" w14:textId="77777777" w:rsidR="00E66804" w:rsidRPr="00EE2293" w:rsidRDefault="00E66804" w:rsidP="003B036C">
            <w:pPr>
              <w:spacing w:after="160"/>
              <w:jc w:val="center"/>
            </w:pPr>
            <w:r w:rsidRPr="00EE2293">
              <w:t>12.756</w:t>
            </w:r>
          </w:p>
        </w:tc>
        <w:tc>
          <w:tcPr>
            <w:tcW w:w="1622" w:type="dxa"/>
          </w:tcPr>
          <w:p w14:paraId="67D25B98" w14:textId="77777777" w:rsidR="00E66804" w:rsidRPr="00EE2293" w:rsidRDefault="00E66804" w:rsidP="003B036C">
            <w:pPr>
              <w:spacing w:after="160"/>
              <w:jc w:val="center"/>
            </w:pPr>
            <w:r w:rsidRPr="00EE2293">
              <w:t>0.0208</w:t>
            </w:r>
          </w:p>
        </w:tc>
      </w:tr>
      <w:tr w:rsidR="00E66804" w14:paraId="639489EC" w14:textId="77777777" w:rsidTr="003B036C">
        <w:tc>
          <w:tcPr>
            <w:tcW w:w="1413" w:type="dxa"/>
          </w:tcPr>
          <w:p w14:paraId="7D0FFE20" w14:textId="77777777" w:rsidR="00E66804" w:rsidRPr="00EE2293" w:rsidRDefault="00E66804" w:rsidP="003B036C">
            <w:pPr>
              <w:jc w:val="center"/>
            </w:pPr>
            <w:r>
              <w:t>(c)</w:t>
            </w:r>
          </w:p>
        </w:tc>
        <w:tc>
          <w:tcPr>
            <w:tcW w:w="2432" w:type="dxa"/>
          </w:tcPr>
          <w:p w14:paraId="69951F03" w14:textId="77777777" w:rsidR="00E66804" w:rsidRPr="00EE2293" w:rsidRDefault="00E66804" w:rsidP="003B036C">
            <w:pPr>
              <w:spacing w:after="160"/>
            </w:pPr>
            <w:r w:rsidRPr="00EE2293">
              <w:t>1.5 - 6.5</w:t>
            </w:r>
          </w:p>
        </w:tc>
        <w:tc>
          <w:tcPr>
            <w:tcW w:w="1516" w:type="dxa"/>
          </w:tcPr>
          <w:p w14:paraId="18D3AD01" w14:textId="77777777" w:rsidR="00E66804" w:rsidRPr="00EE2293" w:rsidRDefault="00E66804" w:rsidP="003B036C">
            <w:pPr>
              <w:spacing w:after="160"/>
              <w:jc w:val="center"/>
            </w:pPr>
            <w:r w:rsidRPr="00EE2293">
              <w:t>23</w:t>
            </w:r>
          </w:p>
        </w:tc>
        <w:tc>
          <w:tcPr>
            <w:tcW w:w="1511" w:type="dxa"/>
          </w:tcPr>
          <w:p w14:paraId="0BA0BCF5" w14:textId="77777777" w:rsidR="00E66804" w:rsidRPr="00EE2293" w:rsidRDefault="00E66804" w:rsidP="003B036C">
            <w:pPr>
              <w:spacing w:after="160"/>
              <w:jc w:val="center"/>
            </w:pPr>
            <w:r w:rsidRPr="00EE2293">
              <w:t>13.562</w:t>
            </w:r>
          </w:p>
        </w:tc>
        <w:tc>
          <w:tcPr>
            <w:tcW w:w="1622" w:type="dxa"/>
          </w:tcPr>
          <w:p w14:paraId="307DC252" w14:textId="77777777" w:rsidR="00E66804" w:rsidRPr="00EE2293" w:rsidRDefault="00E66804" w:rsidP="003B036C">
            <w:pPr>
              <w:spacing w:after="160"/>
              <w:jc w:val="center"/>
            </w:pPr>
            <w:r w:rsidRPr="00EE2293">
              <w:t>0.0192</w:t>
            </w:r>
          </w:p>
        </w:tc>
      </w:tr>
      <w:tr w:rsidR="00E66804" w14:paraId="63BCD458" w14:textId="77777777" w:rsidTr="003B036C">
        <w:tc>
          <w:tcPr>
            <w:tcW w:w="1413" w:type="dxa"/>
          </w:tcPr>
          <w:p w14:paraId="547BFD2C" w14:textId="77777777" w:rsidR="00E66804" w:rsidRPr="00EE2293" w:rsidRDefault="00E66804" w:rsidP="003B036C">
            <w:pPr>
              <w:jc w:val="center"/>
            </w:pPr>
            <w:r>
              <w:t>(d)</w:t>
            </w:r>
          </w:p>
        </w:tc>
        <w:tc>
          <w:tcPr>
            <w:tcW w:w="2432" w:type="dxa"/>
          </w:tcPr>
          <w:p w14:paraId="33AC640A" w14:textId="77777777" w:rsidR="00E66804" w:rsidRPr="00EE2293" w:rsidRDefault="00E66804" w:rsidP="003B036C">
            <w:pPr>
              <w:spacing w:after="160"/>
            </w:pPr>
            <w:r w:rsidRPr="00EE2293">
              <w:t>1 - 5.5</w:t>
            </w:r>
          </w:p>
        </w:tc>
        <w:tc>
          <w:tcPr>
            <w:tcW w:w="1516" w:type="dxa"/>
          </w:tcPr>
          <w:p w14:paraId="7786B26A" w14:textId="77777777" w:rsidR="00E66804" w:rsidRPr="00EE2293" w:rsidRDefault="00E66804" w:rsidP="003B036C">
            <w:pPr>
              <w:spacing w:after="160"/>
              <w:jc w:val="center"/>
            </w:pPr>
            <w:r w:rsidRPr="00EE2293">
              <w:t>27</w:t>
            </w:r>
          </w:p>
        </w:tc>
        <w:tc>
          <w:tcPr>
            <w:tcW w:w="1511" w:type="dxa"/>
          </w:tcPr>
          <w:p w14:paraId="05778419" w14:textId="77777777" w:rsidR="00E66804" w:rsidRPr="00EE2293" w:rsidRDefault="00E66804" w:rsidP="003B036C">
            <w:pPr>
              <w:spacing w:after="160"/>
              <w:jc w:val="center"/>
            </w:pPr>
            <w:r w:rsidRPr="00EE2293">
              <w:t>12.6</w:t>
            </w:r>
          </w:p>
        </w:tc>
        <w:tc>
          <w:tcPr>
            <w:tcW w:w="1622" w:type="dxa"/>
          </w:tcPr>
          <w:p w14:paraId="551362A9" w14:textId="77777777" w:rsidR="00E66804" w:rsidRPr="00EE2293" w:rsidRDefault="00E66804" w:rsidP="003B036C">
            <w:pPr>
              <w:spacing w:after="160"/>
              <w:jc w:val="center"/>
            </w:pPr>
            <w:r w:rsidRPr="00EE2293">
              <w:t>0.0218</w:t>
            </w:r>
          </w:p>
        </w:tc>
      </w:tr>
      <w:tr w:rsidR="00E66804" w14:paraId="539F3EDF" w14:textId="77777777" w:rsidTr="003B036C">
        <w:tc>
          <w:tcPr>
            <w:tcW w:w="1413" w:type="dxa"/>
          </w:tcPr>
          <w:p w14:paraId="5E2B23D6" w14:textId="77777777" w:rsidR="00E66804" w:rsidRPr="00EE2293" w:rsidRDefault="00E66804" w:rsidP="003B036C">
            <w:pPr>
              <w:jc w:val="center"/>
            </w:pPr>
            <w:r>
              <w:t>(e)</w:t>
            </w:r>
          </w:p>
        </w:tc>
        <w:tc>
          <w:tcPr>
            <w:tcW w:w="2432" w:type="dxa"/>
          </w:tcPr>
          <w:p w14:paraId="380AA9DA" w14:textId="77777777" w:rsidR="00E66804" w:rsidRPr="00EE2293" w:rsidRDefault="00E66804" w:rsidP="003B036C">
            <w:pPr>
              <w:spacing w:after="160"/>
            </w:pPr>
            <w:r w:rsidRPr="00EE2293">
              <w:t>0.5 – 6.5</w:t>
            </w:r>
          </w:p>
          <w:p w14:paraId="0C22D342" w14:textId="77777777" w:rsidR="00E66804" w:rsidRPr="00EE2293" w:rsidRDefault="00E66804" w:rsidP="003B036C">
            <w:pPr>
              <w:spacing w:after="160"/>
            </w:pPr>
            <w:r>
              <w:t>(</w:t>
            </w:r>
            <w:r w:rsidRPr="00EE2293">
              <w:t>Excluding</w:t>
            </w:r>
            <w:r>
              <w:t xml:space="preserve"> </w:t>
            </w:r>
            <w:r w:rsidRPr="00EE2293">
              <w:t>Source</w:t>
            </w:r>
            <w:r>
              <w:t>)</w:t>
            </w:r>
          </w:p>
        </w:tc>
        <w:tc>
          <w:tcPr>
            <w:tcW w:w="1516" w:type="dxa"/>
          </w:tcPr>
          <w:p w14:paraId="2F0F5442" w14:textId="77777777" w:rsidR="00E66804" w:rsidRPr="00EE2293" w:rsidRDefault="00E66804" w:rsidP="003B036C">
            <w:pPr>
              <w:spacing w:after="160"/>
              <w:jc w:val="center"/>
            </w:pPr>
            <w:r w:rsidRPr="00EE2293">
              <w:t>28</w:t>
            </w:r>
          </w:p>
        </w:tc>
        <w:tc>
          <w:tcPr>
            <w:tcW w:w="1511" w:type="dxa"/>
          </w:tcPr>
          <w:p w14:paraId="7A20342D" w14:textId="77777777" w:rsidR="00E66804" w:rsidRPr="00EE2293" w:rsidRDefault="00E66804" w:rsidP="003B036C">
            <w:pPr>
              <w:spacing w:after="160"/>
              <w:jc w:val="center"/>
            </w:pPr>
            <w:r w:rsidRPr="00EE2293">
              <w:t>12.964</w:t>
            </w:r>
          </w:p>
        </w:tc>
        <w:tc>
          <w:tcPr>
            <w:tcW w:w="1622" w:type="dxa"/>
          </w:tcPr>
          <w:p w14:paraId="407E9823" w14:textId="77777777" w:rsidR="00E66804" w:rsidRPr="00EE2293" w:rsidRDefault="00E66804" w:rsidP="003B036C">
            <w:pPr>
              <w:spacing w:after="160"/>
              <w:jc w:val="center"/>
            </w:pPr>
            <w:r w:rsidRPr="00EE2293">
              <w:t>0.0209</w:t>
            </w:r>
          </w:p>
        </w:tc>
      </w:tr>
      <w:tr w:rsidR="00E66804" w14:paraId="527D0188" w14:textId="77777777" w:rsidTr="003B036C">
        <w:tc>
          <w:tcPr>
            <w:tcW w:w="1413" w:type="dxa"/>
          </w:tcPr>
          <w:p w14:paraId="1F3BC7C8" w14:textId="77777777" w:rsidR="00E66804" w:rsidRPr="00EE2293" w:rsidRDefault="00E66804" w:rsidP="003B036C">
            <w:pPr>
              <w:spacing w:after="160"/>
              <w:jc w:val="center"/>
            </w:pPr>
            <w:r>
              <w:t>Exponential</w:t>
            </w:r>
          </w:p>
        </w:tc>
        <w:tc>
          <w:tcPr>
            <w:tcW w:w="2432" w:type="dxa"/>
          </w:tcPr>
          <w:p w14:paraId="536C042B" w14:textId="77777777" w:rsidR="00E66804" w:rsidRPr="00EE2293" w:rsidRDefault="00E66804" w:rsidP="003B036C">
            <w:pPr>
              <w:spacing w:after="160"/>
            </w:pPr>
          </w:p>
        </w:tc>
        <w:tc>
          <w:tcPr>
            <w:tcW w:w="1516" w:type="dxa"/>
          </w:tcPr>
          <w:p w14:paraId="71E8CE85" w14:textId="77777777" w:rsidR="00E66804" w:rsidRPr="00EE2293" w:rsidRDefault="00E66804" w:rsidP="003B036C">
            <w:pPr>
              <w:spacing w:after="160"/>
              <w:jc w:val="center"/>
            </w:pPr>
          </w:p>
        </w:tc>
        <w:tc>
          <w:tcPr>
            <w:tcW w:w="1511" w:type="dxa"/>
          </w:tcPr>
          <w:p w14:paraId="0B47A98C" w14:textId="77777777" w:rsidR="00E66804" w:rsidRPr="00EE2293" w:rsidRDefault="00E66804" w:rsidP="003B036C">
            <w:pPr>
              <w:spacing w:after="160"/>
              <w:jc w:val="center"/>
            </w:pPr>
            <w:r w:rsidRPr="00EE2293">
              <w:t>12.3</w:t>
            </w:r>
          </w:p>
        </w:tc>
        <w:tc>
          <w:tcPr>
            <w:tcW w:w="1622" w:type="dxa"/>
          </w:tcPr>
          <w:p w14:paraId="5740229F" w14:textId="77777777" w:rsidR="00E66804" w:rsidRPr="00EE2293" w:rsidRDefault="00E66804" w:rsidP="003B036C">
            <w:pPr>
              <w:spacing w:after="160"/>
              <w:jc w:val="center"/>
            </w:pPr>
            <w:r w:rsidRPr="00EE2293">
              <w:t>0.021</w:t>
            </w:r>
          </w:p>
        </w:tc>
      </w:tr>
    </w:tbl>
    <w:p w14:paraId="20B09B18" w14:textId="77777777" w:rsidR="00E66804" w:rsidRDefault="00E66804" w:rsidP="00E66804">
      <w:pPr>
        <w:spacing w:line="480" w:lineRule="auto"/>
      </w:pPr>
    </w:p>
    <w:p w14:paraId="323AB5A5" w14:textId="1B205022" w:rsidR="00E66804" w:rsidRDefault="00E66804" w:rsidP="00E66804">
      <w:pPr>
        <w:spacing w:line="480" w:lineRule="auto"/>
      </w:pPr>
      <w:r w:rsidRPr="00EE2293">
        <w:t xml:space="preserve">Table </w:t>
      </w:r>
      <w:r>
        <w:t>3</w:t>
      </w:r>
      <w:r w:rsidRPr="00EE2293">
        <w:t>. The values observed for curves of the form of Equation 2. A family of curves could be selected for the ‘</w:t>
      </w:r>
      <w:r>
        <w:t>Standard’</w:t>
      </w:r>
      <w:r w:rsidRPr="00EE2293">
        <w:t xml:space="preserve"> values; this </w:t>
      </w:r>
      <w:proofErr w:type="gramStart"/>
      <w:r w:rsidRPr="00EE2293">
        <w:t>particular combination</w:t>
      </w:r>
      <w:proofErr w:type="gramEnd"/>
      <w:r w:rsidRPr="00EE2293">
        <w:t xml:space="preserve"> was chosen because </w:t>
      </w:r>
      <w:r>
        <w:t xml:space="preserve">the difference from the Facility is zero at 20% and 100%. </w:t>
      </w:r>
    </w:p>
    <w:p w14:paraId="580D06B3" w14:textId="77777777" w:rsidR="00E66804" w:rsidRDefault="00E66804" w:rsidP="00925D98">
      <w:pPr>
        <w:spacing w:line="480" w:lineRule="auto"/>
        <w:rPr>
          <w:rFonts w:cstheme="minorHAnsi"/>
        </w:rPr>
      </w:pPr>
    </w:p>
    <w:p w14:paraId="74F89124" w14:textId="77777777" w:rsidR="005D1EA7" w:rsidRDefault="00F959F1" w:rsidP="00925D98">
      <w:pPr>
        <w:spacing w:line="480" w:lineRule="auto"/>
        <w:rPr>
          <w:rFonts w:cstheme="minorHAnsi"/>
        </w:rPr>
      </w:pPr>
      <w:r>
        <w:rPr>
          <w:rFonts w:cstheme="minorHAnsi"/>
        </w:rPr>
        <w:t>As can be seen, these curves are all relatively consistent in terms of their constants</w:t>
      </w:r>
      <w:r w:rsidR="005D1EA7">
        <w:rPr>
          <w:rFonts w:cstheme="minorHAnsi"/>
        </w:rPr>
        <w:t xml:space="preserve">. On this basis, a </w:t>
      </w:r>
      <w:r w:rsidR="006D2EB0">
        <w:rPr>
          <w:rFonts w:cstheme="minorHAnsi"/>
        </w:rPr>
        <w:t>s</w:t>
      </w:r>
      <w:r w:rsidR="005D1EA7">
        <w:rPr>
          <w:rFonts w:cstheme="minorHAnsi"/>
        </w:rPr>
        <w:t>tandard</w:t>
      </w:r>
      <w:r w:rsidR="006D2EB0">
        <w:rPr>
          <w:rFonts w:cstheme="minorHAnsi"/>
        </w:rPr>
        <w:t xml:space="preserve"> exponential </w:t>
      </w:r>
      <w:r w:rsidR="005D1EA7">
        <w:rPr>
          <w:rFonts w:cstheme="minorHAnsi"/>
        </w:rPr>
        <w:t>curve was calculated on the basis that it intercepts Facility exactly at 20% and 100%. This curve ha</w:t>
      </w:r>
      <w:r w:rsidR="006D2EB0">
        <w:rPr>
          <w:rFonts w:cstheme="minorHAnsi"/>
        </w:rPr>
        <w:t>d</w:t>
      </w:r>
      <w:r w:rsidR="005D1EA7">
        <w:rPr>
          <w:rFonts w:cstheme="minorHAnsi"/>
        </w:rPr>
        <w:t xml:space="preserve"> the constant values</w:t>
      </w:r>
    </w:p>
    <w:p w14:paraId="7EE50BE8" w14:textId="77777777" w:rsidR="00D11C58" w:rsidRDefault="00827ED7" w:rsidP="00925D98">
      <w:pPr>
        <w:spacing w:line="480" w:lineRule="auto"/>
        <w:rPr>
          <w:rFonts w:cstheme="minorHAnsi"/>
        </w:rPr>
      </w:pPr>
      <w:r>
        <w:rPr>
          <w:rFonts w:cstheme="minorHAnsi"/>
        </w:rPr>
        <w:tab/>
      </w:r>
      <w:r w:rsidR="00D11C58">
        <w:rPr>
          <w:rFonts w:cstheme="minorHAnsi"/>
        </w:rPr>
        <w:t>y = 12.3e</w:t>
      </w:r>
      <w:r w:rsidR="00D11C58" w:rsidRPr="00D11C58">
        <w:rPr>
          <w:rFonts w:cstheme="minorHAnsi"/>
          <w:vertAlign w:val="superscript"/>
        </w:rPr>
        <w:t>0.021x</w:t>
      </w:r>
    </w:p>
    <w:p w14:paraId="3406D0F9" w14:textId="77777777" w:rsidR="005D1EA7" w:rsidRDefault="005D1EA7" w:rsidP="005D1EA7">
      <w:pPr>
        <w:spacing w:line="480" w:lineRule="auto"/>
        <w:rPr>
          <w:rFonts w:cstheme="minorHAnsi"/>
        </w:rPr>
      </w:pPr>
      <w:r>
        <w:rPr>
          <w:rFonts w:cstheme="minorHAnsi"/>
        </w:rPr>
        <w:lastRenderedPageBreak/>
        <w:t xml:space="preserve">This equation can therefore be applied to the Facility of any individual item in a </w:t>
      </w:r>
      <w:r w:rsidR="00A43E7E">
        <w:rPr>
          <w:rFonts w:cstheme="minorHAnsi"/>
        </w:rPr>
        <w:t>test and</w:t>
      </w:r>
      <w:r>
        <w:rPr>
          <w:rFonts w:cstheme="minorHAnsi"/>
        </w:rPr>
        <w:t xml:space="preserve"> gives the expected score for </w:t>
      </w:r>
      <w:r w:rsidR="00A43E7E">
        <w:rPr>
          <w:rFonts w:cstheme="minorHAnsi"/>
        </w:rPr>
        <w:t>a</w:t>
      </w:r>
      <w:r>
        <w:rPr>
          <w:rFonts w:cstheme="minorHAnsi"/>
        </w:rPr>
        <w:t xml:space="preserve"> Borderline candidate</w:t>
      </w:r>
      <w:r w:rsidR="00A43E7E">
        <w:rPr>
          <w:rFonts w:cstheme="minorHAnsi"/>
        </w:rPr>
        <w:t xml:space="preserve"> for that item</w:t>
      </w:r>
      <w:r>
        <w:rPr>
          <w:rFonts w:cstheme="minorHAnsi"/>
        </w:rPr>
        <w:t xml:space="preserve">. </w:t>
      </w:r>
      <w:r w:rsidR="00A43E7E">
        <w:rPr>
          <w:rFonts w:cstheme="minorHAnsi"/>
        </w:rPr>
        <w:t xml:space="preserve">The average of these values is therefore the cut score for the </w:t>
      </w:r>
      <w:proofErr w:type="gramStart"/>
      <w:r w:rsidR="00A43E7E">
        <w:rPr>
          <w:rFonts w:cstheme="minorHAnsi"/>
        </w:rPr>
        <w:t>test as a whole</w:t>
      </w:r>
      <w:proofErr w:type="gramEnd"/>
      <w:r w:rsidR="00A43E7E">
        <w:rPr>
          <w:rFonts w:cstheme="minorHAnsi"/>
        </w:rPr>
        <w:t xml:space="preserve">. </w:t>
      </w:r>
    </w:p>
    <w:p w14:paraId="4AAEE12B" w14:textId="29E1FF18" w:rsidR="00E66804" w:rsidRPr="00E66804" w:rsidRDefault="00A43E7E" w:rsidP="00E66804">
      <w:pPr>
        <w:spacing w:line="480" w:lineRule="auto"/>
        <w:rPr>
          <w:rFonts w:cstheme="minorHAnsi"/>
        </w:rPr>
      </w:pPr>
      <w:r>
        <w:rPr>
          <w:rFonts w:cstheme="minorHAnsi"/>
        </w:rPr>
        <w:t xml:space="preserve">For the 26 assessments over the four-year period of this study, the proportion of candidates who would have failed each assessment by </w:t>
      </w:r>
      <w:proofErr w:type="spellStart"/>
      <w:r>
        <w:rPr>
          <w:rFonts w:cstheme="minorHAnsi"/>
        </w:rPr>
        <w:t>Angoff</w:t>
      </w:r>
      <w:proofErr w:type="spellEnd"/>
      <w:r>
        <w:rPr>
          <w:rFonts w:cstheme="minorHAnsi"/>
        </w:rPr>
        <w:t xml:space="preserve">, </w:t>
      </w:r>
      <w:r w:rsidR="00C45B64">
        <w:rPr>
          <w:rFonts w:cstheme="minorHAnsi"/>
        </w:rPr>
        <w:t xml:space="preserve">Cohen, Modified Cohen and use of the </w:t>
      </w:r>
      <w:r w:rsidR="006D2EB0">
        <w:rPr>
          <w:rFonts w:cstheme="minorHAnsi"/>
        </w:rPr>
        <w:t>exponential</w:t>
      </w:r>
      <w:r w:rsidR="00C45B64">
        <w:rPr>
          <w:rFonts w:cstheme="minorHAnsi"/>
        </w:rPr>
        <w:t xml:space="preserve"> equation </w:t>
      </w:r>
      <w:r>
        <w:rPr>
          <w:rFonts w:cstheme="minorHAnsi"/>
        </w:rPr>
        <w:t xml:space="preserve">were calculated. </w:t>
      </w:r>
      <w:r w:rsidR="00C45B64">
        <w:rPr>
          <w:rFonts w:cstheme="minorHAnsi"/>
        </w:rPr>
        <w:t xml:space="preserve">Average values for these are shown in Table 4. </w:t>
      </w:r>
    </w:p>
    <w:tbl>
      <w:tblPr>
        <w:tblStyle w:val="TableGrid"/>
        <w:tblW w:w="0" w:type="auto"/>
        <w:tblLook w:val="04A0" w:firstRow="1" w:lastRow="0" w:firstColumn="1" w:lastColumn="0" w:noHBand="0" w:noVBand="1"/>
      </w:tblPr>
      <w:tblGrid>
        <w:gridCol w:w="1845"/>
        <w:gridCol w:w="1726"/>
        <w:gridCol w:w="1637"/>
        <w:gridCol w:w="1594"/>
        <w:gridCol w:w="1692"/>
      </w:tblGrid>
      <w:tr w:rsidR="00E66804" w14:paraId="1EE6216E" w14:textId="77777777" w:rsidTr="003B036C">
        <w:tc>
          <w:tcPr>
            <w:tcW w:w="1980" w:type="dxa"/>
          </w:tcPr>
          <w:p w14:paraId="32011772" w14:textId="77777777" w:rsidR="00E66804" w:rsidRDefault="00E66804" w:rsidP="003B036C"/>
        </w:tc>
        <w:tc>
          <w:tcPr>
            <w:tcW w:w="1843" w:type="dxa"/>
          </w:tcPr>
          <w:p w14:paraId="6EED4EAC" w14:textId="77777777" w:rsidR="00E66804" w:rsidRDefault="00E66804" w:rsidP="003B036C">
            <w:pPr>
              <w:jc w:val="center"/>
            </w:pPr>
            <w:proofErr w:type="spellStart"/>
            <w:r>
              <w:t>Angoff</w:t>
            </w:r>
            <w:proofErr w:type="spellEnd"/>
          </w:p>
        </w:tc>
        <w:tc>
          <w:tcPr>
            <w:tcW w:w="1701" w:type="dxa"/>
          </w:tcPr>
          <w:p w14:paraId="20F009A8" w14:textId="77777777" w:rsidR="00E66804" w:rsidRDefault="00E66804" w:rsidP="003B036C">
            <w:pPr>
              <w:jc w:val="center"/>
            </w:pPr>
            <w:r>
              <w:t>Exponential</w:t>
            </w:r>
          </w:p>
        </w:tc>
        <w:tc>
          <w:tcPr>
            <w:tcW w:w="1688" w:type="dxa"/>
          </w:tcPr>
          <w:p w14:paraId="33AF3E89" w14:textId="77777777" w:rsidR="00E66804" w:rsidRDefault="00E66804" w:rsidP="003B036C">
            <w:pPr>
              <w:jc w:val="center"/>
            </w:pPr>
            <w:r>
              <w:t>Cohen</w:t>
            </w:r>
          </w:p>
        </w:tc>
        <w:tc>
          <w:tcPr>
            <w:tcW w:w="1804" w:type="dxa"/>
          </w:tcPr>
          <w:p w14:paraId="64FED2B4" w14:textId="77777777" w:rsidR="00E66804" w:rsidRDefault="00E66804" w:rsidP="003B036C">
            <w:pPr>
              <w:jc w:val="center"/>
            </w:pPr>
            <w:r>
              <w:t>Modified Cohen</w:t>
            </w:r>
          </w:p>
        </w:tc>
      </w:tr>
      <w:tr w:rsidR="00E66804" w14:paraId="4B892BDC" w14:textId="77777777" w:rsidTr="003B036C">
        <w:tc>
          <w:tcPr>
            <w:tcW w:w="1980" w:type="dxa"/>
          </w:tcPr>
          <w:p w14:paraId="7D9D2ADC" w14:textId="77777777" w:rsidR="00E66804" w:rsidRDefault="00E66804" w:rsidP="003B036C">
            <w:r>
              <w:t>Mean</w:t>
            </w:r>
          </w:p>
        </w:tc>
        <w:tc>
          <w:tcPr>
            <w:tcW w:w="1843" w:type="dxa"/>
            <w:vAlign w:val="bottom"/>
          </w:tcPr>
          <w:p w14:paraId="11823914" w14:textId="77777777" w:rsidR="00E66804" w:rsidRDefault="00E66804" w:rsidP="003B036C">
            <w:pPr>
              <w:jc w:val="center"/>
            </w:pPr>
            <w:r>
              <w:rPr>
                <w:rFonts w:ascii="Calibri" w:hAnsi="Calibri" w:cs="Calibri"/>
                <w:color w:val="000000"/>
              </w:rPr>
              <w:t>15.13484</w:t>
            </w:r>
          </w:p>
        </w:tc>
        <w:tc>
          <w:tcPr>
            <w:tcW w:w="1701" w:type="dxa"/>
            <w:vAlign w:val="bottom"/>
          </w:tcPr>
          <w:p w14:paraId="4BD4712F" w14:textId="77777777" w:rsidR="00E66804" w:rsidRDefault="00E66804" w:rsidP="003B036C">
            <w:pPr>
              <w:jc w:val="center"/>
            </w:pPr>
            <w:r>
              <w:rPr>
                <w:rFonts w:ascii="Calibri" w:hAnsi="Calibri" w:cs="Calibri"/>
                <w:color w:val="000000"/>
              </w:rPr>
              <w:t>14.08984</w:t>
            </w:r>
          </w:p>
        </w:tc>
        <w:tc>
          <w:tcPr>
            <w:tcW w:w="1688" w:type="dxa"/>
            <w:vAlign w:val="bottom"/>
          </w:tcPr>
          <w:p w14:paraId="3006E567" w14:textId="77777777" w:rsidR="00E66804" w:rsidRDefault="00E66804" w:rsidP="003B036C">
            <w:pPr>
              <w:jc w:val="center"/>
            </w:pPr>
            <w:r>
              <w:rPr>
                <w:rFonts w:ascii="Calibri" w:hAnsi="Calibri" w:cs="Calibri"/>
                <w:color w:val="000000"/>
              </w:rPr>
              <w:t>25.36721</w:t>
            </w:r>
          </w:p>
        </w:tc>
        <w:tc>
          <w:tcPr>
            <w:tcW w:w="1804" w:type="dxa"/>
            <w:vAlign w:val="bottom"/>
          </w:tcPr>
          <w:p w14:paraId="139B6548" w14:textId="77777777" w:rsidR="00E66804" w:rsidRDefault="00E66804" w:rsidP="003B036C">
            <w:pPr>
              <w:jc w:val="center"/>
            </w:pPr>
            <w:r>
              <w:rPr>
                <w:rFonts w:ascii="Calibri" w:hAnsi="Calibri" w:cs="Calibri"/>
                <w:color w:val="000000"/>
              </w:rPr>
              <w:t>13.39841</w:t>
            </w:r>
          </w:p>
        </w:tc>
      </w:tr>
      <w:tr w:rsidR="00E66804" w14:paraId="788CDA3D" w14:textId="77777777" w:rsidTr="003B036C">
        <w:tc>
          <w:tcPr>
            <w:tcW w:w="1980" w:type="dxa"/>
          </w:tcPr>
          <w:p w14:paraId="6864734E" w14:textId="77777777" w:rsidR="00E66804" w:rsidRDefault="00E66804" w:rsidP="003B036C">
            <w:r>
              <w:t>Standard Deviation</w:t>
            </w:r>
          </w:p>
        </w:tc>
        <w:tc>
          <w:tcPr>
            <w:tcW w:w="1843" w:type="dxa"/>
            <w:vAlign w:val="bottom"/>
          </w:tcPr>
          <w:p w14:paraId="70A8761D" w14:textId="77777777" w:rsidR="00E66804" w:rsidRDefault="00E66804" w:rsidP="003B036C">
            <w:pPr>
              <w:jc w:val="center"/>
            </w:pPr>
            <w:r>
              <w:rPr>
                <w:rFonts w:ascii="Calibri" w:hAnsi="Calibri" w:cs="Calibri"/>
                <w:color w:val="000000"/>
              </w:rPr>
              <w:t>9.528302</w:t>
            </w:r>
          </w:p>
        </w:tc>
        <w:tc>
          <w:tcPr>
            <w:tcW w:w="1701" w:type="dxa"/>
            <w:vAlign w:val="bottom"/>
          </w:tcPr>
          <w:p w14:paraId="09C81D44" w14:textId="77777777" w:rsidR="00E66804" w:rsidRDefault="00E66804" w:rsidP="003B036C">
            <w:pPr>
              <w:jc w:val="center"/>
            </w:pPr>
            <w:r>
              <w:rPr>
                <w:rFonts w:ascii="Calibri" w:hAnsi="Calibri" w:cs="Calibri"/>
                <w:color w:val="000000"/>
              </w:rPr>
              <w:t>5.759773</w:t>
            </w:r>
          </w:p>
        </w:tc>
        <w:tc>
          <w:tcPr>
            <w:tcW w:w="1688" w:type="dxa"/>
            <w:vAlign w:val="bottom"/>
          </w:tcPr>
          <w:p w14:paraId="5D176E60" w14:textId="77777777" w:rsidR="00E66804" w:rsidRDefault="00E66804" w:rsidP="003B036C">
            <w:pPr>
              <w:jc w:val="center"/>
            </w:pPr>
            <w:r>
              <w:rPr>
                <w:rFonts w:ascii="Calibri" w:hAnsi="Calibri" w:cs="Calibri"/>
                <w:color w:val="000000"/>
              </w:rPr>
              <w:t>10.97905</w:t>
            </w:r>
          </w:p>
        </w:tc>
        <w:tc>
          <w:tcPr>
            <w:tcW w:w="1804" w:type="dxa"/>
            <w:vAlign w:val="bottom"/>
          </w:tcPr>
          <w:p w14:paraId="66F24D50" w14:textId="77777777" w:rsidR="00E66804" w:rsidRDefault="00E66804" w:rsidP="003B036C">
            <w:pPr>
              <w:jc w:val="center"/>
            </w:pPr>
            <w:r>
              <w:rPr>
                <w:rFonts w:ascii="Calibri" w:hAnsi="Calibri" w:cs="Calibri"/>
                <w:color w:val="000000"/>
              </w:rPr>
              <w:t>7.06995</w:t>
            </w:r>
          </w:p>
        </w:tc>
      </w:tr>
    </w:tbl>
    <w:p w14:paraId="4E9D50BE" w14:textId="77777777" w:rsidR="00E66804" w:rsidRDefault="00E66804" w:rsidP="00E66804"/>
    <w:p w14:paraId="042F6929" w14:textId="77777777" w:rsidR="00E66804" w:rsidRDefault="00E66804" w:rsidP="00E66804">
      <w:r>
        <w:t xml:space="preserve">Table 4. Percentage of ‘Fail’ students over a total of 26 exams, using 4 different standard setting methods. </w:t>
      </w:r>
    </w:p>
    <w:p w14:paraId="14D857D9" w14:textId="77777777" w:rsidR="00E66804" w:rsidRDefault="00E66804" w:rsidP="00E56EAB">
      <w:pPr>
        <w:spacing w:line="480" w:lineRule="auto"/>
        <w:rPr>
          <w:rFonts w:cstheme="minorHAnsi"/>
        </w:rPr>
      </w:pPr>
    </w:p>
    <w:p w14:paraId="7C7FE96B" w14:textId="77777777" w:rsidR="00A43E7E" w:rsidRDefault="00A43E7E" w:rsidP="00E56EAB">
      <w:pPr>
        <w:spacing w:line="480" w:lineRule="auto"/>
        <w:rPr>
          <w:rFonts w:cstheme="minorHAnsi"/>
        </w:rPr>
      </w:pPr>
      <w:r>
        <w:rPr>
          <w:rFonts w:cstheme="minorHAnsi"/>
        </w:rPr>
        <w:t xml:space="preserve">These results were </w:t>
      </w:r>
      <w:r w:rsidR="00C45B64">
        <w:rPr>
          <w:rFonts w:cstheme="minorHAnsi"/>
        </w:rPr>
        <w:t xml:space="preserve">also </w:t>
      </w:r>
      <w:r>
        <w:rPr>
          <w:rFonts w:cstheme="minorHAnsi"/>
        </w:rPr>
        <w:t xml:space="preserve">plotted against the average score in each assessment, as shown in Figure 2. By all four methods, there is a linear relationship between the average score in the test, and the percentage of candidates who fail – as is to be expected, the higher the average score, the fewer candidates fail.  </w:t>
      </w:r>
      <w:r w:rsidR="00C45B64">
        <w:rPr>
          <w:rFonts w:cstheme="minorHAnsi"/>
        </w:rPr>
        <w:t xml:space="preserve">However, the </w:t>
      </w:r>
      <w:r w:rsidR="006D2EB0">
        <w:rPr>
          <w:rFonts w:cstheme="minorHAnsi"/>
        </w:rPr>
        <w:t>exponential curve</w:t>
      </w:r>
      <w:r w:rsidR="00C45B64">
        <w:rPr>
          <w:rFonts w:cstheme="minorHAnsi"/>
        </w:rPr>
        <w:t xml:space="preserve"> method gives a much more stable result: the slope is much shallower than those of the other three methods. This accords with the lower Standard Deviation for the </w:t>
      </w:r>
      <w:r w:rsidR="006D2EB0">
        <w:rPr>
          <w:rFonts w:cstheme="minorHAnsi"/>
        </w:rPr>
        <w:t>exponential curve</w:t>
      </w:r>
      <w:r w:rsidR="00C45B64">
        <w:rPr>
          <w:rFonts w:cstheme="minorHAnsi"/>
        </w:rPr>
        <w:t xml:space="preserve"> method, as shown in Table 4. </w:t>
      </w:r>
    </w:p>
    <w:p w14:paraId="522ABB69" w14:textId="77777777" w:rsidR="00E56EAB" w:rsidRDefault="005D1EA7" w:rsidP="00E56EAB">
      <w:pPr>
        <w:spacing w:line="480" w:lineRule="auto"/>
        <w:rPr>
          <w:rFonts w:cstheme="minorHAnsi"/>
        </w:rPr>
      </w:pPr>
      <w:r>
        <w:rPr>
          <w:rFonts w:cstheme="minorHAnsi"/>
        </w:rPr>
        <w:t xml:space="preserve">A reasonable question would be to ask if Facility is dependent on the </w:t>
      </w:r>
      <w:r w:rsidR="00E56EAB">
        <w:rPr>
          <w:rFonts w:cstheme="minorHAnsi"/>
        </w:rPr>
        <w:t xml:space="preserve">proportion of Borderline candidates in the test. We modelled the impact of changing this proportion, and the impact on the Facility of the test </w:t>
      </w:r>
      <w:proofErr w:type="gramStart"/>
      <w:r w:rsidR="00E56EAB">
        <w:rPr>
          <w:rFonts w:cstheme="minorHAnsi"/>
        </w:rPr>
        <w:t>as a whole was</w:t>
      </w:r>
      <w:proofErr w:type="gramEnd"/>
      <w:r w:rsidR="00E56EAB">
        <w:rPr>
          <w:rFonts w:cstheme="minorHAnsi"/>
        </w:rPr>
        <w:t xml:space="preserve"> small: </w:t>
      </w:r>
      <w:r w:rsidR="00040912">
        <w:rPr>
          <w:rFonts w:cstheme="minorHAnsi"/>
        </w:rPr>
        <w:t xml:space="preserve">for instance, </w:t>
      </w:r>
      <w:r w:rsidR="00E56EAB">
        <w:rPr>
          <w:rFonts w:cstheme="minorHAnsi"/>
        </w:rPr>
        <w:t>the difference in cohort Facility when 15% versus 35% of the cohort were classed as Borderline was 3%.</w:t>
      </w:r>
    </w:p>
    <w:p w14:paraId="4C6489A1" w14:textId="77777777" w:rsidR="00E56EAB" w:rsidRDefault="00E56EAB" w:rsidP="00E56EAB">
      <w:pPr>
        <w:spacing w:line="480" w:lineRule="auto"/>
        <w:rPr>
          <w:rFonts w:cstheme="minorHAnsi"/>
        </w:rPr>
      </w:pPr>
      <w:r>
        <w:rPr>
          <w:rFonts w:cstheme="minorHAnsi"/>
        </w:rPr>
        <w:lastRenderedPageBreak/>
        <w:t xml:space="preserve">This suggests that the overall performance of a cohort of students may be relatively stable to changes in the proportions of Borderline candidates, a point which we will return to in the Discussion.  </w:t>
      </w:r>
    </w:p>
    <w:p w14:paraId="4800C133" w14:textId="77777777" w:rsidR="00993A86" w:rsidRPr="00C042C6" w:rsidRDefault="006A48DD" w:rsidP="00925D98">
      <w:pPr>
        <w:spacing w:line="480" w:lineRule="auto"/>
        <w:rPr>
          <w:rFonts w:cstheme="minorHAnsi"/>
          <w:b/>
        </w:rPr>
      </w:pPr>
      <w:r w:rsidRPr="00C042C6">
        <w:rPr>
          <w:rFonts w:cstheme="minorHAnsi"/>
          <w:b/>
        </w:rPr>
        <w:t>Discussion</w:t>
      </w:r>
    </w:p>
    <w:p w14:paraId="6000A7F4" w14:textId="77777777" w:rsidR="00E56EAB" w:rsidRDefault="006A48DD" w:rsidP="00925D98">
      <w:pPr>
        <w:spacing w:line="480" w:lineRule="auto"/>
        <w:rPr>
          <w:rFonts w:cstheme="minorHAnsi"/>
        </w:rPr>
      </w:pPr>
      <w:r>
        <w:rPr>
          <w:rFonts w:cstheme="minorHAnsi"/>
        </w:rPr>
        <w:t xml:space="preserve">For a context in which candidates have already undertaken multiple assessments </w:t>
      </w:r>
      <w:r w:rsidR="00704081">
        <w:rPr>
          <w:rFonts w:cstheme="minorHAnsi"/>
        </w:rPr>
        <w:t>previously</w:t>
      </w:r>
      <w:r>
        <w:rPr>
          <w:rFonts w:cstheme="minorHAnsi"/>
        </w:rPr>
        <w:t xml:space="preserve"> </w:t>
      </w:r>
      <w:proofErr w:type="gramStart"/>
      <w:r>
        <w:rPr>
          <w:rFonts w:cstheme="minorHAnsi"/>
        </w:rPr>
        <w:t>standard</w:t>
      </w:r>
      <w:r w:rsidR="009F2844">
        <w:rPr>
          <w:rFonts w:cstheme="minorHAnsi"/>
        </w:rPr>
        <w:t>-</w:t>
      </w:r>
      <w:r>
        <w:rPr>
          <w:rFonts w:cstheme="minorHAnsi"/>
        </w:rPr>
        <w:t>set</w:t>
      </w:r>
      <w:proofErr w:type="gramEnd"/>
      <w:r>
        <w:rPr>
          <w:rFonts w:cstheme="minorHAnsi"/>
        </w:rPr>
        <w:t xml:space="preserve"> by s</w:t>
      </w:r>
      <w:r w:rsidR="00704081">
        <w:rPr>
          <w:rFonts w:cstheme="minorHAnsi"/>
        </w:rPr>
        <w:t>ome conventional means</w:t>
      </w:r>
      <w:r>
        <w:rPr>
          <w:rFonts w:cstheme="minorHAnsi"/>
        </w:rPr>
        <w:t xml:space="preserve">, repeating the approach described here is possible and relatively straightforward. Candidates can be classified as </w:t>
      </w:r>
      <w:r w:rsidR="002A560C">
        <w:rPr>
          <w:rFonts w:cstheme="minorHAnsi"/>
        </w:rPr>
        <w:t>Borderline</w:t>
      </w:r>
      <w:r w:rsidR="00E56EAB">
        <w:rPr>
          <w:rFonts w:cstheme="minorHAnsi"/>
        </w:rPr>
        <w:t xml:space="preserve"> </w:t>
      </w:r>
      <w:proofErr w:type="gramStart"/>
      <w:r w:rsidR="00E56EAB">
        <w:rPr>
          <w:rFonts w:cstheme="minorHAnsi"/>
        </w:rPr>
        <w:t>on the basis of</w:t>
      </w:r>
      <w:proofErr w:type="gramEnd"/>
      <w:r w:rsidR="00E56EAB">
        <w:rPr>
          <w:rFonts w:cstheme="minorHAnsi"/>
        </w:rPr>
        <w:t xml:space="preserve"> their performance across all assessments, and the equivalent of Figure 1 plotted. We predict that a curve of the same form, and with constant values close to that of the </w:t>
      </w:r>
      <w:r w:rsidR="006D2EB0">
        <w:rPr>
          <w:rFonts w:cstheme="minorHAnsi"/>
        </w:rPr>
        <w:t>standard exponential curve</w:t>
      </w:r>
      <w:r w:rsidR="00E56EAB">
        <w:rPr>
          <w:rFonts w:cstheme="minorHAnsi"/>
        </w:rPr>
        <w:t xml:space="preserve"> will be observed. </w:t>
      </w:r>
    </w:p>
    <w:p w14:paraId="14382119" w14:textId="77777777" w:rsidR="00716B89" w:rsidRDefault="006A48DD" w:rsidP="00925D98">
      <w:pPr>
        <w:spacing w:line="480" w:lineRule="auto"/>
        <w:rPr>
          <w:rFonts w:cstheme="minorHAnsi"/>
          <w:i/>
        </w:rPr>
      </w:pPr>
      <w:r>
        <w:rPr>
          <w:rFonts w:cstheme="minorHAnsi"/>
          <w:i/>
        </w:rPr>
        <w:t xml:space="preserve">Ways of using </w:t>
      </w:r>
      <w:r w:rsidR="00E56EAB">
        <w:rPr>
          <w:rFonts w:cstheme="minorHAnsi"/>
          <w:i/>
        </w:rPr>
        <w:t xml:space="preserve">the </w:t>
      </w:r>
      <w:r w:rsidR="006D2EB0">
        <w:rPr>
          <w:rFonts w:cstheme="minorHAnsi"/>
          <w:i/>
        </w:rPr>
        <w:t>exponential curve</w:t>
      </w:r>
    </w:p>
    <w:p w14:paraId="485A6D4F" w14:textId="77777777" w:rsidR="000F746C" w:rsidRDefault="00E56EAB" w:rsidP="00925D98">
      <w:pPr>
        <w:spacing w:line="480" w:lineRule="auto"/>
        <w:rPr>
          <w:rFonts w:cstheme="minorHAnsi"/>
          <w:iCs/>
        </w:rPr>
      </w:pPr>
      <w:r w:rsidRPr="001C2F7E">
        <w:rPr>
          <w:rFonts w:cstheme="minorHAnsi"/>
          <w:iCs/>
        </w:rPr>
        <w:t xml:space="preserve">The </w:t>
      </w:r>
      <w:r w:rsidR="006D2EB0">
        <w:rPr>
          <w:rFonts w:cstheme="minorHAnsi"/>
          <w:iCs/>
        </w:rPr>
        <w:t>exponential curve</w:t>
      </w:r>
      <w:r w:rsidRPr="001C2F7E">
        <w:rPr>
          <w:rFonts w:cstheme="minorHAnsi"/>
          <w:iCs/>
        </w:rPr>
        <w:t xml:space="preserve"> equation</w:t>
      </w:r>
      <w:r w:rsidR="001C2F7E">
        <w:rPr>
          <w:rFonts w:cstheme="minorHAnsi"/>
          <w:iCs/>
        </w:rPr>
        <w:t xml:space="preserve"> can be used as a </w:t>
      </w:r>
      <w:r w:rsidR="00384F3C">
        <w:rPr>
          <w:rFonts w:cstheme="minorHAnsi"/>
          <w:iCs/>
        </w:rPr>
        <w:t xml:space="preserve">rapid and inexpensive </w:t>
      </w:r>
      <w:r w:rsidR="001C2F7E">
        <w:rPr>
          <w:rFonts w:cstheme="minorHAnsi"/>
          <w:iCs/>
        </w:rPr>
        <w:t xml:space="preserve">primary </w:t>
      </w:r>
      <w:r w:rsidR="00384F3C">
        <w:rPr>
          <w:rFonts w:cstheme="minorHAnsi"/>
          <w:iCs/>
        </w:rPr>
        <w:t xml:space="preserve">standard setting method, in the same settings as Cohen and modified Cohen methodologies are currently employed. </w:t>
      </w:r>
      <w:r w:rsidR="000F746C">
        <w:rPr>
          <w:rFonts w:cstheme="minorHAnsi"/>
        </w:rPr>
        <w:t xml:space="preserve">The Facility of each item is calculated in most item-banking applications. </w:t>
      </w:r>
      <w:r w:rsidR="00384F3C">
        <w:rPr>
          <w:rFonts w:cstheme="minorHAnsi"/>
          <w:iCs/>
        </w:rPr>
        <w:t>T</w:t>
      </w:r>
      <w:r w:rsidR="000F746C">
        <w:rPr>
          <w:rFonts w:cstheme="minorHAnsi"/>
          <w:iCs/>
        </w:rPr>
        <w:t xml:space="preserve">hese Facilities can be exported </w:t>
      </w:r>
      <w:r w:rsidR="00384F3C">
        <w:rPr>
          <w:rFonts w:cstheme="minorHAnsi"/>
          <w:iCs/>
        </w:rPr>
        <w:t xml:space="preserve">to a spreadsheet </w:t>
      </w:r>
      <w:r w:rsidR="000F746C">
        <w:rPr>
          <w:rFonts w:cstheme="minorHAnsi"/>
          <w:iCs/>
        </w:rPr>
        <w:t xml:space="preserve">and the </w:t>
      </w:r>
      <w:r w:rsidR="006D2EB0">
        <w:rPr>
          <w:rFonts w:cstheme="minorHAnsi"/>
          <w:iCs/>
        </w:rPr>
        <w:t xml:space="preserve">exponential </w:t>
      </w:r>
      <w:r w:rsidR="00384F3C">
        <w:rPr>
          <w:rFonts w:cstheme="minorHAnsi"/>
          <w:iCs/>
        </w:rPr>
        <w:t>equation</w:t>
      </w:r>
      <w:r w:rsidR="000F746C">
        <w:rPr>
          <w:rFonts w:cstheme="minorHAnsi"/>
          <w:iCs/>
        </w:rPr>
        <w:t xml:space="preserve"> copied</w:t>
      </w:r>
      <w:r w:rsidR="00384F3C">
        <w:rPr>
          <w:rFonts w:cstheme="minorHAnsi"/>
          <w:iCs/>
        </w:rPr>
        <w:t xml:space="preserve"> into the adjacent cells. Using the</w:t>
      </w:r>
      <w:r w:rsidR="000F746C">
        <w:rPr>
          <w:rFonts w:cstheme="minorHAnsi"/>
          <w:iCs/>
        </w:rPr>
        <w:t xml:space="preserve"> ‘</w:t>
      </w:r>
      <w:r w:rsidR="00384F3C">
        <w:rPr>
          <w:rFonts w:cstheme="minorHAnsi"/>
          <w:iCs/>
        </w:rPr>
        <w:t>fill down</w:t>
      </w:r>
      <w:r w:rsidR="000F746C">
        <w:rPr>
          <w:rFonts w:cstheme="minorHAnsi"/>
          <w:iCs/>
        </w:rPr>
        <w:t>’</w:t>
      </w:r>
      <w:r w:rsidR="00384F3C">
        <w:rPr>
          <w:rFonts w:cstheme="minorHAnsi"/>
          <w:iCs/>
        </w:rPr>
        <w:t xml:space="preserve"> command in Excel, this takes seconds to do. The average value of the </w:t>
      </w:r>
      <w:r w:rsidR="006D2EB0">
        <w:rPr>
          <w:rFonts w:cstheme="minorHAnsi"/>
          <w:iCs/>
        </w:rPr>
        <w:t>exponential</w:t>
      </w:r>
      <w:r w:rsidR="00384F3C">
        <w:rPr>
          <w:rFonts w:cstheme="minorHAnsi"/>
          <w:iCs/>
        </w:rPr>
        <w:t xml:space="preserve"> equation outcomes is the cut score for the </w:t>
      </w:r>
      <w:proofErr w:type="gramStart"/>
      <w:r w:rsidR="00384F3C">
        <w:rPr>
          <w:rFonts w:cstheme="minorHAnsi"/>
          <w:iCs/>
        </w:rPr>
        <w:t>test as a whole</w:t>
      </w:r>
      <w:proofErr w:type="gramEnd"/>
      <w:r w:rsidR="00384F3C">
        <w:rPr>
          <w:rFonts w:cstheme="minorHAnsi"/>
          <w:iCs/>
        </w:rPr>
        <w:t xml:space="preserve">. </w:t>
      </w:r>
    </w:p>
    <w:p w14:paraId="50205680" w14:textId="77777777" w:rsidR="00384F3C" w:rsidRDefault="00384F3C" w:rsidP="00925D98">
      <w:pPr>
        <w:spacing w:line="480" w:lineRule="auto"/>
        <w:rPr>
          <w:rFonts w:cstheme="minorHAnsi"/>
          <w:iCs/>
        </w:rPr>
      </w:pPr>
      <w:r>
        <w:rPr>
          <w:rFonts w:cstheme="minorHAnsi"/>
          <w:iCs/>
        </w:rPr>
        <w:t xml:space="preserve">We believe that the </w:t>
      </w:r>
      <w:r w:rsidR="006D2EB0">
        <w:rPr>
          <w:rFonts w:cstheme="minorHAnsi"/>
          <w:iCs/>
        </w:rPr>
        <w:t>exponential</w:t>
      </w:r>
      <w:r>
        <w:rPr>
          <w:rFonts w:cstheme="minorHAnsi"/>
          <w:iCs/>
        </w:rPr>
        <w:t xml:space="preserve"> equation is preferable to both Cohen methodologies, because it is derived from the results of all items and all candidates, rather than the results of one candidate in the test. In addition, it is more stable to changes in the average score than either Cohen methodology, or even </w:t>
      </w:r>
      <w:proofErr w:type="spellStart"/>
      <w:r>
        <w:rPr>
          <w:rFonts w:cstheme="minorHAnsi"/>
          <w:iCs/>
        </w:rPr>
        <w:t>Angoff</w:t>
      </w:r>
      <w:proofErr w:type="spellEnd"/>
      <w:r>
        <w:rPr>
          <w:rFonts w:cstheme="minorHAnsi"/>
          <w:iCs/>
        </w:rPr>
        <w:t xml:space="preserve"> approaches. </w:t>
      </w:r>
    </w:p>
    <w:p w14:paraId="03A34E6F" w14:textId="77777777" w:rsidR="00384F3C" w:rsidRDefault="00384F3C" w:rsidP="00925D98">
      <w:pPr>
        <w:spacing w:line="480" w:lineRule="auto"/>
        <w:rPr>
          <w:rFonts w:cstheme="minorHAnsi"/>
          <w:iCs/>
        </w:rPr>
      </w:pPr>
      <w:r>
        <w:rPr>
          <w:rFonts w:cstheme="minorHAnsi"/>
          <w:iCs/>
        </w:rPr>
        <w:lastRenderedPageBreak/>
        <w:t xml:space="preserve">Alternatively, it could be used in conjunction with </w:t>
      </w:r>
      <w:proofErr w:type="spellStart"/>
      <w:r>
        <w:rPr>
          <w:rFonts w:cstheme="minorHAnsi"/>
          <w:iCs/>
        </w:rPr>
        <w:t>Angoff</w:t>
      </w:r>
      <w:proofErr w:type="spellEnd"/>
      <w:r>
        <w:rPr>
          <w:rFonts w:cstheme="minorHAnsi"/>
          <w:iCs/>
        </w:rPr>
        <w:t xml:space="preserve"> methods, to adjust the cut score value of individual items</w:t>
      </w:r>
      <w:r w:rsidR="000F746C">
        <w:rPr>
          <w:rFonts w:cstheme="minorHAnsi"/>
          <w:iCs/>
        </w:rPr>
        <w:t xml:space="preserve"> where there is a major discrepancy between the pre-calculated </w:t>
      </w:r>
      <w:proofErr w:type="spellStart"/>
      <w:r w:rsidR="000F746C">
        <w:rPr>
          <w:rFonts w:cstheme="minorHAnsi"/>
          <w:iCs/>
        </w:rPr>
        <w:t>Angoff</w:t>
      </w:r>
      <w:proofErr w:type="spellEnd"/>
      <w:r w:rsidR="000F746C">
        <w:rPr>
          <w:rFonts w:cstheme="minorHAnsi"/>
          <w:iCs/>
        </w:rPr>
        <w:t xml:space="preserve"> value and the observed Facility. </w:t>
      </w:r>
    </w:p>
    <w:p w14:paraId="2B04BB50" w14:textId="010125DB" w:rsidR="00E56EAB" w:rsidRDefault="000F746C" w:rsidP="00925D98">
      <w:pPr>
        <w:spacing w:line="480" w:lineRule="auto"/>
        <w:rPr>
          <w:rFonts w:cstheme="minorHAnsi"/>
        </w:rPr>
      </w:pPr>
      <w:r>
        <w:rPr>
          <w:rFonts w:cstheme="minorHAnsi"/>
        </w:rPr>
        <w:t xml:space="preserve">Compared to the </w:t>
      </w:r>
      <w:proofErr w:type="spellStart"/>
      <w:r>
        <w:rPr>
          <w:rFonts w:cstheme="minorHAnsi"/>
        </w:rPr>
        <w:t>Angoff</w:t>
      </w:r>
      <w:proofErr w:type="spellEnd"/>
      <w:r>
        <w:rPr>
          <w:rFonts w:cstheme="minorHAnsi"/>
        </w:rPr>
        <w:t xml:space="preserve"> method itself, this method avoids the need for assembling an expert reference group, and the time-consuming and contentious process of estimating an </w:t>
      </w:r>
      <w:proofErr w:type="spellStart"/>
      <w:r>
        <w:rPr>
          <w:rFonts w:cstheme="minorHAnsi"/>
        </w:rPr>
        <w:t>Angoff</w:t>
      </w:r>
      <w:proofErr w:type="spellEnd"/>
      <w:r>
        <w:rPr>
          <w:rFonts w:cstheme="minorHAnsi"/>
        </w:rPr>
        <w:t xml:space="preserve"> value for every item in the test</w:t>
      </w:r>
      <w:r w:rsidR="00040912">
        <w:rPr>
          <w:rFonts w:cstheme="minorHAnsi"/>
        </w:rPr>
        <w:t xml:space="preserve">. It is very much </w:t>
      </w:r>
      <w:r w:rsidR="00BA5FBA" w:rsidRPr="00BA5FBA">
        <w:rPr>
          <w:rFonts w:cstheme="minorHAnsi"/>
        </w:rPr>
        <w:t>less costly</w:t>
      </w:r>
      <w:r w:rsidRPr="00BA5FBA">
        <w:rPr>
          <w:rFonts w:cstheme="minorHAnsi"/>
        </w:rPr>
        <w:t xml:space="preserve"> terms </w:t>
      </w:r>
      <w:r>
        <w:rPr>
          <w:rFonts w:cstheme="minorHAnsi"/>
        </w:rPr>
        <w:t xml:space="preserve">of staff time to carry </w:t>
      </w:r>
      <w:proofErr w:type="gramStart"/>
      <w:r>
        <w:rPr>
          <w:rFonts w:cstheme="minorHAnsi"/>
        </w:rPr>
        <w:t>out</w:t>
      </w:r>
      <w:r w:rsidR="00BA5FBA">
        <w:rPr>
          <w:rFonts w:cstheme="minorHAnsi"/>
        </w:rPr>
        <w:t>,  and</w:t>
      </w:r>
      <w:proofErr w:type="gramEnd"/>
      <w:r w:rsidR="00BA5FBA">
        <w:rPr>
          <w:rFonts w:cstheme="minorHAnsi"/>
        </w:rPr>
        <w:t xml:space="preserve"> may bring significant opportunity cost benefits</w:t>
      </w:r>
      <w:r>
        <w:rPr>
          <w:rFonts w:cstheme="minorHAnsi"/>
        </w:rPr>
        <w:t xml:space="preserve">. </w:t>
      </w:r>
    </w:p>
    <w:p w14:paraId="6F92AE5F" w14:textId="77777777" w:rsidR="000F746C" w:rsidRPr="00A43E7D" w:rsidRDefault="000F746C" w:rsidP="000F746C">
      <w:pPr>
        <w:spacing w:line="480" w:lineRule="auto"/>
        <w:rPr>
          <w:rFonts w:cstheme="minorHAnsi"/>
        </w:rPr>
      </w:pPr>
      <w:r>
        <w:rPr>
          <w:rFonts w:cstheme="minorHAnsi"/>
        </w:rPr>
        <w:t>The method may be useful in standard-setting new kinds of items, such as Very Short Answer Items, which have been observed to have lower Facilities than MCQs</w:t>
      </w:r>
      <w:r>
        <w:rPr>
          <w:rStyle w:val="EndnoteReference"/>
          <w:rFonts w:cstheme="minorHAnsi"/>
        </w:rPr>
        <w:endnoteReference w:id="8"/>
      </w:r>
      <w:r w:rsidR="00106BCC">
        <w:rPr>
          <w:rFonts w:cstheme="minorHAnsi"/>
        </w:rPr>
        <w:t xml:space="preserve">, and where </w:t>
      </w:r>
      <w:proofErr w:type="spellStart"/>
      <w:r w:rsidR="00106BCC">
        <w:rPr>
          <w:rFonts w:cstheme="minorHAnsi"/>
        </w:rPr>
        <w:t>Angoff</w:t>
      </w:r>
      <w:proofErr w:type="spellEnd"/>
      <w:r w:rsidR="00106BCC">
        <w:rPr>
          <w:rFonts w:cstheme="minorHAnsi"/>
        </w:rPr>
        <w:t xml:space="preserve"> values calculated by the usual method may not be appropriate. </w:t>
      </w:r>
    </w:p>
    <w:p w14:paraId="69386932" w14:textId="77777777" w:rsidR="00E649A4" w:rsidRPr="00716B89" w:rsidRDefault="00E649A4" w:rsidP="00925D98">
      <w:pPr>
        <w:spacing w:line="480" w:lineRule="auto"/>
        <w:rPr>
          <w:rFonts w:cstheme="minorHAnsi"/>
          <w:i/>
        </w:rPr>
      </w:pPr>
      <w:r w:rsidRPr="00716B89">
        <w:rPr>
          <w:rFonts w:cstheme="minorHAnsi"/>
          <w:i/>
        </w:rPr>
        <w:t>Challenges</w:t>
      </w:r>
      <w:r w:rsidR="00704081">
        <w:rPr>
          <w:rFonts w:cstheme="minorHAnsi"/>
          <w:i/>
        </w:rPr>
        <w:t xml:space="preserve"> to this approach</w:t>
      </w:r>
    </w:p>
    <w:p w14:paraId="34289894" w14:textId="77777777" w:rsidR="008B5BA7" w:rsidRDefault="000F746C" w:rsidP="00925D98">
      <w:pPr>
        <w:spacing w:line="480" w:lineRule="auto"/>
        <w:rPr>
          <w:rFonts w:cstheme="minorHAnsi"/>
        </w:rPr>
      </w:pPr>
      <w:r>
        <w:rPr>
          <w:rFonts w:cstheme="minorHAnsi"/>
        </w:rPr>
        <w:t xml:space="preserve">The key issue is the stability of the constants C and F under different conditions. </w:t>
      </w:r>
    </w:p>
    <w:p w14:paraId="14723172" w14:textId="77777777" w:rsidR="008B5BA7" w:rsidRDefault="008B5BA7" w:rsidP="00925D98">
      <w:pPr>
        <w:spacing w:line="480" w:lineRule="auto"/>
        <w:rPr>
          <w:rFonts w:cstheme="minorHAnsi"/>
        </w:rPr>
      </w:pPr>
      <w:r>
        <w:rPr>
          <w:rFonts w:cstheme="minorHAnsi"/>
        </w:rPr>
        <w:t xml:space="preserve">Two conditions must be met for C and F to be relatively stable. The first is that the variance in difficulty of the assessments should be greater than the variance in ability of the candidates.  </w:t>
      </w:r>
      <w:r w:rsidR="00421A17">
        <w:rPr>
          <w:rFonts w:cstheme="minorHAnsi"/>
        </w:rPr>
        <w:t xml:space="preserve"> </w:t>
      </w:r>
      <w:r>
        <w:rPr>
          <w:rFonts w:cstheme="minorHAnsi"/>
        </w:rPr>
        <w:t xml:space="preserve">It has indeed been demonstrated for medical students that “test-difficulty is a major source of variation </w:t>
      </w:r>
      <w:r w:rsidRPr="00A43E7D">
        <w:rPr>
          <w:rFonts w:cstheme="minorHAnsi"/>
        </w:rPr>
        <w:t>while cohort and education effects probably are minor”</w:t>
      </w:r>
      <w:r w:rsidR="009776D4">
        <w:rPr>
          <w:rStyle w:val="EndnoteReference"/>
          <w:rFonts w:cstheme="minorHAnsi"/>
        </w:rPr>
        <w:endnoteReference w:id="9"/>
      </w:r>
      <w:r w:rsidR="00A43E7D" w:rsidRPr="00A43E7D">
        <w:rPr>
          <w:rFonts w:cstheme="minorHAnsi"/>
        </w:rPr>
        <w:t>.</w:t>
      </w:r>
      <w:r w:rsidRPr="00A43E7D">
        <w:rPr>
          <w:rFonts w:cstheme="minorHAnsi"/>
        </w:rPr>
        <w:t xml:space="preserve"> </w:t>
      </w:r>
      <w:r w:rsidR="00546DFE">
        <w:rPr>
          <w:rFonts w:cstheme="minorHAnsi"/>
        </w:rPr>
        <w:t xml:space="preserve"> </w:t>
      </w:r>
      <w:r w:rsidR="009776D4">
        <w:rPr>
          <w:rFonts w:cstheme="minorHAnsi"/>
        </w:rPr>
        <w:t>Similarly</w:t>
      </w:r>
      <w:r w:rsidR="00546DFE">
        <w:rPr>
          <w:rFonts w:cstheme="minorHAnsi"/>
        </w:rPr>
        <w:t>, Cohen-</w:t>
      </w:r>
      <w:proofErr w:type="spellStart"/>
      <w:r w:rsidR="009776D4">
        <w:rPr>
          <w:rFonts w:cstheme="minorHAnsi"/>
        </w:rPr>
        <w:t>Schotenaus</w:t>
      </w:r>
      <w:proofErr w:type="spellEnd"/>
      <w:r w:rsidR="009776D4">
        <w:rPr>
          <w:rFonts w:cstheme="minorHAnsi"/>
        </w:rPr>
        <w:t xml:space="preserve"> and </w:t>
      </w:r>
      <w:r w:rsidR="00106BCC">
        <w:rPr>
          <w:rFonts w:cstheme="minorHAnsi"/>
        </w:rPr>
        <w:t>v</w:t>
      </w:r>
      <w:r w:rsidR="009776D4">
        <w:rPr>
          <w:rFonts w:cstheme="minorHAnsi"/>
        </w:rPr>
        <w:t xml:space="preserve">an der Vleuten </w:t>
      </w:r>
      <w:r w:rsidR="00546DFE">
        <w:rPr>
          <w:rFonts w:cstheme="minorHAnsi"/>
        </w:rPr>
        <w:t>conclude</w:t>
      </w:r>
      <w:r w:rsidR="009776D4">
        <w:rPr>
          <w:rFonts w:cstheme="minorHAnsi"/>
        </w:rPr>
        <w:t>d</w:t>
      </w:r>
      <w:r w:rsidR="00546DFE">
        <w:rPr>
          <w:rFonts w:cstheme="minorHAnsi"/>
        </w:rPr>
        <w:t xml:space="preserve"> that “</w:t>
      </w:r>
      <w:r w:rsidR="00546DFE">
        <w:t>the most probable cause</w:t>
      </w:r>
      <w:r w:rsidR="002A560C">
        <w:t xml:space="preserve"> </w:t>
      </w:r>
      <w:r w:rsidR="00244699">
        <w:t>(</w:t>
      </w:r>
      <w:r w:rsidR="00546DFE">
        <w:t>of pass mark variability</w:t>
      </w:r>
      <w:r w:rsidR="00244699">
        <w:t>)</w:t>
      </w:r>
      <w:r w:rsidR="00546DFE">
        <w:t xml:space="preserve"> is variability in test difficulty across different tests, both within and across courses”. </w:t>
      </w:r>
      <w:r w:rsidR="00546DFE">
        <w:rPr>
          <w:rFonts w:cstheme="minorHAnsi"/>
        </w:rPr>
        <w:t xml:space="preserve"> </w:t>
      </w:r>
      <w:r w:rsidRPr="00A43E7D">
        <w:rPr>
          <w:rFonts w:cstheme="minorHAnsi"/>
        </w:rPr>
        <w:t xml:space="preserve">This may be </w:t>
      </w:r>
      <w:proofErr w:type="gramStart"/>
      <w:r w:rsidRPr="00A43E7D">
        <w:rPr>
          <w:rFonts w:cstheme="minorHAnsi"/>
        </w:rPr>
        <w:t>due to the</w:t>
      </w:r>
      <w:r>
        <w:rPr>
          <w:rFonts w:cstheme="minorHAnsi"/>
        </w:rPr>
        <w:t xml:space="preserve"> fact that</w:t>
      </w:r>
      <w:proofErr w:type="gramEnd"/>
      <w:r>
        <w:rPr>
          <w:rFonts w:cstheme="minorHAnsi"/>
        </w:rPr>
        <w:t xml:space="preserve"> medical students are highly selected at entry to </w:t>
      </w:r>
      <w:r w:rsidR="000F746C">
        <w:rPr>
          <w:rFonts w:cstheme="minorHAnsi"/>
        </w:rPr>
        <w:t>be</w:t>
      </w:r>
      <w:r>
        <w:rPr>
          <w:rFonts w:cstheme="minorHAnsi"/>
        </w:rPr>
        <w:t xml:space="preserve"> at the top end of the academic ability spectrum.</w:t>
      </w:r>
    </w:p>
    <w:p w14:paraId="7BDFA76B" w14:textId="77777777" w:rsidR="008B5BA7" w:rsidRDefault="008B5BA7" w:rsidP="00925D98">
      <w:pPr>
        <w:spacing w:line="480" w:lineRule="auto"/>
        <w:rPr>
          <w:rFonts w:cstheme="minorHAnsi"/>
        </w:rPr>
      </w:pPr>
      <w:r>
        <w:rPr>
          <w:rFonts w:cstheme="minorHAnsi"/>
        </w:rPr>
        <w:t xml:space="preserve">The second is that the proportion of </w:t>
      </w:r>
      <w:r w:rsidR="002A560C">
        <w:rPr>
          <w:rFonts w:cstheme="minorHAnsi"/>
        </w:rPr>
        <w:t>Borderline</w:t>
      </w:r>
      <w:r>
        <w:rPr>
          <w:rFonts w:cstheme="minorHAnsi"/>
        </w:rPr>
        <w:t xml:space="preserve"> candidates </w:t>
      </w:r>
      <w:r w:rsidR="00A43E7D">
        <w:rPr>
          <w:rFonts w:cstheme="minorHAnsi"/>
        </w:rPr>
        <w:t xml:space="preserve">should be a relatively </w:t>
      </w:r>
      <w:r w:rsidR="000F746C">
        <w:rPr>
          <w:rFonts w:cstheme="minorHAnsi"/>
        </w:rPr>
        <w:t>stable</w:t>
      </w:r>
      <w:r w:rsidR="00A43E7D">
        <w:rPr>
          <w:rFonts w:cstheme="minorHAnsi"/>
        </w:rPr>
        <w:t xml:space="preserve"> proportion of the </w:t>
      </w:r>
      <w:proofErr w:type="gramStart"/>
      <w:r w:rsidR="00A43E7D">
        <w:rPr>
          <w:rFonts w:cstheme="minorHAnsi"/>
        </w:rPr>
        <w:t>cohort as a whole</w:t>
      </w:r>
      <w:proofErr w:type="gramEnd"/>
      <w:r w:rsidR="00A43E7D">
        <w:rPr>
          <w:rFonts w:cstheme="minorHAnsi"/>
        </w:rPr>
        <w:t xml:space="preserve">. Again, the highly selected nature of medical students suggests this is a reasonable expectation. </w:t>
      </w:r>
      <w:r w:rsidR="000F746C">
        <w:rPr>
          <w:rFonts w:cstheme="minorHAnsi"/>
        </w:rPr>
        <w:t>In any case, we have observed that s</w:t>
      </w:r>
      <w:r w:rsidR="00083086">
        <w:rPr>
          <w:rFonts w:cstheme="minorHAnsi"/>
        </w:rPr>
        <w:t xml:space="preserve">ignificant </w:t>
      </w:r>
      <w:r w:rsidR="00083086">
        <w:rPr>
          <w:rFonts w:cstheme="minorHAnsi"/>
        </w:rPr>
        <w:lastRenderedPageBreak/>
        <w:t>variations</w:t>
      </w:r>
      <w:r w:rsidR="00A43E7D">
        <w:rPr>
          <w:rFonts w:cstheme="minorHAnsi"/>
        </w:rPr>
        <w:t xml:space="preserve"> in the proportion of </w:t>
      </w:r>
      <w:r w:rsidR="002A560C">
        <w:rPr>
          <w:rFonts w:cstheme="minorHAnsi"/>
        </w:rPr>
        <w:t>Borderline</w:t>
      </w:r>
      <w:r w:rsidR="00A43E7D">
        <w:rPr>
          <w:rFonts w:cstheme="minorHAnsi"/>
        </w:rPr>
        <w:t xml:space="preserve"> candid</w:t>
      </w:r>
      <w:r w:rsidR="00083086">
        <w:rPr>
          <w:rFonts w:cstheme="minorHAnsi"/>
        </w:rPr>
        <w:t xml:space="preserve">ates bring about only small changes in cohort Facility. </w:t>
      </w:r>
    </w:p>
    <w:p w14:paraId="79C97D84" w14:textId="0565BA1E" w:rsidR="00E37208" w:rsidRDefault="00A43E7D" w:rsidP="00925D98">
      <w:pPr>
        <w:spacing w:line="480" w:lineRule="auto"/>
        <w:rPr>
          <w:rFonts w:cstheme="minorHAnsi"/>
        </w:rPr>
      </w:pPr>
      <w:proofErr w:type="gramStart"/>
      <w:r>
        <w:rPr>
          <w:rFonts w:cstheme="minorHAnsi"/>
        </w:rPr>
        <w:t>As a consequence</w:t>
      </w:r>
      <w:proofErr w:type="gramEnd"/>
      <w:r>
        <w:rPr>
          <w:rFonts w:cstheme="minorHAnsi"/>
        </w:rPr>
        <w:t xml:space="preserve">, it is not unreasonable to think that </w:t>
      </w:r>
      <w:r w:rsidR="00421A17">
        <w:rPr>
          <w:rFonts w:cstheme="minorHAnsi"/>
        </w:rPr>
        <w:t xml:space="preserve">C and F </w:t>
      </w:r>
      <w:r>
        <w:rPr>
          <w:rFonts w:cstheme="minorHAnsi"/>
        </w:rPr>
        <w:t>may</w:t>
      </w:r>
      <w:r w:rsidR="00421A17">
        <w:rPr>
          <w:rFonts w:cstheme="minorHAnsi"/>
        </w:rPr>
        <w:t xml:space="preserve"> vary only within a narrow range. Facility of items </w:t>
      </w:r>
      <w:r>
        <w:rPr>
          <w:rFonts w:cstheme="minorHAnsi"/>
        </w:rPr>
        <w:t xml:space="preserve">in a test </w:t>
      </w:r>
      <w:proofErr w:type="gramStart"/>
      <w:r w:rsidR="00421A17">
        <w:rPr>
          <w:rFonts w:cstheme="minorHAnsi"/>
        </w:rPr>
        <w:t>as a whole may</w:t>
      </w:r>
      <w:proofErr w:type="gramEnd"/>
      <w:r w:rsidR="00421A17">
        <w:rPr>
          <w:rFonts w:cstheme="minorHAnsi"/>
        </w:rPr>
        <w:t xml:space="preserve"> well be the most important variable in medical exams</w:t>
      </w:r>
      <w:r w:rsidR="00244699">
        <w:rPr>
          <w:rFonts w:cstheme="minorHAnsi"/>
        </w:rPr>
        <w:t xml:space="preserve"> </w:t>
      </w:r>
      <w:r w:rsidR="00083086">
        <w:rPr>
          <w:rFonts w:cstheme="minorHAnsi"/>
        </w:rPr>
        <w:t>as pre</w:t>
      </w:r>
      <w:r w:rsidR="00E37208">
        <w:rPr>
          <w:rFonts w:cstheme="minorHAnsi"/>
        </w:rPr>
        <w:t>v</w:t>
      </w:r>
      <w:r w:rsidR="00083086">
        <w:rPr>
          <w:rFonts w:cstheme="minorHAnsi"/>
        </w:rPr>
        <w:t>ious authors have indicated</w:t>
      </w:r>
      <w:r w:rsidR="00421A17">
        <w:rPr>
          <w:rFonts w:cstheme="minorHAnsi"/>
        </w:rPr>
        <w:t xml:space="preserve">. </w:t>
      </w:r>
    </w:p>
    <w:p w14:paraId="19D235BE" w14:textId="77777777" w:rsidR="00E37208" w:rsidRDefault="00E37208" w:rsidP="00925D98">
      <w:pPr>
        <w:spacing w:line="480" w:lineRule="auto"/>
        <w:rPr>
          <w:rFonts w:cstheme="minorHAnsi"/>
          <w:b/>
          <w:bCs/>
        </w:rPr>
      </w:pPr>
      <w:r w:rsidRPr="00E37208">
        <w:rPr>
          <w:rFonts w:cstheme="minorHAnsi"/>
          <w:b/>
          <w:bCs/>
        </w:rPr>
        <w:t>Conclusions</w:t>
      </w:r>
    </w:p>
    <w:p w14:paraId="54B1462F" w14:textId="7B5CC7A6" w:rsidR="00613AAA" w:rsidRPr="00EA5FFC" w:rsidRDefault="00E37208" w:rsidP="00E66804">
      <w:pPr>
        <w:spacing w:line="480" w:lineRule="auto"/>
      </w:pPr>
      <w:r w:rsidRPr="00E37208">
        <w:rPr>
          <w:rFonts w:cstheme="minorHAnsi"/>
        </w:rPr>
        <w:t>This</w:t>
      </w:r>
      <w:r>
        <w:rPr>
          <w:noProof/>
          <w:lang w:eastAsia="en-GB"/>
        </w:rPr>
        <w:t xml:space="preserve"> novel standard setting method offers an inexpensive and easy to implement alternative to </w:t>
      </w:r>
      <w:r w:rsidR="00BA4FC8">
        <w:rPr>
          <w:noProof/>
          <w:lang w:eastAsia="en-GB"/>
        </w:rPr>
        <w:t xml:space="preserve">exisitng methods, which takes acoount of all candidates and all items. It is more stable to changes in mean score in the exam than alternative methods. </w:t>
      </w:r>
    </w:p>
    <w:p w14:paraId="33E9D9ED" w14:textId="3A52EA85" w:rsidR="00643048" w:rsidRDefault="00643048"/>
    <w:p w14:paraId="122C6663" w14:textId="3E5DE1DC" w:rsidR="00E66804" w:rsidRDefault="00FD0644" w:rsidP="00E66804">
      <w:pPr>
        <w:spacing w:line="480" w:lineRule="auto"/>
        <w:rPr>
          <w:b/>
          <w:bCs/>
        </w:rPr>
      </w:pPr>
      <w:r>
        <w:rPr>
          <w:b/>
          <w:bCs/>
        </w:rPr>
        <w:t>Competing Interests</w:t>
      </w:r>
    </w:p>
    <w:p w14:paraId="1A705A2B" w14:textId="77777777" w:rsidR="00FD0644" w:rsidRDefault="00FD0644" w:rsidP="00E66804">
      <w:pPr>
        <w:spacing w:line="480" w:lineRule="auto"/>
        <w:rPr>
          <w:rFonts w:cstheme="minorHAnsi"/>
          <w:color w:val="333333"/>
        </w:rPr>
      </w:pPr>
      <w:r>
        <w:rPr>
          <w:rFonts w:cstheme="minorHAnsi"/>
          <w:color w:val="333333"/>
        </w:rPr>
        <w:t xml:space="preserve">The authors declare they have no competing interests </w:t>
      </w:r>
      <w:proofErr w:type="gramStart"/>
      <w:r>
        <w:rPr>
          <w:rFonts w:cstheme="minorHAnsi"/>
          <w:color w:val="333333"/>
        </w:rPr>
        <w:t>with regard to</w:t>
      </w:r>
      <w:proofErr w:type="gramEnd"/>
      <w:r>
        <w:rPr>
          <w:rFonts w:cstheme="minorHAnsi"/>
          <w:color w:val="333333"/>
        </w:rPr>
        <w:t xml:space="preserve"> this work. </w:t>
      </w:r>
    </w:p>
    <w:p w14:paraId="7C4A451C" w14:textId="12AC9B51" w:rsidR="00980A32" w:rsidRDefault="00980A32" w:rsidP="00E66804">
      <w:pPr>
        <w:spacing w:line="480" w:lineRule="auto"/>
        <w:rPr>
          <w:rFonts w:cstheme="minorHAnsi"/>
          <w:b/>
          <w:bCs/>
          <w:color w:val="333333"/>
        </w:rPr>
      </w:pPr>
      <w:r>
        <w:rPr>
          <w:rFonts w:cstheme="minorHAnsi"/>
          <w:b/>
          <w:bCs/>
          <w:color w:val="333333"/>
        </w:rPr>
        <w:t>Ethical Approval</w:t>
      </w:r>
    </w:p>
    <w:p w14:paraId="02CF2109" w14:textId="5572FF08" w:rsidR="00980A32" w:rsidRDefault="00980A32" w:rsidP="00E66804">
      <w:pPr>
        <w:spacing w:line="480" w:lineRule="auto"/>
        <w:rPr>
          <w:rFonts w:cstheme="minorHAnsi"/>
          <w:b/>
          <w:bCs/>
          <w:color w:val="333333"/>
        </w:rPr>
      </w:pPr>
      <w:r>
        <w:t xml:space="preserve">Ethical Approval was granted by the Science, Technology, Engineering and Mathematics Ethics Approval Committee of the University of Central </w:t>
      </w:r>
      <w:r>
        <w:rPr>
          <w:rStyle w:val="PlaceholderText"/>
          <w:color w:val="auto"/>
        </w:rPr>
        <w:t>approval code STEMH 1058</w:t>
      </w:r>
      <w:r>
        <w:t xml:space="preserve">. Student consent to the appropriate sharing of anonymised examination results is given in the Learning Agreement signed by each </w:t>
      </w:r>
      <w:proofErr w:type="gramStart"/>
      <w:r>
        <w:t>student,  on</w:t>
      </w:r>
      <w:proofErr w:type="gramEnd"/>
      <w:r>
        <w:t xml:space="preserve"> the basis of GDPR  Article 6(1)(e): Processing necessary for the performance of a task in the public interest.</w:t>
      </w:r>
    </w:p>
    <w:p w14:paraId="69CEBAC1" w14:textId="76C8469F" w:rsidR="00FD0644" w:rsidRPr="00FD0644" w:rsidRDefault="00FD0644" w:rsidP="00E66804">
      <w:pPr>
        <w:spacing w:line="480" w:lineRule="auto"/>
        <w:rPr>
          <w:rFonts w:cstheme="minorHAnsi"/>
          <w:b/>
          <w:bCs/>
          <w:color w:val="333333"/>
        </w:rPr>
      </w:pPr>
      <w:r w:rsidRPr="00FD0644">
        <w:rPr>
          <w:rFonts w:cstheme="minorHAnsi"/>
          <w:b/>
          <w:bCs/>
          <w:color w:val="333333"/>
        </w:rPr>
        <w:t xml:space="preserve">Availability of </w:t>
      </w:r>
      <w:r>
        <w:rPr>
          <w:rFonts w:cstheme="minorHAnsi"/>
          <w:b/>
          <w:bCs/>
          <w:color w:val="333333"/>
        </w:rPr>
        <w:t>D</w:t>
      </w:r>
      <w:r w:rsidRPr="00FD0644">
        <w:rPr>
          <w:rFonts w:cstheme="minorHAnsi"/>
          <w:b/>
          <w:bCs/>
          <w:color w:val="333333"/>
        </w:rPr>
        <w:t>ata</w:t>
      </w:r>
      <w:r>
        <w:rPr>
          <w:rFonts w:cstheme="minorHAnsi"/>
          <w:b/>
          <w:bCs/>
          <w:color w:val="333333"/>
        </w:rPr>
        <w:t xml:space="preserve"> and Materials</w:t>
      </w:r>
    </w:p>
    <w:p w14:paraId="69B423B6" w14:textId="32728DC9" w:rsidR="00BA4FC8" w:rsidRDefault="00FD0644" w:rsidP="00E66804">
      <w:pPr>
        <w:spacing w:line="480" w:lineRule="auto"/>
        <w:rPr>
          <w:rFonts w:cstheme="minorHAnsi"/>
          <w:color w:val="333333"/>
        </w:rPr>
      </w:pPr>
      <w:r w:rsidRPr="00FD0644">
        <w:rPr>
          <w:rFonts w:cstheme="minorHAnsi"/>
          <w:color w:val="333333"/>
        </w:rPr>
        <w:t xml:space="preserve">The anonymised datasets </w:t>
      </w:r>
      <w:r>
        <w:rPr>
          <w:rFonts w:cstheme="minorHAnsi"/>
          <w:color w:val="333333"/>
        </w:rPr>
        <w:t>analysed</w:t>
      </w:r>
      <w:r w:rsidRPr="00FD0644">
        <w:rPr>
          <w:rFonts w:cstheme="minorHAnsi"/>
          <w:color w:val="333333"/>
        </w:rPr>
        <w:t xml:space="preserve"> during the current study are available from the corresponding author on reasonable request.</w:t>
      </w:r>
    </w:p>
    <w:p w14:paraId="6FB62D6F" w14:textId="71FA257D" w:rsidR="00FD0644" w:rsidRDefault="00032DF8" w:rsidP="00E66804">
      <w:pPr>
        <w:spacing w:line="480" w:lineRule="auto"/>
        <w:rPr>
          <w:rFonts w:cstheme="minorHAnsi"/>
          <w:b/>
          <w:bCs/>
        </w:rPr>
      </w:pPr>
      <w:r>
        <w:rPr>
          <w:rFonts w:cstheme="minorHAnsi"/>
          <w:b/>
          <w:bCs/>
        </w:rPr>
        <w:t>Authors’ Contributions</w:t>
      </w:r>
    </w:p>
    <w:p w14:paraId="247D1E14" w14:textId="4589B54D" w:rsidR="00032DF8" w:rsidRPr="00032DF8" w:rsidRDefault="00032DF8" w:rsidP="00E66804">
      <w:pPr>
        <w:spacing w:line="480" w:lineRule="auto"/>
        <w:rPr>
          <w:rFonts w:cstheme="minorHAnsi"/>
        </w:rPr>
      </w:pPr>
      <w:proofErr w:type="spellStart"/>
      <w:r w:rsidRPr="00032DF8">
        <w:rPr>
          <w:rFonts w:cstheme="minorHAnsi"/>
        </w:rPr>
        <w:lastRenderedPageBreak/>
        <w:t>JMcL</w:t>
      </w:r>
      <w:proofErr w:type="spellEnd"/>
      <w:r>
        <w:rPr>
          <w:rFonts w:cstheme="minorHAnsi"/>
        </w:rPr>
        <w:t xml:space="preserve"> led on the conception and design of the </w:t>
      </w:r>
      <w:r w:rsidR="00205222">
        <w:rPr>
          <w:rFonts w:cstheme="minorHAnsi"/>
        </w:rPr>
        <w:t>work and</w:t>
      </w:r>
      <w:r>
        <w:rPr>
          <w:rFonts w:cstheme="minorHAnsi"/>
        </w:rPr>
        <w:t xml:space="preserve"> is the guarantor of the paper. KAR contributed to drafting, revising and critically appraising the content of the paper. BW </w:t>
      </w:r>
      <w:r w:rsidR="001723D3">
        <w:rPr>
          <w:rFonts w:cstheme="minorHAnsi"/>
        </w:rPr>
        <w:t xml:space="preserve">was responsible for extracting the original data from the records, and </w:t>
      </w:r>
      <w:r>
        <w:rPr>
          <w:rFonts w:cstheme="minorHAnsi"/>
        </w:rPr>
        <w:t>contributed to drafting, revising and critically appraising the content of the paper.</w:t>
      </w:r>
      <w:r w:rsidR="00496511">
        <w:rPr>
          <w:rFonts w:cstheme="minorHAnsi"/>
        </w:rPr>
        <w:t xml:space="preserve"> MS contributed to critically appraising the content of the </w:t>
      </w:r>
      <w:proofErr w:type="gramStart"/>
      <w:r w:rsidR="00496511">
        <w:rPr>
          <w:rFonts w:cstheme="minorHAnsi"/>
        </w:rPr>
        <w:t>paper, and</w:t>
      </w:r>
      <w:proofErr w:type="gramEnd"/>
      <w:r w:rsidR="00496511">
        <w:rPr>
          <w:rFonts w:cstheme="minorHAnsi"/>
        </w:rPr>
        <w:t xml:space="preserve"> running checks on data sets using the methodology.</w:t>
      </w:r>
      <w:r>
        <w:rPr>
          <w:rFonts w:cstheme="minorHAnsi"/>
        </w:rPr>
        <w:t xml:space="preserve"> All authors have approved the final version of the paper. </w:t>
      </w:r>
    </w:p>
    <w:p w14:paraId="01210C14" w14:textId="77777777" w:rsidR="00613AAA" w:rsidRPr="00613AAA" w:rsidRDefault="00613AAA" w:rsidP="00925D98">
      <w:pPr>
        <w:spacing w:line="480" w:lineRule="auto"/>
        <w:rPr>
          <w:rFonts w:cstheme="minorHAnsi"/>
          <w:b/>
        </w:rPr>
      </w:pPr>
      <w:r w:rsidRPr="00613AAA">
        <w:rPr>
          <w:b/>
        </w:rPr>
        <w:t>References</w:t>
      </w:r>
    </w:p>
    <w:sectPr w:rsidR="00613AAA" w:rsidRPr="00613AAA" w:rsidSect="00E66804">
      <w:footerReference w:type="default" r:id="rId11"/>
      <w:endnotePr>
        <w:numFmt w:val="decimal"/>
      </w:endnotePr>
      <w:pgSz w:w="11906" w:h="16838"/>
      <w:pgMar w:top="1701" w:right="1701" w:bottom="1701" w:left="1701" w:header="709" w:footer="709"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988B8" w16cex:dateUtc="2020-07-15T12:52:00Z"/>
  <w16cex:commentExtensible w16cex:durableId="22B98950" w16cex:dateUtc="2020-07-15T12: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6FE89" w14:textId="77777777" w:rsidR="009470DE" w:rsidRDefault="009470DE" w:rsidP="00000E71">
      <w:pPr>
        <w:spacing w:after="0" w:line="240" w:lineRule="auto"/>
      </w:pPr>
      <w:r>
        <w:separator/>
      </w:r>
    </w:p>
  </w:endnote>
  <w:endnote w:type="continuationSeparator" w:id="0">
    <w:p w14:paraId="50DA873F" w14:textId="77777777" w:rsidR="009470DE" w:rsidRDefault="009470DE" w:rsidP="00000E71">
      <w:pPr>
        <w:spacing w:after="0" w:line="240" w:lineRule="auto"/>
      </w:pPr>
      <w:r>
        <w:continuationSeparator/>
      </w:r>
    </w:p>
  </w:endnote>
  <w:endnote w:id="1">
    <w:p w14:paraId="72B28EF4" w14:textId="30FC5A37" w:rsidR="003B036C" w:rsidRPr="004943AF" w:rsidRDefault="003B036C" w:rsidP="000B7206">
      <w:pPr>
        <w:spacing w:line="240" w:lineRule="auto"/>
        <w:rPr>
          <w:rFonts w:cstheme="minorHAnsi"/>
          <w:sz w:val="20"/>
          <w:szCs w:val="20"/>
          <w:shd w:val="clear" w:color="auto" w:fill="FFFFFF"/>
        </w:rPr>
      </w:pPr>
      <w:r>
        <w:rPr>
          <w:rStyle w:val="EndnoteReference"/>
        </w:rPr>
        <w:endnoteRef/>
      </w:r>
      <w:r>
        <w:t xml:space="preserve"> </w:t>
      </w:r>
      <w:r w:rsidRPr="00A43E7D">
        <w:rPr>
          <w:rFonts w:cstheme="minorHAnsi"/>
          <w:sz w:val="20"/>
          <w:szCs w:val="20"/>
          <w:shd w:val="clear" w:color="auto" w:fill="FFFFFF"/>
        </w:rPr>
        <w:t>Angoff W. H. </w:t>
      </w:r>
      <w:r w:rsidRPr="00A43E7D">
        <w:rPr>
          <w:rStyle w:val="ref-title"/>
          <w:rFonts w:cstheme="minorHAnsi"/>
          <w:sz w:val="20"/>
          <w:szCs w:val="20"/>
          <w:shd w:val="clear" w:color="auto" w:fill="FFFFFF"/>
        </w:rPr>
        <w:t>Scales, norms, and equivalent scores</w:t>
      </w:r>
      <w:r>
        <w:rPr>
          <w:rFonts w:cstheme="minorHAnsi"/>
          <w:sz w:val="20"/>
          <w:szCs w:val="20"/>
          <w:shd w:val="clear" w:color="auto" w:fill="FFFFFF"/>
        </w:rPr>
        <w:t>. In: Thorndike RL, ed.</w:t>
      </w:r>
      <w:r w:rsidRPr="00A43E7D">
        <w:rPr>
          <w:rFonts w:cstheme="minorHAnsi"/>
          <w:sz w:val="20"/>
          <w:szCs w:val="20"/>
          <w:shd w:val="clear" w:color="auto" w:fill="FFFFFF"/>
        </w:rPr>
        <w:t> </w:t>
      </w:r>
      <w:r w:rsidRPr="009C3862">
        <w:rPr>
          <w:rStyle w:val="ref-journal"/>
          <w:rFonts w:cstheme="minorHAnsi"/>
          <w:i/>
          <w:sz w:val="20"/>
          <w:szCs w:val="20"/>
          <w:shd w:val="clear" w:color="auto" w:fill="FFFFFF"/>
        </w:rPr>
        <w:t>Educational Measurement</w:t>
      </w:r>
      <w:r w:rsidRPr="009C3862">
        <w:rPr>
          <w:rFonts w:cstheme="minorHAnsi"/>
          <w:i/>
          <w:sz w:val="20"/>
          <w:szCs w:val="20"/>
          <w:shd w:val="clear" w:color="auto" w:fill="FFFFFF"/>
        </w:rPr>
        <w:t> </w:t>
      </w:r>
      <w:r w:rsidRPr="00A43E7D">
        <w:rPr>
          <w:rFonts w:cstheme="minorHAnsi"/>
          <w:sz w:val="20"/>
          <w:szCs w:val="20"/>
          <w:shd w:val="clear" w:color="auto" w:fill="FFFFFF"/>
        </w:rPr>
        <w:t>(2nd ed.</w:t>
      </w:r>
      <w:r>
        <w:rPr>
          <w:rFonts w:cstheme="minorHAnsi"/>
          <w:sz w:val="20"/>
          <w:szCs w:val="20"/>
          <w:shd w:val="clear" w:color="auto" w:fill="FFFFFF"/>
        </w:rPr>
        <w:t>)</w:t>
      </w:r>
      <w:r w:rsidRPr="00A43E7D">
        <w:rPr>
          <w:rFonts w:cstheme="minorHAnsi"/>
          <w:sz w:val="20"/>
          <w:szCs w:val="20"/>
          <w:shd w:val="clear" w:color="auto" w:fill="FFFFFF"/>
        </w:rPr>
        <w:t>. Washington, DC: American Council on Education</w:t>
      </w:r>
      <w:r>
        <w:rPr>
          <w:rFonts w:cstheme="minorHAnsi"/>
          <w:sz w:val="20"/>
          <w:szCs w:val="20"/>
          <w:shd w:val="clear" w:color="auto" w:fill="FFFFFF"/>
        </w:rPr>
        <w:t xml:space="preserve">. 1971;508-600. </w:t>
      </w:r>
    </w:p>
  </w:endnote>
  <w:endnote w:id="2">
    <w:p w14:paraId="47231516" w14:textId="77777777" w:rsidR="003B036C" w:rsidRPr="004943AF" w:rsidRDefault="003B036C" w:rsidP="000B7206">
      <w:pPr>
        <w:spacing w:line="240" w:lineRule="auto"/>
        <w:rPr>
          <w:rFonts w:cstheme="minorHAnsi"/>
          <w:sz w:val="20"/>
          <w:szCs w:val="20"/>
          <w:shd w:val="clear" w:color="auto" w:fill="FFFFFF"/>
        </w:rPr>
      </w:pPr>
      <w:r w:rsidRPr="00A6059E">
        <w:rPr>
          <w:rStyle w:val="EndnoteReference"/>
          <w:rFonts w:cstheme="minorHAnsi"/>
        </w:rPr>
        <w:endnoteRef/>
      </w:r>
      <w:r w:rsidRPr="00A6059E">
        <w:rPr>
          <w:rFonts w:cstheme="minorHAnsi"/>
        </w:rPr>
        <w:t xml:space="preserve"> </w:t>
      </w:r>
      <w:r w:rsidRPr="00A6059E">
        <w:rPr>
          <w:rFonts w:cstheme="minorHAnsi"/>
          <w:sz w:val="20"/>
          <w:szCs w:val="20"/>
          <w:shd w:val="clear" w:color="auto" w:fill="FFFFFF"/>
        </w:rPr>
        <w:t>Clauser JC, Hambleton RK, Baldwin P. The effect of rating unfamiliar items on Angoff passing scores. </w:t>
      </w:r>
      <w:r w:rsidRPr="00A6059E">
        <w:rPr>
          <w:rFonts w:cstheme="minorHAnsi"/>
          <w:i/>
          <w:iCs/>
          <w:sz w:val="20"/>
          <w:szCs w:val="20"/>
          <w:shd w:val="clear" w:color="auto" w:fill="FFFFFF"/>
        </w:rPr>
        <w:t>Educational and psychological measurement</w:t>
      </w:r>
      <w:r w:rsidRPr="00A6059E">
        <w:rPr>
          <w:rFonts w:cstheme="minorHAnsi"/>
          <w:sz w:val="20"/>
          <w:szCs w:val="20"/>
          <w:shd w:val="clear" w:color="auto" w:fill="FFFFFF"/>
        </w:rPr>
        <w:t xml:space="preserve"> 2017; </w:t>
      </w:r>
      <w:r w:rsidRPr="00A6059E">
        <w:rPr>
          <w:rFonts w:cstheme="minorHAnsi"/>
          <w:b/>
          <w:iCs/>
          <w:sz w:val="20"/>
          <w:szCs w:val="20"/>
          <w:shd w:val="clear" w:color="auto" w:fill="FFFFFF"/>
        </w:rPr>
        <w:t>77</w:t>
      </w:r>
      <w:r w:rsidRPr="00A6059E">
        <w:rPr>
          <w:rFonts w:cstheme="minorHAnsi"/>
          <w:iCs/>
          <w:sz w:val="20"/>
          <w:szCs w:val="20"/>
          <w:shd w:val="clear" w:color="auto" w:fill="FFFFFF"/>
        </w:rPr>
        <w:t>:</w:t>
      </w:r>
      <w:r w:rsidRPr="00A6059E">
        <w:rPr>
          <w:rFonts w:cstheme="minorHAnsi"/>
          <w:sz w:val="20"/>
          <w:szCs w:val="20"/>
          <w:shd w:val="clear" w:color="auto" w:fill="FFFFFF"/>
        </w:rPr>
        <w:t>901-916.</w:t>
      </w:r>
    </w:p>
  </w:endnote>
  <w:endnote w:id="3">
    <w:p w14:paraId="27ECBCF1" w14:textId="77777777" w:rsidR="003B036C" w:rsidRPr="004943AF" w:rsidRDefault="003B036C" w:rsidP="000B7206">
      <w:pPr>
        <w:widowControl w:val="0"/>
        <w:spacing w:line="240" w:lineRule="auto"/>
        <w:rPr>
          <w:rFonts w:cstheme="minorHAnsi"/>
          <w:color w:val="222222"/>
          <w:sz w:val="20"/>
          <w:szCs w:val="20"/>
          <w:shd w:val="clear" w:color="auto" w:fill="FFFFFF"/>
        </w:rPr>
      </w:pPr>
      <w:r w:rsidRPr="00A6059E">
        <w:rPr>
          <w:rStyle w:val="EndnoteReference"/>
          <w:rFonts w:cstheme="minorHAnsi"/>
        </w:rPr>
        <w:endnoteRef/>
      </w:r>
      <w:r w:rsidRPr="00A6059E">
        <w:rPr>
          <w:rFonts w:cstheme="minorHAnsi"/>
        </w:rPr>
        <w:t xml:space="preserve"> </w:t>
      </w:r>
      <w:r>
        <w:rPr>
          <w:rFonts w:cstheme="minorHAnsi"/>
          <w:color w:val="222222"/>
          <w:sz w:val="20"/>
          <w:szCs w:val="20"/>
          <w:shd w:val="clear" w:color="auto" w:fill="FFFFFF"/>
        </w:rPr>
        <w:t>De Gruijter DN</w:t>
      </w:r>
      <w:r w:rsidRPr="00A6059E">
        <w:rPr>
          <w:rFonts w:cstheme="minorHAnsi"/>
          <w:color w:val="222222"/>
          <w:sz w:val="20"/>
          <w:szCs w:val="20"/>
          <w:shd w:val="clear" w:color="auto" w:fill="FFFFFF"/>
        </w:rPr>
        <w:t>. Compromise models for establishing examination standards. </w:t>
      </w:r>
      <w:r w:rsidRPr="00A6059E">
        <w:rPr>
          <w:rFonts w:cstheme="minorHAnsi"/>
          <w:i/>
          <w:iCs/>
          <w:color w:val="222222"/>
          <w:sz w:val="20"/>
          <w:szCs w:val="20"/>
          <w:shd w:val="clear" w:color="auto" w:fill="FFFFFF"/>
        </w:rPr>
        <w:t>Journal of Educational Measurement</w:t>
      </w:r>
      <w:r w:rsidRPr="00A6059E">
        <w:rPr>
          <w:rFonts w:cstheme="minorHAnsi"/>
          <w:color w:val="222222"/>
          <w:sz w:val="20"/>
          <w:szCs w:val="20"/>
          <w:shd w:val="clear" w:color="auto" w:fill="FFFFFF"/>
        </w:rPr>
        <w:t> </w:t>
      </w:r>
      <w:r w:rsidRPr="00A6059E">
        <w:rPr>
          <w:rFonts w:cstheme="minorHAnsi"/>
          <w:iCs/>
          <w:color w:val="222222"/>
          <w:sz w:val="20"/>
          <w:szCs w:val="20"/>
          <w:shd w:val="clear" w:color="auto" w:fill="FFFFFF"/>
        </w:rPr>
        <w:t>1985;</w:t>
      </w:r>
      <w:r>
        <w:rPr>
          <w:rFonts w:cstheme="minorHAnsi"/>
          <w:i/>
          <w:iCs/>
          <w:color w:val="222222"/>
          <w:sz w:val="20"/>
          <w:szCs w:val="20"/>
          <w:shd w:val="clear" w:color="auto" w:fill="FFFFFF"/>
        </w:rPr>
        <w:t xml:space="preserve"> </w:t>
      </w:r>
      <w:r w:rsidRPr="00A6059E">
        <w:rPr>
          <w:rFonts w:cstheme="minorHAnsi"/>
          <w:b/>
          <w:color w:val="222222"/>
          <w:sz w:val="20"/>
          <w:szCs w:val="20"/>
          <w:shd w:val="clear" w:color="auto" w:fill="FFFFFF"/>
        </w:rPr>
        <w:t>22</w:t>
      </w:r>
      <w:r>
        <w:rPr>
          <w:rFonts w:cstheme="minorHAnsi"/>
          <w:color w:val="222222"/>
          <w:sz w:val="20"/>
          <w:szCs w:val="20"/>
          <w:shd w:val="clear" w:color="auto" w:fill="FFFFFF"/>
        </w:rPr>
        <w:t xml:space="preserve">: </w:t>
      </w:r>
      <w:r w:rsidRPr="00A6059E">
        <w:rPr>
          <w:rFonts w:cstheme="minorHAnsi"/>
          <w:color w:val="222222"/>
          <w:sz w:val="20"/>
          <w:szCs w:val="20"/>
          <w:shd w:val="clear" w:color="auto" w:fill="FFFFFF"/>
        </w:rPr>
        <w:t>263-269.</w:t>
      </w:r>
    </w:p>
  </w:endnote>
  <w:endnote w:id="4">
    <w:p w14:paraId="40193C1F" w14:textId="6198A86F" w:rsidR="003B036C" w:rsidRPr="004943AF" w:rsidRDefault="003B036C" w:rsidP="000B7206">
      <w:pPr>
        <w:widowControl w:val="0"/>
        <w:spacing w:line="240" w:lineRule="auto"/>
        <w:rPr>
          <w:rFonts w:cstheme="minorHAnsi"/>
          <w:sz w:val="20"/>
          <w:szCs w:val="20"/>
        </w:rPr>
      </w:pPr>
      <w:r w:rsidRPr="00A6059E">
        <w:rPr>
          <w:rStyle w:val="EndnoteReference"/>
          <w:rFonts w:cstheme="minorHAnsi"/>
        </w:rPr>
        <w:endnoteRef/>
      </w:r>
      <w:r w:rsidRPr="00A6059E">
        <w:rPr>
          <w:rFonts w:cstheme="minorHAnsi"/>
        </w:rPr>
        <w:t xml:space="preserve"> </w:t>
      </w:r>
      <w:r w:rsidRPr="00A6059E">
        <w:rPr>
          <w:rFonts w:cstheme="minorHAnsi"/>
          <w:color w:val="222222"/>
          <w:sz w:val="20"/>
          <w:szCs w:val="20"/>
          <w:shd w:val="clear" w:color="auto" w:fill="FFFFFF"/>
        </w:rPr>
        <w:t>Kramer</w:t>
      </w:r>
      <w:r>
        <w:rPr>
          <w:rFonts w:cstheme="minorHAnsi"/>
          <w:color w:val="222222"/>
          <w:sz w:val="20"/>
          <w:szCs w:val="20"/>
          <w:shd w:val="clear" w:color="auto" w:fill="FFFFFF"/>
        </w:rPr>
        <w:t xml:space="preserve"> A, Muijtjens A, Jansen K, Düsman H, Tan L, Van Der Vleuten C</w:t>
      </w:r>
      <w:r w:rsidRPr="00D330F7">
        <w:rPr>
          <w:rFonts w:cstheme="minorHAnsi"/>
          <w:color w:val="222222"/>
          <w:sz w:val="20"/>
          <w:szCs w:val="20"/>
          <w:shd w:val="clear" w:color="auto" w:fill="FFFFFF"/>
        </w:rPr>
        <w:t>. Comparison of a rational and an</w:t>
      </w:r>
      <w:r w:rsidR="000B7206">
        <w:rPr>
          <w:rFonts w:cstheme="minorHAnsi"/>
          <w:color w:val="222222"/>
          <w:sz w:val="20"/>
          <w:szCs w:val="20"/>
          <w:shd w:val="clear" w:color="auto" w:fill="FFFFFF"/>
        </w:rPr>
        <w:t xml:space="preserve"> </w:t>
      </w:r>
      <w:r w:rsidRPr="00D330F7">
        <w:rPr>
          <w:rFonts w:cstheme="minorHAnsi"/>
          <w:color w:val="222222"/>
          <w:sz w:val="20"/>
          <w:szCs w:val="20"/>
          <w:shd w:val="clear" w:color="auto" w:fill="FFFFFF"/>
        </w:rPr>
        <w:t>empirical standard setting procedure for an OSCE. </w:t>
      </w:r>
      <w:r>
        <w:rPr>
          <w:rFonts w:cstheme="minorHAnsi"/>
          <w:i/>
          <w:iCs/>
          <w:color w:val="222222"/>
          <w:sz w:val="20"/>
          <w:szCs w:val="20"/>
          <w:shd w:val="clear" w:color="auto" w:fill="FFFFFF"/>
        </w:rPr>
        <w:t>Medical E</w:t>
      </w:r>
      <w:r w:rsidRPr="00D330F7">
        <w:rPr>
          <w:rFonts w:cstheme="minorHAnsi"/>
          <w:i/>
          <w:iCs/>
          <w:color w:val="222222"/>
          <w:sz w:val="20"/>
          <w:szCs w:val="20"/>
          <w:shd w:val="clear" w:color="auto" w:fill="FFFFFF"/>
        </w:rPr>
        <w:t>ducation</w:t>
      </w:r>
      <w:r>
        <w:rPr>
          <w:rFonts w:cstheme="minorHAnsi"/>
          <w:color w:val="222222"/>
          <w:sz w:val="20"/>
          <w:szCs w:val="20"/>
          <w:shd w:val="clear" w:color="auto" w:fill="FFFFFF"/>
        </w:rPr>
        <w:t xml:space="preserve"> 2003; </w:t>
      </w:r>
      <w:r w:rsidRPr="00A6059E">
        <w:rPr>
          <w:rFonts w:cstheme="minorHAnsi"/>
          <w:b/>
          <w:color w:val="222222"/>
          <w:sz w:val="20"/>
          <w:szCs w:val="20"/>
          <w:shd w:val="clear" w:color="auto" w:fill="FFFFFF"/>
        </w:rPr>
        <w:t>37</w:t>
      </w:r>
      <w:r>
        <w:rPr>
          <w:rFonts w:cstheme="minorHAnsi"/>
          <w:color w:val="222222"/>
          <w:sz w:val="20"/>
          <w:szCs w:val="20"/>
          <w:shd w:val="clear" w:color="auto" w:fill="FFFFFF"/>
        </w:rPr>
        <w:t>:</w:t>
      </w:r>
      <w:r w:rsidRPr="00D330F7">
        <w:rPr>
          <w:rFonts w:cstheme="minorHAnsi"/>
          <w:color w:val="222222"/>
          <w:sz w:val="20"/>
          <w:szCs w:val="20"/>
          <w:shd w:val="clear" w:color="auto" w:fill="FFFFFF"/>
        </w:rPr>
        <w:t>132-139.</w:t>
      </w:r>
    </w:p>
  </w:endnote>
  <w:endnote w:id="5">
    <w:p w14:paraId="14967C8E" w14:textId="63743173" w:rsidR="000B7206" w:rsidRPr="000B7206" w:rsidRDefault="000B7206" w:rsidP="000B7206">
      <w:pPr>
        <w:pStyle w:val="EndnoteText"/>
        <w:rPr>
          <w:rFonts w:cstheme="minorHAnsi"/>
          <w:color w:val="222222"/>
          <w:shd w:val="clear" w:color="auto" w:fill="FFFFFF"/>
        </w:rPr>
      </w:pPr>
      <w:r>
        <w:rPr>
          <w:rStyle w:val="EndnoteReference"/>
        </w:rPr>
        <w:endnoteRef/>
      </w:r>
      <w:r w:rsidRPr="000B7206">
        <w:rPr>
          <w:rFonts w:cstheme="minorHAnsi"/>
        </w:rPr>
        <w:t xml:space="preserve"> </w:t>
      </w:r>
      <w:r w:rsidRPr="000B7206">
        <w:rPr>
          <w:rFonts w:cstheme="minorHAnsi"/>
          <w:color w:val="222222"/>
          <w:shd w:val="clear" w:color="auto" w:fill="FFFFFF"/>
        </w:rPr>
        <w:t>Norcini J, Guille R. Combining tests and setting standards. In</w:t>
      </w:r>
      <w:r>
        <w:rPr>
          <w:rFonts w:cstheme="minorHAnsi"/>
          <w:color w:val="222222"/>
          <w:shd w:val="clear" w:color="auto" w:fill="FFFFFF"/>
        </w:rPr>
        <w:t xml:space="preserve">: Norman GR, van der Vleuten CPM, Newble D. Eds.  </w:t>
      </w:r>
      <w:r w:rsidRPr="000B7206">
        <w:rPr>
          <w:rFonts w:cstheme="minorHAnsi"/>
          <w:color w:val="222222"/>
          <w:shd w:val="clear" w:color="auto" w:fill="FFFFFF"/>
        </w:rPr>
        <w:t>International</w:t>
      </w:r>
      <w:r>
        <w:rPr>
          <w:rFonts w:cstheme="minorHAnsi"/>
          <w:color w:val="222222"/>
          <w:shd w:val="clear" w:color="auto" w:fill="FFFFFF"/>
        </w:rPr>
        <w:t xml:space="preserve"> H</w:t>
      </w:r>
      <w:r w:rsidRPr="000B7206">
        <w:rPr>
          <w:rFonts w:cstheme="minorHAnsi"/>
          <w:color w:val="222222"/>
          <w:shd w:val="clear" w:color="auto" w:fill="FFFFFF"/>
        </w:rPr>
        <w:t xml:space="preserve">andbook of </w:t>
      </w:r>
      <w:r>
        <w:rPr>
          <w:rFonts w:cstheme="minorHAnsi"/>
          <w:color w:val="222222"/>
          <w:shd w:val="clear" w:color="auto" w:fill="FFFFFF"/>
        </w:rPr>
        <w:t>R</w:t>
      </w:r>
      <w:r w:rsidRPr="000B7206">
        <w:rPr>
          <w:rFonts w:cstheme="minorHAnsi"/>
          <w:color w:val="222222"/>
          <w:shd w:val="clear" w:color="auto" w:fill="FFFFFF"/>
        </w:rPr>
        <w:t xml:space="preserve">esearch in </w:t>
      </w:r>
      <w:r>
        <w:rPr>
          <w:rFonts w:cstheme="minorHAnsi"/>
          <w:color w:val="222222"/>
          <w:shd w:val="clear" w:color="auto" w:fill="FFFFFF"/>
        </w:rPr>
        <w:t>M</w:t>
      </w:r>
      <w:r w:rsidRPr="000B7206">
        <w:rPr>
          <w:rFonts w:cstheme="minorHAnsi"/>
          <w:color w:val="222222"/>
          <w:shd w:val="clear" w:color="auto" w:fill="FFFFFF"/>
        </w:rPr>
        <w:t xml:space="preserve">edical </w:t>
      </w:r>
      <w:r>
        <w:rPr>
          <w:rFonts w:cstheme="minorHAnsi"/>
          <w:color w:val="222222"/>
          <w:shd w:val="clear" w:color="auto" w:fill="FFFFFF"/>
        </w:rPr>
        <w:t>E</w:t>
      </w:r>
      <w:r w:rsidRPr="000B7206">
        <w:rPr>
          <w:rFonts w:cstheme="minorHAnsi"/>
          <w:color w:val="222222"/>
          <w:shd w:val="clear" w:color="auto" w:fill="FFFFFF"/>
        </w:rPr>
        <w:t>ducation</w:t>
      </w:r>
      <w:r>
        <w:rPr>
          <w:rFonts w:cstheme="minorHAnsi"/>
          <w:color w:val="222222"/>
          <w:shd w:val="clear" w:color="auto" w:fill="FFFFFF"/>
        </w:rPr>
        <w:t xml:space="preserve">. </w:t>
      </w:r>
      <w:r w:rsidRPr="000B7206">
        <w:rPr>
          <w:rFonts w:cstheme="minorHAnsi"/>
          <w:color w:val="222222"/>
          <w:shd w:val="clear" w:color="auto" w:fill="FFFFFF"/>
        </w:rPr>
        <w:t>Springer, Dordrecht.</w:t>
      </w:r>
      <w:r>
        <w:rPr>
          <w:rFonts w:cstheme="minorHAnsi"/>
          <w:color w:val="222222"/>
          <w:shd w:val="clear" w:color="auto" w:fill="FFFFFF"/>
        </w:rPr>
        <w:t xml:space="preserve"> 2002: 811-834. </w:t>
      </w:r>
    </w:p>
    <w:p w14:paraId="74AA15FE" w14:textId="77777777" w:rsidR="000B7206" w:rsidRDefault="000B7206" w:rsidP="000B7206">
      <w:pPr>
        <w:pStyle w:val="EndnoteText"/>
      </w:pPr>
    </w:p>
  </w:endnote>
  <w:endnote w:id="6">
    <w:p w14:paraId="007A76C0" w14:textId="77777777" w:rsidR="003B036C" w:rsidRPr="00D40B76" w:rsidRDefault="003B036C" w:rsidP="000B7206">
      <w:pPr>
        <w:widowControl w:val="0"/>
        <w:spacing w:line="240" w:lineRule="auto"/>
        <w:rPr>
          <w:rFonts w:cstheme="minorHAnsi"/>
          <w:color w:val="222222"/>
          <w:sz w:val="20"/>
          <w:szCs w:val="20"/>
          <w:shd w:val="clear" w:color="auto" w:fill="FFFFFF"/>
        </w:rPr>
      </w:pPr>
      <w:r>
        <w:rPr>
          <w:rStyle w:val="EndnoteReference"/>
        </w:rPr>
        <w:endnoteRef/>
      </w:r>
      <w:r>
        <w:t xml:space="preserve"> </w:t>
      </w:r>
      <w:r>
        <w:rPr>
          <w:rFonts w:cstheme="minorHAnsi"/>
          <w:color w:val="222222"/>
          <w:sz w:val="20"/>
          <w:szCs w:val="20"/>
          <w:shd w:val="clear" w:color="auto" w:fill="FFFFFF"/>
        </w:rPr>
        <w:t>Cohen-Schotanus J, van der Vleuten CP</w:t>
      </w:r>
      <w:r w:rsidRPr="00A43E7D">
        <w:rPr>
          <w:rFonts w:cstheme="minorHAnsi"/>
          <w:color w:val="222222"/>
          <w:sz w:val="20"/>
          <w:szCs w:val="20"/>
          <w:shd w:val="clear" w:color="auto" w:fill="FFFFFF"/>
        </w:rPr>
        <w:t xml:space="preserve">. A standard setting method with the best performing </w:t>
      </w:r>
      <w:r w:rsidRPr="00D330F7">
        <w:rPr>
          <w:rFonts w:cstheme="minorHAnsi"/>
          <w:color w:val="222222"/>
          <w:sz w:val="20"/>
          <w:szCs w:val="20"/>
          <w:shd w:val="clear" w:color="auto" w:fill="FFFFFF"/>
        </w:rPr>
        <w:t>students as point of reference: practical and affordable. </w:t>
      </w:r>
      <w:r>
        <w:rPr>
          <w:rFonts w:cstheme="minorHAnsi"/>
          <w:i/>
          <w:iCs/>
          <w:color w:val="222222"/>
          <w:sz w:val="20"/>
          <w:szCs w:val="20"/>
          <w:shd w:val="clear" w:color="auto" w:fill="FFFFFF"/>
        </w:rPr>
        <w:t>Medical T</w:t>
      </w:r>
      <w:r w:rsidRPr="00D330F7">
        <w:rPr>
          <w:rFonts w:cstheme="minorHAnsi"/>
          <w:i/>
          <w:iCs/>
          <w:color w:val="222222"/>
          <w:sz w:val="20"/>
          <w:szCs w:val="20"/>
          <w:shd w:val="clear" w:color="auto" w:fill="FFFFFF"/>
        </w:rPr>
        <w:t>eacher</w:t>
      </w:r>
      <w:r>
        <w:rPr>
          <w:rFonts w:cstheme="minorHAnsi"/>
          <w:color w:val="222222"/>
          <w:sz w:val="20"/>
          <w:szCs w:val="20"/>
          <w:shd w:val="clear" w:color="auto" w:fill="FFFFFF"/>
        </w:rPr>
        <w:t xml:space="preserve"> 2010; </w:t>
      </w:r>
      <w:r w:rsidRPr="00A6059E">
        <w:rPr>
          <w:rFonts w:cstheme="minorHAnsi"/>
          <w:b/>
          <w:color w:val="222222"/>
          <w:sz w:val="20"/>
          <w:szCs w:val="20"/>
          <w:shd w:val="clear" w:color="auto" w:fill="FFFFFF"/>
        </w:rPr>
        <w:t>32</w:t>
      </w:r>
      <w:r>
        <w:rPr>
          <w:rFonts w:cstheme="minorHAnsi"/>
          <w:color w:val="222222"/>
          <w:sz w:val="20"/>
          <w:szCs w:val="20"/>
          <w:shd w:val="clear" w:color="auto" w:fill="FFFFFF"/>
        </w:rPr>
        <w:t xml:space="preserve">: </w:t>
      </w:r>
      <w:r w:rsidRPr="00D330F7">
        <w:rPr>
          <w:rFonts w:cstheme="minorHAnsi"/>
          <w:color w:val="222222"/>
          <w:sz w:val="20"/>
          <w:szCs w:val="20"/>
          <w:shd w:val="clear" w:color="auto" w:fill="FFFFFF"/>
        </w:rPr>
        <w:t>154-160.</w:t>
      </w:r>
    </w:p>
  </w:endnote>
  <w:endnote w:id="7">
    <w:p w14:paraId="2E270960" w14:textId="5DD04D0A" w:rsidR="000B7206" w:rsidRDefault="000B7206" w:rsidP="000B7206">
      <w:pPr>
        <w:pStyle w:val="EndnoteText"/>
        <w:rPr>
          <w:rFonts w:ascii="Arial" w:hAnsi="Arial" w:cs="Arial"/>
          <w:color w:val="222222"/>
          <w:shd w:val="clear" w:color="auto" w:fill="FFFFFF"/>
        </w:rPr>
      </w:pPr>
      <w:r>
        <w:rPr>
          <w:rStyle w:val="EndnoteReference"/>
        </w:rPr>
        <w:endnoteRef/>
      </w:r>
      <w:r>
        <w:t xml:space="preserve"> </w:t>
      </w:r>
      <w:r w:rsidRPr="000B7206">
        <w:rPr>
          <w:rFonts w:cstheme="minorHAnsi"/>
          <w:color w:val="222222"/>
          <w:shd w:val="clear" w:color="auto" w:fill="FFFFFF"/>
        </w:rPr>
        <w:t>Taylor CA. Development of a modified Cohen method of standard setting. Medical teacher. 2011</w:t>
      </w:r>
      <w:r>
        <w:rPr>
          <w:rFonts w:cstheme="minorHAnsi"/>
          <w:color w:val="222222"/>
          <w:shd w:val="clear" w:color="auto" w:fill="FFFFFF"/>
        </w:rPr>
        <w:t xml:space="preserve">; </w:t>
      </w:r>
      <w:r w:rsidRPr="000B7206">
        <w:rPr>
          <w:rFonts w:cstheme="minorHAnsi"/>
          <w:b/>
          <w:bCs/>
          <w:color w:val="222222"/>
          <w:shd w:val="clear" w:color="auto" w:fill="FFFFFF"/>
        </w:rPr>
        <w:t>33</w:t>
      </w:r>
      <w:r w:rsidRPr="000B7206">
        <w:rPr>
          <w:rFonts w:cstheme="minorHAnsi"/>
          <w:color w:val="222222"/>
          <w:shd w:val="clear" w:color="auto" w:fill="FFFFFF"/>
        </w:rPr>
        <w:t>:e678-82.</w:t>
      </w:r>
    </w:p>
    <w:p w14:paraId="2472EE08" w14:textId="77777777" w:rsidR="000B7206" w:rsidRDefault="000B7206" w:rsidP="000B7206">
      <w:pPr>
        <w:pStyle w:val="EndnoteText"/>
      </w:pPr>
    </w:p>
  </w:endnote>
  <w:endnote w:id="8">
    <w:p w14:paraId="43592AFF" w14:textId="77777777" w:rsidR="003B036C" w:rsidRPr="00613AAA" w:rsidRDefault="003B036C" w:rsidP="000B7206">
      <w:pPr>
        <w:widowControl w:val="0"/>
        <w:spacing w:line="240" w:lineRule="auto"/>
        <w:rPr>
          <w:rFonts w:cstheme="minorHAnsi"/>
          <w:color w:val="222222"/>
          <w:sz w:val="20"/>
          <w:szCs w:val="20"/>
          <w:shd w:val="clear" w:color="auto" w:fill="FFFFFF"/>
        </w:rPr>
      </w:pPr>
      <w:r>
        <w:rPr>
          <w:rStyle w:val="EndnoteReference"/>
        </w:rPr>
        <w:endnoteRef/>
      </w:r>
      <w:r>
        <w:t xml:space="preserve"> </w:t>
      </w:r>
      <w:r>
        <w:rPr>
          <w:rFonts w:cstheme="minorHAnsi"/>
          <w:color w:val="222222"/>
          <w:sz w:val="20"/>
          <w:szCs w:val="20"/>
          <w:shd w:val="clear" w:color="auto" w:fill="FFFFFF"/>
        </w:rPr>
        <w:t>Sam AH, Field SM, Collares CF, van der Vleuten CP, Wass VJ, Melville C, Harris J, Meeran K. V</w:t>
      </w:r>
      <w:r w:rsidRPr="000E638B">
        <w:rPr>
          <w:rFonts w:cstheme="minorHAnsi"/>
          <w:color w:val="222222"/>
          <w:sz w:val="20"/>
          <w:szCs w:val="20"/>
          <w:shd w:val="clear" w:color="auto" w:fill="FFFFFF"/>
        </w:rPr>
        <w:t>ery‐short‐answer questions: reliability, discrimination and acceptability. </w:t>
      </w:r>
      <w:r>
        <w:rPr>
          <w:rFonts w:cstheme="minorHAnsi"/>
          <w:i/>
          <w:iCs/>
          <w:color w:val="222222"/>
          <w:sz w:val="20"/>
          <w:szCs w:val="20"/>
          <w:shd w:val="clear" w:color="auto" w:fill="FFFFFF"/>
        </w:rPr>
        <w:t>Medical E</w:t>
      </w:r>
      <w:r w:rsidRPr="000E638B">
        <w:rPr>
          <w:rFonts w:cstheme="minorHAnsi"/>
          <w:i/>
          <w:iCs/>
          <w:color w:val="222222"/>
          <w:sz w:val="20"/>
          <w:szCs w:val="20"/>
          <w:shd w:val="clear" w:color="auto" w:fill="FFFFFF"/>
        </w:rPr>
        <w:t>ducation</w:t>
      </w:r>
      <w:r>
        <w:rPr>
          <w:rFonts w:cstheme="minorHAnsi"/>
          <w:color w:val="222222"/>
          <w:sz w:val="20"/>
          <w:szCs w:val="20"/>
          <w:shd w:val="clear" w:color="auto" w:fill="FFFFFF"/>
        </w:rPr>
        <w:t xml:space="preserve"> 2018; </w:t>
      </w:r>
      <w:r w:rsidRPr="00A6059E">
        <w:rPr>
          <w:rFonts w:cstheme="minorHAnsi"/>
          <w:b/>
          <w:color w:val="222222"/>
          <w:sz w:val="20"/>
          <w:szCs w:val="20"/>
          <w:shd w:val="clear" w:color="auto" w:fill="FFFFFF"/>
        </w:rPr>
        <w:t>52</w:t>
      </w:r>
      <w:r>
        <w:rPr>
          <w:rFonts w:cstheme="minorHAnsi"/>
          <w:color w:val="222222"/>
          <w:sz w:val="20"/>
          <w:szCs w:val="20"/>
          <w:shd w:val="clear" w:color="auto" w:fill="FFFFFF"/>
        </w:rPr>
        <w:t>: 447-455.</w:t>
      </w:r>
    </w:p>
  </w:endnote>
  <w:endnote w:id="9">
    <w:p w14:paraId="4ED348E2" w14:textId="4EB2C123" w:rsidR="003B036C" w:rsidRDefault="003B036C" w:rsidP="000B7206">
      <w:pPr>
        <w:widowControl w:val="0"/>
        <w:spacing w:line="240" w:lineRule="auto"/>
        <w:rPr>
          <w:rFonts w:cstheme="minorHAnsi"/>
          <w:color w:val="222222"/>
          <w:sz w:val="20"/>
          <w:szCs w:val="20"/>
          <w:shd w:val="clear" w:color="auto" w:fill="FFFFFF"/>
        </w:rPr>
      </w:pPr>
      <w:r>
        <w:rPr>
          <w:rStyle w:val="EndnoteReference"/>
        </w:rPr>
        <w:endnoteRef/>
      </w:r>
      <w:r>
        <w:t xml:space="preserve"> </w:t>
      </w:r>
      <w:r>
        <w:rPr>
          <w:rFonts w:cstheme="minorHAnsi"/>
          <w:color w:val="222222"/>
          <w:sz w:val="20"/>
          <w:szCs w:val="20"/>
          <w:shd w:val="clear" w:color="auto" w:fill="FFFFFF"/>
        </w:rPr>
        <w:t>Muijtjens AM, Hoogenboom RJI, Verwijnen GM,</w:t>
      </w:r>
      <w:r w:rsidRPr="00A43E7D">
        <w:rPr>
          <w:rFonts w:cstheme="minorHAnsi"/>
          <w:color w:val="222222"/>
          <w:sz w:val="20"/>
          <w:szCs w:val="20"/>
          <w:shd w:val="clear" w:color="auto" w:fill="FFFFFF"/>
        </w:rPr>
        <w:t xml:space="preserve"> </w:t>
      </w:r>
      <w:r>
        <w:rPr>
          <w:rFonts w:cstheme="minorHAnsi"/>
          <w:color w:val="222222"/>
          <w:sz w:val="20"/>
          <w:szCs w:val="20"/>
          <w:shd w:val="clear" w:color="auto" w:fill="FFFFFF"/>
        </w:rPr>
        <w:t>Van der Vleuten C</w:t>
      </w:r>
      <w:r w:rsidRPr="00A43E7D">
        <w:rPr>
          <w:rFonts w:cstheme="minorHAnsi"/>
          <w:color w:val="222222"/>
          <w:sz w:val="20"/>
          <w:szCs w:val="20"/>
          <w:shd w:val="clear" w:color="auto" w:fill="FFFFFF"/>
        </w:rPr>
        <w:t>P</w:t>
      </w:r>
      <w:r>
        <w:rPr>
          <w:rFonts w:cstheme="minorHAnsi"/>
          <w:color w:val="222222"/>
          <w:sz w:val="20"/>
          <w:szCs w:val="20"/>
          <w:shd w:val="clear" w:color="auto" w:fill="FFFFFF"/>
        </w:rPr>
        <w:t>M</w:t>
      </w:r>
      <w:r w:rsidRPr="00A43E7D">
        <w:rPr>
          <w:rFonts w:cstheme="minorHAnsi"/>
          <w:color w:val="222222"/>
          <w:sz w:val="20"/>
          <w:szCs w:val="20"/>
          <w:shd w:val="clear" w:color="auto" w:fill="FFFFFF"/>
        </w:rPr>
        <w:t xml:space="preserve">. Relative or </w:t>
      </w:r>
      <w:r w:rsidRPr="000E638B">
        <w:rPr>
          <w:rFonts w:cstheme="minorHAnsi"/>
          <w:color w:val="222222"/>
          <w:sz w:val="20"/>
          <w:szCs w:val="20"/>
          <w:shd w:val="clear" w:color="auto" w:fill="FFFFFF"/>
        </w:rPr>
        <w:t>absolute standards in assessing medical knowledge using progress tests. </w:t>
      </w:r>
      <w:r w:rsidRPr="000E638B">
        <w:rPr>
          <w:rFonts w:cstheme="minorHAnsi"/>
          <w:i/>
          <w:iCs/>
          <w:color w:val="222222"/>
          <w:sz w:val="20"/>
          <w:szCs w:val="20"/>
          <w:shd w:val="clear" w:color="auto" w:fill="FFFFFF"/>
        </w:rPr>
        <w:t>Advances in Health Sciences Education</w:t>
      </w:r>
      <w:r>
        <w:rPr>
          <w:rFonts w:cstheme="minorHAnsi"/>
          <w:color w:val="222222"/>
          <w:sz w:val="20"/>
          <w:szCs w:val="20"/>
          <w:shd w:val="clear" w:color="auto" w:fill="FFFFFF"/>
        </w:rPr>
        <w:t xml:space="preserve"> 1998; </w:t>
      </w:r>
      <w:r w:rsidRPr="00A6059E">
        <w:rPr>
          <w:rFonts w:cstheme="minorHAnsi"/>
          <w:b/>
          <w:color w:val="222222"/>
          <w:sz w:val="20"/>
          <w:szCs w:val="20"/>
          <w:shd w:val="clear" w:color="auto" w:fill="FFFFFF"/>
        </w:rPr>
        <w:t>3</w:t>
      </w:r>
      <w:r>
        <w:rPr>
          <w:rFonts w:cstheme="minorHAnsi"/>
          <w:color w:val="222222"/>
          <w:sz w:val="20"/>
          <w:szCs w:val="20"/>
          <w:shd w:val="clear" w:color="auto" w:fill="FFFFFF"/>
        </w:rPr>
        <w:t>:</w:t>
      </w:r>
      <w:r w:rsidRPr="000E638B">
        <w:rPr>
          <w:rFonts w:cstheme="minorHAnsi"/>
          <w:color w:val="222222"/>
          <w:sz w:val="20"/>
          <w:szCs w:val="20"/>
          <w:shd w:val="clear" w:color="auto" w:fill="FFFFFF"/>
        </w:rPr>
        <w:t>81-87.</w:t>
      </w:r>
    </w:p>
    <w:p w14:paraId="3AA8310F" w14:textId="3577B52C" w:rsidR="003B036C" w:rsidRDefault="003B036C" w:rsidP="004943AF">
      <w:pPr>
        <w:widowControl w:val="0"/>
        <w:spacing w:line="480" w:lineRule="auto"/>
        <w:rPr>
          <w:rFonts w:cstheme="minorHAnsi"/>
          <w:color w:val="222222"/>
          <w:sz w:val="20"/>
          <w:szCs w:val="20"/>
          <w:shd w:val="clear" w:color="auto" w:fill="FFFFFF"/>
        </w:rPr>
      </w:pPr>
    </w:p>
    <w:p w14:paraId="4C6E209E" w14:textId="37E619C0" w:rsidR="00A64FAF" w:rsidRDefault="00A64FAF" w:rsidP="004943AF">
      <w:pPr>
        <w:widowControl w:val="0"/>
        <w:spacing w:line="480" w:lineRule="auto"/>
        <w:rPr>
          <w:rFonts w:cstheme="minorHAnsi"/>
          <w:color w:val="222222"/>
          <w:sz w:val="20"/>
          <w:szCs w:val="20"/>
          <w:shd w:val="clear" w:color="auto" w:fill="FFFFFF"/>
        </w:rPr>
      </w:pPr>
    </w:p>
    <w:p w14:paraId="1176B81D" w14:textId="1281F074" w:rsidR="00A64FAF" w:rsidRDefault="00A64FAF" w:rsidP="004943AF">
      <w:pPr>
        <w:widowControl w:val="0"/>
        <w:spacing w:line="480" w:lineRule="auto"/>
        <w:rPr>
          <w:rFonts w:cstheme="minorHAnsi"/>
          <w:color w:val="222222"/>
          <w:sz w:val="20"/>
          <w:szCs w:val="20"/>
          <w:shd w:val="clear" w:color="auto" w:fill="FFFFFF"/>
        </w:rPr>
      </w:pPr>
    </w:p>
    <w:p w14:paraId="1DF2434C" w14:textId="720C7414" w:rsidR="00A64FAF" w:rsidRDefault="00A64FAF" w:rsidP="004943AF">
      <w:pPr>
        <w:widowControl w:val="0"/>
        <w:spacing w:line="480" w:lineRule="auto"/>
        <w:rPr>
          <w:rFonts w:cstheme="minorHAnsi"/>
          <w:color w:val="222222"/>
          <w:sz w:val="20"/>
          <w:szCs w:val="20"/>
          <w:shd w:val="clear" w:color="auto" w:fill="FFFFFF"/>
        </w:rPr>
      </w:pPr>
    </w:p>
    <w:p w14:paraId="62CE0951" w14:textId="1548518E" w:rsidR="00A64FAF" w:rsidRDefault="00A64FAF" w:rsidP="004943AF">
      <w:pPr>
        <w:widowControl w:val="0"/>
        <w:spacing w:line="480" w:lineRule="auto"/>
        <w:rPr>
          <w:rFonts w:cstheme="minorHAnsi"/>
          <w:color w:val="222222"/>
          <w:sz w:val="20"/>
          <w:szCs w:val="20"/>
          <w:shd w:val="clear" w:color="auto" w:fill="FFFFFF"/>
        </w:rPr>
      </w:pPr>
    </w:p>
    <w:p w14:paraId="0AAAFBD0" w14:textId="77777777" w:rsidR="00A54216" w:rsidRDefault="00A54216" w:rsidP="00A54216">
      <w:pPr>
        <w:spacing w:line="480" w:lineRule="auto"/>
      </w:pPr>
      <w:r w:rsidRPr="00EA5FFC">
        <w:rPr>
          <w:noProof/>
          <w:lang w:eastAsia="en-GB"/>
        </w:rPr>
        <w:drawing>
          <wp:inline distT="0" distB="0" distL="0" distR="0" wp14:anchorId="276577D3" wp14:editId="7AB2A57A">
            <wp:extent cx="5091448" cy="4979420"/>
            <wp:effectExtent l="0" t="0" r="1397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
              </a:graphicData>
            </a:graphic>
          </wp:inline>
        </w:drawing>
      </w:r>
    </w:p>
    <w:p w14:paraId="5C8AFE87" w14:textId="77777777" w:rsidR="00A54216" w:rsidRDefault="00A54216" w:rsidP="00A54216">
      <w:pPr>
        <w:spacing w:line="480" w:lineRule="auto"/>
      </w:pPr>
    </w:p>
    <w:p w14:paraId="5B536213" w14:textId="77777777" w:rsidR="00A54216" w:rsidRPr="00EA5FFC" w:rsidRDefault="00A54216" w:rsidP="00A54216">
      <w:pPr>
        <w:spacing w:line="480" w:lineRule="auto"/>
      </w:pPr>
      <w:r w:rsidRPr="00EA5FFC">
        <w:t>Fig. 1. Facility for all candidates plotted against all possible borderline candidates. As a reference, cohort Facility is plotted against itself as a 45</w:t>
      </w:r>
      <w:r w:rsidRPr="00EA5FFC">
        <w:sym w:font="Symbol" w:char="F0B0"/>
      </w:r>
      <w:r w:rsidRPr="00EA5FFC">
        <w:t xml:space="preserve"> slope. </w:t>
      </w:r>
    </w:p>
    <w:p w14:paraId="28E6555C" w14:textId="77777777" w:rsidR="00A54216" w:rsidRDefault="00A54216" w:rsidP="00A54216"/>
    <w:p w14:paraId="126D61FF" w14:textId="77885B6E" w:rsidR="00A64FAF" w:rsidRDefault="00A64FAF" w:rsidP="004943AF">
      <w:pPr>
        <w:widowControl w:val="0"/>
        <w:spacing w:line="480" w:lineRule="auto"/>
        <w:rPr>
          <w:rFonts w:cstheme="minorHAnsi"/>
          <w:color w:val="222222"/>
          <w:sz w:val="20"/>
          <w:szCs w:val="20"/>
          <w:shd w:val="clear" w:color="auto" w:fill="FFFFFF"/>
        </w:rPr>
      </w:pPr>
    </w:p>
    <w:p w14:paraId="4528895D" w14:textId="276DA872" w:rsidR="00A54216" w:rsidRDefault="00A54216" w:rsidP="004943AF">
      <w:pPr>
        <w:widowControl w:val="0"/>
        <w:spacing w:line="480" w:lineRule="auto"/>
        <w:rPr>
          <w:rFonts w:cstheme="minorHAnsi"/>
          <w:color w:val="222222"/>
          <w:sz w:val="20"/>
          <w:szCs w:val="20"/>
          <w:shd w:val="clear" w:color="auto" w:fill="FFFFFF"/>
        </w:rPr>
      </w:pPr>
    </w:p>
    <w:p w14:paraId="34E3F156" w14:textId="27AE3481" w:rsidR="00A54216" w:rsidRDefault="00A54216" w:rsidP="004943AF">
      <w:pPr>
        <w:widowControl w:val="0"/>
        <w:spacing w:line="480" w:lineRule="auto"/>
        <w:rPr>
          <w:rFonts w:cstheme="minorHAnsi"/>
          <w:color w:val="222222"/>
          <w:sz w:val="20"/>
          <w:szCs w:val="20"/>
          <w:shd w:val="clear" w:color="auto" w:fill="FFFFFF"/>
        </w:rPr>
      </w:pPr>
    </w:p>
    <w:p w14:paraId="6120FE8B" w14:textId="49D217DA" w:rsidR="00A54216" w:rsidRDefault="00A54216" w:rsidP="004943AF">
      <w:pPr>
        <w:widowControl w:val="0"/>
        <w:spacing w:line="480" w:lineRule="auto"/>
        <w:rPr>
          <w:rFonts w:cstheme="minorHAnsi"/>
          <w:color w:val="222222"/>
          <w:sz w:val="20"/>
          <w:szCs w:val="20"/>
          <w:shd w:val="clear" w:color="auto" w:fill="FFFFFF"/>
        </w:rPr>
      </w:pPr>
    </w:p>
    <w:p w14:paraId="4B46DA16" w14:textId="77777777" w:rsidR="00BA710C" w:rsidRDefault="00BA710C" w:rsidP="00BA710C">
      <w:pPr>
        <w:spacing w:line="480" w:lineRule="auto"/>
      </w:pPr>
    </w:p>
    <w:p w14:paraId="78295881" w14:textId="77777777" w:rsidR="00BA710C" w:rsidRDefault="00BA710C" w:rsidP="00BA710C">
      <w:pPr>
        <w:spacing w:line="480" w:lineRule="auto"/>
      </w:pPr>
      <w:r>
        <w:rPr>
          <w:noProof/>
          <w:lang w:eastAsia="en-GB"/>
        </w:rPr>
        <w:drawing>
          <wp:inline distT="0" distB="0" distL="0" distR="0" wp14:anchorId="374124AD" wp14:editId="5928DDFB">
            <wp:extent cx="4572000" cy="5308600"/>
            <wp:effectExtent l="0" t="0" r="0" b="6350"/>
            <wp:docPr id="3" name="Chart 3">
              <a:extLst xmlns:a="http://schemas.openxmlformats.org/drawingml/2006/main">
                <a:ext uri="{FF2B5EF4-FFF2-40B4-BE49-F238E27FC236}">
                  <a16:creationId xmlns:a16="http://schemas.microsoft.com/office/drawing/2014/main" id="{3748AFC6-E208-45A6-81A0-BDB7FCD8A2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14:paraId="653536E3" w14:textId="77777777" w:rsidR="00BA710C" w:rsidRDefault="00BA710C" w:rsidP="00BA710C">
      <w:pPr>
        <w:spacing w:line="480" w:lineRule="auto"/>
      </w:pPr>
    </w:p>
    <w:p w14:paraId="45877D34" w14:textId="77777777" w:rsidR="00BA710C" w:rsidRDefault="00BA710C" w:rsidP="00BA710C">
      <w:pPr>
        <w:spacing w:line="480" w:lineRule="auto"/>
      </w:pPr>
      <w:r w:rsidRPr="00EA5FFC">
        <w:t xml:space="preserve">Fig. </w:t>
      </w:r>
      <w:r>
        <w:t xml:space="preserve">2. </w:t>
      </w:r>
      <w:r w:rsidRPr="00EA5FFC">
        <w:t xml:space="preserve"> </w:t>
      </w:r>
      <w:r>
        <w:t xml:space="preserve">The percentage fail rate for each of four different standard setting methods, plotted against the average score in that exam, for a total of 26 exams. The linear trendline for each has been added for clarity. </w:t>
      </w:r>
    </w:p>
    <w:p w14:paraId="1BE9DB9E" w14:textId="77777777" w:rsidR="00A54216" w:rsidRPr="004943AF" w:rsidRDefault="00A54216" w:rsidP="004943AF">
      <w:pPr>
        <w:widowControl w:val="0"/>
        <w:spacing w:line="480" w:lineRule="auto"/>
        <w:rPr>
          <w:rFonts w:cstheme="minorHAnsi"/>
          <w:color w:val="222222"/>
          <w:sz w:val="20"/>
          <w:szCs w:val="20"/>
          <w:shd w:val="clear" w:color="auto" w:fill="FFFFFF"/>
        </w:rPr>
      </w:pPr>
      <w:bookmarkStart w:id="4" w:name="_GoBack"/>
      <w:bookmarkEnd w:id="4"/>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211260"/>
      <w:docPartObj>
        <w:docPartGallery w:val="Page Numbers (Bottom of Page)"/>
        <w:docPartUnique/>
      </w:docPartObj>
    </w:sdtPr>
    <w:sdtEndPr>
      <w:rPr>
        <w:color w:val="7F7F7F" w:themeColor="background1" w:themeShade="7F"/>
        <w:spacing w:val="60"/>
      </w:rPr>
    </w:sdtEndPr>
    <w:sdtContent>
      <w:p w14:paraId="0F0AD864" w14:textId="77777777" w:rsidR="003B036C" w:rsidRDefault="003B036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17</w:t>
        </w:r>
        <w:r>
          <w:rPr>
            <w:noProof/>
          </w:rPr>
          <w:fldChar w:fldCharType="end"/>
        </w:r>
        <w:r>
          <w:t xml:space="preserve"> | </w:t>
        </w:r>
        <w:r>
          <w:rPr>
            <w:color w:val="7F7F7F" w:themeColor="background1" w:themeShade="7F"/>
            <w:spacing w:val="60"/>
          </w:rPr>
          <w:t>Page</w:t>
        </w:r>
      </w:p>
    </w:sdtContent>
  </w:sdt>
  <w:p w14:paraId="2E1C208A" w14:textId="77777777" w:rsidR="003B036C" w:rsidRDefault="003B0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0F41A" w14:textId="77777777" w:rsidR="009470DE" w:rsidRDefault="009470DE" w:rsidP="00000E71">
      <w:pPr>
        <w:spacing w:after="0" w:line="240" w:lineRule="auto"/>
      </w:pPr>
      <w:r>
        <w:separator/>
      </w:r>
    </w:p>
  </w:footnote>
  <w:footnote w:type="continuationSeparator" w:id="0">
    <w:p w14:paraId="421A06E6" w14:textId="77777777" w:rsidR="009470DE" w:rsidRDefault="009470DE" w:rsidP="00000E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E10"/>
    <w:rsid w:val="00000E71"/>
    <w:rsid w:val="0000304C"/>
    <w:rsid w:val="00032DF8"/>
    <w:rsid w:val="0003605A"/>
    <w:rsid w:val="000374C4"/>
    <w:rsid w:val="00040912"/>
    <w:rsid w:val="000422D5"/>
    <w:rsid w:val="00043E6B"/>
    <w:rsid w:val="00054397"/>
    <w:rsid w:val="00061DC8"/>
    <w:rsid w:val="0006278E"/>
    <w:rsid w:val="00071802"/>
    <w:rsid w:val="00071B17"/>
    <w:rsid w:val="00083086"/>
    <w:rsid w:val="000A547B"/>
    <w:rsid w:val="000B7206"/>
    <w:rsid w:val="000C6833"/>
    <w:rsid w:val="000E638B"/>
    <w:rsid w:val="000F746C"/>
    <w:rsid w:val="00104A8F"/>
    <w:rsid w:val="001054C0"/>
    <w:rsid w:val="00106BCC"/>
    <w:rsid w:val="0012060C"/>
    <w:rsid w:val="001574AC"/>
    <w:rsid w:val="001723D3"/>
    <w:rsid w:val="00172AA3"/>
    <w:rsid w:val="00175E4A"/>
    <w:rsid w:val="00193648"/>
    <w:rsid w:val="00193EA3"/>
    <w:rsid w:val="00194DB3"/>
    <w:rsid w:val="001C2F7E"/>
    <w:rsid w:val="001D6D9D"/>
    <w:rsid w:val="001E7A2E"/>
    <w:rsid w:val="001F1A5D"/>
    <w:rsid w:val="001F4BAB"/>
    <w:rsid w:val="001F585D"/>
    <w:rsid w:val="00205222"/>
    <w:rsid w:val="00227F50"/>
    <w:rsid w:val="00244699"/>
    <w:rsid w:val="00252EEA"/>
    <w:rsid w:val="0025775B"/>
    <w:rsid w:val="0026387D"/>
    <w:rsid w:val="00273EDF"/>
    <w:rsid w:val="00280BDC"/>
    <w:rsid w:val="002A560C"/>
    <w:rsid w:val="002C0592"/>
    <w:rsid w:val="002C7052"/>
    <w:rsid w:val="002D571A"/>
    <w:rsid w:val="002E2EEC"/>
    <w:rsid w:val="00312209"/>
    <w:rsid w:val="00321AE8"/>
    <w:rsid w:val="0038443F"/>
    <w:rsid w:val="00384F3C"/>
    <w:rsid w:val="003A622D"/>
    <w:rsid w:val="003B036C"/>
    <w:rsid w:val="003B06FA"/>
    <w:rsid w:val="003C4E9E"/>
    <w:rsid w:val="003C7CAD"/>
    <w:rsid w:val="00412925"/>
    <w:rsid w:val="004206FB"/>
    <w:rsid w:val="00421A17"/>
    <w:rsid w:val="0042647F"/>
    <w:rsid w:val="00426D60"/>
    <w:rsid w:val="0045214B"/>
    <w:rsid w:val="0046375E"/>
    <w:rsid w:val="00463FFA"/>
    <w:rsid w:val="00487441"/>
    <w:rsid w:val="004935E1"/>
    <w:rsid w:val="004943AF"/>
    <w:rsid w:val="00496511"/>
    <w:rsid w:val="004B433D"/>
    <w:rsid w:val="004B6A10"/>
    <w:rsid w:val="004D55E6"/>
    <w:rsid w:val="004D781B"/>
    <w:rsid w:val="004E59AD"/>
    <w:rsid w:val="004F5368"/>
    <w:rsid w:val="004F7971"/>
    <w:rsid w:val="0050067B"/>
    <w:rsid w:val="00511477"/>
    <w:rsid w:val="005219CE"/>
    <w:rsid w:val="00546DFE"/>
    <w:rsid w:val="00547825"/>
    <w:rsid w:val="00583A08"/>
    <w:rsid w:val="005A22B6"/>
    <w:rsid w:val="005A27EB"/>
    <w:rsid w:val="005D1EA7"/>
    <w:rsid w:val="005D4B76"/>
    <w:rsid w:val="005E021C"/>
    <w:rsid w:val="005E1FE3"/>
    <w:rsid w:val="0060200A"/>
    <w:rsid w:val="00602879"/>
    <w:rsid w:val="0061145C"/>
    <w:rsid w:val="00613AAA"/>
    <w:rsid w:val="00614CEB"/>
    <w:rsid w:val="00643048"/>
    <w:rsid w:val="006857DE"/>
    <w:rsid w:val="006A4549"/>
    <w:rsid w:val="006A48DD"/>
    <w:rsid w:val="006B3394"/>
    <w:rsid w:val="006B3DE3"/>
    <w:rsid w:val="006B48ED"/>
    <w:rsid w:val="006C5E4E"/>
    <w:rsid w:val="006D2EB0"/>
    <w:rsid w:val="006D51DC"/>
    <w:rsid w:val="006F41F6"/>
    <w:rsid w:val="006F4383"/>
    <w:rsid w:val="00704081"/>
    <w:rsid w:val="0070716D"/>
    <w:rsid w:val="00716B89"/>
    <w:rsid w:val="00731E78"/>
    <w:rsid w:val="00735C44"/>
    <w:rsid w:val="00741B16"/>
    <w:rsid w:val="007445F4"/>
    <w:rsid w:val="00761242"/>
    <w:rsid w:val="00765929"/>
    <w:rsid w:val="00783411"/>
    <w:rsid w:val="007932FE"/>
    <w:rsid w:val="007A5CC2"/>
    <w:rsid w:val="007E57D7"/>
    <w:rsid w:val="00810623"/>
    <w:rsid w:val="00814BAC"/>
    <w:rsid w:val="00827ED7"/>
    <w:rsid w:val="008352D1"/>
    <w:rsid w:val="00845955"/>
    <w:rsid w:val="00852056"/>
    <w:rsid w:val="00874D5D"/>
    <w:rsid w:val="00882547"/>
    <w:rsid w:val="008B5BA7"/>
    <w:rsid w:val="008C1A3C"/>
    <w:rsid w:val="008C5DC4"/>
    <w:rsid w:val="008D2E7F"/>
    <w:rsid w:val="00901F22"/>
    <w:rsid w:val="0091175D"/>
    <w:rsid w:val="00925D98"/>
    <w:rsid w:val="00932291"/>
    <w:rsid w:val="009470DE"/>
    <w:rsid w:val="00947193"/>
    <w:rsid w:val="009714A1"/>
    <w:rsid w:val="009776D4"/>
    <w:rsid w:val="00980A32"/>
    <w:rsid w:val="00993A86"/>
    <w:rsid w:val="009A7B0A"/>
    <w:rsid w:val="009B46F4"/>
    <w:rsid w:val="009C3862"/>
    <w:rsid w:val="009E361B"/>
    <w:rsid w:val="009F2844"/>
    <w:rsid w:val="00A03105"/>
    <w:rsid w:val="00A102BD"/>
    <w:rsid w:val="00A3112B"/>
    <w:rsid w:val="00A32287"/>
    <w:rsid w:val="00A4089F"/>
    <w:rsid w:val="00A41510"/>
    <w:rsid w:val="00A43E7D"/>
    <w:rsid w:val="00A43E7E"/>
    <w:rsid w:val="00A54216"/>
    <w:rsid w:val="00A57885"/>
    <w:rsid w:val="00A6059E"/>
    <w:rsid w:val="00A611C7"/>
    <w:rsid w:val="00A64FAF"/>
    <w:rsid w:val="00A75C5A"/>
    <w:rsid w:val="00A76864"/>
    <w:rsid w:val="00A76EF3"/>
    <w:rsid w:val="00A8164B"/>
    <w:rsid w:val="00AA0B1E"/>
    <w:rsid w:val="00B03111"/>
    <w:rsid w:val="00B052E3"/>
    <w:rsid w:val="00B14856"/>
    <w:rsid w:val="00B14D21"/>
    <w:rsid w:val="00B44B0E"/>
    <w:rsid w:val="00B47F74"/>
    <w:rsid w:val="00B6025C"/>
    <w:rsid w:val="00B637D9"/>
    <w:rsid w:val="00B6415F"/>
    <w:rsid w:val="00B7180C"/>
    <w:rsid w:val="00B73022"/>
    <w:rsid w:val="00B921B2"/>
    <w:rsid w:val="00B93E78"/>
    <w:rsid w:val="00BA4FC8"/>
    <w:rsid w:val="00BA5FBA"/>
    <w:rsid w:val="00BA710C"/>
    <w:rsid w:val="00BB5931"/>
    <w:rsid w:val="00BD37D9"/>
    <w:rsid w:val="00BE3381"/>
    <w:rsid w:val="00BF447F"/>
    <w:rsid w:val="00BF47A2"/>
    <w:rsid w:val="00C042C6"/>
    <w:rsid w:val="00C05E10"/>
    <w:rsid w:val="00C16DC8"/>
    <w:rsid w:val="00C221A1"/>
    <w:rsid w:val="00C27011"/>
    <w:rsid w:val="00C45B64"/>
    <w:rsid w:val="00C52CD9"/>
    <w:rsid w:val="00C8075F"/>
    <w:rsid w:val="00C842DC"/>
    <w:rsid w:val="00CD0CB5"/>
    <w:rsid w:val="00CF0478"/>
    <w:rsid w:val="00CF05AB"/>
    <w:rsid w:val="00D00BE6"/>
    <w:rsid w:val="00D11C58"/>
    <w:rsid w:val="00D1513D"/>
    <w:rsid w:val="00D166F9"/>
    <w:rsid w:val="00D330F7"/>
    <w:rsid w:val="00D40B76"/>
    <w:rsid w:val="00D6363F"/>
    <w:rsid w:val="00D819B5"/>
    <w:rsid w:val="00D85C8F"/>
    <w:rsid w:val="00D91FFF"/>
    <w:rsid w:val="00DB578C"/>
    <w:rsid w:val="00DC510C"/>
    <w:rsid w:val="00DC52D9"/>
    <w:rsid w:val="00DE75D9"/>
    <w:rsid w:val="00E16DEE"/>
    <w:rsid w:val="00E348C3"/>
    <w:rsid w:val="00E36D5A"/>
    <w:rsid w:val="00E37208"/>
    <w:rsid w:val="00E42244"/>
    <w:rsid w:val="00E56EAB"/>
    <w:rsid w:val="00E61AA9"/>
    <w:rsid w:val="00E649A4"/>
    <w:rsid w:val="00E66804"/>
    <w:rsid w:val="00E67467"/>
    <w:rsid w:val="00E71ACF"/>
    <w:rsid w:val="00E77031"/>
    <w:rsid w:val="00E9258D"/>
    <w:rsid w:val="00E9661A"/>
    <w:rsid w:val="00EA12CB"/>
    <w:rsid w:val="00EA1D71"/>
    <w:rsid w:val="00EC61D6"/>
    <w:rsid w:val="00F06027"/>
    <w:rsid w:val="00F1313F"/>
    <w:rsid w:val="00F17ABA"/>
    <w:rsid w:val="00F224EE"/>
    <w:rsid w:val="00F26734"/>
    <w:rsid w:val="00F270C7"/>
    <w:rsid w:val="00F417D0"/>
    <w:rsid w:val="00F63AB5"/>
    <w:rsid w:val="00F73398"/>
    <w:rsid w:val="00F959F1"/>
    <w:rsid w:val="00FA406E"/>
    <w:rsid w:val="00FA4856"/>
    <w:rsid w:val="00FB68C7"/>
    <w:rsid w:val="00FD0644"/>
    <w:rsid w:val="00FF55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5B4DB5"/>
  <w15:docId w15:val="{0C0BDA7E-63A2-4009-A532-C744AFEA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title">
    <w:name w:val="ref-title"/>
    <w:basedOn w:val="DefaultParagraphFont"/>
    <w:rsid w:val="00F26734"/>
  </w:style>
  <w:style w:type="character" w:customStyle="1" w:styleId="ref-journal">
    <w:name w:val="ref-journal"/>
    <w:basedOn w:val="DefaultParagraphFont"/>
    <w:rsid w:val="00F26734"/>
  </w:style>
  <w:style w:type="paragraph" w:styleId="Header">
    <w:name w:val="header"/>
    <w:basedOn w:val="Normal"/>
    <w:link w:val="HeaderChar"/>
    <w:uiPriority w:val="99"/>
    <w:unhideWhenUsed/>
    <w:rsid w:val="00000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E71"/>
  </w:style>
  <w:style w:type="paragraph" w:styleId="Footer">
    <w:name w:val="footer"/>
    <w:basedOn w:val="Normal"/>
    <w:link w:val="FooterChar"/>
    <w:uiPriority w:val="99"/>
    <w:unhideWhenUsed/>
    <w:rsid w:val="00000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E71"/>
  </w:style>
  <w:style w:type="paragraph" w:styleId="BalloonText">
    <w:name w:val="Balloon Text"/>
    <w:basedOn w:val="Normal"/>
    <w:link w:val="BalloonTextChar"/>
    <w:uiPriority w:val="99"/>
    <w:semiHidden/>
    <w:unhideWhenUsed/>
    <w:rsid w:val="00BF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7A2"/>
    <w:rPr>
      <w:rFonts w:ascii="Tahoma" w:hAnsi="Tahoma" w:cs="Tahoma"/>
      <w:sz w:val="16"/>
      <w:szCs w:val="16"/>
    </w:rPr>
  </w:style>
  <w:style w:type="character" w:styleId="PlaceholderText">
    <w:name w:val="Placeholder Text"/>
    <w:basedOn w:val="DefaultParagraphFont"/>
    <w:uiPriority w:val="99"/>
    <w:semiHidden/>
    <w:rsid w:val="007445F4"/>
    <w:rPr>
      <w:color w:val="808080"/>
    </w:rPr>
  </w:style>
  <w:style w:type="paragraph" w:styleId="EndnoteText">
    <w:name w:val="endnote text"/>
    <w:basedOn w:val="Normal"/>
    <w:link w:val="EndnoteTextChar"/>
    <w:uiPriority w:val="99"/>
    <w:semiHidden/>
    <w:unhideWhenUsed/>
    <w:rsid w:val="000E63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638B"/>
    <w:rPr>
      <w:sz w:val="20"/>
      <w:szCs w:val="20"/>
    </w:rPr>
  </w:style>
  <w:style w:type="character" w:styleId="EndnoteReference">
    <w:name w:val="endnote reference"/>
    <w:basedOn w:val="DefaultParagraphFont"/>
    <w:uiPriority w:val="99"/>
    <w:semiHidden/>
    <w:unhideWhenUsed/>
    <w:rsid w:val="000E638B"/>
    <w:rPr>
      <w:vertAlign w:val="superscript"/>
    </w:rPr>
  </w:style>
  <w:style w:type="table" w:styleId="TableGrid">
    <w:name w:val="Table Grid"/>
    <w:basedOn w:val="TableNormal"/>
    <w:uiPriority w:val="39"/>
    <w:rsid w:val="00613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112B"/>
    <w:rPr>
      <w:sz w:val="16"/>
      <w:szCs w:val="16"/>
    </w:rPr>
  </w:style>
  <w:style w:type="paragraph" w:styleId="CommentText">
    <w:name w:val="annotation text"/>
    <w:basedOn w:val="Normal"/>
    <w:link w:val="CommentTextChar"/>
    <w:uiPriority w:val="99"/>
    <w:semiHidden/>
    <w:unhideWhenUsed/>
    <w:rsid w:val="00A3112B"/>
    <w:pPr>
      <w:spacing w:line="240" w:lineRule="auto"/>
    </w:pPr>
    <w:rPr>
      <w:sz w:val="20"/>
      <w:szCs w:val="20"/>
    </w:rPr>
  </w:style>
  <w:style w:type="character" w:customStyle="1" w:styleId="CommentTextChar">
    <w:name w:val="Comment Text Char"/>
    <w:basedOn w:val="DefaultParagraphFont"/>
    <w:link w:val="CommentText"/>
    <w:uiPriority w:val="99"/>
    <w:semiHidden/>
    <w:rsid w:val="00A3112B"/>
    <w:rPr>
      <w:sz w:val="20"/>
      <w:szCs w:val="20"/>
    </w:rPr>
  </w:style>
  <w:style w:type="paragraph" w:styleId="CommentSubject">
    <w:name w:val="annotation subject"/>
    <w:basedOn w:val="CommentText"/>
    <w:next w:val="CommentText"/>
    <w:link w:val="CommentSubjectChar"/>
    <w:uiPriority w:val="99"/>
    <w:semiHidden/>
    <w:unhideWhenUsed/>
    <w:rsid w:val="00A3112B"/>
    <w:rPr>
      <w:b/>
      <w:bCs/>
    </w:rPr>
  </w:style>
  <w:style w:type="character" w:customStyle="1" w:styleId="CommentSubjectChar">
    <w:name w:val="Comment Subject Char"/>
    <w:basedOn w:val="CommentTextChar"/>
    <w:link w:val="CommentSubject"/>
    <w:uiPriority w:val="99"/>
    <w:semiHidden/>
    <w:rsid w:val="00A3112B"/>
    <w:rPr>
      <w:b/>
      <w:bCs/>
      <w:sz w:val="20"/>
      <w:szCs w:val="20"/>
    </w:rPr>
  </w:style>
  <w:style w:type="character" w:styleId="LineNumber">
    <w:name w:val="line number"/>
    <w:basedOn w:val="DefaultParagraphFont"/>
    <w:uiPriority w:val="99"/>
    <w:semiHidden/>
    <w:unhideWhenUsed/>
    <w:rsid w:val="00E66804"/>
  </w:style>
  <w:style w:type="character" w:styleId="Hyperlink">
    <w:name w:val="Hyperlink"/>
    <w:basedOn w:val="DefaultParagraphFont"/>
    <w:uiPriority w:val="99"/>
    <w:unhideWhenUsed/>
    <w:rsid w:val="00947193"/>
    <w:rPr>
      <w:color w:val="0563C1" w:themeColor="hyperlink"/>
      <w:u w:val="single"/>
    </w:rPr>
  </w:style>
  <w:style w:type="character" w:styleId="UnresolvedMention">
    <w:name w:val="Unresolved Mention"/>
    <w:basedOn w:val="DefaultParagraphFont"/>
    <w:uiPriority w:val="99"/>
    <w:semiHidden/>
    <w:unhideWhenUsed/>
    <w:rsid w:val="00947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62488">
      <w:bodyDiv w:val="1"/>
      <w:marLeft w:val="0"/>
      <w:marRight w:val="0"/>
      <w:marTop w:val="0"/>
      <w:marBottom w:val="0"/>
      <w:divBdr>
        <w:top w:val="none" w:sz="0" w:space="0" w:color="auto"/>
        <w:left w:val="none" w:sz="0" w:space="0" w:color="auto"/>
        <w:bottom w:val="none" w:sz="0" w:space="0" w:color="auto"/>
        <w:right w:val="none" w:sz="0" w:space="0" w:color="auto"/>
      </w:divBdr>
      <w:divsChild>
        <w:div w:id="781068691">
          <w:marLeft w:val="0"/>
          <w:marRight w:val="0"/>
          <w:marTop w:val="0"/>
          <w:marBottom w:val="0"/>
          <w:divBdr>
            <w:top w:val="none" w:sz="0" w:space="0" w:color="auto"/>
            <w:left w:val="none" w:sz="0" w:space="0" w:color="auto"/>
            <w:bottom w:val="none" w:sz="0" w:space="0" w:color="auto"/>
            <w:right w:val="none" w:sz="0" w:space="0" w:color="auto"/>
          </w:divBdr>
          <w:divsChild>
            <w:div w:id="1659069565">
              <w:marLeft w:val="0"/>
              <w:marRight w:val="0"/>
              <w:marTop w:val="0"/>
              <w:marBottom w:val="0"/>
              <w:divBdr>
                <w:top w:val="none" w:sz="0" w:space="0" w:color="auto"/>
                <w:left w:val="none" w:sz="0" w:space="0" w:color="auto"/>
                <w:bottom w:val="none" w:sz="0" w:space="0" w:color="auto"/>
                <w:right w:val="none" w:sz="0" w:space="0" w:color="auto"/>
              </w:divBdr>
              <w:divsChild>
                <w:div w:id="22485356">
                  <w:marLeft w:val="0"/>
                  <w:marRight w:val="0"/>
                  <w:marTop w:val="0"/>
                  <w:marBottom w:val="0"/>
                  <w:divBdr>
                    <w:top w:val="none" w:sz="0" w:space="0" w:color="auto"/>
                    <w:left w:val="none" w:sz="0" w:space="0" w:color="auto"/>
                    <w:bottom w:val="none" w:sz="0" w:space="0" w:color="auto"/>
                    <w:right w:val="none" w:sz="0" w:space="0" w:color="auto"/>
                  </w:divBdr>
                  <w:divsChild>
                    <w:div w:id="512039190">
                      <w:marLeft w:val="0"/>
                      <w:marRight w:val="0"/>
                      <w:marTop w:val="0"/>
                      <w:marBottom w:val="0"/>
                      <w:divBdr>
                        <w:top w:val="none" w:sz="0" w:space="0" w:color="auto"/>
                        <w:left w:val="none" w:sz="0" w:space="0" w:color="auto"/>
                        <w:bottom w:val="none" w:sz="0" w:space="0" w:color="auto"/>
                        <w:right w:val="none" w:sz="0" w:space="0" w:color="auto"/>
                      </w:divBdr>
                      <w:divsChild>
                        <w:div w:id="292099137">
                          <w:marLeft w:val="0"/>
                          <w:marRight w:val="0"/>
                          <w:marTop w:val="0"/>
                          <w:marBottom w:val="0"/>
                          <w:divBdr>
                            <w:top w:val="none" w:sz="0" w:space="0" w:color="auto"/>
                            <w:left w:val="none" w:sz="0" w:space="0" w:color="auto"/>
                            <w:bottom w:val="none" w:sz="0" w:space="0" w:color="auto"/>
                            <w:right w:val="none" w:sz="0" w:space="0" w:color="auto"/>
                          </w:divBdr>
                          <w:divsChild>
                            <w:div w:id="1463618314">
                              <w:marLeft w:val="0"/>
                              <w:marRight w:val="0"/>
                              <w:marTop w:val="0"/>
                              <w:marBottom w:val="0"/>
                              <w:divBdr>
                                <w:top w:val="none" w:sz="0" w:space="0" w:color="auto"/>
                                <w:left w:val="single" w:sz="6" w:space="0" w:color="E5E3E3"/>
                                <w:bottom w:val="none" w:sz="0" w:space="0" w:color="auto"/>
                                <w:right w:val="none" w:sz="0" w:space="0" w:color="auto"/>
                              </w:divBdr>
                              <w:divsChild>
                                <w:div w:id="8874043">
                                  <w:marLeft w:val="0"/>
                                  <w:marRight w:val="0"/>
                                  <w:marTop w:val="0"/>
                                  <w:marBottom w:val="0"/>
                                  <w:divBdr>
                                    <w:top w:val="none" w:sz="0" w:space="0" w:color="auto"/>
                                    <w:left w:val="none" w:sz="0" w:space="0" w:color="auto"/>
                                    <w:bottom w:val="none" w:sz="0" w:space="0" w:color="auto"/>
                                    <w:right w:val="none" w:sz="0" w:space="0" w:color="auto"/>
                                  </w:divBdr>
                                  <w:divsChild>
                                    <w:div w:id="1133862275">
                                      <w:marLeft w:val="0"/>
                                      <w:marRight w:val="0"/>
                                      <w:marTop w:val="0"/>
                                      <w:marBottom w:val="0"/>
                                      <w:divBdr>
                                        <w:top w:val="none" w:sz="0" w:space="0" w:color="auto"/>
                                        <w:left w:val="none" w:sz="0" w:space="0" w:color="auto"/>
                                        <w:bottom w:val="none" w:sz="0" w:space="0" w:color="auto"/>
                                        <w:right w:val="none" w:sz="0" w:space="0" w:color="auto"/>
                                      </w:divBdr>
                                      <w:divsChild>
                                        <w:div w:id="152180716">
                                          <w:marLeft w:val="0"/>
                                          <w:marRight w:val="0"/>
                                          <w:marTop w:val="0"/>
                                          <w:marBottom w:val="0"/>
                                          <w:divBdr>
                                            <w:top w:val="none" w:sz="0" w:space="0" w:color="auto"/>
                                            <w:left w:val="none" w:sz="0" w:space="0" w:color="auto"/>
                                            <w:bottom w:val="none" w:sz="0" w:space="0" w:color="auto"/>
                                            <w:right w:val="none" w:sz="0" w:space="0" w:color="auto"/>
                                          </w:divBdr>
                                          <w:divsChild>
                                            <w:div w:id="804200270">
                                              <w:marLeft w:val="0"/>
                                              <w:marRight w:val="0"/>
                                              <w:marTop w:val="0"/>
                                              <w:marBottom w:val="0"/>
                                              <w:divBdr>
                                                <w:top w:val="none" w:sz="0" w:space="0" w:color="auto"/>
                                                <w:left w:val="none" w:sz="0" w:space="0" w:color="auto"/>
                                                <w:bottom w:val="none" w:sz="0" w:space="0" w:color="auto"/>
                                                <w:right w:val="none" w:sz="0" w:space="0" w:color="auto"/>
                                              </w:divBdr>
                                              <w:divsChild>
                                                <w:div w:id="1326471182">
                                                  <w:marLeft w:val="0"/>
                                                  <w:marRight w:val="0"/>
                                                  <w:marTop w:val="0"/>
                                                  <w:marBottom w:val="0"/>
                                                  <w:divBdr>
                                                    <w:top w:val="none" w:sz="0" w:space="0" w:color="auto"/>
                                                    <w:left w:val="none" w:sz="0" w:space="0" w:color="auto"/>
                                                    <w:bottom w:val="none" w:sz="0" w:space="0" w:color="auto"/>
                                                    <w:right w:val="none" w:sz="0" w:space="0" w:color="auto"/>
                                                  </w:divBdr>
                                                  <w:divsChild>
                                                    <w:div w:id="872965736">
                                                      <w:marLeft w:val="0"/>
                                                      <w:marRight w:val="0"/>
                                                      <w:marTop w:val="0"/>
                                                      <w:marBottom w:val="0"/>
                                                      <w:divBdr>
                                                        <w:top w:val="none" w:sz="0" w:space="0" w:color="auto"/>
                                                        <w:left w:val="none" w:sz="0" w:space="0" w:color="auto"/>
                                                        <w:bottom w:val="none" w:sz="0" w:space="0" w:color="auto"/>
                                                        <w:right w:val="none" w:sz="0" w:space="0" w:color="auto"/>
                                                      </w:divBdr>
                                                      <w:divsChild>
                                                        <w:div w:id="207567073">
                                                          <w:marLeft w:val="480"/>
                                                          <w:marRight w:val="0"/>
                                                          <w:marTop w:val="0"/>
                                                          <w:marBottom w:val="0"/>
                                                          <w:divBdr>
                                                            <w:top w:val="none" w:sz="0" w:space="0" w:color="auto"/>
                                                            <w:left w:val="none" w:sz="0" w:space="0" w:color="auto"/>
                                                            <w:bottom w:val="none" w:sz="0" w:space="0" w:color="auto"/>
                                                            <w:right w:val="none" w:sz="0" w:space="0" w:color="auto"/>
                                                          </w:divBdr>
                                                          <w:divsChild>
                                                            <w:div w:id="706829646">
                                                              <w:marLeft w:val="0"/>
                                                              <w:marRight w:val="0"/>
                                                              <w:marTop w:val="0"/>
                                                              <w:marBottom w:val="0"/>
                                                              <w:divBdr>
                                                                <w:top w:val="none" w:sz="0" w:space="0" w:color="auto"/>
                                                                <w:left w:val="none" w:sz="0" w:space="0" w:color="auto"/>
                                                                <w:bottom w:val="none" w:sz="0" w:space="0" w:color="auto"/>
                                                                <w:right w:val="none" w:sz="0" w:space="0" w:color="auto"/>
                                                              </w:divBdr>
                                                              <w:divsChild>
                                                                <w:div w:id="2061203812">
                                                                  <w:marLeft w:val="0"/>
                                                                  <w:marRight w:val="0"/>
                                                                  <w:marTop w:val="0"/>
                                                                  <w:marBottom w:val="0"/>
                                                                  <w:divBdr>
                                                                    <w:top w:val="none" w:sz="0" w:space="0" w:color="auto"/>
                                                                    <w:left w:val="none" w:sz="0" w:space="0" w:color="auto"/>
                                                                    <w:bottom w:val="none" w:sz="0" w:space="0" w:color="auto"/>
                                                                    <w:right w:val="none" w:sz="0" w:space="0" w:color="auto"/>
                                                                  </w:divBdr>
                                                                  <w:divsChild>
                                                                    <w:div w:id="820122535">
                                                                      <w:marLeft w:val="0"/>
                                                                      <w:marRight w:val="0"/>
                                                                      <w:marTop w:val="0"/>
                                                                      <w:marBottom w:val="0"/>
                                                                      <w:divBdr>
                                                                        <w:top w:val="none" w:sz="0" w:space="0" w:color="auto"/>
                                                                        <w:left w:val="none" w:sz="0" w:space="0" w:color="auto"/>
                                                                        <w:bottom w:val="none" w:sz="0" w:space="0" w:color="auto"/>
                                                                        <w:right w:val="none" w:sz="0" w:space="0" w:color="auto"/>
                                                                      </w:divBdr>
                                                                      <w:divsChild>
                                                                        <w:div w:id="1832718555">
                                                                          <w:marLeft w:val="0"/>
                                                                          <w:marRight w:val="0"/>
                                                                          <w:marTop w:val="0"/>
                                                                          <w:marBottom w:val="0"/>
                                                                          <w:divBdr>
                                                                            <w:top w:val="none" w:sz="0" w:space="0" w:color="auto"/>
                                                                            <w:left w:val="none" w:sz="0" w:space="0" w:color="auto"/>
                                                                            <w:bottom w:val="none" w:sz="0" w:space="0" w:color="auto"/>
                                                                            <w:right w:val="none" w:sz="0" w:space="0" w:color="auto"/>
                                                                          </w:divBdr>
                                                                          <w:divsChild>
                                                                            <w:div w:id="1068844740">
                                                                              <w:marLeft w:val="0"/>
                                                                              <w:marRight w:val="0"/>
                                                                              <w:marTop w:val="0"/>
                                                                              <w:marBottom w:val="0"/>
                                                                              <w:divBdr>
                                                                                <w:top w:val="none" w:sz="0" w:space="0" w:color="auto"/>
                                                                                <w:left w:val="none" w:sz="0" w:space="0" w:color="auto"/>
                                                                                <w:bottom w:val="none" w:sz="0" w:space="0" w:color="auto"/>
                                                                                <w:right w:val="none" w:sz="0" w:space="0" w:color="auto"/>
                                                                              </w:divBdr>
                                                                              <w:divsChild>
                                                                                <w:div w:id="445731604">
                                                                                  <w:marLeft w:val="0"/>
                                                                                  <w:marRight w:val="0"/>
                                                                                  <w:marTop w:val="0"/>
                                                                                  <w:marBottom w:val="0"/>
                                                                                  <w:divBdr>
                                                                                    <w:top w:val="none" w:sz="0" w:space="0" w:color="auto"/>
                                                                                    <w:left w:val="none" w:sz="0" w:space="0" w:color="auto"/>
                                                                                    <w:bottom w:val="single" w:sz="6" w:space="23" w:color="auto"/>
                                                                                    <w:right w:val="none" w:sz="0" w:space="0" w:color="auto"/>
                                                                                  </w:divBdr>
                                                                                  <w:divsChild>
                                                                                    <w:div w:id="2128355424">
                                                                                      <w:marLeft w:val="0"/>
                                                                                      <w:marRight w:val="0"/>
                                                                                      <w:marTop w:val="0"/>
                                                                                      <w:marBottom w:val="0"/>
                                                                                      <w:divBdr>
                                                                                        <w:top w:val="none" w:sz="0" w:space="0" w:color="auto"/>
                                                                                        <w:left w:val="none" w:sz="0" w:space="0" w:color="auto"/>
                                                                                        <w:bottom w:val="none" w:sz="0" w:space="0" w:color="auto"/>
                                                                                        <w:right w:val="none" w:sz="0" w:space="0" w:color="auto"/>
                                                                                      </w:divBdr>
                                                                                      <w:divsChild>
                                                                                        <w:div w:id="1955163727">
                                                                                          <w:marLeft w:val="0"/>
                                                                                          <w:marRight w:val="0"/>
                                                                                          <w:marTop w:val="0"/>
                                                                                          <w:marBottom w:val="0"/>
                                                                                          <w:divBdr>
                                                                                            <w:top w:val="none" w:sz="0" w:space="0" w:color="auto"/>
                                                                                            <w:left w:val="none" w:sz="0" w:space="0" w:color="auto"/>
                                                                                            <w:bottom w:val="none" w:sz="0" w:space="0" w:color="auto"/>
                                                                                            <w:right w:val="none" w:sz="0" w:space="0" w:color="auto"/>
                                                                                          </w:divBdr>
                                                                                          <w:divsChild>
                                                                                            <w:div w:id="904534144">
                                                                                              <w:marLeft w:val="0"/>
                                                                                              <w:marRight w:val="0"/>
                                                                                              <w:marTop w:val="0"/>
                                                                                              <w:marBottom w:val="0"/>
                                                                                              <w:divBdr>
                                                                                                <w:top w:val="none" w:sz="0" w:space="0" w:color="auto"/>
                                                                                                <w:left w:val="none" w:sz="0" w:space="0" w:color="auto"/>
                                                                                                <w:bottom w:val="none" w:sz="0" w:space="0" w:color="auto"/>
                                                                                                <w:right w:val="none" w:sz="0" w:space="0" w:color="auto"/>
                                                                                              </w:divBdr>
                                                                                              <w:divsChild>
                                                                                                <w:div w:id="997615034">
                                                                                                  <w:marLeft w:val="0"/>
                                                                                                  <w:marRight w:val="0"/>
                                                                                                  <w:marTop w:val="0"/>
                                                                                                  <w:marBottom w:val="0"/>
                                                                                                  <w:divBdr>
                                                                                                    <w:top w:val="none" w:sz="0" w:space="0" w:color="auto"/>
                                                                                                    <w:left w:val="none" w:sz="0" w:space="0" w:color="auto"/>
                                                                                                    <w:bottom w:val="none" w:sz="0" w:space="0" w:color="auto"/>
                                                                                                    <w:right w:val="none" w:sz="0" w:space="0" w:color="auto"/>
                                                                                                  </w:divBdr>
                                                                                                  <w:divsChild>
                                                                                                    <w:div w:id="1632249727">
                                                                                                      <w:marLeft w:val="0"/>
                                                                                                      <w:marRight w:val="0"/>
                                                                                                      <w:marTop w:val="0"/>
                                                                                                      <w:marBottom w:val="0"/>
                                                                                                      <w:divBdr>
                                                                                                        <w:top w:val="none" w:sz="0" w:space="0" w:color="auto"/>
                                                                                                        <w:left w:val="none" w:sz="0" w:space="0" w:color="auto"/>
                                                                                                        <w:bottom w:val="none" w:sz="0" w:space="0" w:color="auto"/>
                                                                                                        <w:right w:val="none" w:sz="0" w:space="0" w:color="auto"/>
                                                                                                      </w:divBdr>
                                                                                                      <w:divsChild>
                                                                                                        <w:div w:id="802967386">
                                                                                                          <w:marLeft w:val="0"/>
                                                                                                          <w:marRight w:val="0"/>
                                                                                                          <w:marTop w:val="0"/>
                                                                                                          <w:marBottom w:val="0"/>
                                                                                                          <w:divBdr>
                                                                                                            <w:top w:val="none" w:sz="0" w:space="0" w:color="auto"/>
                                                                                                            <w:left w:val="none" w:sz="0" w:space="0" w:color="auto"/>
                                                                                                            <w:bottom w:val="none" w:sz="0" w:space="0" w:color="auto"/>
                                                                                                            <w:right w:val="none" w:sz="0" w:space="0" w:color="auto"/>
                                                                                                          </w:divBdr>
                                                                                                        </w:div>
                                                                                                        <w:div w:id="1498374939">
                                                                                                          <w:marLeft w:val="0"/>
                                                                                                          <w:marRight w:val="0"/>
                                                                                                          <w:marTop w:val="0"/>
                                                                                                          <w:marBottom w:val="0"/>
                                                                                                          <w:divBdr>
                                                                                                            <w:top w:val="none" w:sz="0" w:space="0" w:color="auto"/>
                                                                                                            <w:left w:val="none" w:sz="0" w:space="0" w:color="auto"/>
                                                                                                            <w:bottom w:val="none" w:sz="0" w:space="0" w:color="auto"/>
                                                                                                            <w:right w:val="none" w:sz="0" w:space="0" w:color="auto"/>
                                                                                                          </w:divBdr>
                                                                                                        </w:div>
                                                                                                        <w:div w:id="952371212">
                                                                                                          <w:marLeft w:val="0"/>
                                                                                                          <w:marRight w:val="0"/>
                                                                                                          <w:marTop w:val="0"/>
                                                                                                          <w:marBottom w:val="0"/>
                                                                                                          <w:divBdr>
                                                                                                            <w:top w:val="none" w:sz="0" w:space="0" w:color="auto"/>
                                                                                                            <w:left w:val="none" w:sz="0" w:space="0" w:color="auto"/>
                                                                                                            <w:bottom w:val="none" w:sz="0" w:space="0" w:color="auto"/>
                                                                                                            <w:right w:val="none" w:sz="0" w:space="0" w:color="auto"/>
                                                                                                          </w:divBdr>
                                                                                                        </w:div>
                                                                                                        <w:div w:id="792945574">
                                                                                                          <w:marLeft w:val="0"/>
                                                                                                          <w:marRight w:val="0"/>
                                                                                                          <w:marTop w:val="0"/>
                                                                                                          <w:marBottom w:val="0"/>
                                                                                                          <w:divBdr>
                                                                                                            <w:top w:val="none" w:sz="0" w:space="0" w:color="auto"/>
                                                                                                            <w:left w:val="none" w:sz="0" w:space="0" w:color="auto"/>
                                                                                                            <w:bottom w:val="none" w:sz="0" w:space="0" w:color="auto"/>
                                                                                                            <w:right w:val="none" w:sz="0" w:space="0" w:color="auto"/>
                                                                                                          </w:divBdr>
                                                                                                        </w:div>
                                                                                                        <w:div w:id="1907644884">
                                                                                                          <w:marLeft w:val="0"/>
                                                                                                          <w:marRight w:val="0"/>
                                                                                                          <w:marTop w:val="0"/>
                                                                                                          <w:marBottom w:val="0"/>
                                                                                                          <w:divBdr>
                                                                                                            <w:top w:val="none" w:sz="0" w:space="0" w:color="auto"/>
                                                                                                            <w:left w:val="none" w:sz="0" w:space="0" w:color="auto"/>
                                                                                                            <w:bottom w:val="none" w:sz="0" w:space="0" w:color="auto"/>
                                                                                                            <w:right w:val="none" w:sz="0" w:space="0" w:color="auto"/>
                                                                                                          </w:divBdr>
                                                                                                        </w:div>
                                                                                                        <w:div w:id="11748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84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mailto:jcmclachlan1@uclan.ac.uk"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2" Type="http://schemas.openxmlformats.org/officeDocument/2006/relationships/chart" Target="charts/chart2.xml"/><Relationship Id="rId1"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cmclachlan1\Desktop\Standard%20setting%20from%20facility\Improved%201%20iscm1%20excluding%20ISCM1%20summative18.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jcmclachlan1\Desktop\Standard%20setting%20from%20facility\New%20data\Relationship%20between%20avergae%20scores%20and%20cohen%20fail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Sheet3!$B$4</c:f>
              <c:strCache>
                <c:ptCount val="1"/>
                <c:pt idx="0">
                  <c:v>class facility %</c:v>
                </c:pt>
              </c:strCache>
            </c:strRef>
          </c:tx>
          <c:spPr>
            <a:ln w="19050">
              <a:noFill/>
            </a:ln>
          </c:spPr>
          <c:marker>
            <c:symbol val="circle"/>
            <c:size val="5"/>
            <c:spPr>
              <a:solidFill>
                <a:schemeClr val="accent1"/>
              </a:solidFill>
              <a:ln w="9525">
                <a:solidFill>
                  <a:schemeClr val="accent1"/>
                </a:solidFill>
              </a:ln>
              <a:effectLst/>
            </c:spPr>
          </c:marker>
          <c:xVal>
            <c:numRef>
              <c:f>Sheet3!$A$5:$A$103</c:f>
              <c:numCache>
                <c:formatCode>0</c:formatCode>
                <c:ptCount val="99"/>
                <c:pt idx="0">
                  <c:v>97.826086956521706</c:v>
                </c:pt>
                <c:pt idx="1">
                  <c:v>76.08695652173914</c:v>
                </c:pt>
                <c:pt idx="2">
                  <c:v>91.304347826086953</c:v>
                </c:pt>
                <c:pt idx="3">
                  <c:v>90.217391304347828</c:v>
                </c:pt>
                <c:pt idx="4">
                  <c:v>94.565217391304344</c:v>
                </c:pt>
                <c:pt idx="5">
                  <c:v>100</c:v>
                </c:pt>
                <c:pt idx="6">
                  <c:v>98.91304347826086</c:v>
                </c:pt>
                <c:pt idx="7">
                  <c:v>76.08695652173914</c:v>
                </c:pt>
                <c:pt idx="8">
                  <c:v>92.391304347826093</c:v>
                </c:pt>
                <c:pt idx="9">
                  <c:v>89.130434782608688</c:v>
                </c:pt>
                <c:pt idx="10">
                  <c:v>82.608695652173907</c:v>
                </c:pt>
                <c:pt idx="11">
                  <c:v>69.565217391304344</c:v>
                </c:pt>
                <c:pt idx="12">
                  <c:v>79.347826086956516</c:v>
                </c:pt>
                <c:pt idx="13">
                  <c:v>78.260869565217391</c:v>
                </c:pt>
                <c:pt idx="14">
                  <c:v>61.95652173913043</c:v>
                </c:pt>
                <c:pt idx="15">
                  <c:v>79.347826086956516</c:v>
                </c:pt>
                <c:pt idx="16">
                  <c:v>14.130434782608695</c:v>
                </c:pt>
                <c:pt idx="17">
                  <c:v>63.04347826086957</c:v>
                </c:pt>
                <c:pt idx="18">
                  <c:v>81.521739130434781</c:v>
                </c:pt>
                <c:pt idx="19">
                  <c:v>76.08695652173914</c:v>
                </c:pt>
                <c:pt idx="20">
                  <c:v>83.695652173913047</c:v>
                </c:pt>
                <c:pt idx="21">
                  <c:v>55.434782608695656</c:v>
                </c:pt>
                <c:pt idx="22">
                  <c:v>82.608695652173907</c:v>
                </c:pt>
                <c:pt idx="23">
                  <c:v>40.217391304347828</c:v>
                </c:pt>
                <c:pt idx="24">
                  <c:v>79.347826086956516</c:v>
                </c:pt>
                <c:pt idx="25">
                  <c:v>54.347826086956516</c:v>
                </c:pt>
                <c:pt idx="26">
                  <c:v>59.782608695652172</c:v>
                </c:pt>
                <c:pt idx="27">
                  <c:v>34.782608695652172</c:v>
                </c:pt>
                <c:pt idx="28">
                  <c:v>61.95652173913043</c:v>
                </c:pt>
                <c:pt idx="29">
                  <c:v>34.782608695652172</c:v>
                </c:pt>
                <c:pt idx="30">
                  <c:v>60.869565217391312</c:v>
                </c:pt>
                <c:pt idx="31">
                  <c:v>31.521739130434785</c:v>
                </c:pt>
                <c:pt idx="32">
                  <c:v>32.608695652173914</c:v>
                </c:pt>
                <c:pt idx="33">
                  <c:v>10.869565217391305</c:v>
                </c:pt>
                <c:pt idx="34">
                  <c:v>70.652173913043484</c:v>
                </c:pt>
                <c:pt idx="35">
                  <c:v>56.521739130434781</c:v>
                </c:pt>
                <c:pt idx="36">
                  <c:v>82.608695652173907</c:v>
                </c:pt>
                <c:pt idx="37">
                  <c:v>66.304347826086953</c:v>
                </c:pt>
                <c:pt idx="38">
                  <c:v>85.869565217391312</c:v>
                </c:pt>
                <c:pt idx="39">
                  <c:v>76.08695652173914</c:v>
                </c:pt>
                <c:pt idx="40">
                  <c:v>31.521739130434785</c:v>
                </c:pt>
                <c:pt idx="41">
                  <c:v>53.260869565217398</c:v>
                </c:pt>
                <c:pt idx="42">
                  <c:v>70.652173913043484</c:v>
                </c:pt>
                <c:pt idx="43">
                  <c:v>54.347826086956516</c:v>
                </c:pt>
                <c:pt idx="44">
                  <c:v>38.04347826086957</c:v>
                </c:pt>
                <c:pt idx="45">
                  <c:v>52.173913043478258</c:v>
                </c:pt>
                <c:pt idx="46">
                  <c:v>28.260869565217391</c:v>
                </c:pt>
                <c:pt idx="47">
                  <c:v>29.347826086956523</c:v>
                </c:pt>
                <c:pt idx="48">
                  <c:v>54.347826086956516</c:v>
                </c:pt>
                <c:pt idx="49">
                  <c:v>48.913043478260867</c:v>
                </c:pt>
                <c:pt idx="50">
                  <c:v>58.695652173913047</c:v>
                </c:pt>
                <c:pt idx="51">
                  <c:v>53.260869565217398</c:v>
                </c:pt>
                <c:pt idx="52">
                  <c:v>70.652173913043484</c:v>
                </c:pt>
                <c:pt idx="53">
                  <c:v>25</c:v>
                </c:pt>
                <c:pt idx="54">
                  <c:v>53.260869565217398</c:v>
                </c:pt>
                <c:pt idx="55">
                  <c:v>69.565217391304344</c:v>
                </c:pt>
                <c:pt idx="56">
                  <c:v>65.217391304347828</c:v>
                </c:pt>
                <c:pt idx="57">
                  <c:v>68.478260869565219</c:v>
                </c:pt>
                <c:pt idx="58">
                  <c:v>21.739130434782609</c:v>
                </c:pt>
                <c:pt idx="59">
                  <c:v>86.956521739130437</c:v>
                </c:pt>
                <c:pt idx="60">
                  <c:v>77.173913043478265</c:v>
                </c:pt>
                <c:pt idx="61">
                  <c:v>31.521739130434785</c:v>
                </c:pt>
                <c:pt idx="62">
                  <c:v>63.04347826086957</c:v>
                </c:pt>
                <c:pt idx="63">
                  <c:v>58.695652173913047</c:v>
                </c:pt>
                <c:pt idx="64">
                  <c:v>38.04347826086957</c:v>
                </c:pt>
                <c:pt idx="65">
                  <c:v>35.869565217391305</c:v>
                </c:pt>
                <c:pt idx="66">
                  <c:v>56.521739130434781</c:v>
                </c:pt>
                <c:pt idx="67">
                  <c:v>41.304347826086953</c:v>
                </c:pt>
                <c:pt idx="68">
                  <c:v>22.826086956521738</c:v>
                </c:pt>
                <c:pt idx="69">
                  <c:v>27.173913043478258</c:v>
                </c:pt>
                <c:pt idx="70">
                  <c:v>8.695652173913043</c:v>
                </c:pt>
                <c:pt idx="71">
                  <c:v>36.95652173913043</c:v>
                </c:pt>
                <c:pt idx="72">
                  <c:v>85.869565217391312</c:v>
                </c:pt>
                <c:pt idx="73">
                  <c:v>23.913043478260871</c:v>
                </c:pt>
                <c:pt idx="74">
                  <c:v>81.521739130434781</c:v>
                </c:pt>
                <c:pt idx="75">
                  <c:v>75</c:v>
                </c:pt>
                <c:pt idx="76">
                  <c:v>78.260869565217391</c:v>
                </c:pt>
                <c:pt idx="77">
                  <c:v>64.130434782608688</c:v>
                </c:pt>
                <c:pt idx="78">
                  <c:v>41.304347826086953</c:v>
                </c:pt>
                <c:pt idx="79">
                  <c:v>69.565217391304344</c:v>
                </c:pt>
                <c:pt idx="80">
                  <c:v>88.043478260869563</c:v>
                </c:pt>
                <c:pt idx="81">
                  <c:v>68.478260869565219</c:v>
                </c:pt>
                <c:pt idx="82">
                  <c:v>47.826086956521742</c:v>
                </c:pt>
                <c:pt idx="83">
                  <c:v>71.739130434782609</c:v>
                </c:pt>
                <c:pt idx="84">
                  <c:v>32.608695652173914</c:v>
                </c:pt>
                <c:pt idx="85">
                  <c:v>41.304347826086953</c:v>
                </c:pt>
                <c:pt idx="86">
                  <c:v>90.217391304347828</c:v>
                </c:pt>
                <c:pt idx="87">
                  <c:v>64.130434782608688</c:v>
                </c:pt>
                <c:pt idx="88">
                  <c:v>51.086956521739133</c:v>
                </c:pt>
                <c:pt idx="89">
                  <c:v>95.652173913043484</c:v>
                </c:pt>
                <c:pt idx="90">
                  <c:v>72.826086956521735</c:v>
                </c:pt>
                <c:pt idx="91">
                  <c:v>67.391304347826093</c:v>
                </c:pt>
                <c:pt idx="92">
                  <c:v>34.782608695652172</c:v>
                </c:pt>
                <c:pt idx="93">
                  <c:v>20.652173913043477</c:v>
                </c:pt>
                <c:pt idx="94">
                  <c:v>29.347826086956523</c:v>
                </c:pt>
                <c:pt idx="95">
                  <c:v>42.391304347826086</c:v>
                </c:pt>
                <c:pt idx="96">
                  <c:v>47.826086956521742</c:v>
                </c:pt>
                <c:pt idx="97">
                  <c:v>58.695652173913047</c:v>
                </c:pt>
                <c:pt idx="98">
                  <c:v>58.695652173913047</c:v>
                </c:pt>
              </c:numCache>
            </c:numRef>
          </c:xVal>
          <c:yVal>
            <c:numRef>
              <c:f>Sheet3!$B$5:$B$103</c:f>
              <c:numCache>
                <c:formatCode>0</c:formatCode>
                <c:ptCount val="99"/>
                <c:pt idx="0">
                  <c:v>97.826086956521735</c:v>
                </c:pt>
                <c:pt idx="1">
                  <c:v>76.08695652173914</c:v>
                </c:pt>
                <c:pt idx="2">
                  <c:v>91.304347826086953</c:v>
                </c:pt>
                <c:pt idx="3">
                  <c:v>90.217391304347828</c:v>
                </c:pt>
                <c:pt idx="4">
                  <c:v>94.565217391304344</c:v>
                </c:pt>
                <c:pt idx="5">
                  <c:v>100</c:v>
                </c:pt>
                <c:pt idx="6">
                  <c:v>98.91304347826086</c:v>
                </c:pt>
                <c:pt idx="7">
                  <c:v>76.08695652173914</c:v>
                </c:pt>
                <c:pt idx="8">
                  <c:v>92.391304347826093</c:v>
                </c:pt>
                <c:pt idx="9">
                  <c:v>89.130434782608688</c:v>
                </c:pt>
                <c:pt idx="10">
                  <c:v>82.608695652173907</c:v>
                </c:pt>
                <c:pt idx="11">
                  <c:v>69.565217391304344</c:v>
                </c:pt>
                <c:pt idx="12">
                  <c:v>79.347826086956516</c:v>
                </c:pt>
                <c:pt idx="13">
                  <c:v>78.260869565217391</c:v>
                </c:pt>
                <c:pt idx="14">
                  <c:v>61.95652173913043</c:v>
                </c:pt>
                <c:pt idx="15">
                  <c:v>79.347826086956516</c:v>
                </c:pt>
                <c:pt idx="16">
                  <c:v>14.130434782608695</c:v>
                </c:pt>
                <c:pt idx="17">
                  <c:v>63.04347826086957</c:v>
                </c:pt>
                <c:pt idx="18">
                  <c:v>81.521739130434781</c:v>
                </c:pt>
                <c:pt idx="19">
                  <c:v>76.08695652173914</c:v>
                </c:pt>
                <c:pt idx="20">
                  <c:v>83.695652173913047</c:v>
                </c:pt>
                <c:pt idx="21">
                  <c:v>55.434782608695656</c:v>
                </c:pt>
                <c:pt idx="22">
                  <c:v>82.608695652173907</c:v>
                </c:pt>
                <c:pt idx="23">
                  <c:v>40.217391304347828</c:v>
                </c:pt>
                <c:pt idx="24">
                  <c:v>79.347826086956516</c:v>
                </c:pt>
                <c:pt idx="25">
                  <c:v>54.347826086956516</c:v>
                </c:pt>
                <c:pt idx="26">
                  <c:v>59.782608695652172</c:v>
                </c:pt>
                <c:pt idx="27">
                  <c:v>34.782608695652172</c:v>
                </c:pt>
                <c:pt idx="28">
                  <c:v>61.95652173913043</c:v>
                </c:pt>
                <c:pt idx="29">
                  <c:v>34.782608695652172</c:v>
                </c:pt>
                <c:pt idx="30">
                  <c:v>60.869565217391312</c:v>
                </c:pt>
                <c:pt idx="31">
                  <c:v>31.521739130434785</c:v>
                </c:pt>
                <c:pt idx="32">
                  <c:v>32.608695652173914</c:v>
                </c:pt>
                <c:pt idx="33">
                  <c:v>10.869565217391305</c:v>
                </c:pt>
                <c:pt idx="34">
                  <c:v>70.652173913043484</c:v>
                </c:pt>
                <c:pt idx="35">
                  <c:v>56.521739130434781</c:v>
                </c:pt>
                <c:pt idx="36">
                  <c:v>82.608695652173907</c:v>
                </c:pt>
                <c:pt idx="37">
                  <c:v>66.304347826086953</c:v>
                </c:pt>
                <c:pt idx="38">
                  <c:v>85.869565217391312</c:v>
                </c:pt>
                <c:pt idx="39">
                  <c:v>76.08695652173914</c:v>
                </c:pt>
                <c:pt idx="40">
                  <c:v>31.521739130434785</c:v>
                </c:pt>
                <c:pt idx="41">
                  <c:v>53.260869565217398</c:v>
                </c:pt>
                <c:pt idx="42">
                  <c:v>70.652173913043484</c:v>
                </c:pt>
                <c:pt idx="43">
                  <c:v>54.347826086956516</c:v>
                </c:pt>
                <c:pt idx="44">
                  <c:v>38.04347826086957</c:v>
                </c:pt>
                <c:pt idx="45">
                  <c:v>52.173913043478258</c:v>
                </c:pt>
                <c:pt idx="46">
                  <c:v>28.260869565217391</c:v>
                </c:pt>
                <c:pt idx="47">
                  <c:v>29.347826086956523</c:v>
                </c:pt>
                <c:pt idx="48">
                  <c:v>54.347826086956516</c:v>
                </c:pt>
                <c:pt idx="49">
                  <c:v>48.913043478260867</c:v>
                </c:pt>
                <c:pt idx="50">
                  <c:v>58.695652173913047</c:v>
                </c:pt>
                <c:pt idx="51">
                  <c:v>53.260869565217398</c:v>
                </c:pt>
                <c:pt idx="52">
                  <c:v>70.652173913043484</c:v>
                </c:pt>
                <c:pt idx="53">
                  <c:v>25</c:v>
                </c:pt>
                <c:pt idx="54">
                  <c:v>53.260869565217398</c:v>
                </c:pt>
                <c:pt idx="55">
                  <c:v>69.565217391304344</c:v>
                </c:pt>
                <c:pt idx="56">
                  <c:v>65.217391304347828</c:v>
                </c:pt>
                <c:pt idx="57">
                  <c:v>68.478260869565219</c:v>
                </c:pt>
                <c:pt idx="58">
                  <c:v>21.739130434782609</c:v>
                </c:pt>
                <c:pt idx="59">
                  <c:v>86.956521739130437</c:v>
                </c:pt>
                <c:pt idx="60">
                  <c:v>77.173913043478265</c:v>
                </c:pt>
                <c:pt idx="61">
                  <c:v>31.521739130434785</c:v>
                </c:pt>
                <c:pt idx="62">
                  <c:v>63.04347826086957</c:v>
                </c:pt>
                <c:pt idx="63">
                  <c:v>58.695652173913047</c:v>
                </c:pt>
                <c:pt idx="64">
                  <c:v>38.04347826086957</c:v>
                </c:pt>
                <c:pt idx="65">
                  <c:v>35.869565217391305</c:v>
                </c:pt>
                <c:pt idx="66">
                  <c:v>56.521739130434781</c:v>
                </c:pt>
                <c:pt idx="67">
                  <c:v>41.304347826086953</c:v>
                </c:pt>
                <c:pt idx="68">
                  <c:v>22.826086956521738</c:v>
                </c:pt>
                <c:pt idx="69">
                  <c:v>27.173913043478258</c:v>
                </c:pt>
                <c:pt idx="70">
                  <c:v>8.695652173913043</c:v>
                </c:pt>
                <c:pt idx="71">
                  <c:v>36.95652173913043</c:v>
                </c:pt>
                <c:pt idx="72">
                  <c:v>85.869565217391312</c:v>
                </c:pt>
                <c:pt idx="73">
                  <c:v>23.913043478260871</c:v>
                </c:pt>
                <c:pt idx="74">
                  <c:v>81.521739130434781</c:v>
                </c:pt>
                <c:pt idx="75">
                  <c:v>75</c:v>
                </c:pt>
                <c:pt idx="76">
                  <c:v>78.260869565217391</c:v>
                </c:pt>
                <c:pt idx="77">
                  <c:v>64.130434782608688</c:v>
                </c:pt>
                <c:pt idx="78">
                  <c:v>41.304347826086953</c:v>
                </c:pt>
                <c:pt idx="79">
                  <c:v>69.565217391304344</c:v>
                </c:pt>
                <c:pt idx="80">
                  <c:v>88.043478260869563</c:v>
                </c:pt>
                <c:pt idx="81">
                  <c:v>68.478260869565219</c:v>
                </c:pt>
                <c:pt idx="82">
                  <c:v>47.826086956521742</c:v>
                </c:pt>
                <c:pt idx="83">
                  <c:v>71.739130434782609</c:v>
                </c:pt>
                <c:pt idx="84">
                  <c:v>32.608695652173914</c:v>
                </c:pt>
                <c:pt idx="85">
                  <c:v>41.304347826086953</c:v>
                </c:pt>
                <c:pt idx="86">
                  <c:v>90.217391304347828</c:v>
                </c:pt>
                <c:pt idx="87">
                  <c:v>64.130434782608688</c:v>
                </c:pt>
                <c:pt idx="88">
                  <c:v>51.086956521739133</c:v>
                </c:pt>
                <c:pt idx="89">
                  <c:v>95.652173913043484</c:v>
                </c:pt>
                <c:pt idx="90">
                  <c:v>72.826086956521735</c:v>
                </c:pt>
                <c:pt idx="91">
                  <c:v>67.391304347826093</c:v>
                </c:pt>
                <c:pt idx="92">
                  <c:v>34.782608695652172</c:v>
                </c:pt>
                <c:pt idx="93">
                  <c:v>20.652173913043477</c:v>
                </c:pt>
                <c:pt idx="94">
                  <c:v>29.347826086956523</c:v>
                </c:pt>
                <c:pt idx="95">
                  <c:v>42.391304347826086</c:v>
                </c:pt>
                <c:pt idx="96">
                  <c:v>47.826086956521742</c:v>
                </c:pt>
                <c:pt idx="97">
                  <c:v>58.695652173913047</c:v>
                </c:pt>
                <c:pt idx="98">
                  <c:v>58.695652173913047</c:v>
                </c:pt>
              </c:numCache>
            </c:numRef>
          </c:yVal>
          <c:smooth val="0"/>
          <c:extLst>
            <c:ext xmlns:c16="http://schemas.microsoft.com/office/drawing/2014/chart" uri="{C3380CC4-5D6E-409C-BE32-E72D297353CC}">
              <c16:uniqueId val="{00000000-D8EF-431B-B98B-EA4954F46C3C}"/>
            </c:ext>
          </c:extLst>
        </c:ser>
        <c:ser>
          <c:idx val="1"/>
          <c:order val="1"/>
          <c:tx>
            <c:strRef>
              <c:f>Sheet3!$C$4</c:f>
              <c:strCache>
                <c:ptCount val="1"/>
                <c:pt idx="0">
                  <c:v>All borderlines</c:v>
                </c:pt>
              </c:strCache>
            </c:strRef>
          </c:tx>
          <c:spPr>
            <a:ln w="19050">
              <a:noFill/>
            </a:ln>
          </c:spPr>
          <c:marker>
            <c:symbol val="circle"/>
            <c:size val="5"/>
            <c:spPr>
              <a:solidFill>
                <a:schemeClr val="accent2"/>
              </a:solidFill>
              <a:ln w="9525">
                <a:solidFill>
                  <a:schemeClr val="accent2"/>
                </a:solidFill>
              </a:ln>
              <a:effectLst/>
            </c:spPr>
          </c:marker>
          <c:trendline>
            <c:trendlineType val="exp"/>
            <c:dispRSqr val="0"/>
            <c:dispEq val="0"/>
          </c:trendline>
          <c:trendline>
            <c:trendlineType val="exp"/>
            <c:dispRSqr val="0"/>
            <c:dispEq val="1"/>
            <c:trendlineLbl>
              <c:numFmt formatCode="General" sourceLinked="0"/>
            </c:trendlineLbl>
          </c:trendline>
          <c:xVal>
            <c:numRef>
              <c:f>Sheet3!$A$5:$A$103</c:f>
              <c:numCache>
                <c:formatCode>0</c:formatCode>
                <c:ptCount val="99"/>
                <c:pt idx="0">
                  <c:v>97.826086956521706</c:v>
                </c:pt>
                <c:pt idx="1">
                  <c:v>76.08695652173914</c:v>
                </c:pt>
                <c:pt idx="2">
                  <c:v>91.304347826086953</c:v>
                </c:pt>
                <c:pt idx="3">
                  <c:v>90.217391304347828</c:v>
                </c:pt>
                <c:pt idx="4">
                  <c:v>94.565217391304344</c:v>
                </c:pt>
                <c:pt idx="5">
                  <c:v>100</c:v>
                </c:pt>
                <c:pt idx="6">
                  <c:v>98.91304347826086</c:v>
                </c:pt>
                <c:pt idx="7">
                  <c:v>76.08695652173914</c:v>
                </c:pt>
                <c:pt idx="8">
                  <c:v>92.391304347826093</c:v>
                </c:pt>
                <c:pt idx="9">
                  <c:v>89.130434782608688</c:v>
                </c:pt>
                <c:pt idx="10">
                  <c:v>82.608695652173907</c:v>
                </c:pt>
                <c:pt idx="11">
                  <c:v>69.565217391304344</c:v>
                </c:pt>
                <c:pt idx="12">
                  <c:v>79.347826086956516</c:v>
                </c:pt>
                <c:pt idx="13">
                  <c:v>78.260869565217391</c:v>
                </c:pt>
                <c:pt idx="14">
                  <c:v>61.95652173913043</c:v>
                </c:pt>
                <c:pt idx="15">
                  <c:v>79.347826086956516</c:v>
                </c:pt>
                <c:pt idx="16">
                  <c:v>14.130434782608695</c:v>
                </c:pt>
                <c:pt idx="17">
                  <c:v>63.04347826086957</c:v>
                </c:pt>
                <c:pt idx="18">
                  <c:v>81.521739130434781</c:v>
                </c:pt>
                <c:pt idx="19">
                  <c:v>76.08695652173914</c:v>
                </c:pt>
                <c:pt idx="20">
                  <c:v>83.695652173913047</c:v>
                </c:pt>
                <c:pt idx="21">
                  <c:v>55.434782608695656</c:v>
                </c:pt>
                <c:pt idx="22">
                  <c:v>82.608695652173907</c:v>
                </c:pt>
                <c:pt idx="23">
                  <c:v>40.217391304347828</c:v>
                </c:pt>
                <c:pt idx="24">
                  <c:v>79.347826086956516</c:v>
                </c:pt>
                <c:pt idx="25">
                  <c:v>54.347826086956516</c:v>
                </c:pt>
                <c:pt idx="26">
                  <c:v>59.782608695652172</c:v>
                </c:pt>
                <c:pt idx="27">
                  <c:v>34.782608695652172</c:v>
                </c:pt>
                <c:pt idx="28">
                  <c:v>61.95652173913043</c:v>
                </c:pt>
                <c:pt idx="29">
                  <c:v>34.782608695652172</c:v>
                </c:pt>
                <c:pt idx="30">
                  <c:v>60.869565217391312</c:v>
                </c:pt>
                <c:pt idx="31">
                  <c:v>31.521739130434785</c:v>
                </c:pt>
                <c:pt idx="32">
                  <c:v>32.608695652173914</c:v>
                </c:pt>
                <c:pt idx="33">
                  <c:v>10.869565217391305</c:v>
                </c:pt>
                <c:pt idx="34">
                  <c:v>70.652173913043484</c:v>
                </c:pt>
                <c:pt idx="35">
                  <c:v>56.521739130434781</c:v>
                </c:pt>
                <c:pt idx="36">
                  <c:v>82.608695652173907</c:v>
                </c:pt>
                <c:pt idx="37">
                  <c:v>66.304347826086953</c:v>
                </c:pt>
                <c:pt idx="38">
                  <c:v>85.869565217391312</c:v>
                </c:pt>
                <c:pt idx="39">
                  <c:v>76.08695652173914</c:v>
                </c:pt>
                <c:pt idx="40">
                  <c:v>31.521739130434785</c:v>
                </c:pt>
                <c:pt idx="41">
                  <c:v>53.260869565217398</c:v>
                </c:pt>
                <c:pt idx="42">
                  <c:v>70.652173913043484</c:v>
                </c:pt>
                <c:pt idx="43">
                  <c:v>54.347826086956516</c:v>
                </c:pt>
                <c:pt idx="44">
                  <c:v>38.04347826086957</c:v>
                </c:pt>
                <c:pt idx="45">
                  <c:v>52.173913043478258</c:v>
                </c:pt>
                <c:pt idx="46">
                  <c:v>28.260869565217391</c:v>
                </c:pt>
                <c:pt idx="47">
                  <c:v>29.347826086956523</c:v>
                </c:pt>
                <c:pt idx="48">
                  <c:v>54.347826086956516</c:v>
                </c:pt>
                <c:pt idx="49">
                  <c:v>48.913043478260867</c:v>
                </c:pt>
                <c:pt idx="50">
                  <c:v>58.695652173913047</c:v>
                </c:pt>
                <c:pt idx="51">
                  <c:v>53.260869565217398</c:v>
                </c:pt>
                <c:pt idx="52">
                  <c:v>70.652173913043484</c:v>
                </c:pt>
                <c:pt idx="53">
                  <c:v>25</c:v>
                </c:pt>
                <c:pt idx="54">
                  <c:v>53.260869565217398</c:v>
                </c:pt>
                <c:pt idx="55">
                  <c:v>69.565217391304344</c:v>
                </c:pt>
                <c:pt idx="56">
                  <c:v>65.217391304347828</c:v>
                </c:pt>
                <c:pt idx="57">
                  <c:v>68.478260869565219</c:v>
                </c:pt>
                <c:pt idx="58">
                  <c:v>21.739130434782609</c:v>
                </c:pt>
                <c:pt idx="59">
                  <c:v>86.956521739130437</c:v>
                </c:pt>
                <c:pt idx="60">
                  <c:v>77.173913043478265</c:v>
                </c:pt>
                <c:pt idx="61">
                  <c:v>31.521739130434785</c:v>
                </c:pt>
                <c:pt idx="62">
                  <c:v>63.04347826086957</c:v>
                </c:pt>
                <c:pt idx="63">
                  <c:v>58.695652173913047</c:v>
                </c:pt>
                <c:pt idx="64">
                  <c:v>38.04347826086957</c:v>
                </c:pt>
                <c:pt idx="65">
                  <c:v>35.869565217391305</c:v>
                </c:pt>
                <c:pt idx="66">
                  <c:v>56.521739130434781</c:v>
                </c:pt>
                <c:pt idx="67">
                  <c:v>41.304347826086953</c:v>
                </c:pt>
                <c:pt idx="68">
                  <c:v>22.826086956521738</c:v>
                </c:pt>
                <c:pt idx="69">
                  <c:v>27.173913043478258</c:v>
                </c:pt>
                <c:pt idx="70">
                  <c:v>8.695652173913043</c:v>
                </c:pt>
                <c:pt idx="71">
                  <c:v>36.95652173913043</c:v>
                </c:pt>
                <c:pt idx="72">
                  <c:v>85.869565217391312</c:v>
                </c:pt>
                <c:pt idx="73">
                  <c:v>23.913043478260871</c:v>
                </c:pt>
                <c:pt idx="74">
                  <c:v>81.521739130434781</c:v>
                </c:pt>
                <c:pt idx="75">
                  <c:v>75</c:v>
                </c:pt>
                <c:pt idx="76">
                  <c:v>78.260869565217391</c:v>
                </c:pt>
                <c:pt idx="77">
                  <c:v>64.130434782608688</c:v>
                </c:pt>
                <c:pt idx="78">
                  <c:v>41.304347826086953</c:v>
                </c:pt>
                <c:pt idx="79">
                  <c:v>69.565217391304344</c:v>
                </c:pt>
                <c:pt idx="80">
                  <c:v>88.043478260869563</c:v>
                </c:pt>
                <c:pt idx="81">
                  <c:v>68.478260869565219</c:v>
                </c:pt>
                <c:pt idx="82">
                  <c:v>47.826086956521742</c:v>
                </c:pt>
                <c:pt idx="83">
                  <c:v>71.739130434782609</c:v>
                </c:pt>
                <c:pt idx="84">
                  <c:v>32.608695652173914</c:v>
                </c:pt>
                <c:pt idx="85">
                  <c:v>41.304347826086953</c:v>
                </c:pt>
                <c:pt idx="86">
                  <c:v>90.217391304347828</c:v>
                </c:pt>
                <c:pt idx="87">
                  <c:v>64.130434782608688</c:v>
                </c:pt>
                <c:pt idx="88">
                  <c:v>51.086956521739133</c:v>
                </c:pt>
                <c:pt idx="89">
                  <c:v>95.652173913043484</c:v>
                </c:pt>
                <c:pt idx="90">
                  <c:v>72.826086956521735</c:v>
                </c:pt>
                <c:pt idx="91">
                  <c:v>67.391304347826093</c:v>
                </c:pt>
                <c:pt idx="92">
                  <c:v>34.782608695652172</c:v>
                </c:pt>
                <c:pt idx="93">
                  <c:v>20.652173913043477</c:v>
                </c:pt>
                <c:pt idx="94">
                  <c:v>29.347826086956523</c:v>
                </c:pt>
                <c:pt idx="95">
                  <c:v>42.391304347826086</c:v>
                </c:pt>
                <c:pt idx="96">
                  <c:v>47.826086956521742</c:v>
                </c:pt>
                <c:pt idx="97">
                  <c:v>58.695652173913047</c:v>
                </c:pt>
                <c:pt idx="98">
                  <c:v>58.695652173913047</c:v>
                </c:pt>
              </c:numCache>
            </c:numRef>
          </c:xVal>
          <c:yVal>
            <c:numRef>
              <c:f>Sheet3!$C$5:$C$103</c:f>
              <c:numCache>
                <c:formatCode>0.0</c:formatCode>
                <c:ptCount val="99"/>
                <c:pt idx="0">
                  <c:v>95</c:v>
                </c:pt>
                <c:pt idx="1">
                  <c:v>65</c:v>
                </c:pt>
                <c:pt idx="2">
                  <c:v>85</c:v>
                </c:pt>
                <c:pt idx="3">
                  <c:v>80</c:v>
                </c:pt>
                <c:pt idx="4">
                  <c:v>90</c:v>
                </c:pt>
                <c:pt idx="5">
                  <c:v>100</c:v>
                </c:pt>
                <c:pt idx="6">
                  <c:v>97.5</c:v>
                </c:pt>
                <c:pt idx="7">
                  <c:v>60</c:v>
                </c:pt>
                <c:pt idx="8">
                  <c:v>90</c:v>
                </c:pt>
                <c:pt idx="9">
                  <c:v>87.5</c:v>
                </c:pt>
                <c:pt idx="10">
                  <c:v>72.5</c:v>
                </c:pt>
                <c:pt idx="11">
                  <c:v>67.5</c:v>
                </c:pt>
                <c:pt idx="12">
                  <c:v>67.5</c:v>
                </c:pt>
                <c:pt idx="13">
                  <c:v>67.5</c:v>
                </c:pt>
                <c:pt idx="14">
                  <c:v>57.499999999999993</c:v>
                </c:pt>
                <c:pt idx="15">
                  <c:v>67.5</c:v>
                </c:pt>
                <c:pt idx="16">
                  <c:v>12.5</c:v>
                </c:pt>
                <c:pt idx="17">
                  <c:v>42.5</c:v>
                </c:pt>
                <c:pt idx="18">
                  <c:v>67.5</c:v>
                </c:pt>
                <c:pt idx="19">
                  <c:v>57.499999999999993</c:v>
                </c:pt>
                <c:pt idx="20">
                  <c:v>77.5</c:v>
                </c:pt>
                <c:pt idx="21">
                  <c:v>42.5</c:v>
                </c:pt>
                <c:pt idx="22">
                  <c:v>67.5</c:v>
                </c:pt>
                <c:pt idx="23">
                  <c:v>42.5</c:v>
                </c:pt>
                <c:pt idx="24">
                  <c:v>70</c:v>
                </c:pt>
                <c:pt idx="25">
                  <c:v>40</c:v>
                </c:pt>
                <c:pt idx="26">
                  <c:v>52.5</c:v>
                </c:pt>
                <c:pt idx="27">
                  <c:v>25</c:v>
                </c:pt>
                <c:pt idx="28">
                  <c:v>52.5</c:v>
                </c:pt>
                <c:pt idx="29">
                  <c:v>30</c:v>
                </c:pt>
                <c:pt idx="30">
                  <c:v>42.5</c:v>
                </c:pt>
                <c:pt idx="31">
                  <c:v>20</c:v>
                </c:pt>
                <c:pt idx="32">
                  <c:v>35</c:v>
                </c:pt>
                <c:pt idx="33">
                  <c:v>12.5</c:v>
                </c:pt>
                <c:pt idx="34">
                  <c:v>55.000000000000007</c:v>
                </c:pt>
                <c:pt idx="35">
                  <c:v>45</c:v>
                </c:pt>
                <c:pt idx="36">
                  <c:v>67.5</c:v>
                </c:pt>
                <c:pt idx="37">
                  <c:v>60</c:v>
                </c:pt>
                <c:pt idx="38">
                  <c:v>72.5</c:v>
                </c:pt>
                <c:pt idx="39">
                  <c:v>67.5</c:v>
                </c:pt>
                <c:pt idx="40">
                  <c:v>22.5</c:v>
                </c:pt>
                <c:pt idx="41">
                  <c:v>52.5</c:v>
                </c:pt>
                <c:pt idx="42">
                  <c:v>55.000000000000007</c:v>
                </c:pt>
                <c:pt idx="43">
                  <c:v>50</c:v>
                </c:pt>
                <c:pt idx="44">
                  <c:v>40</c:v>
                </c:pt>
                <c:pt idx="45">
                  <c:v>50</c:v>
                </c:pt>
                <c:pt idx="46">
                  <c:v>22.5</c:v>
                </c:pt>
                <c:pt idx="47">
                  <c:v>30</c:v>
                </c:pt>
                <c:pt idx="48">
                  <c:v>50</c:v>
                </c:pt>
                <c:pt idx="49">
                  <c:v>37.5</c:v>
                </c:pt>
                <c:pt idx="50">
                  <c:v>47.5</c:v>
                </c:pt>
                <c:pt idx="51">
                  <c:v>35</c:v>
                </c:pt>
                <c:pt idx="52">
                  <c:v>75</c:v>
                </c:pt>
                <c:pt idx="53">
                  <c:v>10</c:v>
                </c:pt>
                <c:pt idx="54">
                  <c:v>40</c:v>
                </c:pt>
                <c:pt idx="55">
                  <c:v>45</c:v>
                </c:pt>
                <c:pt idx="56">
                  <c:v>60</c:v>
                </c:pt>
                <c:pt idx="57">
                  <c:v>42.5</c:v>
                </c:pt>
                <c:pt idx="58">
                  <c:v>17.5</c:v>
                </c:pt>
                <c:pt idx="59">
                  <c:v>77.5</c:v>
                </c:pt>
                <c:pt idx="60">
                  <c:v>62.5</c:v>
                </c:pt>
                <c:pt idx="61">
                  <c:v>22.5</c:v>
                </c:pt>
                <c:pt idx="62">
                  <c:v>60</c:v>
                </c:pt>
                <c:pt idx="63">
                  <c:v>45</c:v>
                </c:pt>
                <c:pt idx="64">
                  <c:v>27.500000000000004</c:v>
                </c:pt>
                <c:pt idx="65">
                  <c:v>20</c:v>
                </c:pt>
                <c:pt idx="66">
                  <c:v>42.5</c:v>
                </c:pt>
                <c:pt idx="67">
                  <c:v>35</c:v>
                </c:pt>
                <c:pt idx="68">
                  <c:v>22.5</c:v>
                </c:pt>
                <c:pt idx="69">
                  <c:v>25</c:v>
                </c:pt>
                <c:pt idx="70">
                  <c:v>10</c:v>
                </c:pt>
                <c:pt idx="71">
                  <c:v>32.5</c:v>
                </c:pt>
                <c:pt idx="72">
                  <c:v>75</c:v>
                </c:pt>
                <c:pt idx="73">
                  <c:v>22.5</c:v>
                </c:pt>
                <c:pt idx="74">
                  <c:v>70</c:v>
                </c:pt>
                <c:pt idx="75">
                  <c:v>57.499999999999993</c:v>
                </c:pt>
                <c:pt idx="76">
                  <c:v>62.5</c:v>
                </c:pt>
                <c:pt idx="77">
                  <c:v>60</c:v>
                </c:pt>
                <c:pt idx="78">
                  <c:v>40</c:v>
                </c:pt>
                <c:pt idx="79">
                  <c:v>50</c:v>
                </c:pt>
                <c:pt idx="80">
                  <c:v>80</c:v>
                </c:pt>
                <c:pt idx="81">
                  <c:v>57.499999999999993</c:v>
                </c:pt>
                <c:pt idx="82">
                  <c:v>45</c:v>
                </c:pt>
                <c:pt idx="83">
                  <c:v>75</c:v>
                </c:pt>
                <c:pt idx="84">
                  <c:v>27.500000000000004</c:v>
                </c:pt>
                <c:pt idx="85">
                  <c:v>35</c:v>
                </c:pt>
                <c:pt idx="86">
                  <c:v>82.5</c:v>
                </c:pt>
                <c:pt idx="87">
                  <c:v>65</c:v>
                </c:pt>
                <c:pt idx="88">
                  <c:v>42.5</c:v>
                </c:pt>
                <c:pt idx="89">
                  <c:v>92.5</c:v>
                </c:pt>
                <c:pt idx="90">
                  <c:v>55.000000000000007</c:v>
                </c:pt>
                <c:pt idx="91">
                  <c:v>57.499999999999993</c:v>
                </c:pt>
                <c:pt idx="92">
                  <c:v>22.5</c:v>
                </c:pt>
                <c:pt idx="93">
                  <c:v>25</c:v>
                </c:pt>
                <c:pt idx="94">
                  <c:v>32.5</c:v>
                </c:pt>
                <c:pt idx="95">
                  <c:v>35</c:v>
                </c:pt>
                <c:pt idx="96">
                  <c:v>50</c:v>
                </c:pt>
                <c:pt idx="97">
                  <c:v>42.5</c:v>
                </c:pt>
                <c:pt idx="98">
                  <c:v>42.5</c:v>
                </c:pt>
              </c:numCache>
            </c:numRef>
          </c:yVal>
          <c:smooth val="0"/>
          <c:extLst>
            <c:ext xmlns:c16="http://schemas.microsoft.com/office/drawing/2014/chart" uri="{C3380CC4-5D6E-409C-BE32-E72D297353CC}">
              <c16:uniqueId val="{00000003-D8EF-431B-B98B-EA4954F46C3C}"/>
            </c:ext>
          </c:extLst>
        </c:ser>
        <c:dLbls>
          <c:showLegendKey val="0"/>
          <c:showVal val="0"/>
          <c:showCatName val="0"/>
          <c:showSerName val="0"/>
          <c:showPercent val="0"/>
          <c:showBubbleSize val="0"/>
        </c:dLbls>
        <c:axId val="387255360"/>
        <c:axId val="387255752"/>
      </c:scatterChart>
      <c:valAx>
        <c:axId val="387255360"/>
        <c:scaling>
          <c:orientation val="minMax"/>
          <c:max val="11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US"/>
                  <a:t>Facility for Cohort </a:t>
                </a:r>
              </a:p>
            </c:rich>
          </c:tx>
          <c:overlay val="0"/>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387255752"/>
        <c:crosses val="autoZero"/>
        <c:crossBetween val="midCat"/>
        <c:majorUnit val="5"/>
      </c:valAx>
      <c:valAx>
        <c:axId val="387255752"/>
        <c:scaling>
          <c:orientation val="minMax"/>
          <c:max val="110"/>
          <c:min val="0"/>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GB"/>
                  <a:t>Facility for all possible borderline candidates</a:t>
                </a:r>
              </a:p>
            </c:rich>
          </c:tx>
          <c:overlay val="0"/>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255360"/>
        <c:crosses val="autoZero"/>
        <c:crossBetween val="midCat"/>
        <c:majorUnit val="5"/>
      </c:valAx>
      <c:spPr>
        <a:noFill/>
        <a:ln w="25400">
          <a:noFill/>
        </a:ln>
      </c:spPr>
    </c:plotArea>
    <c:legend>
      <c:legendPos val="b"/>
      <c:legendEntry>
        <c:idx val="2"/>
        <c:delete val="1"/>
      </c:legendEntry>
      <c:legendEntry>
        <c:idx val="3"/>
        <c:delete val="1"/>
      </c:legendEntry>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Fails v Average score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2"/>
          <c:order val="0"/>
          <c:tx>
            <c:strRef>
              <c:f>Sheet1!$D$2</c:f>
              <c:strCache>
                <c:ptCount val="1"/>
                <c:pt idx="0">
                  <c:v>% Angoff Fails</c:v>
                </c:pt>
              </c:strCache>
            </c:strRef>
          </c:tx>
          <c:spPr>
            <a:ln w="25400" cap="rnd">
              <a:noFill/>
              <a:round/>
            </a:ln>
            <a:effectLst/>
          </c:spPr>
          <c:marker>
            <c:symbol val="circle"/>
            <c:size val="5"/>
            <c:spPr>
              <a:solidFill>
                <a:schemeClr val="accent6"/>
              </a:solidFill>
              <a:ln w="9525">
                <a:solidFill>
                  <a:schemeClr val="accent6"/>
                </a:solidFill>
              </a:ln>
              <a:effectLst/>
            </c:spPr>
          </c:marker>
          <c:trendline>
            <c:spPr>
              <a:ln w="19050" cap="rnd">
                <a:solidFill>
                  <a:schemeClr val="accent6"/>
                </a:solidFill>
                <a:prstDash val="sysDot"/>
              </a:ln>
              <a:effectLst/>
            </c:spPr>
            <c:trendlineType val="linear"/>
            <c:dispRSqr val="0"/>
            <c:dispEq val="0"/>
          </c:trendline>
          <c:xVal>
            <c:numRef>
              <c:f>Sheet1!$C$3:$C$28</c:f>
              <c:numCache>
                <c:formatCode>General</c:formatCode>
                <c:ptCount val="26"/>
                <c:pt idx="0">
                  <c:v>64.599999999999994</c:v>
                </c:pt>
                <c:pt idx="1">
                  <c:v>61.3</c:v>
                </c:pt>
                <c:pt idx="2">
                  <c:v>68.5</c:v>
                </c:pt>
                <c:pt idx="3">
                  <c:v>69.599999999999994</c:v>
                </c:pt>
                <c:pt idx="4">
                  <c:v>67.5</c:v>
                </c:pt>
                <c:pt idx="5">
                  <c:v>73.400000000000006</c:v>
                </c:pt>
                <c:pt idx="6">
                  <c:v>65.400000000000006</c:v>
                </c:pt>
                <c:pt idx="7">
                  <c:v>60.9</c:v>
                </c:pt>
                <c:pt idx="8">
                  <c:v>73.400000000000006</c:v>
                </c:pt>
                <c:pt idx="9">
                  <c:v>70.400000000000006</c:v>
                </c:pt>
                <c:pt idx="10">
                  <c:v>69.2</c:v>
                </c:pt>
                <c:pt idx="11">
                  <c:v>68.8</c:v>
                </c:pt>
                <c:pt idx="12">
                  <c:v>62.1</c:v>
                </c:pt>
                <c:pt idx="13">
                  <c:v>59</c:v>
                </c:pt>
                <c:pt idx="14">
                  <c:v>71.900000000000006</c:v>
                </c:pt>
                <c:pt idx="15">
                  <c:v>65.900000000000006</c:v>
                </c:pt>
                <c:pt idx="16">
                  <c:v>64</c:v>
                </c:pt>
                <c:pt idx="17">
                  <c:v>68.900000000000006</c:v>
                </c:pt>
                <c:pt idx="18">
                  <c:v>69.7</c:v>
                </c:pt>
                <c:pt idx="19">
                  <c:v>71</c:v>
                </c:pt>
                <c:pt idx="20">
                  <c:v>67.099999999999994</c:v>
                </c:pt>
                <c:pt idx="21">
                  <c:v>62.6</c:v>
                </c:pt>
                <c:pt idx="22">
                  <c:v>70.599999999999994</c:v>
                </c:pt>
                <c:pt idx="23">
                  <c:v>74.3</c:v>
                </c:pt>
                <c:pt idx="24">
                  <c:v>72.8</c:v>
                </c:pt>
                <c:pt idx="25">
                  <c:v>67</c:v>
                </c:pt>
              </c:numCache>
            </c:numRef>
          </c:xVal>
          <c:yVal>
            <c:numRef>
              <c:f>Sheet1!$D$3:$D$28</c:f>
              <c:numCache>
                <c:formatCode>General</c:formatCode>
                <c:ptCount val="26"/>
                <c:pt idx="0">
                  <c:v>16.666666666666664</c:v>
                </c:pt>
                <c:pt idx="1">
                  <c:v>28.571428571428569</c:v>
                </c:pt>
                <c:pt idx="2">
                  <c:v>9.2592592592592595</c:v>
                </c:pt>
                <c:pt idx="3">
                  <c:v>22.222222222222221</c:v>
                </c:pt>
                <c:pt idx="4">
                  <c:v>20.37037037037037</c:v>
                </c:pt>
                <c:pt idx="5">
                  <c:v>5.2083333333333339</c:v>
                </c:pt>
                <c:pt idx="6">
                  <c:v>17.708333333333336</c:v>
                </c:pt>
                <c:pt idx="7">
                  <c:v>32.291666666666671</c:v>
                </c:pt>
                <c:pt idx="8">
                  <c:v>0</c:v>
                </c:pt>
                <c:pt idx="9">
                  <c:v>5.7142857142857144</c:v>
                </c:pt>
                <c:pt idx="10">
                  <c:v>11.428571428571429</c:v>
                </c:pt>
                <c:pt idx="11">
                  <c:v>8.5714285714285712</c:v>
                </c:pt>
                <c:pt idx="12">
                  <c:v>28.244274809160309</c:v>
                </c:pt>
                <c:pt idx="13">
                  <c:v>36.641221374045799</c:v>
                </c:pt>
                <c:pt idx="14">
                  <c:v>13.636363636363635</c:v>
                </c:pt>
                <c:pt idx="15">
                  <c:v>16.091954022988507</c:v>
                </c:pt>
                <c:pt idx="16">
                  <c:v>20.689655172413794</c:v>
                </c:pt>
                <c:pt idx="17">
                  <c:v>14.117647058823529</c:v>
                </c:pt>
                <c:pt idx="18">
                  <c:v>12.5</c:v>
                </c:pt>
                <c:pt idx="19">
                  <c:v>6.25</c:v>
                </c:pt>
                <c:pt idx="20">
                  <c:v>5.6603773584905666</c:v>
                </c:pt>
                <c:pt idx="21">
                  <c:v>24.528301886792452</c:v>
                </c:pt>
                <c:pt idx="22">
                  <c:v>15.09433962264151</c:v>
                </c:pt>
                <c:pt idx="23">
                  <c:v>1.8867924528301887</c:v>
                </c:pt>
                <c:pt idx="24">
                  <c:v>3.4482758620689653</c:v>
                </c:pt>
                <c:pt idx="25">
                  <c:v>13.793103448275861</c:v>
                </c:pt>
              </c:numCache>
            </c:numRef>
          </c:yVal>
          <c:smooth val="0"/>
          <c:extLst>
            <c:ext xmlns:c16="http://schemas.microsoft.com/office/drawing/2014/chart" uri="{C3380CC4-5D6E-409C-BE32-E72D297353CC}">
              <c16:uniqueId val="{00000001-549C-4379-829A-4FAAE0CF416E}"/>
            </c:ext>
          </c:extLst>
        </c:ser>
        <c:ser>
          <c:idx val="4"/>
          <c:order val="1"/>
          <c:tx>
            <c:strRef>
              <c:f>Sheet1!$F$2</c:f>
              <c:strCache>
                <c:ptCount val="1"/>
                <c:pt idx="0">
                  <c:v>% Standard Equation fails</c:v>
                </c:pt>
              </c:strCache>
            </c:strRef>
          </c:tx>
          <c:spPr>
            <a:ln w="25400" cap="rnd">
              <a:noFill/>
              <a:round/>
            </a:ln>
            <a:effectLst/>
          </c:spPr>
          <c:marker>
            <c:symbol val="circle"/>
            <c:size val="5"/>
            <c:spPr>
              <a:solidFill>
                <a:schemeClr val="accent4">
                  <a:lumMod val="60000"/>
                </a:schemeClr>
              </a:solidFill>
              <a:ln w="9525">
                <a:solidFill>
                  <a:schemeClr val="accent4">
                    <a:lumMod val="60000"/>
                  </a:schemeClr>
                </a:solidFill>
              </a:ln>
              <a:effectLst/>
            </c:spPr>
          </c:marker>
          <c:trendline>
            <c:spPr>
              <a:ln w="19050" cap="rnd">
                <a:solidFill>
                  <a:schemeClr val="accent4">
                    <a:lumMod val="60000"/>
                  </a:schemeClr>
                </a:solidFill>
                <a:prstDash val="sysDot"/>
              </a:ln>
              <a:effectLst/>
            </c:spPr>
            <c:trendlineType val="linear"/>
            <c:dispRSqr val="0"/>
            <c:dispEq val="0"/>
          </c:trendline>
          <c:xVal>
            <c:numRef>
              <c:f>Sheet1!$C$3:$C$28</c:f>
              <c:numCache>
                <c:formatCode>General</c:formatCode>
                <c:ptCount val="26"/>
                <c:pt idx="0">
                  <c:v>64.599999999999994</c:v>
                </c:pt>
                <c:pt idx="1">
                  <c:v>61.3</c:v>
                </c:pt>
                <c:pt idx="2">
                  <c:v>68.5</c:v>
                </c:pt>
                <c:pt idx="3">
                  <c:v>69.599999999999994</c:v>
                </c:pt>
                <c:pt idx="4">
                  <c:v>67.5</c:v>
                </c:pt>
                <c:pt idx="5">
                  <c:v>73.400000000000006</c:v>
                </c:pt>
                <c:pt idx="6">
                  <c:v>65.400000000000006</c:v>
                </c:pt>
                <c:pt idx="7">
                  <c:v>60.9</c:v>
                </c:pt>
                <c:pt idx="8">
                  <c:v>73.400000000000006</c:v>
                </c:pt>
                <c:pt idx="9">
                  <c:v>70.400000000000006</c:v>
                </c:pt>
                <c:pt idx="10">
                  <c:v>69.2</c:v>
                </c:pt>
                <c:pt idx="11">
                  <c:v>68.8</c:v>
                </c:pt>
                <c:pt idx="12">
                  <c:v>62.1</c:v>
                </c:pt>
                <c:pt idx="13">
                  <c:v>59</c:v>
                </c:pt>
                <c:pt idx="14">
                  <c:v>71.900000000000006</c:v>
                </c:pt>
                <c:pt idx="15">
                  <c:v>65.900000000000006</c:v>
                </c:pt>
                <c:pt idx="16">
                  <c:v>64</c:v>
                </c:pt>
                <c:pt idx="17">
                  <c:v>68.900000000000006</c:v>
                </c:pt>
                <c:pt idx="18">
                  <c:v>69.7</c:v>
                </c:pt>
                <c:pt idx="19">
                  <c:v>71</c:v>
                </c:pt>
                <c:pt idx="20">
                  <c:v>67.099999999999994</c:v>
                </c:pt>
                <c:pt idx="21">
                  <c:v>62.6</c:v>
                </c:pt>
                <c:pt idx="22">
                  <c:v>70.599999999999994</c:v>
                </c:pt>
                <c:pt idx="23">
                  <c:v>74.3</c:v>
                </c:pt>
                <c:pt idx="24">
                  <c:v>72.8</c:v>
                </c:pt>
                <c:pt idx="25">
                  <c:v>67</c:v>
                </c:pt>
              </c:numCache>
            </c:numRef>
          </c:xVal>
          <c:yVal>
            <c:numRef>
              <c:f>Sheet1!$F$3:$F$28</c:f>
              <c:numCache>
                <c:formatCode>General</c:formatCode>
                <c:ptCount val="26"/>
                <c:pt idx="0">
                  <c:v>16.666666666666664</c:v>
                </c:pt>
                <c:pt idx="1">
                  <c:v>22.857142857142858</c:v>
                </c:pt>
                <c:pt idx="2">
                  <c:v>9.2592592592592595</c:v>
                </c:pt>
                <c:pt idx="3">
                  <c:v>18.518518518518519</c:v>
                </c:pt>
                <c:pt idx="4">
                  <c:v>14.814814814814813</c:v>
                </c:pt>
                <c:pt idx="5">
                  <c:v>7.291666666666667</c:v>
                </c:pt>
                <c:pt idx="6">
                  <c:v>14.583333333333334</c:v>
                </c:pt>
                <c:pt idx="7">
                  <c:v>13.541666666666666</c:v>
                </c:pt>
                <c:pt idx="8">
                  <c:v>9.433962264150944</c:v>
                </c:pt>
                <c:pt idx="9">
                  <c:v>17.142857142857142</c:v>
                </c:pt>
                <c:pt idx="10">
                  <c:v>26.666666666666668</c:v>
                </c:pt>
                <c:pt idx="11">
                  <c:v>20</c:v>
                </c:pt>
                <c:pt idx="12">
                  <c:v>16.793893129770993</c:v>
                </c:pt>
                <c:pt idx="13">
                  <c:v>20.610687022900763</c:v>
                </c:pt>
                <c:pt idx="14">
                  <c:v>13.636363636363635</c:v>
                </c:pt>
                <c:pt idx="15">
                  <c:v>13.793103448275861</c:v>
                </c:pt>
                <c:pt idx="16">
                  <c:v>17.241379310344829</c:v>
                </c:pt>
                <c:pt idx="17">
                  <c:v>14.117647058823529</c:v>
                </c:pt>
                <c:pt idx="18">
                  <c:v>18.75</c:v>
                </c:pt>
                <c:pt idx="19">
                  <c:v>15.625</c:v>
                </c:pt>
                <c:pt idx="20">
                  <c:v>5.6603773584905666</c:v>
                </c:pt>
                <c:pt idx="21">
                  <c:v>15.09433962264151</c:v>
                </c:pt>
                <c:pt idx="22">
                  <c:v>15.09433962264151</c:v>
                </c:pt>
                <c:pt idx="23">
                  <c:v>13.20754716981132</c:v>
                </c:pt>
                <c:pt idx="24">
                  <c:v>17.241379310344829</c:v>
                </c:pt>
                <c:pt idx="25">
                  <c:v>24.137931034482758</c:v>
                </c:pt>
              </c:numCache>
            </c:numRef>
          </c:yVal>
          <c:smooth val="0"/>
          <c:extLst>
            <c:ext xmlns:c16="http://schemas.microsoft.com/office/drawing/2014/chart" uri="{C3380CC4-5D6E-409C-BE32-E72D297353CC}">
              <c16:uniqueId val="{00000003-549C-4379-829A-4FAAE0CF416E}"/>
            </c:ext>
          </c:extLst>
        </c:ser>
        <c:ser>
          <c:idx val="0"/>
          <c:order val="2"/>
          <c:tx>
            <c:strRef>
              <c:f>Sheet1!$G$2</c:f>
              <c:strCache>
                <c:ptCount val="1"/>
                <c:pt idx="0">
                  <c:v>% Cohen Fails</c:v>
                </c:pt>
              </c:strCache>
            </c:strRef>
          </c:tx>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0"/>
            <c:dispEq val="0"/>
          </c:trendline>
          <c:xVal>
            <c:numRef>
              <c:f>Sheet1!$C$3:$C$28</c:f>
              <c:numCache>
                <c:formatCode>General</c:formatCode>
                <c:ptCount val="26"/>
                <c:pt idx="0">
                  <c:v>64.599999999999994</c:v>
                </c:pt>
                <c:pt idx="1">
                  <c:v>61.3</c:v>
                </c:pt>
                <c:pt idx="2">
                  <c:v>68.5</c:v>
                </c:pt>
                <c:pt idx="3">
                  <c:v>69.599999999999994</c:v>
                </c:pt>
                <c:pt idx="4">
                  <c:v>67.5</c:v>
                </c:pt>
                <c:pt idx="5">
                  <c:v>73.400000000000006</c:v>
                </c:pt>
                <c:pt idx="6">
                  <c:v>65.400000000000006</c:v>
                </c:pt>
                <c:pt idx="7">
                  <c:v>60.9</c:v>
                </c:pt>
                <c:pt idx="8">
                  <c:v>73.400000000000006</c:v>
                </c:pt>
                <c:pt idx="9">
                  <c:v>70.400000000000006</c:v>
                </c:pt>
                <c:pt idx="10">
                  <c:v>69.2</c:v>
                </c:pt>
                <c:pt idx="11">
                  <c:v>68.8</c:v>
                </c:pt>
                <c:pt idx="12">
                  <c:v>62.1</c:v>
                </c:pt>
                <c:pt idx="13">
                  <c:v>59</c:v>
                </c:pt>
                <c:pt idx="14">
                  <c:v>71.900000000000006</c:v>
                </c:pt>
                <c:pt idx="15">
                  <c:v>65.900000000000006</c:v>
                </c:pt>
                <c:pt idx="16">
                  <c:v>64</c:v>
                </c:pt>
                <c:pt idx="17">
                  <c:v>68.900000000000006</c:v>
                </c:pt>
                <c:pt idx="18">
                  <c:v>69.7</c:v>
                </c:pt>
                <c:pt idx="19">
                  <c:v>71</c:v>
                </c:pt>
                <c:pt idx="20">
                  <c:v>67.099999999999994</c:v>
                </c:pt>
                <c:pt idx="21">
                  <c:v>62.6</c:v>
                </c:pt>
                <c:pt idx="22">
                  <c:v>70.599999999999994</c:v>
                </c:pt>
                <c:pt idx="23">
                  <c:v>74.3</c:v>
                </c:pt>
                <c:pt idx="24">
                  <c:v>72.8</c:v>
                </c:pt>
                <c:pt idx="25">
                  <c:v>67</c:v>
                </c:pt>
              </c:numCache>
            </c:numRef>
          </c:xVal>
          <c:yVal>
            <c:numRef>
              <c:f>Sheet1!$G$3:$G$28</c:f>
              <c:numCache>
                <c:formatCode>General</c:formatCode>
                <c:ptCount val="26"/>
                <c:pt idx="0">
                  <c:v>30</c:v>
                </c:pt>
                <c:pt idx="1">
                  <c:v>45.714285714285715</c:v>
                </c:pt>
                <c:pt idx="2">
                  <c:v>18.518518518518519</c:v>
                </c:pt>
                <c:pt idx="3">
                  <c:v>22.222222222222221</c:v>
                </c:pt>
                <c:pt idx="4">
                  <c:v>29.629629629629626</c:v>
                </c:pt>
                <c:pt idx="5">
                  <c:v>7.291666666666667</c:v>
                </c:pt>
                <c:pt idx="6">
                  <c:v>41.666666666666671</c:v>
                </c:pt>
                <c:pt idx="7">
                  <c:v>34.375</c:v>
                </c:pt>
                <c:pt idx="8">
                  <c:v>9.433962264150944</c:v>
                </c:pt>
                <c:pt idx="9">
                  <c:v>37.142857142857146</c:v>
                </c:pt>
                <c:pt idx="10">
                  <c:v>13.333333333333334</c:v>
                </c:pt>
                <c:pt idx="11">
                  <c:v>25.714285714285712</c:v>
                </c:pt>
                <c:pt idx="12">
                  <c:v>32.824427480916029</c:v>
                </c:pt>
                <c:pt idx="13">
                  <c:v>40.458015267175576</c:v>
                </c:pt>
                <c:pt idx="14">
                  <c:v>17.424242424242426</c:v>
                </c:pt>
                <c:pt idx="15">
                  <c:v>32.183908045977013</c:v>
                </c:pt>
                <c:pt idx="16">
                  <c:v>33.333333333333329</c:v>
                </c:pt>
                <c:pt idx="17">
                  <c:v>16.470588235294116</c:v>
                </c:pt>
                <c:pt idx="18">
                  <c:v>18.75</c:v>
                </c:pt>
                <c:pt idx="19">
                  <c:v>31.25</c:v>
                </c:pt>
                <c:pt idx="20">
                  <c:v>11.320754716981133</c:v>
                </c:pt>
                <c:pt idx="21">
                  <c:v>33.962264150943398</c:v>
                </c:pt>
                <c:pt idx="22">
                  <c:v>16.981132075471699</c:v>
                </c:pt>
                <c:pt idx="23">
                  <c:v>3.7735849056603774</c:v>
                </c:pt>
                <c:pt idx="24">
                  <c:v>17.241379310344829</c:v>
                </c:pt>
                <c:pt idx="25">
                  <c:v>24.137931034482758</c:v>
                </c:pt>
              </c:numCache>
            </c:numRef>
          </c:yVal>
          <c:smooth val="0"/>
          <c:extLst>
            <c:ext xmlns:c16="http://schemas.microsoft.com/office/drawing/2014/chart" uri="{C3380CC4-5D6E-409C-BE32-E72D297353CC}">
              <c16:uniqueId val="{00000005-549C-4379-829A-4FAAE0CF416E}"/>
            </c:ext>
          </c:extLst>
        </c:ser>
        <c:ser>
          <c:idx val="1"/>
          <c:order val="3"/>
          <c:tx>
            <c:strRef>
              <c:f>Sheet1!$H$2</c:f>
              <c:strCache>
                <c:ptCount val="1"/>
                <c:pt idx="0">
                  <c:v>% Mod Cohen fails</c:v>
                </c:pt>
              </c:strCache>
            </c:strRef>
          </c:tx>
          <c:spPr>
            <a:ln w="25400" cap="rnd">
              <a:noFill/>
              <a:round/>
            </a:ln>
            <a:effectLst/>
          </c:spPr>
          <c:marker>
            <c:symbol val="circle"/>
            <c:size val="5"/>
            <c:spPr>
              <a:solidFill>
                <a:schemeClr val="accent4"/>
              </a:solidFill>
              <a:ln w="9525">
                <a:solidFill>
                  <a:schemeClr val="accent4"/>
                </a:solidFill>
              </a:ln>
              <a:effectLst/>
            </c:spPr>
          </c:marker>
          <c:trendline>
            <c:spPr>
              <a:ln w="19050" cap="rnd">
                <a:solidFill>
                  <a:schemeClr val="accent4"/>
                </a:solidFill>
                <a:prstDash val="sysDot"/>
              </a:ln>
              <a:effectLst/>
            </c:spPr>
            <c:trendlineType val="linear"/>
            <c:dispRSqr val="0"/>
            <c:dispEq val="0"/>
          </c:trendline>
          <c:xVal>
            <c:numRef>
              <c:f>Sheet1!$C$3:$C$28</c:f>
              <c:numCache>
                <c:formatCode>General</c:formatCode>
                <c:ptCount val="26"/>
                <c:pt idx="0">
                  <c:v>64.599999999999994</c:v>
                </c:pt>
                <c:pt idx="1">
                  <c:v>61.3</c:v>
                </c:pt>
                <c:pt idx="2">
                  <c:v>68.5</c:v>
                </c:pt>
                <c:pt idx="3">
                  <c:v>69.599999999999994</c:v>
                </c:pt>
                <c:pt idx="4">
                  <c:v>67.5</c:v>
                </c:pt>
                <c:pt idx="5">
                  <c:v>73.400000000000006</c:v>
                </c:pt>
                <c:pt idx="6">
                  <c:v>65.400000000000006</c:v>
                </c:pt>
                <c:pt idx="7">
                  <c:v>60.9</c:v>
                </c:pt>
                <c:pt idx="8">
                  <c:v>73.400000000000006</c:v>
                </c:pt>
                <c:pt idx="9">
                  <c:v>70.400000000000006</c:v>
                </c:pt>
                <c:pt idx="10">
                  <c:v>69.2</c:v>
                </c:pt>
                <c:pt idx="11">
                  <c:v>68.8</c:v>
                </c:pt>
                <c:pt idx="12">
                  <c:v>62.1</c:v>
                </c:pt>
                <c:pt idx="13">
                  <c:v>59</c:v>
                </c:pt>
                <c:pt idx="14">
                  <c:v>71.900000000000006</c:v>
                </c:pt>
                <c:pt idx="15">
                  <c:v>65.900000000000006</c:v>
                </c:pt>
                <c:pt idx="16">
                  <c:v>64</c:v>
                </c:pt>
                <c:pt idx="17">
                  <c:v>68.900000000000006</c:v>
                </c:pt>
                <c:pt idx="18">
                  <c:v>69.7</c:v>
                </c:pt>
                <c:pt idx="19">
                  <c:v>71</c:v>
                </c:pt>
                <c:pt idx="20">
                  <c:v>67.099999999999994</c:v>
                </c:pt>
                <c:pt idx="21">
                  <c:v>62.6</c:v>
                </c:pt>
                <c:pt idx="22">
                  <c:v>70.599999999999994</c:v>
                </c:pt>
                <c:pt idx="23">
                  <c:v>74.3</c:v>
                </c:pt>
                <c:pt idx="24">
                  <c:v>72.8</c:v>
                </c:pt>
                <c:pt idx="25">
                  <c:v>67</c:v>
                </c:pt>
              </c:numCache>
            </c:numRef>
          </c:xVal>
          <c:yVal>
            <c:numRef>
              <c:f>Sheet1!$H$3:$H$28</c:f>
              <c:numCache>
                <c:formatCode>General</c:formatCode>
                <c:ptCount val="26"/>
                <c:pt idx="0">
                  <c:v>13.333333333333334</c:v>
                </c:pt>
                <c:pt idx="1">
                  <c:v>25.714285714285712</c:v>
                </c:pt>
                <c:pt idx="2">
                  <c:v>5.5555555555555554</c:v>
                </c:pt>
                <c:pt idx="3">
                  <c:v>12.962962962962962</c:v>
                </c:pt>
                <c:pt idx="4">
                  <c:v>14.814814814814813</c:v>
                </c:pt>
                <c:pt idx="5">
                  <c:v>4.1666666666666661</c:v>
                </c:pt>
                <c:pt idx="6">
                  <c:v>14.583333333333334</c:v>
                </c:pt>
                <c:pt idx="7">
                  <c:v>17.708333333333336</c:v>
                </c:pt>
                <c:pt idx="8">
                  <c:v>1.8867924528301887</c:v>
                </c:pt>
                <c:pt idx="9">
                  <c:v>17.142857142857142</c:v>
                </c:pt>
                <c:pt idx="10">
                  <c:v>26.666666666666668</c:v>
                </c:pt>
                <c:pt idx="11">
                  <c:v>17.142857142857142</c:v>
                </c:pt>
                <c:pt idx="12">
                  <c:v>20.610687022900763</c:v>
                </c:pt>
                <c:pt idx="13">
                  <c:v>25.190839694656486</c:v>
                </c:pt>
                <c:pt idx="14">
                  <c:v>7.5757575757575761</c:v>
                </c:pt>
                <c:pt idx="15">
                  <c:v>13.793103448275861</c:v>
                </c:pt>
                <c:pt idx="16">
                  <c:v>17.241379310344829</c:v>
                </c:pt>
                <c:pt idx="17">
                  <c:v>7.0588235294117645</c:v>
                </c:pt>
                <c:pt idx="18">
                  <c:v>9.375</c:v>
                </c:pt>
                <c:pt idx="19">
                  <c:v>9.375</c:v>
                </c:pt>
                <c:pt idx="20">
                  <c:v>3.7735849056603774</c:v>
                </c:pt>
                <c:pt idx="21">
                  <c:v>18.867924528301888</c:v>
                </c:pt>
                <c:pt idx="22">
                  <c:v>11.320754716981133</c:v>
                </c:pt>
                <c:pt idx="23">
                  <c:v>1.8867924528301887</c:v>
                </c:pt>
                <c:pt idx="24">
                  <c:v>3.4482758620689653</c:v>
                </c:pt>
                <c:pt idx="25">
                  <c:v>13.793103448275861</c:v>
                </c:pt>
              </c:numCache>
            </c:numRef>
          </c:yVal>
          <c:smooth val="0"/>
          <c:extLst>
            <c:ext xmlns:c16="http://schemas.microsoft.com/office/drawing/2014/chart" uri="{C3380CC4-5D6E-409C-BE32-E72D297353CC}">
              <c16:uniqueId val="{00000007-549C-4379-829A-4FAAE0CF416E}"/>
            </c:ext>
          </c:extLst>
        </c:ser>
        <c:dLbls>
          <c:showLegendKey val="0"/>
          <c:showVal val="0"/>
          <c:showCatName val="0"/>
          <c:showSerName val="0"/>
          <c:showPercent val="0"/>
          <c:showBubbleSize val="0"/>
        </c:dLbls>
        <c:axId val="387253008"/>
        <c:axId val="387254576"/>
      </c:scatterChart>
      <c:valAx>
        <c:axId val="387253008"/>
        <c:scaling>
          <c:orientation val="minMax"/>
          <c:min val="5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 scores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254576"/>
        <c:crosses val="autoZero"/>
        <c:crossBetween val="midCat"/>
      </c:valAx>
      <c:valAx>
        <c:axId val="387254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Fails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25300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27788A8219F4A9816D9B5E7568069" ma:contentTypeVersion="13" ma:contentTypeDescription="Create a new document." ma:contentTypeScope="" ma:versionID="14ec753d5dedc354b1893167c8502ab0">
  <xsd:schema xmlns:xsd="http://www.w3.org/2001/XMLSchema" xmlns:xs="http://www.w3.org/2001/XMLSchema" xmlns:p="http://schemas.microsoft.com/office/2006/metadata/properties" xmlns:ns3="6aedd7ca-4d00-4565-b5f4-a6c8f1790e2a" xmlns:ns4="f7579eca-05db-490d-b3f1-e20e515bfc2b" targetNamespace="http://schemas.microsoft.com/office/2006/metadata/properties" ma:root="true" ma:fieldsID="62a3079834f4a92fefe5b6a965c3ccc3" ns3:_="" ns4:_="">
    <xsd:import namespace="6aedd7ca-4d00-4565-b5f4-a6c8f1790e2a"/>
    <xsd:import namespace="f7579eca-05db-490d-b3f1-e20e515bfc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dd7ca-4d00-4565-b5f4-a6c8f1790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79eca-05db-490d-b3f1-e20e515bf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4466E17-E863-4DB1-9F3C-E5A4B578D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dd7ca-4d00-4565-b5f4-a6c8f1790e2a"/>
    <ds:schemaRef ds:uri="f7579eca-05db-490d-b3f1-e20e515bf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5CFAF-507E-47A0-B76D-7F0244469623}">
  <ds:schemaRefs>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f7579eca-05db-490d-b3f1-e20e515bfc2b"/>
    <ds:schemaRef ds:uri="6aedd7ca-4d00-4565-b5f4-a6c8f1790e2a"/>
  </ds:schemaRefs>
</ds:datastoreItem>
</file>

<file path=customXml/itemProps3.xml><?xml version="1.0" encoding="utf-8"?>
<ds:datastoreItem xmlns:ds="http://schemas.openxmlformats.org/officeDocument/2006/customXml" ds:itemID="{E14D16FB-EE7E-4811-A38A-35C9554F3ED8}">
  <ds:schemaRefs>
    <ds:schemaRef ds:uri="http://schemas.microsoft.com/sharepoint/v3/contenttype/forms"/>
  </ds:schemaRefs>
</ds:datastoreItem>
</file>

<file path=customXml/itemProps4.xml><?xml version="1.0" encoding="utf-8"?>
<ds:datastoreItem xmlns:ds="http://schemas.openxmlformats.org/officeDocument/2006/customXml" ds:itemID="{19E74D26-EC50-4279-B9A4-58F12312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(Version 27/04/19)</vt:lpstr>
    </vt:vector>
  </TitlesOfParts>
  <Company>Tees, Esk and Wear Valleys NHS Foundation Trust</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27/04/19)</dc:title>
  <dc:creator>John Charles McLachlan &lt;School of Medicine&gt;</dc:creator>
  <cp:lastModifiedBy>Marina Sawdon</cp:lastModifiedBy>
  <cp:revision>3</cp:revision>
  <cp:lastPrinted>2020-06-27T08:51:00Z</cp:lastPrinted>
  <dcterms:created xsi:type="dcterms:W3CDTF">2020-12-02T15:27:00Z</dcterms:created>
  <dcterms:modified xsi:type="dcterms:W3CDTF">2020-12-02T15:27:00Z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0x010100F9527788A8219F4A9816D9B5E7568069</vt:lpwstr>
  </property>
</Properties>
</file>