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32514" w14:textId="0C31E675" w:rsidR="00D939E2" w:rsidRPr="00736F0A" w:rsidRDefault="00940080" w:rsidP="008F1927">
      <w:pPr>
        <w:rPr>
          <w:rFonts w:asciiTheme="majorHAnsi" w:hAnsiTheme="majorHAnsi" w:cstheme="majorHAnsi"/>
          <w:sz w:val="22"/>
          <w:szCs w:val="22"/>
        </w:rPr>
      </w:pPr>
      <w:bookmarkStart w:id="0" w:name="_GoBack"/>
      <w:bookmarkEnd w:id="0"/>
      <w:r w:rsidRPr="00736F0A">
        <w:rPr>
          <w:rFonts w:asciiTheme="majorHAnsi" w:hAnsiTheme="majorHAnsi" w:cstheme="majorHAnsi"/>
          <w:b/>
          <w:sz w:val="22"/>
          <w:szCs w:val="22"/>
        </w:rPr>
        <w:t xml:space="preserve">Title: </w:t>
      </w:r>
      <w:r w:rsidR="008F1927" w:rsidRPr="00736F0A">
        <w:rPr>
          <w:rFonts w:asciiTheme="majorHAnsi" w:hAnsiTheme="majorHAnsi" w:cstheme="majorHAnsi"/>
          <w:sz w:val="22"/>
          <w:szCs w:val="22"/>
        </w:rPr>
        <w:t>Identification of Common Themes from Never Events Data Published by NHS England</w:t>
      </w:r>
    </w:p>
    <w:p w14:paraId="2617C848" w14:textId="77777777" w:rsidR="008F1927" w:rsidRPr="00736F0A" w:rsidRDefault="008F1927" w:rsidP="008F1927">
      <w:pPr>
        <w:rPr>
          <w:rFonts w:asciiTheme="majorHAnsi" w:hAnsiTheme="majorHAnsi" w:cstheme="majorHAnsi"/>
          <w:b/>
          <w:sz w:val="22"/>
          <w:szCs w:val="22"/>
        </w:rPr>
      </w:pPr>
    </w:p>
    <w:p w14:paraId="06D24577" w14:textId="77777777" w:rsidR="00D939E2" w:rsidRPr="00736F0A" w:rsidRDefault="00940080" w:rsidP="00D939E2">
      <w:pPr>
        <w:spacing w:line="360" w:lineRule="auto"/>
        <w:rPr>
          <w:rFonts w:asciiTheme="majorHAnsi" w:hAnsiTheme="majorHAnsi" w:cstheme="majorHAnsi"/>
          <w:b/>
          <w:sz w:val="22"/>
          <w:szCs w:val="22"/>
        </w:rPr>
      </w:pPr>
      <w:r w:rsidRPr="00736F0A">
        <w:rPr>
          <w:rFonts w:asciiTheme="majorHAnsi" w:hAnsiTheme="majorHAnsi" w:cstheme="majorHAnsi"/>
          <w:b/>
          <w:sz w:val="22"/>
          <w:szCs w:val="22"/>
        </w:rPr>
        <w:t xml:space="preserve">Short Title: </w:t>
      </w:r>
      <w:r w:rsidRPr="00736F0A">
        <w:rPr>
          <w:rFonts w:asciiTheme="majorHAnsi" w:hAnsiTheme="majorHAnsi" w:cstheme="majorHAnsi"/>
          <w:sz w:val="22"/>
          <w:szCs w:val="22"/>
        </w:rPr>
        <w:t>Common Never Events</w:t>
      </w:r>
    </w:p>
    <w:p w14:paraId="4BBF8780" w14:textId="77777777" w:rsidR="00D939E2" w:rsidRPr="00736F0A" w:rsidRDefault="00D939E2" w:rsidP="00D939E2">
      <w:pPr>
        <w:spacing w:line="360" w:lineRule="auto"/>
        <w:rPr>
          <w:rFonts w:asciiTheme="majorHAnsi" w:hAnsiTheme="majorHAnsi" w:cstheme="majorHAnsi"/>
          <w:b/>
          <w:sz w:val="22"/>
          <w:szCs w:val="22"/>
        </w:rPr>
      </w:pPr>
    </w:p>
    <w:p w14:paraId="0DBE05DB" w14:textId="77777777" w:rsidR="00D939E2" w:rsidRPr="00736F0A" w:rsidRDefault="00940080" w:rsidP="00D939E2">
      <w:pPr>
        <w:spacing w:line="360" w:lineRule="auto"/>
        <w:rPr>
          <w:rFonts w:asciiTheme="majorHAnsi" w:hAnsiTheme="majorHAnsi" w:cstheme="majorHAnsi"/>
          <w:sz w:val="22"/>
          <w:szCs w:val="22"/>
        </w:rPr>
      </w:pPr>
      <w:r w:rsidRPr="00736F0A">
        <w:rPr>
          <w:rFonts w:asciiTheme="majorHAnsi" w:hAnsiTheme="majorHAnsi" w:cstheme="majorHAnsi"/>
          <w:b/>
          <w:sz w:val="22"/>
          <w:szCs w:val="22"/>
        </w:rPr>
        <w:t>Authors:</w:t>
      </w:r>
      <w:r w:rsidRPr="00736F0A">
        <w:rPr>
          <w:rFonts w:asciiTheme="majorHAnsi" w:hAnsiTheme="majorHAnsi" w:cstheme="majorHAnsi"/>
          <w:b/>
          <w:sz w:val="22"/>
          <w:szCs w:val="22"/>
        </w:rPr>
        <w:tab/>
      </w:r>
    </w:p>
    <w:p w14:paraId="4DF3598E" w14:textId="77777777" w:rsidR="00D939E2" w:rsidRPr="00736F0A" w:rsidRDefault="00940080" w:rsidP="00D939E2">
      <w:pPr>
        <w:spacing w:line="360" w:lineRule="auto"/>
        <w:rPr>
          <w:rFonts w:asciiTheme="majorHAnsi" w:hAnsiTheme="majorHAnsi" w:cstheme="majorHAnsi"/>
          <w:sz w:val="22"/>
          <w:szCs w:val="22"/>
          <w:vertAlign w:val="superscript"/>
        </w:rPr>
      </w:pPr>
      <w:r w:rsidRPr="00736F0A">
        <w:rPr>
          <w:rFonts w:asciiTheme="majorHAnsi" w:hAnsiTheme="majorHAnsi" w:cstheme="majorHAnsi"/>
          <w:sz w:val="22"/>
          <w:szCs w:val="22"/>
        </w:rPr>
        <w:t xml:space="preserve">                            Islam Omar </w:t>
      </w:r>
      <w:r w:rsidRPr="00736F0A">
        <w:rPr>
          <w:rFonts w:asciiTheme="majorHAnsi" w:hAnsiTheme="majorHAnsi" w:cstheme="majorHAnsi"/>
          <w:sz w:val="22"/>
          <w:szCs w:val="22"/>
          <w:vertAlign w:val="superscript"/>
        </w:rPr>
        <w:t>1</w:t>
      </w:r>
    </w:p>
    <w:p w14:paraId="0BBF82DE" w14:textId="77777777" w:rsidR="00D939E2" w:rsidRPr="00736F0A" w:rsidRDefault="00940080" w:rsidP="00D939E2">
      <w:pPr>
        <w:spacing w:line="360" w:lineRule="auto"/>
        <w:rPr>
          <w:rFonts w:asciiTheme="majorHAnsi" w:hAnsiTheme="majorHAnsi" w:cstheme="majorHAnsi"/>
          <w:sz w:val="22"/>
          <w:szCs w:val="22"/>
        </w:rPr>
      </w:pPr>
      <w:r w:rsidRPr="00736F0A">
        <w:rPr>
          <w:rFonts w:asciiTheme="majorHAnsi" w:hAnsiTheme="majorHAnsi" w:cstheme="majorHAnsi"/>
          <w:sz w:val="22"/>
          <w:szCs w:val="22"/>
        </w:rPr>
        <w:t xml:space="preserve">                            Yitka Graham </w:t>
      </w:r>
      <w:r w:rsidRPr="00736F0A">
        <w:rPr>
          <w:rFonts w:asciiTheme="majorHAnsi" w:hAnsiTheme="majorHAnsi" w:cstheme="majorHAnsi"/>
          <w:sz w:val="22"/>
          <w:szCs w:val="22"/>
          <w:vertAlign w:val="superscript"/>
        </w:rPr>
        <w:t>1,2</w:t>
      </w:r>
      <w:r w:rsidRPr="00736F0A">
        <w:rPr>
          <w:rFonts w:asciiTheme="majorHAnsi" w:hAnsiTheme="majorHAnsi" w:cstheme="majorHAnsi"/>
          <w:sz w:val="22"/>
          <w:szCs w:val="22"/>
        </w:rPr>
        <w:t xml:space="preserve"> </w:t>
      </w:r>
    </w:p>
    <w:p w14:paraId="4D0C2FCD" w14:textId="77777777" w:rsidR="00D939E2" w:rsidRPr="00736F0A" w:rsidRDefault="00940080" w:rsidP="00D939E2">
      <w:pPr>
        <w:spacing w:line="360" w:lineRule="auto"/>
        <w:rPr>
          <w:rFonts w:asciiTheme="majorHAnsi" w:hAnsiTheme="majorHAnsi" w:cstheme="majorHAnsi"/>
          <w:sz w:val="22"/>
          <w:szCs w:val="22"/>
          <w:vertAlign w:val="superscript"/>
        </w:rPr>
      </w:pPr>
      <w:r w:rsidRPr="00736F0A">
        <w:rPr>
          <w:rFonts w:asciiTheme="majorHAnsi" w:hAnsiTheme="majorHAnsi" w:cstheme="majorHAnsi"/>
          <w:sz w:val="22"/>
          <w:szCs w:val="22"/>
        </w:rPr>
        <w:t xml:space="preserve">                            Rishi Singhal </w:t>
      </w:r>
      <w:r w:rsidRPr="00736F0A">
        <w:rPr>
          <w:rFonts w:asciiTheme="majorHAnsi" w:hAnsiTheme="majorHAnsi" w:cstheme="majorHAnsi"/>
          <w:sz w:val="22"/>
          <w:szCs w:val="22"/>
          <w:vertAlign w:val="superscript"/>
        </w:rPr>
        <w:t>3</w:t>
      </w:r>
    </w:p>
    <w:p w14:paraId="6792AB4E" w14:textId="77777777" w:rsidR="00D939E2" w:rsidRPr="00736F0A" w:rsidRDefault="00940080" w:rsidP="00D939E2">
      <w:pPr>
        <w:spacing w:line="360" w:lineRule="auto"/>
        <w:rPr>
          <w:rFonts w:asciiTheme="majorHAnsi" w:hAnsiTheme="majorHAnsi" w:cstheme="majorHAnsi"/>
          <w:sz w:val="22"/>
          <w:szCs w:val="22"/>
          <w:vertAlign w:val="superscript"/>
        </w:rPr>
      </w:pPr>
      <w:r w:rsidRPr="00736F0A">
        <w:rPr>
          <w:rFonts w:asciiTheme="majorHAnsi" w:hAnsiTheme="majorHAnsi" w:cstheme="majorHAnsi"/>
          <w:sz w:val="22"/>
          <w:szCs w:val="22"/>
        </w:rPr>
        <w:t xml:space="preserve">                            Michael Wilson </w:t>
      </w:r>
      <w:r w:rsidRPr="00736F0A">
        <w:rPr>
          <w:rFonts w:asciiTheme="majorHAnsi" w:hAnsiTheme="majorHAnsi" w:cstheme="majorHAnsi"/>
          <w:sz w:val="22"/>
          <w:szCs w:val="22"/>
          <w:vertAlign w:val="superscript"/>
        </w:rPr>
        <w:t>4</w:t>
      </w:r>
    </w:p>
    <w:p w14:paraId="00C2B564" w14:textId="77777777" w:rsidR="00D939E2" w:rsidRPr="00736F0A" w:rsidRDefault="00940080" w:rsidP="00D939E2">
      <w:pPr>
        <w:spacing w:line="360" w:lineRule="auto"/>
        <w:rPr>
          <w:rFonts w:asciiTheme="majorHAnsi" w:hAnsiTheme="majorHAnsi" w:cstheme="majorHAnsi"/>
          <w:sz w:val="22"/>
          <w:szCs w:val="22"/>
          <w:vertAlign w:val="superscript"/>
        </w:rPr>
      </w:pPr>
      <w:r w:rsidRPr="00736F0A">
        <w:rPr>
          <w:rFonts w:asciiTheme="majorHAnsi" w:hAnsiTheme="majorHAnsi" w:cstheme="majorHAnsi"/>
          <w:sz w:val="22"/>
          <w:szCs w:val="22"/>
        </w:rPr>
        <w:t xml:space="preserve">                            Brijesh Madhok </w:t>
      </w:r>
      <w:r w:rsidRPr="00736F0A">
        <w:rPr>
          <w:rFonts w:asciiTheme="majorHAnsi" w:hAnsiTheme="majorHAnsi" w:cstheme="majorHAnsi"/>
          <w:sz w:val="22"/>
          <w:szCs w:val="22"/>
          <w:vertAlign w:val="superscript"/>
        </w:rPr>
        <w:t>5</w:t>
      </w:r>
    </w:p>
    <w:p w14:paraId="48B57FF0" w14:textId="77777777" w:rsidR="00D939E2" w:rsidRPr="00736F0A" w:rsidRDefault="00940080" w:rsidP="00D939E2">
      <w:pPr>
        <w:spacing w:line="360" w:lineRule="auto"/>
        <w:rPr>
          <w:rFonts w:asciiTheme="majorHAnsi" w:hAnsiTheme="majorHAnsi" w:cstheme="majorHAnsi"/>
          <w:sz w:val="22"/>
          <w:szCs w:val="22"/>
        </w:rPr>
      </w:pPr>
      <w:r w:rsidRPr="00736F0A">
        <w:rPr>
          <w:rFonts w:asciiTheme="majorHAnsi" w:hAnsiTheme="majorHAnsi" w:cstheme="majorHAnsi"/>
          <w:sz w:val="22"/>
          <w:szCs w:val="22"/>
        </w:rPr>
        <w:t xml:space="preserve">                            Kamal K Mahawar </w:t>
      </w:r>
      <w:r w:rsidRPr="00736F0A">
        <w:rPr>
          <w:rFonts w:asciiTheme="majorHAnsi" w:hAnsiTheme="majorHAnsi" w:cstheme="majorHAnsi"/>
          <w:sz w:val="22"/>
          <w:szCs w:val="22"/>
          <w:vertAlign w:val="superscript"/>
        </w:rPr>
        <w:t>1,2</w:t>
      </w:r>
    </w:p>
    <w:p w14:paraId="75FA0662" w14:textId="77777777" w:rsidR="00D939E2" w:rsidRPr="00736F0A" w:rsidRDefault="00940080" w:rsidP="00D939E2">
      <w:pPr>
        <w:spacing w:line="360" w:lineRule="auto"/>
        <w:rPr>
          <w:rFonts w:asciiTheme="majorHAnsi" w:hAnsiTheme="majorHAnsi" w:cstheme="majorHAnsi"/>
          <w:sz w:val="22"/>
          <w:szCs w:val="22"/>
        </w:rPr>
      </w:pPr>
      <w:r w:rsidRPr="00736F0A">
        <w:rPr>
          <w:rFonts w:asciiTheme="majorHAnsi" w:hAnsiTheme="majorHAnsi" w:cstheme="majorHAnsi"/>
          <w:sz w:val="22"/>
          <w:szCs w:val="22"/>
        </w:rPr>
        <w:t xml:space="preserve">                            </w:t>
      </w:r>
    </w:p>
    <w:p w14:paraId="13D3CDFF" w14:textId="77777777" w:rsidR="00D939E2" w:rsidRPr="00736F0A" w:rsidRDefault="00940080" w:rsidP="00D939E2">
      <w:pPr>
        <w:spacing w:line="360" w:lineRule="auto"/>
        <w:rPr>
          <w:rFonts w:asciiTheme="majorHAnsi" w:hAnsiTheme="majorHAnsi" w:cstheme="majorHAnsi"/>
          <w:sz w:val="22"/>
          <w:szCs w:val="22"/>
        </w:rPr>
      </w:pPr>
      <w:r w:rsidRPr="00736F0A">
        <w:rPr>
          <w:rFonts w:asciiTheme="majorHAnsi" w:hAnsiTheme="majorHAnsi" w:cstheme="majorHAnsi"/>
          <w:b/>
          <w:sz w:val="22"/>
          <w:szCs w:val="22"/>
        </w:rPr>
        <w:t xml:space="preserve">Department and Institute: </w:t>
      </w:r>
    </w:p>
    <w:p w14:paraId="3F9274CC" w14:textId="77777777" w:rsidR="00D939E2" w:rsidRPr="00736F0A" w:rsidRDefault="00940080" w:rsidP="00D939E2">
      <w:pPr>
        <w:spacing w:line="360" w:lineRule="auto"/>
        <w:rPr>
          <w:rFonts w:asciiTheme="majorHAnsi" w:hAnsiTheme="majorHAnsi" w:cstheme="majorHAnsi"/>
          <w:sz w:val="22"/>
          <w:szCs w:val="22"/>
        </w:rPr>
      </w:pPr>
      <w:r w:rsidRPr="00736F0A">
        <w:rPr>
          <w:rFonts w:asciiTheme="majorHAnsi" w:hAnsiTheme="majorHAnsi" w:cstheme="majorHAnsi"/>
          <w:sz w:val="22"/>
          <w:szCs w:val="22"/>
          <w:vertAlign w:val="superscript"/>
        </w:rPr>
        <w:t>1</w:t>
      </w:r>
      <w:r w:rsidRPr="00736F0A">
        <w:rPr>
          <w:rFonts w:asciiTheme="majorHAnsi" w:hAnsiTheme="majorHAnsi" w:cstheme="majorHAnsi"/>
          <w:sz w:val="22"/>
          <w:szCs w:val="22"/>
        </w:rPr>
        <w:t xml:space="preserve"> Bariatric Unit, Department of General Surgery, Sunderland Royal Hospital, South Tyneside and Sunderland NHS Trust, Sunderland SR4 7TP, United Kingdom</w:t>
      </w:r>
    </w:p>
    <w:p w14:paraId="709782AF" w14:textId="77777777" w:rsidR="00D939E2" w:rsidRPr="00736F0A" w:rsidRDefault="00940080" w:rsidP="00D939E2">
      <w:pPr>
        <w:spacing w:line="360" w:lineRule="auto"/>
        <w:rPr>
          <w:rFonts w:asciiTheme="majorHAnsi" w:hAnsiTheme="majorHAnsi" w:cstheme="majorHAnsi"/>
          <w:sz w:val="22"/>
          <w:szCs w:val="22"/>
        </w:rPr>
      </w:pPr>
      <w:r w:rsidRPr="00736F0A">
        <w:rPr>
          <w:rFonts w:asciiTheme="majorHAnsi" w:hAnsiTheme="majorHAnsi" w:cstheme="majorHAnsi"/>
          <w:sz w:val="22"/>
          <w:szCs w:val="22"/>
          <w:vertAlign w:val="superscript"/>
        </w:rPr>
        <w:t>2</w:t>
      </w:r>
      <w:r w:rsidRPr="00736F0A">
        <w:rPr>
          <w:rFonts w:asciiTheme="majorHAnsi" w:hAnsiTheme="majorHAnsi" w:cstheme="majorHAnsi"/>
          <w:sz w:val="22"/>
          <w:szCs w:val="22"/>
        </w:rPr>
        <w:t xml:space="preserve"> Faculty of Health Sciences and Wellbeing, University of Sunderland, Sunderland SR1 3SD, United Kingdom</w:t>
      </w:r>
    </w:p>
    <w:p w14:paraId="7F7D65D6" w14:textId="77777777" w:rsidR="00D939E2" w:rsidRPr="00736F0A" w:rsidRDefault="00940080" w:rsidP="00D939E2">
      <w:pPr>
        <w:spacing w:line="360" w:lineRule="auto"/>
        <w:rPr>
          <w:rFonts w:asciiTheme="majorHAnsi" w:hAnsiTheme="majorHAnsi" w:cstheme="majorHAnsi"/>
          <w:sz w:val="22"/>
          <w:szCs w:val="22"/>
        </w:rPr>
      </w:pPr>
      <w:r w:rsidRPr="00736F0A">
        <w:rPr>
          <w:rFonts w:asciiTheme="majorHAnsi" w:hAnsiTheme="majorHAnsi" w:cstheme="majorHAnsi"/>
          <w:sz w:val="22"/>
          <w:szCs w:val="22"/>
          <w:vertAlign w:val="superscript"/>
        </w:rPr>
        <w:t xml:space="preserve">3 </w:t>
      </w:r>
      <w:r w:rsidRPr="00736F0A">
        <w:rPr>
          <w:rFonts w:asciiTheme="majorHAnsi" w:hAnsiTheme="majorHAnsi" w:cstheme="majorHAnsi"/>
          <w:sz w:val="22"/>
          <w:szCs w:val="22"/>
        </w:rPr>
        <w:t>Consultant Bariatric &amp; Upper GI Surgeon, Birmingham Heartlands Hospital, University Hospital Birmingham NHS Foundation Trust</w:t>
      </w:r>
    </w:p>
    <w:p w14:paraId="08B8C319" w14:textId="77777777" w:rsidR="00D939E2" w:rsidRPr="00736F0A" w:rsidRDefault="00940080" w:rsidP="00D939E2">
      <w:pPr>
        <w:spacing w:line="360" w:lineRule="auto"/>
        <w:rPr>
          <w:rFonts w:asciiTheme="majorHAnsi" w:hAnsiTheme="majorHAnsi" w:cstheme="majorHAnsi"/>
          <w:sz w:val="22"/>
          <w:szCs w:val="22"/>
        </w:rPr>
      </w:pPr>
      <w:r w:rsidRPr="00736F0A">
        <w:rPr>
          <w:rFonts w:asciiTheme="majorHAnsi" w:hAnsiTheme="majorHAnsi" w:cstheme="majorHAnsi"/>
          <w:sz w:val="22"/>
          <w:szCs w:val="22"/>
          <w:vertAlign w:val="superscript"/>
        </w:rPr>
        <w:t xml:space="preserve">4 </w:t>
      </w:r>
      <w:r w:rsidRPr="00736F0A">
        <w:rPr>
          <w:rFonts w:asciiTheme="majorHAnsi" w:hAnsiTheme="majorHAnsi" w:cstheme="majorHAnsi"/>
          <w:sz w:val="22"/>
          <w:szCs w:val="22"/>
        </w:rPr>
        <w:t>Consultant Upper GI Surgeon, NHS Forth Valley</w:t>
      </w:r>
    </w:p>
    <w:p w14:paraId="33214F67" w14:textId="77777777" w:rsidR="00D939E2" w:rsidRPr="00736F0A" w:rsidRDefault="00940080" w:rsidP="00D939E2">
      <w:pPr>
        <w:spacing w:line="360" w:lineRule="auto"/>
        <w:rPr>
          <w:rFonts w:asciiTheme="majorHAnsi" w:hAnsiTheme="majorHAnsi" w:cstheme="majorHAnsi"/>
          <w:sz w:val="22"/>
          <w:szCs w:val="22"/>
        </w:rPr>
      </w:pPr>
      <w:r w:rsidRPr="00736F0A">
        <w:rPr>
          <w:rFonts w:asciiTheme="majorHAnsi" w:hAnsiTheme="majorHAnsi" w:cstheme="majorHAnsi"/>
          <w:sz w:val="22"/>
          <w:szCs w:val="22"/>
          <w:vertAlign w:val="superscript"/>
        </w:rPr>
        <w:t xml:space="preserve">5 </w:t>
      </w:r>
      <w:r w:rsidRPr="00736F0A">
        <w:rPr>
          <w:rFonts w:asciiTheme="majorHAnsi" w:hAnsiTheme="majorHAnsi" w:cstheme="majorHAnsi"/>
          <w:sz w:val="22"/>
          <w:szCs w:val="22"/>
        </w:rPr>
        <w:t>Royal Derby Hospital, University Hospitals of Derby &amp; Burton NHS Foundation Trust</w:t>
      </w:r>
    </w:p>
    <w:p w14:paraId="1FEFFA89" w14:textId="77777777" w:rsidR="00D939E2" w:rsidRPr="00736F0A" w:rsidRDefault="00D939E2" w:rsidP="00D939E2">
      <w:pPr>
        <w:pStyle w:val="ListParagraph"/>
        <w:widowControl w:val="0"/>
        <w:autoSpaceDE w:val="0"/>
        <w:autoSpaceDN w:val="0"/>
        <w:adjustRightInd w:val="0"/>
        <w:spacing w:line="360" w:lineRule="auto"/>
        <w:rPr>
          <w:rFonts w:asciiTheme="majorHAnsi" w:hAnsiTheme="majorHAnsi" w:cstheme="majorHAnsi"/>
          <w:b/>
          <w:sz w:val="22"/>
          <w:szCs w:val="22"/>
        </w:rPr>
      </w:pPr>
    </w:p>
    <w:p w14:paraId="546B249F" w14:textId="77777777" w:rsidR="00D939E2" w:rsidRPr="00736F0A" w:rsidRDefault="00940080" w:rsidP="00D939E2">
      <w:pPr>
        <w:spacing w:line="360" w:lineRule="auto"/>
        <w:rPr>
          <w:rFonts w:asciiTheme="majorHAnsi" w:hAnsiTheme="majorHAnsi" w:cstheme="majorHAnsi"/>
          <w:b/>
          <w:sz w:val="22"/>
          <w:szCs w:val="22"/>
        </w:rPr>
      </w:pPr>
      <w:r w:rsidRPr="00736F0A">
        <w:rPr>
          <w:rFonts w:asciiTheme="majorHAnsi" w:hAnsiTheme="majorHAnsi" w:cstheme="majorHAnsi"/>
          <w:b/>
          <w:sz w:val="22"/>
          <w:szCs w:val="22"/>
        </w:rPr>
        <w:t xml:space="preserve">Author for Correspondence: </w:t>
      </w:r>
    </w:p>
    <w:p w14:paraId="2D68D336" w14:textId="373AEE89" w:rsidR="00D939E2" w:rsidRPr="00736F0A" w:rsidRDefault="00940080" w:rsidP="00D939E2">
      <w:pPr>
        <w:pStyle w:val="NoteLevel11"/>
        <w:spacing w:line="360" w:lineRule="auto"/>
        <w:rPr>
          <w:rFonts w:asciiTheme="majorHAnsi" w:hAnsiTheme="majorHAnsi" w:cstheme="majorHAnsi"/>
          <w:b/>
        </w:rPr>
      </w:pPr>
      <w:r w:rsidRPr="00736F0A">
        <w:rPr>
          <w:rFonts w:asciiTheme="majorHAnsi" w:hAnsiTheme="majorHAnsi" w:cstheme="majorHAnsi"/>
          <w:b/>
        </w:rPr>
        <w:t>Prof. Kamal Mahawar</w:t>
      </w:r>
    </w:p>
    <w:p w14:paraId="297B843A" w14:textId="77777777" w:rsidR="00D939E2" w:rsidRPr="00736F0A" w:rsidRDefault="00940080" w:rsidP="00D939E2">
      <w:pPr>
        <w:pStyle w:val="NoteLevel11"/>
        <w:spacing w:line="360" w:lineRule="auto"/>
        <w:rPr>
          <w:rFonts w:asciiTheme="majorHAnsi" w:hAnsiTheme="majorHAnsi" w:cstheme="majorHAnsi"/>
        </w:rPr>
      </w:pPr>
      <w:r w:rsidRPr="00736F0A">
        <w:rPr>
          <w:rFonts w:asciiTheme="majorHAnsi" w:hAnsiTheme="majorHAnsi" w:cstheme="majorHAnsi"/>
        </w:rPr>
        <w:t>Consultant General Surgeon</w:t>
      </w:r>
    </w:p>
    <w:p w14:paraId="028C7519" w14:textId="77777777" w:rsidR="00D939E2" w:rsidRPr="00736F0A" w:rsidRDefault="00940080" w:rsidP="00D939E2">
      <w:pPr>
        <w:pStyle w:val="NoteLevel11"/>
        <w:numPr>
          <w:ilvl w:val="0"/>
          <w:numId w:val="0"/>
        </w:numPr>
        <w:tabs>
          <w:tab w:val="left" w:pos="720"/>
        </w:tabs>
        <w:spacing w:line="360" w:lineRule="auto"/>
        <w:rPr>
          <w:rFonts w:asciiTheme="majorHAnsi" w:hAnsiTheme="majorHAnsi" w:cstheme="majorHAnsi"/>
        </w:rPr>
      </w:pPr>
      <w:r w:rsidRPr="00736F0A">
        <w:rPr>
          <w:rFonts w:asciiTheme="majorHAnsi" w:hAnsiTheme="majorHAnsi" w:cstheme="majorHAnsi"/>
        </w:rPr>
        <w:t>South Tyneside and Sunderland NHS Trust</w:t>
      </w:r>
    </w:p>
    <w:p w14:paraId="6174F342" w14:textId="77777777" w:rsidR="00D939E2" w:rsidRPr="00736F0A" w:rsidRDefault="00940080" w:rsidP="00D939E2">
      <w:pPr>
        <w:pStyle w:val="NoteLevel11"/>
        <w:numPr>
          <w:ilvl w:val="0"/>
          <w:numId w:val="0"/>
        </w:numPr>
        <w:tabs>
          <w:tab w:val="left" w:pos="720"/>
        </w:tabs>
        <w:spacing w:line="360" w:lineRule="auto"/>
        <w:rPr>
          <w:rFonts w:asciiTheme="majorHAnsi" w:hAnsiTheme="majorHAnsi" w:cstheme="majorHAnsi"/>
        </w:rPr>
      </w:pPr>
      <w:r w:rsidRPr="00736F0A">
        <w:rPr>
          <w:rFonts w:asciiTheme="majorHAnsi" w:hAnsiTheme="majorHAnsi" w:cstheme="majorHAnsi"/>
        </w:rPr>
        <w:t>Sunderland SR4 7TP, UK</w:t>
      </w:r>
    </w:p>
    <w:p w14:paraId="010C24A6" w14:textId="71A3EF60" w:rsidR="00CA2C0F" w:rsidRPr="00CA2C0F" w:rsidRDefault="00940080" w:rsidP="00CA2C0F">
      <w:pPr>
        <w:pStyle w:val="NoteLevel11"/>
        <w:spacing w:line="360" w:lineRule="auto"/>
        <w:rPr>
          <w:rStyle w:val="Hyperlink"/>
          <w:rFonts w:asciiTheme="majorHAnsi" w:hAnsiTheme="majorHAnsi" w:cstheme="majorHAnsi"/>
          <w:color w:val="auto"/>
        </w:rPr>
      </w:pPr>
      <w:r w:rsidRPr="00736F0A">
        <w:rPr>
          <w:rFonts w:asciiTheme="majorHAnsi" w:hAnsiTheme="majorHAnsi" w:cstheme="majorHAnsi"/>
        </w:rPr>
        <w:t xml:space="preserve">Email:  </w:t>
      </w:r>
      <w:hyperlink r:id="rId7" w:history="1">
        <w:r w:rsidRPr="00736F0A">
          <w:rPr>
            <w:rStyle w:val="Hyperlink"/>
            <w:rFonts w:asciiTheme="majorHAnsi" w:hAnsiTheme="majorHAnsi" w:cstheme="majorHAnsi"/>
            <w:color w:val="auto"/>
          </w:rPr>
          <w:t>kmahawar@gmail.com</w:t>
        </w:r>
      </w:hyperlink>
    </w:p>
    <w:p w14:paraId="7C0FCA97" w14:textId="77777777" w:rsidR="00D939E2" w:rsidRPr="00736F0A" w:rsidRDefault="00D939E2" w:rsidP="00D939E2">
      <w:pPr>
        <w:pStyle w:val="NoteLevel11"/>
        <w:spacing w:line="360" w:lineRule="auto"/>
        <w:rPr>
          <w:rFonts w:asciiTheme="majorHAnsi" w:hAnsiTheme="majorHAnsi" w:cstheme="majorHAnsi"/>
        </w:rPr>
      </w:pPr>
    </w:p>
    <w:p w14:paraId="04DBECE2" w14:textId="77777777" w:rsidR="00D939E2" w:rsidRPr="00736F0A" w:rsidRDefault="00940080" w:rsidP="00D939E2">
      <w:pPr>
        <w:jc w:val="both"/>
        <w:rPr>
          <w:rFonts w:asciiTheme="majorHAnsi" w:hAnsiTheme="majorHAnsi" w:cstheme="majorHAnsi"/>
          <w:sz w:val="22"/>
          <w:szCs w:val="22"/>
        </w:rPr>
      </w:pPr>
      <w:r w:rsidRPr="00736F0A">
        <w:rPr>
          <w:rFonts w:asciiTheme="majorHAnsi" w:hAnsiTheme="majorHAnsi" w:cstheme="majorHAnsi"/>
          <w:b/>
          <w:sz w:val="22"/>
          <w:szCs w:val="22"/>
        </w:rPr>
        <w:t xml:space="preserve">Key Words: </w:t>
      </w:r>
      <w:r w:rsidRPr="00736F0A">
        <w:rPr>
          <w:rFonts w:asciiTheme="majorHAnsi" w:hAnsiTheme="majorHAnsi" w:cstheme="majorHAnsi"/>
          <w:sz w:val="22"/>
          <w:szCs w:val="22"/>
        </w:rPr>
        <w:t>Never Events, Patient safety, Medical errors, Medical Claims</w:t>
      </w:r>
    </w:p>
    <w:p w14:paraId="041B4E7B" w14:textId="77777777" w:rsidR="00D939E2" w:rsidRPr="00736F0A" w:rsidRDefault="00D939E2" w:rsidP="00D939E2">
      <w:pPr>
        <w:spacing w:line="360" w:lineRule="auto"/>
        <w:rPr>
          <w:rFonts w:asciiTheme="majorHAnsi" w:hAnsiTheme="majorHAnsi" w:cstheme="majorHAnsi"/>
          <w:b/>
          <w:sz w:val="22"/>
          <w:szCs w:val="22"/>
        </w:rPr>
      </w:pPr>
    </w:p>
    <w:p w14:paraId="269E76E3" w14:textId="77777777" w:rsidR="00D939E2" w:rsidRPr="00736F0A" w:rsidRDefault="00940080" w:rsidP="00D939E2">
      <w:pPr>
        <w:spacing w:line="360" w:lineRule="auto"/>
        <w:rPr>
          <w:rFonts w:asciiTheme="majorHAnsi" w:hAnsiTheme="majorHAnsi" w:cstheme="majorHAnsi"/>
          <w:sz w:val="22"/>
          <w:szCs w:val="22"/>
        </w:rPr>
      </w:pPr>
      <w:r w:rsidRPr="00736F0A">
        <w:rPr>
          <w:rFonts w:asciiTheme="majorHAnsi" w:hAnsiTheme="majorHAnsi" w:cstheme="majorHAnsi"/>
          <w:b/>
          <w:sz w:val="22"/>
          <w:szCs w:val="22"/>
        </w:rPr>
        <w:t xml:space="preserve">Conflicts of Interest: </w:t>
      </w:r>
      <w:r w:rsidRPr="00736F0A">
        <w:rPr>
          <w:rFonts w:asciiTheme="majorHAnsi" w:hAnsiTheme="majorHAnsi" w:cstheme="majorHAnsi"/>
          <w:sz w:val="22"/>
          <w:szCs w:val="22"/>
        </w:rPr>
        <w:t>None</w:t>
      </w:r>
    </w:p>
    <w:p w14:paraId="2843B0C4" w14:textId="77777777" w:rsidR="00D939E2" w:rsidRPr="00736F0A" w:rsidRDefault="00D939E2" w:rsidP="00D939E2">
      <w:pPr>
        <w:spacing w:line="360" w:lineRule="auto"/>
        <w:rPr>
          <w:rFonts w:asciiTheme="majorHAnsi" w:hAnsiTheme="majorHAnsi" w:cstheme="majorHAnsi"/>
          <w:sz w:val="22"/>
          <w:szCs w:val="22"/>
        </w:rPr>
      </w:pPr>
    </w:p>
    <w:p w14:paraId="47E121EC" w14:textId="3355F013" w:rsidR="00D939E2" w:rsidRPr="00736F0A" w:rsidRDefault="00940080" w:rsidP="00D939E2">
      <w:pPr>
        <w:spacing w:line="360" w:lineRule="auto"/>
        <w:rPr>
          <w:rFonts w:asciiTheme="majorHAnsi" w:hAnsiTheme="majorHAnsi" w:cstheme="majorHAnsi"/>
          <w:sz w:val="22"/>
          <w:szCs w:val="22"/>
        </w:rPr>
      </w:pPr>
      <w:r w:rsidRPr="00736F0A">
        <w:rPr>
          <w:rFonts w:asciiTheme="majorHAnsi" w:hAnsiTheme="majorHAnsi" w:cstheme="majorHAnsi"/>
          <w:b/>
          <w:sz w:val="22"/>
          <w:szCs w:val="22"/>
        </w:rPr>
        <w:t>Source(s) of Funding:</w:t>
      </w:r>
      <w:r w:rsidRPr="00736F0A">
        <w:rPr>
          <w:rFonts w:asciiTheme="majorHAnsi" w:hAnsiTheme="majorHAnsi" w:cstheme="majorHAnsi"/>
          <w:sz w:val="22"/>
          <w:szCs w:val="22"/>
        </w:rPr>
        <w:t xml:space="preserve"> None</w:t>
      </w:r>
    </w:p>
    <w:p w14:paraId="02E7D316" w14:textId="12999FBA" w:rsidR="00C8187D" w:rsidRPr="00736F0A" w:rsidRDefault="00C8187D" w:rsidP="00D939E2">
      <w:pPr>
        <w:spacing w:line="360" w:lineRule="auto"/>
        <w:rPr>
          <w:rFonts w:asciiTheme="majorHAnsi" w:hAnsiTheme="majorHAnsi" w:cstheme="majorHAnsi"/>
          <w:b/>
          <w:bCs/>
          <w:sz w:val="22"/>
          <w:szCs w:val="22"/>
        </w:rPr>
      </w:pPr>
    </w:p>
    <w:p w14:paraId="32F300EC" w14:textId="77777777" w:rsidR="00BF1FE3" w:rsidRDefault="00BF1FE3" w:rsidP="00D939E2">
      <w:pPr>
        <w:tabs>
          <w:tab w:val="center" w:pos="4535"/>
        </w:tabs>
        <w:spacing w:after="240" w:line="360" w:lineRule="auto"/>
        <w:jc w:val="center"/>
        <w:rPr>
          <w:rFonts w:asciiTheme="majorHAnsi" w:eastAsia="Calibri" w:hAnsiTheme="majorHAnsi" w:cstheme="majorHAnsi"/>
          <w:b/>
          <w:sz w:val="22"/>
          <w:szCs w:val="22"/>
        </w:rPr>
      </w:pPr>
      <w:bookmarkStart w:id="1" w:name="_Hlk42536153"/>
    </w:p>
    <w:p w14:paraId="20A8E813" w14:textId="43EE95BB" w:rsidR="00D1751C" w:rsidRPr="00736F0A" w:rsidRDefault="00940080" w:rsidP="00D939E2">
      <w:pPr>
        <w:tabs>
          <w:tab w:val="center" w:pos="4535"/>
        </w:tabs>
        <w:spacing w:after="240" w:line="360" w:lineRule="auto"/>
        <w:jc w:val="center"/>
        <w:rPr>
          <w:rFonts w:asciiTheme="majorHAnsi" w:eastAsia="Calibri" w:hAnsiTheme="majorHAnsi" w:cstheme="majorHAnsi"/>
          <w:b/>
          <w:sz w:val="22"/>
          <w:szCs w:val="22"/>
        </w:rPr>
      </w:pPr>
      <w:r w:rsidRPr="00736F0A">
        <w:rPr>
          <w:rFonts w:asciiTheme="majorHAnsi" w:eastAsia="Calibri" w:hAnsiTheme="majorHAnsi" w:cstheme="majorHAnsi"/>
          <w:b/>
          <w:sz w:val="22"/>
          <w:szCs w:val="22"/>
        </w:rPr>
        <w:lastRenderedPageBreak/>
        <w:t>Identification of Common Themes from Never Events Data Published by NHS England</w:t>
      </w:r>
    </w:p>
    <w:bookmarkEnd w:id="1"/>
    <w:p w14:paraId="00000002" w14:textId="09947DC0" w:rsidR="004B4687" w:rsidRPr="00736F0A" w:rsidRDefault="00940080" w:rsidP="00AB3CD4">
      <w:pPr>
        <w:tabs>
          <w:tab w:val="center" w:pos="4535"/>
        </w:tabs>
        <w:spacing w:after="240" w:line="360" w:lineRule="auto"/>
        <w:jc w:val="both"/>
        <w:rPr>
          <w:rFonts w:asciiTheme="majorHAnsi" w:eastAsia="Calibri" w:hAnsiTheme="majorHAnsi" w:cstheme="majorHAnsi"/>
          <w:b/>
          <w:sz w:val="22"/>
          <w:szCs w:val="22"/>
        </w:rPr>
      </w:pPr>
      <w:r w:rsidRPr="00736F0A">
        <w:rPr>
          <w:rFonts w:asciiTheme="majorHAnsi" w:eastAsia="Calibri" w:hAnsiTheme="majorHAnsi" w:cstheme="majorHAnsi"/>
          <w:b/>
          <w:sz w:val="22"/>
          <w:szCs w:val="22"/>
        </w:rPr>
        <w:t xml:space="preserve">Abstract: </w:t>
      </w:r>
      <w:r w:rsidRPr="00736F0A">
        <w:rPr>
          <w:rFonts w:asciiTheme="majorHAnsi" w:eastAsia="Calibri" w:hAnsiTheme="majorHAnsi" w:cstheme="majorHAnsi"/>
          <w:b/>
          <w:sz w:val="22"/>
          <w:szCs w:val="22"/>
        </w:rPr>
        <w:tab/>
      </w:r>
    </w:p>
    <w:p w14:paraId="00000004" w14:textId="07F3B197" w:rsidR="004B4687" w:rsidRPr="00736F0A" w:rsidRDefault="00940080" w:rsidP="00164005">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b/>
          <w:sz w:val="22"/>
          <w:szCs w:val="22"/>
        </w:rPr>
        <w:t>Background:</w:t>
      </w:r>
      <w:r w:rsidRPr="00736F0A">
        <w:rPr>
          <w:rFonts w:asciiTheme="majorHAnsi" w:eastAsia="Calibri" w:hAnsiTheme="majorHAnsi" w:cstheme="majorHAnsi"/>
          <w:sz w:val="22"/>
          <w:szCs w:val="22"/>
        </w:rPr>
        <w:t xml:space="preserve"> Never Events (NE) are serious clinical incidents that cause potentially avoidable harm and impose a significant financial burden on healthcare systems. The purpose of this study was to </w:t>
      </w:r>
      <w:r w:rsidR="00695EF5" w:rsidRPr="00736F0A">
        <w:rPr>
          <w:rFonts w:asciiTheme="majorHAnsi" w:eastAsia="Calibri" w:hAnsiTheme="majorHAnsi" w:cstheme="majorHAnsi"/>
          <w:sz w:val="22"/>
          <w:szCs w:val="22"/>
        </w:rPr>
        <w:t>identify common</w:t>
      </w:r>
      <w:r w:rsidRPr="00736F0A">
        <w:rPr>
          <w:rFonts w:asciiTheme="majorHAnsi" w:eastAsia="Calibri" w:hAnsiTheme="majorHAnsi" w:cstheme="majorHAnsi"/>
          <w:sz w:val="22"/>
          <w:szCs w:val="22"/>
        </w:rPr>
        <w:t xml:space="preserve"> </w:t>
      </w:r>
      <w:r w:rsidR="007144ED" w:rsidRPr="00736F0A">
        <w:rPr>
          <w:rFonts w:asciiTheme="majorHAnsi" w:eastAsia="Calibri" w:hAnsiTheme="majorHAnsi" w:cstheme="majorHAnsi"/>
          <w:sz w:val="22"/>
          <w:szCs w:val="22"/>
        </w:rPr>
        <w:t>Never Events.</w:t>
      </w:r>
    </w:p>
    <w:p w14:paraId="00000006" w14:textId="18881EED" w:rsidR="004B4687" w:rsidRPr="00736F0A" w:rsidRDefault="00940080" w:rsidP="00164005">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b/>
          <w:sz w:val="22"/>
          <w:szCs w:val="22"/>
        </w:rPr>
        <w:t>Methods:</w:t>
      </w:r>
      <w:r w:rsidRPr="00736F0A">
        <w:rPr>
          <w:rFonts w:asciiTheme="majorHAnsi" w:eastAsia="Calibri" w:hAnsiTheme="majorHAnsi" w:cstheme="majorHAnsi"/>
          <w:sz w:val="22"/>
          <w:szCs w:val="22"/>
        </w:rPr>
        <w:t xml:space="preserve"> We analysed the NHS E</w:t>
      </w:r>
      <w:r w:rsidR="006A5504" w:rsidRPr="00736F0A">
        <w:rPr>
          <w:rFonts w:asciiTheme="majorHAnsi" w:eastAsia="Calibri" w:hAnsiTheme="majorHAnsi" w:cstheme="majorHAnsi"/>
          <w:sz w:val="22"/>
          <w:szCs w:val="22"/>
        </w:rPr>
        <w:t xml:space="preserve">ngland NE data from 2012-2020 </w:t>
      </w:r>
      <w:r w:rsidR="007144ED" w:rsidRPr="00736F0A">
        <w:rPr>
          <w:rFonts w:asciiTheme="majorHAnsi" w:eastAsia="Calibri" w:hAnsiTheme="majorHAnsi" w:cstheme="majorHAnsi"/>
          <w:sz w:val="22"/>
          <w:szCs w:val="22"/>
        </w:rPr>
        <w:t xml:space="preserve">to identify common </w:t>
      </w:r>
      <w:r w:rsidR="006A5504" w:rsidRPr="00736F0A">
        <w:rPr>
          <w:rFonts w:asciiTheme="majorHAnsi" w:eastAsia="Calibri" w:hAnsiTheme="majorHAnsi" w:cstheme="majorHAnsi"/>
          <w:sz w:val="22"/>
          <w:szCs w:val="22"/>
        </w:rPr>
        <w:t>Never Events category and themes</w:t>
      </w:r>
      <w:r w:rsidRPr="00736F0A">
        <w:rPr>
          <w:rFonts w:asciiTheme="majorHAnsi" w:eastAsia="Calibri" w:hAnsiTheme="majorHAnsi" w:cstheme="majorHAnsi"/>
          <w:sz w:val="22"/>
          <w:szCs w:val="22"/>
        </w:rPr>
        <w:t>.</w:t>
      </w:r>
    </w:p>
    <w:p w14:paraId="6B7FFC43" w14:textId="393B07C6" w:rsidR="007144ED" w:rsidRPr="00736F0A" w:rsidRDefault="00940080" w:rsidP="00164005">
      <w:pPr>
        <w:widowControl w:val="0"/>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b/>
          <w:sz w:val="22"/>
          <w:szCs w:val="22"/>
        </w:rPr>
        <w:t>Results:</w:t>
      </w:r>
      <w:r w:rsidRPr="00736F0A">
        <w:rPr>
          <w:rFonts w:asciiTheme="majorHAnsi" w:eastAsia="Calibri" w:hAnsiTheme="majorHAnsi" w:cstheme="majorHAnsi"/>
          <w:sz w:val="22"/>
          <w:szCs w:val="22"/>
        </w:rPr>
        <w:t xml:space="preserve"> </w:t>
      </w:r>
      <w:r w:rsidR="00302142" w:rsidRPr="00736F0A">
        <w:rPr>
          <w:rFonts w:asciiTheme="majorHAnsi" w:eastAsia="Calibri" w:hAnsiTheme="majorHAnsi" w:cstheme="majorHAnsi"/>
          <w:sz w:val="22"/>
          <w:szCs w:val="22"/>
        </w:rPr>
        <w:t xml:space="preserve">We identified 51 common NE themes in 4 main categories out of a total of 3247 NE reported during this period. </w:t>
      </w:r>
      <w:r w:rsidRPr="00736F0A">
        <w:rPr>
          <w:rFonts w:asciiTheme="majorHAnsi" w:eastAsia="Calibri" w:hAnsiTheme="majorHAnsi" w:cstheme="majorHAnsi"/>
          <w:sz w:val="22"/>
          <w:szCs w:val="22"/>
        </w:rPr>
        <w:t xml:space="preserve">Wrong-site surgery was the most common </w:t>
      </w:r>
      <w:r w:rsidR="00302142" w:rsidRPr="00736F0A">
        <w:rPr>
          <w:rFonts w:asciiTheme="majorHAnsi" w:eastAsia="Calibri" w:hAnsiTheme="majorHAnsi" w:cstheme="majorHAnsi"/>
          <w:sz w:val="22"/>
          <w:szCs w:val="22"/>
        </w:rPr>
        <w:t xml:space="preserve">category </w:t>
      </w:r>
      <w:r w:rsidRPr="00736F0A">
        <w:rPr>
          <w:rFonts w:asciiTheme="majorHAnsi" w:eastAsia="Calibri" w:hAnsiTheme="majorHAnsi" w:cstheme="majorHAnsi"/>
          <w:sz w:val="22"/>
          <w:szCs w:val="22"/>
        </w:rPr>
        <w:t>(</w:t>
      </w:r>
      <w:r w:rsidR="006A5504" w:rsidRPr="00736F0A">
        <w:rPr>
          <w:rFonts w:asciiTheme="majorHAnsi" w:eastAsia="Calibri" w:hAnsiTheme="majorHAnsi" w:cstheme="majorHAnsi"/>
          <w:sz w:val="22"/>
          <w:szCs w:val="22"/>
        </w:rPr>
        <w:t>n=</w:t>
      </w:r>
      <w:r w:rsidR="00525B92" w:rsidRPr="00736F0A">
        <w:rPr>
          <w:rFonts w:asciiTheme="majorHAnsi" w:eastAsia="Calibri" w:hAnsiTheme="majorHAnsi" w:cstheme="majorHAnsi"/>
          <w:sz w:val="22"/>
          <w:szCs w:val="22"/>
        </w:rPr>
        <w:t>1307;</w:t>
      </w:r>
      <w:r w:rsidRPr="00736F0A">
        <w:rPr>
          <w:rFonts w:asciiTheme="majorHAnsi" w:eastAsia="Calibri" w:hAnsiTheme="majorHAnsi" w:cstheme="majorHAnsi"/>
          <w:sz w:val="22"/>
          <w:szCs w:val="22"/>
        </w:rPr>
        <w:t>40</w:t>
      </w:r>
      <w:r w:rsidR="009C3689" w:rsidRPr="00736F0A">
        <w:rPr>
          <w:rFonts w:asciiTheme="majorHAnsi" w:eastAsia="Calibri" w:hAnsiTheme="majorHAnsi" w:cstheme="majorHAnsi"/>
          <w:sz w:val="22"/>
          <w:szCs w:val="22"/>
        </w:rPr>
        <w:t>.</w:t>
      </w:r>
      <w:r w:rsidR="00E4784F" w:rsidRPr="00736F0A">
        <w:rPr>
          <w:rFonts w:asciiTheme="majorHAnsi" w:eastAsia="Calibri" w:hAnsiTheme="majorHAnsi" w:cstheme="majorHAnsi"/>
          <w:sz w:val="22"/>
          <w:szCs w:val="22"/>
        </w:rPr>
        <w:t>25</w:t>
      </w:r>
      <w:r w:rsidR="006A5504" w:rsidRPr="00736F0A">
        <w:rPr>
          <w:rFonts w:asciiTheme="majorHAnsi" w:eastAsia="Calibri" w:hAnsiTheme="majorHAnsi" w:cstheme="majorHAnsi"/>
          <w:sz w:val="22"/>
          <w:szCs w:val="22"/>
        </w:rPr>
        <w:t>%) followed by R</w:t>
      </w:r>
      <w:r w:rsidRPr="00736F0A">
        <w:rPr>
          <w:rFonts w:asciiTheme="majorHAnsi" w:eastAsia="Calibri" w:hAnsiTheme="majorHAnsi" w:cstheme="majorHAnsi"/>
          <w:sz w:val="22"/>
          <w:szCs w:val="22"/>
        </w:rPr>
        <w:t>etained foreign-objects (</w:t>
      </w:r>
      <w:r w:rsidR="006A5504" w:rsidRPr="00736F0A">
        <w:rPr>
          <w:rFonts w:asciiTheme="majorHAnsi" w:eastAsia="Calibri" w:hAnsiTheme="majorHAnsi" w:cstheme="majorHAnsi"/>
          <w:sz w:val="22"/>
          <w:szCs w:val="22"/>
        </w:rPr>
        <w:t>n=</w:t>
      </w:r>
      <w:r w:rsidR="00525B92" w:rsidRPr="00736F0A">
        <w:rPr>
          <w:rFonts w:asciiTheme="majorHAnsi" w:eastAsia="Calibri" w:hAnsiTheme="majorHAnsi" w:cstheme="majorHAnsi"/>
          <w:sz w:val="22"/>
          <w:szCs w:val="22"/>
        </w:rPr>
        <w:t>901;</w:t>
      </w:r>
      <w:r w:rsidRPr="00736F0A">
        <w:rPr>
          <w:rFonts w:asciiTheme="majorHAnsi" w:eastAsia="Calibri" w:hAnsiTheme="majorHAnsi" w:cstheme="majorHAnsi"/>
          <w:sz w:val="22"/>
          <w:szCs w:val="22"/>
        </w:rPr>
        <w:t>27.7</w:t>
      </w:r>
      <w:r w:rsidR="00F6280B" w:rsidRPr="00736F0A">
        <w:rPr>
          <w:rFonts w:asciiTheme="majorHAnsi" w:eastAsia="Calibri" w:hAnsiTheme="majorHAnsi" w:cstheme="majorHAnsi"/>
          <w:sz w:val="22"/>
          <w:szCs w:val="22"/>
        </w:rPr>
        <w:t>5</w:t>
      </w:r>
      <w:r w:rsidRPr="00736F0A">
        <w:rPr>
          <w:rFonts w:asciiTheme="majorHAnsi" w:eastAsia="Calibri" w:hAnsiTheme="majorHAnsi" w:cstheme="majorHAnsi"/>
          <w:sz w:val="22"/>
          <w:szCs w:val="22"/>
        </w:rPr>
        <w:t>%)</w:t>
      </w:r>
      <w:r w:rsidR="00FC31CC" w:rsidRPr="00736F0A">
        <w:rPr>
          <w:rFonts w:asciiTheme="majorHAnsi" w:eastAsia="Calibri" w:hAnsiTheme="majorHAnsi" w:cstheme="majorHAnsi"/>
          <w:sz w:val="22"/>
          <w:szCs w:val="22"/>
        </w:rPr>
        <w:t>;</w:t>
      </w:r>
      <w:r w:rsidR="006A5504" w:rsidRPr="00736F0A">
        <w:rPr>
          <w:rFonts w:asciiTheme="majorHAnsi" w:eastAsia="Calibri" w:hAnsiTheme="majorHAnsi" w:cstheme="majorHAnsi"/>
          <w:sz w:val="22"/>
          <w:szCs w:val="22"/>
        </w:rPr>
        <w:t xml:space="preserve"> W</w:t>
      </w:r>
      <w:r w:rsidRPr="00736F0A">
        <w:rPr>
          <w:rFonts w:asciiTheme="majorHAnsi" w:eastAsia="Calibri" w:hAnsiTheme="majorHAnsi" w:cstheme="majorHAnsi"/>
          <w:sz w:val="22"/>
          <w:szCs w:val="22"/>
        </w:rPr>
        <w:t>rong implant or prosthesis (</w:t>
      </w:r>
      <w:r w:rsidR="006A5504" w:rsidRPr="00736F0A">
        <w:rPr>
          <w:rFonts w:asciiTheme="majorHAnsi" w:eastAsia="Calibri" w:hAnsiTheme="majorHAnsi" w:cstheme="majorHAnsi"/>
          <w:sz w:val="22"/>
          <w:szCs w:val="22"/>
        </w:rPr>
        <w:t>n=</w:t>
      </w:r>
      <w:r w:rsidR="00525B92" w:rsidRPr="00736F0A">
        <w:rPr>
          <w:rFonts w:asciiTheme="majorHAnsi" w:eastAsia="Calibri" w:hAnsiTheme="majorHAnsi" w:cstheme="majorHAnsi"/>
          <w:sz w:val="22"/>
          <w:szCs w:val="22"/>
        </w:rPr>
        <w:t>425;</w:t>
      </w:r>
      <w:r w:rsidRPr="00736F0A">
        <w:rPr>
          <w:rFonts w:asciiTheme="majorHAnsi" w:eastAsia="Calibri" w:hAnsiTheme="majorHAnsi" w:cstheme="majorHAnsi"/>
          <w:sz w:val="22"/>
          <w:szCs w:val="22"/>
        </w:rPr>
        <w:t>13</w:t>
      </w:r>
      <w:r w:rsidR="00593D7F" w:rsidRPr="00736F0A">
        <w:rPr>
          <w:rFonts w:asciiTheme="majorHAnsi" w:eastAsia="Calibri" w:hAnsiTheme="majorHAnsi" w:cstheme="majorHAnsi"/>
          <w:sz w:val="22"/>
          <w:szCs w:val="22"/>
        </w:rPr>
        <w:t>.0</w:t>
      </w:r>
      <w:r w:rsidR="00F6280B" w:rsidRPr="00736F0A">
        <w:rPr>
          <w:rFonts w:asciiTheme="majorHAnsi" w:eastAsia="Calibri" w:hAnsiTheme="majorHAnsi" w:cstheme="majorHAnsi"/>
          <w:sz w:val="22"/>
          <w:szCs w:val="22"/>
        </w:rPr>
        <w:t>9</w:t>
      </w:r>
      <w:r w:rsidR="006A5504" w:rsidRPr="00736F0A">
        <w:rPr>
          <w:rFonts w:asciiTheme="majorHAnsi" w:eastAsia="Calibri" w:hAnsiTheme="majorHAnsi" w:cstheme="majorHAnsi"/>
          <w:sz w:val="22"/>
          <w:szCs w:val="22"/>
        </w:rPr>
        <w:t>%); and N</w:t>
      </w:r>
      <w:r w:rsidR="00FC31CC" w:rsidRPr="00736F0A">
        <w:rPr>
          <w:rFonts w:asciiTheme="majorHAnsi" w:eastAsia="Calibri" w:hAnsiTheme="majorHAnsi" w:cstheme="majorHAnsi"/>
          <w:sz w:val="22"/>
          <w:szCs w:val="22"/>
        </w:rPr>
        <w:t>on-surgical/infrequent ones (</w:t>
      </w:r>
      <w:r w:rsidR="006A5504" w:rsidRPr="00736F0A">
        <w:rPr>
          <w:rFonts w:asciiTheme="majorHAnsi" w:eastAsia="Calibri" w:hAnsiTheme="majorHAnsi" w:cstheme="majorHAnsi"/>
          <w:sz w:val="22"/>
          <w:szCs w:val="22"/>
        </w:rPr>
        <w:t>n=</w:t>
      </w:r>
      <w:r w:rsidR="00FC31CC" w:rsidRPr="00736F0A">
        <w:rPr>
          <w:rFonts w:asciiTheme="majorHAnsi" w:eastAsia="Calibri" w:hAnsiTheme="majorHAnsi" w:cstheme="majorHAnsi"/>
          <w:sz w:val="22"/>
          <w:szCs w:val="22"/>
        </w:rPr>
        <w:t>614; 18.9%)</w:t>
      </w:r>
      <w:r w:rsidR="00302142" w:rsidRPr="00736F0A">
        <w:rPr>
          <w:rFonts w:asciiTheme="majorHAnsi" w:eastAsia="Calibri" w:hAnsiTheme="majorHAnsi" w:cstheme="majorHAnsi"/>
          <w:sz w:val="22"/>
          <w:szCs w:val="22"/>
        </w:rPr>
        <w:t xml:space="preserve">. </w:t>
      </w:r>
    </w:p>
    <w:p w14:paraId="5C550A40" w14:textId="6ABBCBDB" w:rsidR="00B856E2" w:rsidRPr="00736F0A" w:rsidRDefault="00940080" w:rsidP="00AB3CD4">
      <w:pPr>
        <w:widowControl w:val="0"/>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    </w:t>
      </w:r>
      <w:r w:rsidR="00E91FD9" w:rsidRPr="00736F0A">
        <w:rPr>
          <w:rFonts w:asciiTheme="majorHAnsi" w:eastAsia="Calibri" w:hAnsiTheme="majorHAnsi" w:cstheme="majorHAnsi"/>
          <w:sz w:val="22"/>
          <w:szCs w:val="22"/>
        </w:rPr>
        <w:t>Wrong</w:t>
      </w:r>
      <w:r w:rsidRPr="00736F0A">
        <w:rPr>
          <w:rFonts w:asciiTheme="majorHAnsi" w:eastAsia="Calibri" w:hAnsiTheme="majorHAnsi" w:cstheme="majorHAnsi"/>
          <w:sz w:val="22"/>
          <w:szCs w:val="22"/>
        </w:rPr>
        <w:t>-</w:t>
      </w:r>
      <w:r w:rsidR="00E91FD9" w:rsidRPr="00736F0A">
        <w:rPr>
          <w:rFonts w:asciiTheme="majorHAnsi" w:eastAsia="Calibri" w:hAnsiTheme="majorHAnsi" w:cstheme="majorHAnsi"/>
          <w:sz w:val="22"/>
          <w:szCs w:val="22"/>
        </w:rPr>
        <w:t>side (laterality) and wrong toot</w:t>
      </w:r>
      <w:r w:rsidR="006A5504" w:rsidRPr="00736F0A">
        <w:rPr>
          <w:rFonts w:asciiTheme="majorHAnsi" w:eastAsia="Calibri" w:hAnsiTheme="majorHAnsi" w:cstheme="majorHAnsi"/>
          <w:sz w:val="22"/>
          <w:szCs w:val="22"/>
        </w:rPr>
        <w:t>h removal were the most common W</w:t>
      </w:r>
      <w:r w:rsidR="00E91FD9" w:rsidRPr="00736F0A">
        <w:rPr>
          <w:rFonts w:asciiTheme="majorHAnsi" w:eastAsia="Calibri" w:hAnsiTheme="majorHAnsi" w:cstheme="majorHAnsi"/>
          <w:sz w:val="22"/>
          <w:szCs w:val="22"/>
        </w:rPr>
        <w:t>rong</w:t>
      </w:r>
      <w:r w:rsidR="00141C5B" w:rsidRPr="00736F0A">
        <w:rPr>
          <w:rFonts w:asciiTheme="majorHAnsi" w:eastAsia="Calibri" w:hAnsiTheme="majorHAnsi" w:cstheme="majorHAnsi"/>
          <w:sz w:val="22"/>
          <w:szCs w:val="22"/>
        </w:rPr>
        <w:t>-</w:t>
      </w:r>
      <w:r w:rsidR="00E91FD9" w:rsidRPr="00736F0A">
        <w:rPr>
          <w:rFonts w:asciiTheme="majorHAnsi" w:eastAsia="Calibri" w:hAnsiTheme="majorHAnsi" w:cstheme="majorHAnsi"/>
          <w:sz w:val="22"/>
          <w:szCs w:val="22"/>
        </w:rPr>
        <w:t xml:space="preserve">site NE accounting for </w:t>
      </w:r>
      <w:r w:rsidR="006A5504" w:rsidRPr="00736F0A">
        <w:rPr>
          <w:rFonts w:asciiTheme="majorHAnsi" w:eastAsia="Calibri" w:hAnsiTheme="majorHAnsi" w:cstheme="majorHAnsi"/>
          <w:sz w:val="22"/>
          <w:szCs w:val="22"/>
        </w:rPr>
        <w:t xml:space="preserve">300 </w:t>
      </w:r>
      <w:r w:rsidR="00360C0C" w:rsidRPr="00736F0A">
        <w:rPr>
          <w:rFonts w:asciiTheme="majorHAnsi" w:eastAsia="Calibri" w:hAnsiTheme="majorHAnsi" w:cstheme="majorHAnsi"/>
          <w:sz w:val="22"/>
          <w:szCs w:val="22"/>
        </w:rPr>
        <w:t>(</w:t>
      </w:r>
      <w:r w:rsidR="00E91FD9" w:rsidRPr="00736F0A">
        <w:rPr>
          <w:rFonts w:asciiTheme="majorHAnsi" w:eastAsia="Calibri" w:hAnsiTheme="majorHAnsi" w:cstheme="majorHAnsi"/>
          <w:sz w:val="22"/>
          <w:szCs w:val="22"/>
        </w:rPr>
        <w:t>2</w:t>
      </w:r>
      <w:r w:rsidR="00E4784F" w:rsidRPr="00736F0A">
        <w:rPr>
          <w:rFonts w:asciiTheme="majorHAnsi" w:eastAsia="Calibri" w:hAnsiTheme="majorHAnsi" w:cstheme="majorHAnsi"/>
          <w:sz w:val="22"/>
          <w:szCs w:val="22"/>
        </w:rPr>
        <w:t>2.95</w:t>
      </w:r>
      <w:r w:rsidR="00E91FD9" w:rsidRPr="00736F0A">
        <w:rPr>
          <w:rFonts w:asciiTheme="majorHAnsi" w:eastAsia="Calibri" w:hAnsiTheme="majorHAnsi" w:cstheme="majorHAnsi"/>
          <w:sz w:val="22"/>
          <w:szCs w:val="22"/>
        </w:rPr>
        <w:t>%</w:t>
      </w:r>
      <w:r w:rsidR="00360C0C" w:rsidRPr="00736F0A">
        <w:rPr>
          <w:rFonts w:asciiTheme="majorHAnsi" w:eastAsia="Calibri" w:hAnsiTheme="majorHAnsi" w:cstheme="majorHAnsi"/>
          <w:sz w:val="22"/>
          <w:szCs w:val="22"/>
        </w:rPr>
        <w:t>)</w:t>
      </w:r>
      <w:r w:rsidR="00E91FD9" w:rsidRPr="00736F0A">
        <w:rPr>
          <w:rFonts w:asciiTheme="majorHAnsi" w:eastAsia="Calibri" w:hAnsiTheme="majorHAnsi" w:cstheme="majorHAnsi"/>
          <w:sz w:val="22"/>
          <w:szCs w:val="22"/>
        </w:rPr>
        <w:t xml:space="preserve"> and </w:t>
      </w:r>
      <w:r w:rsidR="006A5504" w:rsidRPr="00736F0A">
        <w:rPr>
          <w:rFonts w:asciiTheme="majorHAnsi" w:eastAsia="Calibri" w:hAnsiTheme="majorHAnsi" w:cstheme="majorHAnsi"/>
          <w:sz w:val="22"/>
          <w:szCs w:val="22"/>
        </w:rPr>
        <w:t xml:space="preserve">263 </w:t>
      </w:r>
      <w:r w:rsidR="00360C0C" w:rsidRPr="00736F0A">
        <w:rPr>
          <w:rFonts w:asciiTheme="majorHAnsi" w:eastAsia="Calibri" w:hAnsiTheme="majorHAnsi" w:cstheme="majorHAnsi"/>
          <w:sz w:val="22"/>
          <w:szCs w:val="22"/>
        </w:rPr>
        <w:t>(</w:t>
      </w:r>
      <w:r w:rsidR="00E91FD9" w:rsidRPr="00736F0A">
        <w:rPr>
          <w:rFonts w:asciiTheme="majorHAnsi" w:eastAsia="Calibri" w:hAnsiTheme="majorHAnsi" w:cstheme="majorHAnsi"/>
          <w:sz w:val="22"/>
          <w:szCs w:val="22"/>
        </w:rPr>
        <w:t>20.1</w:t>
      </w:r>
      <w:r w:rsidR="00E4784F" w:rsidRPr="00736F0A">
        <w:rPr>
          <w:rFonts w:asciiTheme="majorHAnsi" w:eastAsia="Calibri" w:hAnsiTheme="majorHAnsi" w:cstheme="majorHAnsi"/>
          <w:sz w:val="22"/>
          <w:szCs w:val="22"/>
        </w:rPr>
        <w:t>2</w:t>
      </w:r>
      <w:r w:rsidR="00E91FD9" w:rsidRPr="00736F0A">
        <w:rPr>
          <w:rFonts w:asciiTheme="majorHAnsi" w:eastAsia="Calibri" w:hAnsiTheme="majorHAnsi" w:cstheme="majorHAnsi"/>
          <w:sz w:val="22"/>
          <w:szCs w:val="22"/>
        </w:rPr>
        <w:t>%</w:t>
      </w:r>
      <w:r w:rsidR="00360C0C" w:rsidRPr="00736F0A">
        <w:rPr>
          <w:rFonts w:asciiTheme="majorHAnsi" w:eastAsia="Calibri" w:hAnsiTheme="majorHAnsi" w:cstheme="majorHAnsi"/>
          <w:sz w:val="22"/>
          <w:szCs w:val="22"/>
        </w:rPr>
        <w:t>)</w:t>
      </w:r>
      <w:r w:rsidR="00E91FD9" w:rsidRPr="00736F0A">
        <w:rPr>
          <w:rFonts w:asciiTheme="majorHAnsi" w:eastAsia="Calibri" w:hAnsiTheme="majorHAnsi" w:cstheme="majorHAnsi"/>
          <w:sz w:val="22"/>
          <w:szCs w:val="22"/>
        </w:rPr>
        <w:t xml:space="preserve"> </w:t>
      </w:r>
      <w:r w:rsidR="006A5504" w:rsidRPr="00736F0A">
        <w:rPr>
          <w:rFonts w:asciiTheme="majorHAnsi" w:eastAsia="Calibri" w:hAnsiTheme="majorHAnsi" w:cstheme="majorHAnsi"/>
          <w:sz w:val="22"/>
          <w:szCs w:val="22"/>
        </w:rPr>
        <w:t>incidents</w:t>
      </w:r>
      <w:r w:rsidR="00E91FD9" w:rsidRPr="00736F0A">
        <w:rPr>
          <w:rFonts w:asciiTheme="majorHAnsi" w:eastAsia="Calibri" w:hAnsiTheme="majorHAnsi" w:cstheme="majorHAnsi"/>
          <w:sz w:val="22"/>
          <w:szCs w:val="22"/>
        </w:rPr>
        <w:t xml:space="preserve"> respectively. </w:t>
      </w:r>
      <w:r w:rsidR="00643BDC" w:rsidRPr="00736F0A">
        <w:rPr>
          <w:rFonts w:asciiTheme="majorHAnsi" w:eastAsia="Calibri" w:hAnsiTheme="majorHAnsi" w:cstheme="majorHAnsi"/>
          <w:sz w:val="22"/>
          <w:szCs w:val="22"/>
        </w:rPr>
        <w:t xml:space="preserve">There were 197 </w:t>
      </w:r>
      <w:r w:rsidR="006A5504" w:rsidRPr="00736F0A">
        <w:rPr>
          <w:rFonts w:asciiTheme="majorHAnsi" w:eastAsia="Calibri" w:hAnsiTheme="majorHAnsi" w:cstheme="majorHAnsi"/>
          <w:sz w:val="22"/>
          <w:szCs w:val="22"/>
        </w:rPr>
        <w:t xml:space="preserve">(15%) </w:t>
      </w:r>
      <w:r w:rsidR="00643BDC" w:rsidRPr="00736F0A">
        <w:rPr>
          <w:rFonts w:asciiTheme="majorHAnsi" w:eastAsia="Calibri" w:hAnsiTheme="majorHAnsi" w:cstheme="majorHAnsi"/>
          <w:sz w:val="22"/>
          <w:szCs w:val="22"/>
        </w:rPr>
        <w:t>wrong</w:t>
      </w:r>
      <w:r w:rsidRPr="00736F0A">
        <w:rPr>
          <w:rFonts w:asciiTheme="majorHAnsi" w:eastAsia="Calibri" w:hAnsiTheme="majorHAnsi" w:cstheme="majorHAnsi"/>
          <w:sz w:val="22"/>
          <w:szCs w:val="22"/>
        </w:rPr>
        <w:t>-</w:t>
      </w:r>
      <w:r w:rsidR="00643BDC" w:rsidRPr="00736F0A">
        <w:rPr>
          <w:rFonts w:asciiTheme="majorHAnsi" w:eastAsia="Calibri" w:hAnsiTheme="majorHAnsi" w:cstheme="majorHAnsi"/>
          <w:sz w:val="22"/>
          <w:szCs w:val="22"/>
        </w:rPr>
        <w:t>site block</w:t>
      </w:r>
      <w:r w:rsidR="006A5504" w:rsidRPr="00736F0A">
        <w:rPr>
          <w:rFonts w:asciiTheme="majorHAnsi" w:eastAsia="Calibri" w:hAnsiTheme="majorHAnsi" w:cstheme="majorHAnsi"/>
          <w:sz w:val="22"/>
          <w:szCs w:val="22"/>
        </w:rPr>
        <w:t>s</w:t>
      </w:r>
      <w:r w:rsidRPr="00736F0A">
        <w:rPr>
          <w:rFonts w:asciiTheme="majorHAnsi" w:eastAsia="Calibri" w:hAnsiTheme="majorHAnsi" w:cstheme="majorHAnsi"/>
          <w:sz w:val="22"/>
          <w:szCs w:val="22"/>
        </w:rPr>
        <w:t xml:space="preserve">, </w:t>
      </w:r>
      <w:r w:rsidR="00643BDC" w:rsidRPr="00736F0A">
        <w:rPr>
          <w:rFonts w:asciiTheme="majorHAnsi" w:eastAsia="Calibri" w:hAnsiTheme="majorHAnsi" w:cstheme="majorHAnsi"/>
          <w:sz w:val="22"/>
          <w:szCs w:val="22"/>
        </w:rPr>
        <w:t>125</w:t>
      </w:r>
      <w:r w:rsidR="006A5504" w:rsidRPr="00736F0A">
        <w:rPr>
          <w:rFonts w:asciiTheme="majorHAnsi" w:eastAsia="Calibri" w:hAnsiTheme="majorHAnsi" w:cstheme="majorHAnsi"/>
          <w:sz w:val="22"/>
          <w:szCs w:val="22"/>
        </w:rPr>
        <w:t xml:space="preserve"> (9.56%)</w:t>
      </w:r>
      <w:r w:rsidR="00643BDC" w:rsidRPr="00736F0A">
        <w:rPr>
          <w:rFonts w:asciiTheme="majorHAnsi" w:eastAsia="Calibri" w:hAnsiTheme="majorHAnsi" w:cstheme="majorHAnsi"/>
          <w:sz w:val="22"/>
          <w:szCs w:val="22"/>
        </w:rPr>
        <w:t xml:space="preserve"> wrong procedures, </w:t>
      </w:r>
      <w:r w:rsidR="006A5504" w:rsidRPr="00736F0A">
        <w:rPr>
          <w:rFonts w:asciiTheme="majorHAnsi" w:eastAsia="Calibri" w:hAnsiTheme="majorHAnsi" w:cstheme="majorHAnsi"/>
          <w:sz w:val="22"/>
          <w:szCs w:val="22"/>
        </w:rPr>
        <w:t xml:space="preserve">and </w:t>
      </w:r>
      <w:r w:rsidRPr="00736F0A">
        <w:rPr>
          <w:rFonts w:asciiTheme="majorHAnsi" w:eastAsia="Calibri" w:hAnsiTheme="majorHAnsi" w:cstheme="majorHAnsi"/>
          <w:sz w:val="22"/>
          <w:szCs w:val="22"/>
        </w:rPr>
        <w:t>96</w:t>
      </w:r>
      <w:r w:rsidR="006A5504" w:rsidRPr="00736F0A">
        <w:rPr>
          <w:rFonts w:asciiTheme="majorHAnsi" w:eastAsia="Calibri" w:hAnsiTheme="majorHAnsi" w:cstheme="majorHAnsi"/>
          <w:sz w:val="22"/>
          <w:szCs w:val="22"/>
        </w:rPr>
        <w:t xml:space="preserve"> (7.3%)</w:t>
      </w:r>
      <w:r w:rsidRPr="00736F0A">
        <w:rPr>
          <w:rFonts w:asciiTheme="majorHAnsi" w:eastAsia="Calibri" w:hAnsiTheme="majorHAnsi" w:cstheme="majorHAnsi"/>
          <w:sz w:val="22"/>
          <w:szCs w:val="22"/>
        </w:rPr>
        <w:t xml:space="preserve"> wrong skin lesions </w:t>
      </w:r>
      <w:r w:rsidR="006A5504" w:rsidRPr="00736F0A">
        <w:rPr>
          <w:rFonts w:asciiTheme="majorHAnsi" w:eastAsia="Calibri" w:hAnsiTheme="majorHAnsi" w:cstheme="majorHAnsi"/>
          <w:sz w:val="22"/>
          <w:szCs w:val="22"/>
        </w:rPr>
        <w:t xml:space="preserve">excised. </w:t>
      </w:r>
    </w:p>
    <w:p w14:paraId="0CEEAFD3" w14:textId="35F58B85" w:rsidR="00B856E2" w:rsidRPr="00736F0A" w:rsidRDefault="00940080" w:rsidP="00AB3CD4">
      <w:pPr>
        <w:widowControl w:val="0"/>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   </w:t>
      </w:r>
      <w:r w:rsidR="00E91FD9" w:rsidRPr="00736F0A">
        <w:rPr>
          <w:rFonts w:asciiTheme="majorHAnsi" w:eastAsia="Calibri" w:hAnsiTheme="majorHAnsi" w:cstheme="majorHAnsi"/>
          <w:sz w:val="22"/>
          <w:szCs w:val="22"/>
        </w:rPr>
        <w:t>Vaginal swabs were the most commonly retained items (276</w:t>
      </w:r>
      <w:r w:rsidR="007A3622" w:rsidRPr="00736F0A">
        <w:rPr>
          <w:rFonts w:asciiTheme="majorHAnsi" w:eastAsia="Calibri" w:hAnsiTheme="majorHAnsi" w:cstheme="majorHAnsi"/>
          <w:sz w:val="22"/>
          <w:szCs w:val="22"/>
        </w:rPr>
        <w:t>;</w:t>
      </w:r>
      <w:r w:rsidR="00E91FD9" w:rsidRPr="00736F0A">
        <w:rPr>
          <w:rFonts w:asciiTheme="majorHAnsi" w:eastAsia="Calibri" w:hAnsiTheme="majorHAnsi" w:cstheme="majorHAnsi"/>
          <w:sz w:val="22"/>
          <w:szCs w:val="22"/>
        </w:rPr>
        <w:t>30.63%) followed by surgical swabs (164;18.2</w:t>
      </w:r>
      <w:r w:rsidR="00F6280B" w:rsidRPr="00736F0A">
        <w:rPr>
          <w:rFonts w:asciiTheme="majorHAnsi" w:eastAsia="Calibri" w:hAnsiTheme="majorHAnsi" w:cstheme="majorHAnsi"/>
          <w:sz w:val="22"/>
          <w:szCs w:val="22"/>
        </w:rPr>
        <w:t>0</w:t>
      </w:r>
      <w:r w:rsidR="00E91FD9" w:rsidRPr="00736F0A">
        <w:rPr>
          <w:rFonts w:asciiTheme="majorHAnsi" w:eastAsia="Calibri" w:hAnsiTheme="majorHAnsi" w:cstheme="majorHAnsi"/>
          <w:sz w:val="22"/>
          <w:szCs w:val="22"/>
        </w:rPr>
        <w:t xml:space="preserve">%) and guidewires (152;16.87%). </w:t>
      </w:r>
      <w:r w:rsidR="007144ED" w:rsidRPr="00736F0A">
        <w:rPr>
          <w:rFonts w:asciiTheme="majorHAnsi" w:eastAsia="Calibri" w:hAnsiTheme="majorHAnsi" w:cstheme="majorHAnsi"/>
          <w:sz w:val="22"/>
          <w:szCs w:val="22"/>
        </w:rPr>
        <w:t>There</w:t>
      </w:r>
      <w:r w:rsidR="00AD79BC" w:rsidRPr="00736F0A">
        <w:rPr>
          <w:rFonts w:asciiTheme="majorHAnsi" w:eastAsia="Calibri" w:hAnsiTheme="majorHAnsi" w:cstheme="majorHAnsi"/>
          <w:sz w:val="22"/>
          <w:szCs w:val="22"/>
        </w:rPr>
        <w:t xml:space="preserve"> were </w:t>
      </w:r>
      <w:r w:rsidR="007144ED" w:rsidRPr="00736F0A">
        <w:rPr>
          <w:rFonts w:asciiTheme="majorHAnsi" w:eastAsia="Calibri" w:hAnsiTheme="majorHAnsi" w:cstheme="majorHAnsi"/>
          <w:sz w:val="22"/>
          <w:szCs w:val="22"/>
        </w:rPr>
        <w:t xml:space="preserve">67 </w:t>
      </w:r>
      <w:r w:rsidR="008A29EA" w:rsidRPr="00736F0A">
        <w:rPr>
          <w:rFonts w:asciiTheme="majorHAnsi" w:eastAsia="Calibri" w:hAnsiTheme="majorHAnsi" w:cstheme="majorHAnsi"/>
          <w:sz w:val="22"/>
          <w:szCs w:val="22"/>
        </w:rPr>
        <w:t xml:space="preserve">(7.44%) </w:t>
      </w:r>
      <w:r w:rsidR="00AD79BC" w:rsidRPr="00736F0A">
        <w:rPr>
          <w:rFonts w:asciiTheme="majorHAnsi" w:eastAsia="Calibri" w:hAnsiTheme="majorHAnsi" w:cstheme="majorHAnsi"/>
          <w:sz w:val="22"/>
          <w:szCs w:val="22"/>
        </w:rPr>
        <w:t xml:space="preserve">incidents of retained parts of instruments and </w:t>
      </w:r>
      <w:r w:rsidR="007144ED" w:rsidRPr="00736F0A">
        <w:rPr>
          <w:rFonts w:asciiTheme="majorHAnsi" w:eastAsia="Calibri" w:hAnsiTheme="majorHAnsi" w:cstheme="majorHAnsi"/>
          <w:sz w:val="22"/>
          <w:szCs w:val="22"/>
        </w:rPr>
        <w:t xml:space="preserve">48 </w:t>
      </w:r>
      <w:r w:rsidR="008A29EA" w:rsidRPr="00736F0A">
        <w:rPr>
          <w:rFonts w:asciiTheme="majorHAnsi" w:eastAsia="Calibri" w:hAnsiTheme="majorHAnsi" w:cstheme="majorHAnsi"/>
          <w:sz w:val="22"/>
          <w:szCs w:val="22"/>
        </w:rPr>
        <w:t xml:space="preserve">(5.33%) </w:t>
      </w:r>
      <w:r w:rsidR="00AD79BC" w:rsidRPr="00736F0A">
        <w:rPr>
          <w:rFonts w:asciiTheme="majorHAnsi" w:eastAsia="Calibri" w:hAnsiTheme="majorHAnsi" w:cstheme="majorHAnsi"/>
          <w:sz w:val="22"/>
          <w:szCs w:val="22"/>
        </w:rPr>
        <w:t>retained instruments</w:t>
      </w:r>
      <w:r w:rsidR="008A29EA" w:rsidRPr="00736F0A">
        <w:rPr>
          <w:rFonts w:asciiTheme="majorHAnsi" w:eastAsia="Calibri" w:hAnsiTheme="majorHAnsi" w:cstheme="majorHAnsi"/>
          <w:sz w:val="22"/>
          <w:szCs w:val="22"/>
        </w:rPr>
        <w:t xml:space="preserve">. </w:t>
      </w:r>
      <w:r w:rsidR="00E91FD9" w:rsidRPr="00736F0A">
        <w:rPr>
          <w:rFonts w:asciiTheme="majorHAnsi" w:eastAsia="Calibri" w:hAnsiTheme="majorHAnsi" w:cstheme="majorHAnsi"/>
          <w:sz w:val="22"/>
          <w:szCs w:val="22"/>
        </w:rPr>
        <w:t>Wrong intraocular lenses (</w:t>
      </w:r>
      <w:r w:rsidR="00FF535F" w:rsidRPr="00736F0A">
        <w:rPr>
          <w:rFonts w:asciiTheme="majorHAnsi" w:eastAsia="Calibri" w:hAnsiTheme="majorHAnsi" w:cstheme="majorHAnsi"/>
          <w:sz w:val="22"/>
          <w:szCs w:val="22"/>
        </w:rPr>
        <w:t xml:space="preserve">165; 38.82%) </w:t>
      </w:r>
      <w:r w:rsidR="00E91FD9" w:rsidRPr="00736F0A">
        <w:rPr>
          <w:rFonts w:asciiTheme="majorHAnsi" w:eastAsia="Calibri" w:hAnsiTheme="majorHAnsi" w:cstheme="majorHAnsi"/>
          <w:sz w:val="22"/>
          <w:szCs w:val="22"/>
        </w:rPr>
        <w:t>were the most common wrong implants followed by wrong hip prostheses (</w:t>
      </w:r>
      <w:r w:rsidR="006A5504" w:rsidRPr="00736F0A">
        <w:rPr>
          <w:rFonts w:asciiTheme="majorHAnsi" w:eastAsia="Calibri" w:hAnsiTheme="majorHAnsi" w:cstheme="majorHAnsi"/>
          <w:sz w:val="22"/>
          <w:szCs w:val="22"/>
        </w:rPr>
        <w:t>n=</w:t>
      </w:r>
      <w:r w:rsidR="00E142BD" w:rsidRPr="00736F0A">
        <w:rPr>
          <w:rFonts w:asciiTheme="majorHAnsi" w:eastAsia="Calibri" w:hAnsiTheme="majorHAnsi" w:cstheme="majorHAnsi"/>
          <w:sz w:val="22"/>
          <w:szCs w:val="22"/>
        </w:rPr>
        <w:t xml:space="preserve">94; 22.11%) </w:t>
      </w:r>
      <w:r w:rsidR="00E91FD9" w:rsidRPr="00736F0A">
        <w:rPr>
          <w:rFonts w:asciiTheme="majorHAnsi" w:eastAsia="Calibri" w:hAnsiTheme="majorHAnsi" w:cstheme="majorHAnsi"/>
          <w:sz w:val="22"/>
          <w:szCs w:val="22"/>
        </w:rPr>
        <w:t>and wrong knee</w:t>
      </w:r>
      <w:r w:rsidRPr="00736F0A">
        <w:rPr>
          <w:rFonts w:asciiTheme="majorHAnsi" w:eastAsia="Calibri" w:hAnsiTheme="majorHAnsi" w:cstheme="majorHAnsi"/>
          <w:sz w:val="22"/>
          <w:szCs w:val="22"/>
        </w:rPr>
        <w:t>s</w:t>
      </w:r>
      <w:r w:rsidR="00E91FD9" w:rsidRPr="00736F0A">
        <w:rPr>
          <w:rFonts w:asciiTheme="majorHAnsi" w:eastAsia="Calibri" w:hAnsiTheme="majorHAnsi" w:cstheme="majorHAnsi"/>
          <w:sz w:val="22"/>
          <w:szCs w:val="22"/>
        </w:rPr>
        <w:t xml:space="preserve"> (</w:t>
      </w:r>
      <w:r w:rsidR="006A5504" w:rsidRPr="00736F0A">
        <w:rPr>
          <w:rFonts w:asciiTheme="majorHAnsi" w:eastAsia="Calibri" w:hAnsiTheme="majorHAnsi" w:cstheme="majorHAnsi"/>
          <w:sz w:val="22"/>
          <w:szCs w:val="22"/>
        </w:rPr>
        <w:t>n=</w:t>
      </w:r>
      <w:r w:rsidR="00E142BD" w:rsidRPr="00736F0A">
        <w:rPr>
          <w:rFonts w:asciiTheme="majorHAnsi" w:eastAsia="Calibri" w:hAnsiTheme="majorHAnsi" w:cstheme="majorHAnsi"/>
          <w:sz w:val="22"/>
          <w:szCs w:val="22"/>
        </w:rPr>
        <w:t>91; 21.41%).</w:t>
      </w:r>
    </w:p>
    <w:p w14:paraId="00000008" w14:textId="1AA23FE6" w:rsidR="004B4687" w:rsidRPr="00736F0A" w:rsidRDefault="00940080" w:rsidP="00AB3CD4">
      <w:pPr>
        <w:widowControl w:val="0"/>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   </w:t>
      </w:r>
      <w:r w:rsidR="00493C2C" w:rsidRPr="00736F0A">
        <w:rPr>
          <w:rFonts w:asciiTheme="majorHAnsi" w:eastAsia="Calibri" w:hAnsiTheme="majorHAnsi" w:cstheme="majorHAnsi"/>
          <w:sz w:val="22"/>
          <w:szCs w:val="22"/>
        </w:rPr>
        <w:t xml:space="preserve">Non-surgical events accounted for </w:t>
      </w:r>
      <w:r w:rsidR="006A5504" w:rsidRPr="00736F0A">
        <w:rPr>
          <w:rFonts w:asciiTheme="majorHAnsi" w:eastAsia="Calibri" w:hAnsiTheme="majorHAnsi" w:cstheme="majorHAnsi"/>
          <w:sz w:val="22"/>
          <w:szCs w:val="22"/>
        </w:rPr>
        <w:t xml:space="preserve">18.9% </w:t>
      </w:r>
      <w:r w:rsidR="006429A8" w:rsidRPr="00736F0A">
        <w:rPr>
          <w:rFonts w:asciiTheme="majorHAnsi" w:eastAsia="Calibri" w:hAnsiTheme="majorHAnsi" w:cstheme="majorHAnsi"/>
          <w:sz w:val="22"/>
          <w:szCs w:val="22"/>
        </w:rPr>
        <w:t>(</w:t>
      </w:r>
      <w:r w:rsidR="006A5504" w:rsidRPr="00736F0A">
        <w:rPr>
          <w:rFonts w:asciiTheme="majorHAnsi" w:eastAsia="Calibri" w:hAnsiTheme="majorHAnsi" w:cstheme="majorHAnsi"/>
          <w:sz w:val="22"/>
          <w:szCs w:val="22"/>
        </w:rPr>
        <w:t>n=</w:t>
      </w:r>
      <w:r w:rsidR="00493C2C" w:rsidRPr="00736F0A">
        <w:rPr>
          <w:rFonts w:asciiTheme="majorHAnsi" w:eastAsia="Calibri" w:hAnsiTheme="majorHAnsi" w:cstheme="majorHAnsi"/>
          <w:sz w:val="22"/>
          <w:szCs w:val="22"/>
        </w:rPr>
        <w:t>614</w:t>
      </w:r>
      <w:r w:rsidR="006429A8" w:rsidRPr="00736F0A">
        <w:rPr>
          <w:rFonts w:asciiTheme="majorHAnsi" w:eastAsia="Calibri" w:hAnsiTheme="majorHAnsi" w:cstheme="majorHAnsi"/>
          <w:sz w:val="22"/>
          <w:szCs w:val="22"/>
        </w:rPr>
        <w:t>)</w:t>
      </w:r>
      <w:r w:rsidR="006A5504" w:rsidRPr="00736F0A">
        <w:rPr>
          <w:rFonts w:asciiTheme="majorHAnsi" w:eastAsia="Calibri" w:hAnsiTheme="majorHAnsi" w:cstheme="majorHAnsi"/>
          <w:sz w:val="22"/>
          <w:szCs w:val="22"/>
        </w:rPr>
        <w:t xml:space="preserve"> </w:t>
      </w:r>
      <w:r w:rsidR="00493C2C" w:rsidRPr="00736F0A">
        <w:rPr>
          <w:rFonts w:asciiTheme="majorHAnsi" w:eastAsia="Calibri" w:hAnsiTheme="majorHAnsi" w:cstheme="majorHAnsi"/>
          <w:sz w:val="22"/>
          <w:szCs w:val="22"/>
        </w:rPr>
        <w:t>of the total incidents</w:t>
      </w:r>
      <w:r w:rsidR="006429A8" w:rsidRPr="00736F0A">
        <w:rPr>
          <w:rFonts w:asciiTheme="majorHAnsi" w:eastAsia="Calibri" w:hAnsiTheme="majorHAnsi" w:cstheme="majorHAnsi"/>
          <w:sz w:val="22"/>
          <w:szCs w:val="22"/>
        </w:rPr>
        <w:t xml:space="preserve">. </w:t>
      </w:r>
      <w:r w:rsidR="00857DFA" w:rsidRPr="00736F0A">
        <w:rPr>
          <w:rFonts w:asciiTheme="majorHAnsi" w:eastAsia="Calibri" w:hAnsiTheme="majorHAnsi" w:cstheme="majorHAnsi"/>
          <w:sz w:val="22"/>
          <w:szCs w:val="22"/>
        </w:rPr>
        <w:t>Misplaced naso-or</w:t>
      </w:r>
      <w:r w:rsidR="006C39F4" w:rsidRPr="00736F0A">
        <w:rPr>
          <w:rFonts w:asciiTheme="majorHAnsi" w:eastAsia="Calibri" w:hAnsiTheme="majorHAnsi" w:cstheme="majorHAnsi"/>
          <w:sz w:val="22"/>
          <w:szCs w:val="22"/>
        </w:rPr>
        <w:t xml:space="preserve"> </w:t>
      </w:r>
      <w:r w:rsidR="00857DFA" w:rsidRPr="00736F0A">
        <w:rPr>
          <w:rFonts w:asciiTheme="majorHAnsi" w:eastAsia="Calibri" w:hAnsiTheme="majorHAnsi" w:cstheme="majorHAnsi"/>
          <w:sz w:val="22"/>
          <w:szCs w:val="22"/>
        </w:rPr>
        <w:t xml:space="preserve">orogastric tubes </w:t>
      </w:r>
      <w:r w:rsidR="006A5504" w:rsidRPr="00736F0A">
        <w:rPr>
          <w:rFonts w:asciiTheme="majorHAnsi" w:eastAsia="Calibri" w:hAnsiTheme="majorHAnsi" w:cstheme="majorHAnsi"/>
          <w:sz w:val="22"/>
          <w:szCs w:val="22"/>
        </w:rPr>
        <w:t xml:space="preserve">(n=178;29%) </w:t>
      </w:r>
      <w:r w:rsidR="00857DFA" w:rsidRPr="00736F0A">
        <w:rPr>
          <w:rFonts w:asciiTheme="majorHAnsi" w:eastAsia="Calibri" w:hAnsiTheme="majorHAnsi" w:cstheme="majorHAnsi"/>
          <w:sz w:val="22"/>
          <w:szCs w:val="22"/>
        </w:rPr>
        <w:t>and wrong</w:t>
      </w:r>
      <w:r w:rsidR="00017370" w:rsidRPr="00736F0A">
        <w:rPr>
          <w:rFonts w:asciiTheme="majorHAnsi" w:eastAsia="Calibri" w:hAnsiTheme="majorHAnsi" w:cstheme="majorHAnsi"/>
          <w:sz w:val="22"/>
          <w:szCs w:val="22"/>
        </w:rPr>
        <w:t>-</w:t>
      </w:r>
      <w:r w:rsidR="00857DFA" w:rsidRPr="00736F0A">
        <w:rPr>
          <w:rFonts w:asciiTheme="majorHAnsi" w:eastAsia="Calibri" w:hAnsiTheme="majorHAnsi" w:cstheme="majorHAnsi"/>
          <w:sz w:val="22"/>
          <w:szCs w:val="22"/>
        </w:rPr>
        <w:t xml:space="preserve">route administration of medications were the most common </w:t>
      </w:r>
      <w:r w:rsidR="006A5504" w:rsidRPr="00736F0A">
        <w:rPr>
          <w:rFonts w:asciiTheme="majorHAnsi" w:eastAsia="Calibri" w:hAnsiTheme="majorHAnsi" w:cstheme="majorHAnsi"/>
          <w:sz w:val="22"/>
          <w:szCs w:val="22"/>
        </w:rPr>
        <w:t>events in this category</w:t>
      </w:r>
      <w:r w:rsidR="00857DFA" w:rsidRPr="00736F0A">
        <w:rPr>
          <w:rFonts w:asciiTheme="majorHAnsi" w:eastAsia="Calibri" w:hAnsiTheme="majorHAnsi" w:cstheme="majorHAnsi"/>
          <w:sz w:val="22"/>
          <w:szCs w:val="22"/>
        </w:rPr>
        <w:t xml:space="preserve"> </w:t>
      </w:r>
      <w:r w:rsidR="006A5504" w:rsidRPr="00736F0A">
        <w:rPr>
          <w:rFonts w:asciiTheme="majorHAnsi" w:eastAsia="Calibri" w:hAnsiTheme="majorHAnsi" w:cstheme="majorHAnsi"/>
          <w:sz w:val="22"/>
          <w:szCs w:val="22"/>
        </w:rPr>
        <w:t>(n=</w:t>
      </w:r>
      <w:r w:rsidR="00857DFA" w:rsidRPr="00736F0A">
        <w:rPr>
          <w:rFonts w:asciiTheme="majorHAnsi" w:eastAsia="Calibri" w:hAnsiTheme="majorHAnsi" w:cstheme="majorHAnsi"/>
          <w:sz w:val="22"/>
          <w:szCs w:val="22"/>
        </w:rPr>
        <w:t>111</w:t>
      </w:r>
      <w:r w:rsidR="006C39F4" w:rsidRPr="00736F0A">
        <w:rPr>
          <w:rFonts w:asciiTheme="majorHAnsi" w:eastAsia="Calibri" w:hAnsiTheme="majorHAnsi" w:cstheme="majorHAnsi"/>
          <w:sz w:val="22"/>
          <w:szCs w:val="22"/>
        </w:rPr>
        <w:t>;</w:t>
      </w:r>
      <w:r w:rsidR="007144ED" w:rsidRPr="00736F0A">
        <w:rPr>
          <w:rFonts w:asciiTheme="majorHAnsi" w:eastAsia="Calibri" w:hAnsiTheme="majorHAnsi" w:cstheme="majorHAnsi"/>
          <w:sz w:val="22"/>
          <w:szCs w:val="22"/>
        </w:rPr>
        <w:t>18</w:t>
      </w:r>
      <w:r w:rsidR="006A5504" w:rsidRPr="00736F0A">
        <w:rPr>
          <w:rFonts w:asciiTheme="majorHAnsi" w:eastAsia="Calibri" w:hAnsiTheme="majorHAnsi" w:cstheme="majorHAnsi"/>
          <w:sz w:val="22"/>
          <w:szCs w:val="22"/>
        </w:rPr>
        <w:t xml:space="preserve">%), </w:t>
      </w:r>
      <w:r w:rsidR="00DF7AE1" w:rsidRPr="00736F0A">
        <w:rPr>
          <w:rFonts w:asciiTheme="majorHAnsi" w:eastAsia="Calibri" w:hAnsiTheme="majorHAnsi" w:cstheme="majorHAnsi"/>
          <w:sz w:val="22"/>
          <w:szCs w:val="22"/>
        </w:rPr>
        <w:t xml:space="preserve">followed by </w:t>
      </w:r>
      <w:r w:rsidR="002737C8" w:rsidRPr="00736F0A">
        <w:rPr>
          <w:rFonts w:asciiTheme="majorHAnsi" w:eastAsia="Calibri" w:hAnsiTheme="majorHAnsi" w:cstheme="majorHAnsi"/>
          <w:sz w:val="22"/>
          <w:szCs w:val="22"/>
        </w:rPr>
        <w:t>u</w:t>
      </w:r>
      <w:r w:rsidR="00DF7AE1" w:rsidRPr="00736F0A">
        <w:rPr>
          <w:rFonts w:asciiTheme="majorHAnsi" w:eastAsia="Calibri" w:hAnsiTheme="majorHAnsi" w:cstheme="majorHAnsi"/>
          <w:sz w:val="22"/>
          <w:szCs w:val="22"/>
        </w:rPr>
        <w:t>nintentional connection of a patient requiring oxygen to an air flow-meter</w:t>
      </w:r>
      <w:r w:rsidR="006A5504" w:rsidRPr="00736F0A">
        <w:rPr>
          <w:rFonts w:asciiTheme="majorHAnsi" w:eastAsia="Calibri" w:hAnsiTheme="majorHAnsi" w:cstheme="majorHAnsi"/>
          <w:sz w:val="22"/>
          <w:szCs w:val="22"/>
        </w:rPr>
        <w:t xml:space="preserve"> (n=93; 15%)</w:t>
      </w:r>
      <w:r w:rsidR="0007321F" w:rsidRPr="00736F0A">
        <w:rPr>
          <w:rFonts w:asciiTheme="majorHAnsi" w:eastAsia="Calibri" w:hAnsiTheme="majorHAnsi" w:cstheme="majorHAnsi"/>
          <w:sz w:val="22"/>
          <w:szCs w:val="22"/>
        </w:rPr>
        <w:t>.</w:t>
      </w:r>
    </w:p>
    <w:p w14:paraId="56712F04" w14:textId="78976158" w:rsidR="00B66AF0"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b/>
          <w:sz w:val="22"/>
          <w:szCs w:val="22"/>
        </w:rPr>
        <w:t xml:space="preserve">Conclusion: </w:t>
      </w:r>
      <w:r w:rsidR="00BD6341" w:rsidRPr="00736F0A">
        <w:rPr>
          <w:rFonts w:asciiTheme="majorHAnsi" w:eastAsia="Calibri" w:hAnsiTheme="majorHAnsi" w:cstheme="majorHAnsi"/>
          <w:sz w:val="22"/>
          <w:szCs w:val="22"/>
        </w:rPr>
        <w:t xml:space="preserve">This paper identifies </w:t>
      </w:r>
      <w:r w:rsidRPr="00736F0A">
        <w:rPr>
          <w:rFonts w:asciiTheme="majorHAnsi" w:eastAsia="Calibri" w:hAnsiTheme="majorHAnsi" w:cstheme="majorHAnsi"/>
          <w:sz w:val="22"/>
          <w:szCs w:val="22"/>
        </w:rPr>
        <w:t>common NE</w:t>
      </w:r>
      <w:r w:rsidR="00BD6341" w:rsidRPr="00736F0A">
        <w:rPr>
          <w:rFonts w:asciiTheme="majorHAnsi" w:eastAsia="Calibri" w:hAnsiTheme="majorHAnsi" w:cstheme="majorHAnsi"/>
          <w:sz w:val="22"/>
          <w:szCs w:val="22"/>
        </w:rPr>
        <w:t xml:space="preserve"> </w:t>
      </w:r>
      <w:r w:rsidR="006A5504" w:rsidRPr="00736F0A">
        <w:rPr>
          <w:rFonts w:asciiTheme="majorHAnsi" w:eastAsia="Calibri" w:hAnsiTheme="majorHAnsi" w:cstheme="majorHAnsi"/>
          <w:sz w:val="22"/>
          <w:szCs w:val="22"/>
        </w:rPr>
        <w:t xml:space="preserve">categories and </w:t>
      </w:r>
      <w:r w:rsidR="00BD6341" w:rsidRPr="00736F0A">
        <w:rPr>
          <w:rFonts w:asciiTheme="majorHAnsi" w:eastAsia="Calibri" w:hAnsiTheme="majorHAnsi" w:cstheme="majorHAnsi"/>
          <w:sz w:val="22"/>
          <w:szCs w:val="22"/>
        </w:rPr>
        <w:t>themes</w:t>
      </w:r>
      <w:r w:rsidRPr="00736F0A">
        <w:rPr>
          <w:rFonts w:asciiTheme="majorHAnsi" w:eastAsia="Calibri" w:hAnsiTheme="majorHAnsi" w:cstheme="majorHAnsi"/>
          <w:sz w:val="22"/>
          <w:szCs w:val="22"/>
        </w:rPr>
        <w:t xml:space="preserve">. </w:t>
      </w:r>
      <w:r w:rsidR="007144ED" w:rsidRPr="00736F0A">
        <w:rPr>
          <w:rFonts w:asciiTheme="majorHAnsi" w:eastAsia="Calibri" w:hAnsiTheme="majorHAnsi" w:cstheme="majorHAnsi"/>
          <w:sz w:val="22"/>
          <w:szCs w:val="22"/>
        </w:rPr>
        <w:t>Awareness of these</w:t>
      </w:r>
      <w:r w:rsidRPr="00736F0A">
        <w:rPr>
          <w:rFonts w:asciiTheme="majorHAnsi" w:eastAsia="Calibri" w:hAnsiTheme="majorHAnsi" w:cstheme="majorHAnsi"/>
          <w:sz w:val="22"/>
          <w:szCs w:val="22"/>
        </w:rPr>
        <w:t xml:space="preserve"> might help reduce their incidence. </w:t>
      </w:r>
    </w:p>
    <w:p w14:paraId="627E5DA9" w14:textId="77777777" w:rsidR="000665C1" w:rsidRPr="00736F0A" w:rsidRDefault="000665C1" w:rsidP="00AB3CD4">
      <w:pPr>
        <w:spacing w:after="240" w:line="360" w:lineRule="auto"/>
        <w:jc w:val="both"/>
        <w:rPr>
          <w:rFonts w:asciiTheme="majorHAnsi" w:eastAsia="Calibri" w:hAnsiTheme="majorHAnsi" w:cstheme="majorHAnsi"/>
          <w:sz w:val="22"/>
          <w:szCs w:val="22"/>
        </w:rPr>
      </w:pPr>
    </w:p>
    <w:p w14:paraId="0000000B" w14:textId="0E885009" w:rsidR="004B4687"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b/>
          <w:sz w:val="22"/>
          <w:szCs w:val="22"/>
        </w:rPr>
        <w:t>Key Words:</w:t>
      </w:r>
      <w:r w:rsidRPr="00736F0A">
        <w:rPr>
          <w:rFonts w:asciiTheme="majorHAnsi" w:eastAsia="Calibri" w:hAnsiTheme="majorHAnsi" w:cstheme="majorHAnsi"/>
          <w:sz w:val="22"/>
          <w:szCs w:val="22"/>
        </w:rPr>
        <w:t xml:space="preserve"> Never Events, </w:t>
      </w:r>
      <w:r w:rsidR="00B66AF0" w:rsidRPr="00736F0A">
        <w:rPr>
          <w:rFonts w:asciiTheme="majorHAnsi" w:eastAsia="Calibri" w:hAnsiTheme="majorHAnsi" w:cstheme="majorHAnsi"/>
          <w:sz w:val="22"/>
          <w:szCs w:val="22"/>
        </w:rPr>
        <w:t>Patient safety, Medical errors</w:t>
      </w:r>
    </w:p>
    <w:p w14:paraId="070E5C51" w14:textId="77777777" w:rsidR="00302142" w:rsidRPr="00736F0A" w:rsidRDefault="00302142" w:rsidP="00AB3CD4">
      <w:pPr>
        <w:spacing w:after="240" w:line="360" w:lineRule="auto"/>
        <w:jc w:val="both"/>
        <w:rPr>
          <w:rFonts w:asciiTheme="majorHAnsi" w:eastAsia="Calibri" w:hAnsiTheme="majorHAnsi" w:cstheme="majorHAnsi"/>
          <w:b/>
          <w:sz w:val="22"/>
          <w:szCs w:val="22"/>
        </w:rPr>
      </w:pPr>
    </w:p>
    <w:p w14:paraId="0000000F" w14:textId="77777777" w:rsidR="004B4687" w:rsidRPr="00736F0A" w:rsidRDefault="00940080" w:rsidP="00AB3CD4">
      <w:pPr>
        <w:spacing w:after="240" w:line="360" w:lineRule="auto"/>
        <w:jc w:val="both"/>
        <w:rPr>
          <w:rFonts w:asciiTheme="majorHAnsi" w:eastAsia="Calibri" w:hAnsiTheme="majorHAnsi" w:cstheme="majorHAnsi"/>
          <w:b/>
          <w:sz w:val="22"/>
          <w:szCs w:val="22"/>
        </w:rPr>
      </w:pPr>
      <w:r w:rsidRPr="00736F0A">
        <w:rPr>
          <w:rFonts w:asciiTheme="majorHAnsi" w:eastAsia="Calibri" w:hAnsiTheme="majorHAnsi" w:cstheme="majorHAnsi"/>
          <w:b/>
          <w:sz w:val="22"/>
          <w:szCs w:val="22"/>
        </w:rPr>
        <w:lastRenderedPageBreak/>
        <w:t xml:space="preserve">Introduction: </w:t>
      </w:r>
    </w:p>
    <w:p w14:paraId="00000010" w14:textId="47C1CEB6" w:rsidR="004B4687" w:rsidRPr="00736F0A" w:rsidRDefault="00940080" w:rsidP="00AB3CD4">
      <w:pPr>
        <w:spacing w:after="240" w:line="360" w:lineRule="auto"/>
        <w:jc w:val="both"/>
        <w:rPr>
          <w:rFonts w:asciiTheme="majorHAnsi" w:eastAsia="Calibri" w:hAnsiTheme="majorHAnsi" w:cstheme="majorHAnsi"/>
          <w:b/>
          <w:sz w:val="22"/>
          <w:szCs w:val="22"/>
        </w:rPr>
      </w:pPr>
      <w:r w:rsidRPr="00736F0A">
        <w:rPr>
          <w:rFonts w:asciiTheme="majorHAnsi" w:eastAsia="Calibri" w:hAnsiTheme="majorHAnsi" w:cstheme="majorHAnsi"/>
          <w:sz w:val="22"/>
          <w:szCs w:val="22"/>
        </w:rPr>
        <w:t xml:space="preserve">   Never Events (NE) are defined as ‘serious incidents which could have been prevented if the currently available safety measures had been implemented’.</w:t>
      </w:r>
      <w:r w:rsidRPr="00736F0A">
        <w:rPr>
          <w:rFonts w:asciiTheme="majorHAnsi" w:eastAsia="Calibri" w:hAnsiTheme="majorHAnsi" w:cstheme="majorHAnsi"/>
          <w:sz w:val="22"/>
          <w:szCs w:val="22"/>
          <w:vertAlign w:val="superscript"/>
        </w:rPr>
        <w:t>1, 2</w:t>
      </w:r>
      <w:r w:rsidR="00DE15DF" w:rsidRPr="00736F0A">
        <w:rPr>
          <w:rFonts w:asciiTheme="majorHAnsi" w:eastAsia="Calibri" w:hAnsiTheme="majorHAnsi" w:cstheme="majorHAnsi"/>
          <w:sz w:val="22"/>
          <w:szCs w:val="22"/>
        </w:rPr>
        <w:t xml:space="preserve"> </w:t>
      </w:r>
      <w:r w:rsidRPr="00736F0A">
        <w:rPr>
          <w:rFonts w:asciiTheme="majorHAnsi" w:eastAsia="Calibri" w:hAnsiTheme="majorHAnsi" w:cstheme="majorHAnsi"/>
          <w:sz w:val="22"/>
          <w:szCs w:val="22"/>
        </w:rPr>
        <w:t>The term was first introduced by the National Quality Forum (NQF) of the United States of America in 2001.</w:t>
      </w:r>
      <w:r w:rsidRPr="00736F0A">
        <w:rPr>
          <w:rFonts w:asciiTheme="majorHAnsi" w:eastAsia="Calibri" w:hAnsiTheme="majorHAnsi" w:cstheme="majorHAnsi"/>
          <w:sz w:val="22"/>
          <w:szCs w:val="22"/>
          <w:vertAlign w:val="superscript"/>
        </w:rPr>
        <w:t>3</w:t>
      </w:r>
      <w:r w:rsidRPr="00736F0A">
        <w:rPr>
          <w:rFonts w:asciiTheme="majorHAnsi" w:eastAsia="Calibri" w:hAnsiTheme="majorHAnsi" w:cstheme="majorHAnsi"/>
          <w:sz w:val="22"/>
          <w:szCs w:val="22"/>
        </w:rPr>
        <w:t xml:space="preserve"> In the United Kingdom (UK), the term NE was introduced into National Health Service (NHS) in 2009 by the National Patient Safety Agency (NPSA).</w:t>
      </w:r>
      <w:r w:rsidRPr="00736F0A">
        <w:rPr>
          <w:rFonts w:asciiTheme="majorHAnsi" w:eastAsia="Calibri" w:hAnsiTheme="majorHAnsi" w:cstheme="majorHAnsi"/>
          <w:sz w:val="22"/>
          <w:szCs w:val="22"/>
          <w:vertAlign w:val="superscript"/>
        </w:rPr>
        <w:t>1</w:t>
      </w:r>
      <w:r w:rsidRPr="00736F0A">
        <w:rPr>
          <w:rFonts w:asciiTheme="majorHAnsi" w:eastAsia="Calibri" w:hAnsiTheme="majorHAnsi" w:cstheme="majorHAnsi"/>
          <w:sz w:val="22"/>
          <w:szCs w:val="22"/>
        </w:rPr>
        <w:t xml:space="preserve"> </w:t>
      </w:r>
    </w:p>
    <w:p w14:paraId="00000011" w14:textId="2BB71773" w:rsidR="004B4687" w:rsidRPr="00736F0A" w:rsidRDefault="00940080" w:rsidP="00AB3CD4">
      <w:pPr>
        <w:spacing w:after="240" w:line="360" w:lineRule="auto"/>
        <w:jc w:val="both"/>
        <w:rPr>
          <w:rFonts w:asciiTheme="majorHAnsi" w:eastAsia="Calibri" w:hAnsiTheme="majorHAnsi" w:cstheme="majorHAnsi"/>
          <w:b/>
          <w:sz w:val="22"/>
          <w:szCs w:val="22"/>
        </w:rPr>
      </w:pPr>
      <w:r w:rsidRPr="00736F0A">
        <w:rPr>
          <w:rFonts w:asciiTheme="majorHAnsi" w:eastAsia="Calibri" w:hAnsiTheme="majorHAnsi" w:cstheme="majorHAnsi"/>
          <w:sz w:val="22"/>
          <w:szCs w:val="22"/>
        </w:rPr>
        <w:t xml:space="preserve">   This enhanced focus has led to a global drive to reduce the incidence of NE. In 2009, the World Health Organisation (WHO) published guidelines on safe surgery</w:t>
      </w:r>
      <w:r w:rsidR="006F672E" w:rsidRPr="00736F0A">
        <w:rPr>
          <w:rFonts w:asciiTheme="majorHAnsi" w:eastAsia="Calibri" w:hAnsiTheme="majorHAnsi" w:cstheme="majorHAnsi"/>
          <w:sz w:val="22"/>
          <w:szCs w:val="22"/>
        </w:rPr>
        <w:t xml:space="preserve"> -</w:t>
      </w:r>
      <w:r w:rsidRPr="00736F0A">
        <w:rPr>
          <w:rFonts w:asciiTheme="majorHAnsi" w:eastAsia="Calibri" w:hAnsiTheme="majorHAnsi" w:cstheme="majorHAnsi"/>
          <w:sz w:val="22"/>
          <w:szCs w:val="22"/>
        </w:rPr>
        <w:t xml:space="preserve"> ‘safe surgery saves lives’ </w:t>
      </w:r>
      <w:r w:rsidR="006F672E" w:rsidRPr="00736F0A">
        <w:rPr>
          <w:rFonts w:asciiTheme="majorHAnsi" w:eastAsia="Calibri" w:hAnsiTheme="majorHAnsi" w:cstheme="majorHAnsi"/>
          <w:sz w:val="22"/>
          <w:szCs w:val="22"/>
        </w:rPr>
        <w:t xml:space="preserve">- </w:t>
      </w:r>
      <w:r w:rsidRPr="00736F0A">
        <w:rPr>
          <w:rFonts w:asciiTheme="majorHAnsi" w:eastAsia="Calibri" w:hAnsiTheme="majorHAnsi" w:cstheme="majorHAnsi"/>
          <w:sz w:val="22"/>
          <w:szCs w:val="22"/>
        </w:rPr>
        <w:t>which evolved into the WHO surgical safety checklist.</w:t>
      </w:r>
      <w:r w:rsidRPr="00736F0A">
        <w:rPr>
          <w:rFonts w:asciiTheme="majorHAnsi" w:eastAsia="Calibri" w:hAnsiTheme="majorHAnsi" w:cstheme="majorHAnsi"/>
          <w:sz w:val="22"/>
          <w:szCs w:val="22"/>
          <w:vertAlign w:val="superscript"/>
        </w:rPr>
        <w:t>4</w:t>
      </w:r>
      <w:r w:rsidRPr="00736F0A">
        <w:rPr>
          <w:rFonts w:asciiTheme="majorHAnsi" w:eastAsia="Calibri" w:hAnsiTheme="majorHAnsi" w:cstheme="majorHAnsi"/>
          <w:sz w:val="22"/>
          <w:szCs w:val="22"/>
        </w:rPr>
        <w:t xml:space="preserve"> In England, efforts towards safer healthcare further involved regular updates of NE lists, the annual publication of NE data, and the introduction of preventive measures and checklists into surgical practice. </w:t>
      </w:r>
      <w:r w:rsidRPr="00736F0A">
        <w:rPr>
          <w:rFonts w:asciiTheme="majorHAnsi" w:eastAsia="Calibri" w:hAnsiTheme="majorHAnsi" w:cstheme="majorHAnsi"/>
          <w:sz w:val="22"/>
          <w:szCs w:val="22"/>
          <w:vertAlign w:val="superscript"/>
        </w:rPr>
        <w:t>5-7</w:t>
      </w:r>
    </w:p>
    <w:p w14:paraId="00000012" w14:textId="5F25C8B3" w:rsidR="004B4687" w:rsidRPr="00736F0A" w:rsidRDefault="00940080" w:rsidP="00AB3CD4">
      <w:pPr>
        <w:spacing w:after="240" w:line="360" w:lineRule="auto"/>
        <w:jc w:val="both"/>
        <w:rPr>
          <w:rFonts w:asciiTheme="majorHAnsi" w:eastAsia="Calibri" w:hAnsiTheme="majorHAnsi" w:cstheme="majorHAnsi"/>
          <w:b/>
          <w:sz w:val="22"/>
          <w:szCs w:val="22"/>
        </w:rPr>
      </w:pPr>
      <w:r w:rsidRPr="00736F0A">
        <w:rPr>
          <w:rFonts w:asciiTheme="majorHAnsi" w:eastAsia="Calibri" w:hAnsiTheme="majorHAnsi" w:cstheme="majorHAnsi"/>
          <w:sz w:val="22"/>
          <w:szCs w:val="22"/>
        </w:rPr>
        <w:t xml:space="preserve">   Despite these measures, NEs have remained a major problem for healthcare systems worldwide. In addition to the obvious adverse consequences for the patients, they are also associated with significant implications for the healthcare professionals involved, who can often be the forgotten second victim of these tragic instances </w:t>
      </w:r>
      <w:r w:rsidRPr="00736F0A">
        <w:rPr>
          <w:rFonts w:asciiTheme="majorHAnsi" w:eastAsia="Calibri" w:hAnsiTheme="majorHAnsi" w:cstheme="majorHAnsi"/>
          <w:sz w:val="22"/>
          <w:szCs w:val="22"/>
          <w:vertAlign w:val="superscript"/>
        </w:rPr>
        <w:t>8</w:t>
      </w:r>
      <w:r w:rsidRPr="00736F0A">
        <w:rPr>
          <w:rFonts w:asciiTheme="majorHAnsi" w:eastAsia="Calibri" w:hAnsiTheme="majorHAnsi" w:cstheme="majorHAnsi"/>
          <w:sz w:val="22"/>
          <w:szCs w:val="22"/>
        </w:rPr>
        <w:t>. Furthermore, NE can place a heavy reputational and financial burden on healthcare provider organisations.</w:t>
      </w:r>
      <w:r w:rsidRPr="00736F0A">
        <w:rPr>
          <w:rFonts w:asciiTheme="majorHAnsi" w:eastAsia="Calibri" w:hAnsiTheme="majorHAnsi" w:cstheme="majorHAnsi"/>
          <w:sz w:val="22"/>
          <w:szCs w:val="22"/>
          <w:vertAlign w:val="superscript"/>
        </w:rPr>
        <w:t>9</w:t>
      </w:r>
    </w:p>
    <w:p w14:paraId="1FD65B20" w14:textId="77777777" w:rsidR="00BD6341"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   There is currently a paucity of data and awareness regarding the most frequent themes when it comes to NEs. Attempts to identify common NE for individual specialities are often hampered by the low numbers of such events </w:t>
      </w:r>
      <w:r w:rsidRPr="00736F0A">
        <w:rPr>
          <w:rFonts w:asciiTheme="majorHAnsi" w:eastAsia="Calibri" w:hAnsiTheme="majorHAnsi" w:cstheme="majorHAnsi"/>
          <w:sz w:val="22"/>
          <w:szCs w:val="22"/>
          <w:vertAlign w:val="superscript"/>
        </w:rPr>
        <w:t>10, 11</w:t>
      </w:r>
      <w:r w:rsidRPr="00736F0A">
        <w:rPr>
          <w:rFonts w:asciiTheme="majorHAnsi" w:eastAsia="Calibri" w:hAnsiTheme="majorHAnsi" w:cstheme="majorHAnsi"/>
          <w:sz w:val="22"/>
          <w:szCs w:val="22"/>
        </w:rPr>
        <w:t>. National databases of reported NE can be particularly useful for this purpose. To the best of our knowledge, there is no published analysis of all the NE data within a large national or regional database to identify common themes.</w:t>
      </w:r>
    </w:p>
    <w:p w14:paraId="00000014" w14:textId="746404F5" w:rsidR="004B4687"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  </w:t>
      </w:r>
      <w:r w:rsidR="004861D2" w:rsidRPr="00736F0A">
        <w:rPr>
          <w:rFonts w:asciiTheme="majorHAnsi" w:eastAsia="Calibri" w:hAnsiTheme="majorHAnsi" w:cstheme="majorHAnsi"/>
          <w:sz w:val="22"/>
          <w:szCs w:val="22"/>
        </w:rPr>
        <w:t xml:space="preserve">Lack of this specific knowledge of common NE </w:t>
      </w:r>
      <w:r w:rsidR="00BD6341" w:rsidRPr="00736F0A">
        <w:rPr>
          <w:rFonts w:asciiTheme="majorHAnsi" w:eastAsia="Calibri" w:hAnsiTheme="majorHAnsi" w:cstheme="majorHAnsi"/>
          <w:sz w:val="22"/>
          <w:szCs w:val="22"/>
        </w:rPr>
        <w:t xml:space="preserve">themes </w:t>
      </w:r>
      <w:r w:rsidR="004861D2" w:rsidRPr="00736F0A">
        <w:rPr>
          <w:rFonts w:asciiTheme="majorHAnsi" w:eastAsia="Calibri" w:hAnsiTheme="majorHAnsi" w:cstheme="majorHAnsi"/>
          <w:sz w:val="22"/>
          <w:szCs w:val="22"/>
        </w:rPr>
        <w:t>may have hampered our efforts to reduce their incidence. The purpose of this study was to analyse NE data published by NHS England from April 2012 to February 2020 to identify common themes.</w:t>
      </w:r>
    </w:p>
    <w:p w14:paraId="00000015" w14:textId="77777777" w:rsidR="004B4687" w:rsidRPr="00736F0A" w:rsidRDefault="004B4687" w:rsidP="00AB3CD4">
      <w:pPr>
        <w:spacing w:after="240" w:line="360" w:lineRule="auto"/>
        <w:jc w:val="both"/>
        <w:rPr>
          <w:rFonts w:asciiTheme="majorHAnsi" w:eastAsia="Calibri" w:hAnsiTheme="majorHAnsi" w:cstheme="majorHAnsi"/>
          <w:b/>
          <w:sz w:val="22"/>
          <w:szCs w:val="22"/>
        </w:rPr>
      </w:pPr>
    </w:p>
    <w:p w14:paraId="00000016" w14:textId="77777777" w:rsidR="004B4687" w:rsidRPr="00736F0A" w:rsidRDefault="004B4687" w:rsidP="00AB3CD4">
      <w:pPr>
        <w:spacing w:after="240" w:line="360" w:lineRule="auto"/>
        <w:jc w:val="both"/>
        <w:rPr>
          <w:rFonts w:asciiTheme="majorHAnsi" w:eastAsia="Calibri" w:hAnsiTheme="majorHAnsi" w:cstheme="majorHAnsi"/>
          <w:b/>
          <w:sz w:val="22"/>
          <w:szCs w:val="22"/>
        </w:rPr>
      </w:pPr>
    </w:p>
    <w:p w14:paraId="54C2A04B" w14:textId="77777777" w:rsidR="001A534E" w:rsidRPr="00736F0A" w:rsidRDefault="001A534E" w:rsidP="00AB3CD4">
      <w:pPr>
        <w:spacing w:after="240" w:line="360" w:lineRule="auto"/>
        <w:jc w:val="both"/>
        <w:rPr>
          <w:rFonts w:asciiTheme="majorHAnsi" w:eastAsia="Calibri" w:hAnsiTheme="majorHAnsi" w:cstheme="majorHAnsi"/>
          <w:b/>
          <w:sz w:val="22"/>
          <w:szCs w:val="22"/>
        </w:rPr>
      </w:pPr>
    </w:p>
    <w:p w14:paraId="498C3463" w14:textId="77777777" w:rsidR="001A534E" w:rsidRPr="00736F0A" w:rsidRDefault="001A534E" w:rsidP="00AB3CD4">
      <w:pPr>
        <w:spacing w:after="240" w:line="360" w:lineRule="auto"/>
        <w:jc w:val="both"/>
        <w:rPr>
          <w:rFonts w:asciiTheme="majorHAnsi" w:eastAsia="Calibri" w:hAnsiTheme="majorHAnsi" w:cstheme="majorHAnsi"/>
          <w:b/>
          <w:sz w:val="22"/>
          <w:szCs w:val="22"/>
        </w:rPr>
      </w:pPr>
    </w:p>
    <w:p w14:paraId="22C29D52" w14:textId="77777777" w:rsidR="001A534E" w:rsidRPr="00736F0A" w:rsidRDefault="001A534E" w:rsidP="00AB3CD4">
      <w:pPr>
        <w:spacing w:after="240" w:line="360" w:lineRule="auto"/>
        <w:jc w:val="both"/>
        <w:rPr>
          <w:rFonts w:asciiTheme="majorHAnsi" w:eastAsia="Calibri" w:hAnsiTheme="majorHAnsi" w:cstheme="majorHAnsi"/>
          <w:b/>
          <w:sz w:val="22"/>
          <w:szCs w:val="22"/>
        </w:rPr>
      </w:pPr>
    </w:p>
    <w:p w14:paraId="00000018" w14:textId="2FF8214F" w:rsidR="004B4687" w:rsidRPr="00736F0A" w:rsidRDefault="00940080" w:rsidP="00AB3CD4">
      <w:pPr>
        <w:spacing w:after="240" w:line="360" w:lineRule="auto"/>
        <w:jc w:val="both"/>
        <w:rPr>
          <w:rFonts w:asciiTheme="majorHAnsi" w:eastAsia="Calibri" w:hAnsiTheme="majorHAnsi" w:cstheme="majorHAnsi"/>
          <w:b/>
          <w:sz w:val="22"/>
          <w:szCs w:val="22"/>
        </w:rPr>
      </w:pPr>
      <w:r w:rsidRPr="00736F0A">
        <w:rPr>
          <w:rFonts w:asciiTheme="majorHAnsi" w:eastAsia="Calibri" w:hAnsiTheme="majorHAnsi" w:cstheme="majorHAnsi"/>
          <w:b/>
          <w:sz w:val="22"/>
          <w:szCs w:val="22"/>
        </w:rPr>
        <w:lastRenderedPageBreak/>
        <w:t>Methods:</w:t>
      </w:r>
    </w:p>
    <w:p w14:paraId="1913D847" w14:textId="188A1E25" w:rsidR="00862858" w:rsidRPr="00736F0A" w:rsidRDefault="00940080" w:rsidP="00C31ED8">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      Within the National Health Service (NHS) of the UK, healthcare professionals are required by regulators to report all adverse clinical incid</w:t>
      </w:r>
      <w:r w:rsidR="00C84933" w:rsidRPr="00736F0A">
        <w:rPr>
          <w:rFonts w:asciiTheme="majorHAnsi" w:eastAsia="Calibri" w:hAnsiTheme="majorHAnsi" w:cstheme="majorHAnsi"/>
          <w:sz w:val="22"/>
          <w:szCs w:val="22"/>
        </w:rPr>
        <w:t xml:space="preserve">ents, including the ones that meet the criteria for being NE, </w:t>
      </w:r>
      <w:r w:rsidRPr="00736F0A">
        <w:rPr>
          <w:rFonts w:asciiTheme="majorHAnsi" w:eastAsia="Calibri" w:hAnsiTheme="majorHAnsi" w:cstheme="majorHAnsi"/>
          <w:sz w:val="22"/>
          <w:szCs w:val="22"/>
        </w:rPr>
        <w:t xml:space="preserve">to the National Reporting and Learning System (NRLS). Each clinical area in each healthcare provider institution has a Clinical Governance (CG) lead, who is responsible for ensuring that these incidents are reported as and when they happen and that, appropriate mechanisms are in place for prevention. The ultimate responsibility rests with the Medical Directors </w:t>
      </w:r>
      <w:r w:rsidR="006F672E" w:rsidRPr="00736F0A">
        <w:rPr>
          <w:rFonts w:asciiTheme="majorHAnsi" w:eastAsia="Calibri" w:hAnsiTheme="majorHAnsi" w:cstheme="majorHAnsi"/>
          <w:sz w:val="22"/>
          <w:szCs w:val="22"/>
        </w:rPr>
        <w:t xml:space="preserve">of institutions </w:t>
      </w:r>
      <w:r w:rsidRPr="00736F0A">
        <w:rPr>
          <w:rFonts w:asciiTheme="majorHAnsi" w:eastAsia="Calibri" w:hAnsiTheme="majorHAnsi" w:cstheme="majorHAnsi"/>
          <w:sz w:val="22"/>
          <w:szCs w:val="22"/>
        </w:rPr>
        <w:t xml:space="preserve">who are also assisted by </w:t>
      </w:r>
      <w:r w:rsidR="006F672E" w:rsidRPr="00736F0A">
        <w:rPr>
          <w:rFonts w:asciiTheme="majorHAnsi" w:eastAsia="Calibri" w:hAnsiTheme="majorHAnsi" w:cstheme="majorHAnsi"/>
          <w:sz w:val="22"/>
          <w:szCs w:val="22"/>
        </w:rPr>
        <w:t xml:space="preserve">the </w:t>
      </w:r>
      <w:r w:rsidRPr="00736F0A">
        <w:rPr>
          <w:rFonts w:asciiTheme="majorHAnsi" w:eastAsia="Calibri" w:hAnsiTheme="majorHAnsi" w:cstheme="majorHAnsi"/>
          <w:sz w:val="22"/>
          <w:szCs w:val="22"/>
        </w:rPr>
        <w:t xml:space="preserve">safety leads in this task. General Medical Council (GMC), the regulator of all doctors working in the UK, has further made it clear through its “Duty of Candour” that all doctors </w:t>
      </w:r>
      <w:r w:rsidR="006F672E" w:rsidRPr="00736F0A">
        <w:rPr>
          <w:rFonts w:asciiTheme="majorHAnsi" w:eastAsia="Calibri" w:hAnsiTheme="majorHAnsi" w:cstheme="majorHAnsi"/>
          <w:sz w:val="22"/>
          <w:szCs w:val="22"/>
        </w:rPr>
        <w:t>should not just</w:t>
      </w:r>
      <w:r w:rsidRPr="00736F0A">
        <w:rPr>
          <w:rFonts w:asciiTheme="majorHAnsi" w:eastAsia="Calibri" w:hAnsiTheme="majorHAnsi" w:cstheme="majorHAnsi"/>
          <w:sz w:val="22"/>
          <w:szCs w:val="22"/>
        </w:rPr>
        <w:t xml:space="preserve"> report such incidents but also share them transparently with the patients. The system is further overseen by</w:t>
      </w:r>
      <w:r w:rsidR="006F672E" w:rsidRPr="00736F0A">
        <w:rPr>
          <w:rFonts w:asciiTheme="majorHAnsi" w:eastAsia="Calibri" w:hAnsiTheme="majorHAnsi" w:cstheme="majorHAnsi"/>
          <w:sz w:val="22"/>
          <w:szCs w:val="22"/>
        </w:rPr>
        <w:t xml:space="preserve"> local commissioners who oversee</w:t>
      </w:r>
      <w:r w:rsidRPr="00736F0A">
        <w:rPr>
          <w:rFonts w:asciiTheme="majorHAnsi" w:eastAsia="Calibri" w:hAnsiTheme="majorHAnsi" w:cstheme="majorHAnsi"/>
          <w:sz w:val="22"/>
          <w:szCs w:val="22"/>
        </w:rPr>
        <w:t xml:space="preserve"> the hospital funds</w:t>
      </w:r>
      <w:r w:rsidR="006F672E" w:rsidRPr="00736F0A">
        <w:rPr>
          <w:rFonts w:asciiTheme="majorHAnsi" w:eastAsia="Calibri" w:hAnsiTheme="majorHAnsi" w:cstheme="majorHAnsi"/>
          <w:sz w:val="22"/>
          <w:szCs w:val="22"/>
        </w:rPr>
        <w:t xml:space="preserve"> and Care Quality Commission (CQC), who monitor the quality of care provided by the individual trust</w:t>
      </w:r>
      <w:r w:rsidRPr="00736F0A">
        <w:rPr>
          <w:rFonts w:asciiTheme="majorHAnsi" w:eastAsia="Calibri" w:hAnsiTheme="majorHAnsi" w:cstheme="majorHAnsi"/>
          <w:sz w:val="22"/>
          <w:szCs w:val="22"/>
        </w:rPr>
        <w:t xml:space="preserve">. </w:t>
      </w:r>
      <w:r w:rsidR="008573C4" w:rsidRPr="00736F0A">
        <w:rPr>
          <w:rFonts w:asciiTheme="majorHAnsi" w:eastAsia="Calibri" w:hAnsiTheme="majorHAnsi" w:cstheme="majorHAnsi"/>
          <w:sz w:val="22"/>
          <w:szCs w:val="22"/>
        </w:rPr>
        <w:t>Indeed,</w:t>
      </w:r>
      <w:r w:rsidRPr="00736F0A">
        <w:rPr>
          <w:rFonts w:asciiTheme="majorHAnsi" w:eastAsia="Calibri" w:hAnsiTheme="majorHAnsi" w:cstheme="majorHAnsi"/>
          <w:sz w:val="22"/>
          <w:szCs w:val="22"/>
        </w:rPr>
        <w:t xml:space="preserve"> the penalties for n</w:t>
      </w:r>
      <w:r w:rsidR="00C84933" w:rsidRPr="00736F0A">
        <w:rPr>
          <w:rFonts w:asciiTheme="majorHAnsi" w:eastAsia="Calibri" w:hAnsiTheme="majorHAnsi" w:cstheme="majorHAnsi"/>
          <w:sz w:val="22"/>
          <w:szCs w:val="22"/>
        </w:rPr>
        <w:t>ot reporting NEs</w:t>
      </w:r>
      <w:r w:rsidRPr="00736F0A">
        <w:rPr>
          <w:rFonts w:asciiTheme="majorHAnsi" w:eastAsia="Calibri" w:hAnsiTheme="majorHAnsi" w:cstheme="majorHAnsi"/>
          <w:sz w:val="22"/>
          <w:szCs w:val="22"/>
        </w:rPr>
        <w:t xml:space="preserve"> honestly are harsh for individual doctors, clinical managers, and the institutions involved. </w:t>
      </w:r>
      <w:r w:rsidR="008573C4" w:rsidRPr="00736F0A">
        <w:rPr>
          <w:rFonts w:asciiTheme="majorHAnsi" w:eastAsia="Calibri" w:hAnsiTheme="majorHAnsi" w:cstheme="majorHAnsi"/>
          <w:sz w:val="22"/>
          <w:szCs w:val="22"/>
        </w:rPr>
        <w:t>Each year, after local incident investigation and national analysis of data, NHS England publishes a final whole-year report</w:t>
      </w:r>
      <w:r w:rsidR="006F672E" w:rsidRPr="00736F0A">
        <w:rPr>
          <w:rFonts w:asciiTheme="majorHAnsi" w:eastAsia="Calibri" w:hAnsiTheme="majorHAnsi" w:cstheme="majorHAnsi"/>
          <w:sz w:val="22"/>
          <w:szCs w:val="22"/>
        </w:rPr>
        <w:t>.</w:t>
      </w:r>
    </w:p>
    <w:p w14:paraId="7781932B" w14:textId="06A388A1" w:rsidR="00C31ED8" w:rsidRPr="00736F0A" w:rsidRDefault="00940080" w:rsidP="00C31ED8">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To avoid any duplicate, any possible 'Never Events' reported via NRLS since April 2013 have been passed by NHS England to commissioners, who were asked to discuss with the relevant provider organisations and either confirm this was not a Never Event or to ensure the incident was reported as a Never Event on the STEIS system. This process means that once this confirmation has been received STEIS can be considered as a reliable and complete data source.</w:t>
      </w:r>
    </w:p>
    <w:p w14:paraId="51A4EAD1" w14:textId="3377A296" w:rsidR="008573C4" w:rsidRPr="00736F0A" w:rsidRDefault="00940080" w:rsidP="00C31ED8">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Furthermore, there have been some significant changes to the data collection process over the years. The NE policy and framework and the NE list were revised in March 2015 and the definition of what constituted a NE was amended to include the potential to cause serious harm/death rather than actual harm. The NE list was further revised on 1</w:t>
      </w:r>
      <w:r w:rsidRPr="00736F0A">
        <w:rPr>
          <w:rFonts w:asciiTheme="majorHAnsi" w:eastAsia="Calibri" w:hAnsiTheme="majorHAnsi" w:cstheme="majorHAnsi"/>
          <w:sz w:val="22"/>
          <w:szCs w:val="22"/>
          <w:vertAlign w:val="superscript"/>
        </w:rPr>
        <w:t>st</w:t>
      </w:r>
      <w:r w:rsidRPr="00736F0A">
        <w:rPr>
          <w:rFonts w:asciiTheme="majorHAnsi" w:eastAsia="Calibri" w:hAnsiTheme="majorHAnsi" w:cstheme="majorHAnsi"/>
          <w:sz w:val="22"/>
          <w:szCs w:val="22"/>
        </w:rPr>
        <w:t xml:space="preserve"> February 2018 to include changes to some of the definitions and the addition of new categories of NE. Data from the 2019/2020 report was extracted on 11 March 2020 to cover the period between 1 April 2019 and 29 February 2020 whereas the data for previous years included the month of March within them.  </w:t>
      </w:r>
      <w:r w:rsidR="005B1981" w:rsidRPr="00736F0A">
        <w:rPr>
          <w:rFonts w:asciiTheme="majorHAnsi" w:eastAsia="Calibri" w:hAnsiTheme="majorHAnsi" w:cstheme="majorHAnsi"/>
          <w:sz w:val="22"/>
          <w:szCs w:val="22"/>
        </w:rPr>
        <w:t>All these factors mean that the individual annual reports are not directly comparable.</w:t>
      </w:r>
    </w:p>
    <w:p w14:paraId="0000001A" w14:textId="681C1E2C" w:rsidR="004B4687"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In this paper, we analyse</w:t>
      </w:r>
      <w:r w:rsidR="004861D2" w:rsidRPr="00736F0A">
        <w:rPr>
          <w:rFonts w:asciiTheme="majorHAnsi" w:eastAsia="Calibri" w:hAnsiTheme="majorHAnsi" w:cstheme="majorHAnsi"/>
          <w:sz w:val="22"/>
          <w:szCs w:val="22"/>
        </w:rPr>
        <w:t xml:space="preserve"> NHS England NE data from 2012 to 2020. </w:t>
      </w:r>
      <w:r w:rsidR="00746E68" w:rsidRPr="00736F0A">
        <w:rPr>
          <w:rFonts w:asciiTheme="majorHAnsi" w:eastAsia="Calibri" w:hAnsiTheme="majorHAnsi" w:cstheme="majorHAnsi"/>
          <w:sz w:val="22"/>
          <w:szCs w:val="22"/>
        </w:rPr>
        <w:t>Data</w:t>
      </w:r>
      <w:r w:rsidR="004861D2" w:rsidRPr="00736F0A">
        <w:rPr>
          <w:rFonts w:asciiTheme="majorHAnsi" w:eastAsia="Calibri" w:hAnsiTheme="majorHAnsi" w:cstheme="majorHAnsi"/>
          <w:sz w:val="22"/>
          <w:szCs w:val="22"/>
        </w:rPr>
        <w:t xml:space="preserve"> w</w:t>
      </w:r>
      <w:r w:rsidR="00746E68" w:rsidRPr="00736F0A">
        <w:rPr>
          <w:rFonts w:asciiTheme="majorHAnsi" w:eastAsia="Calibri" w:hAnsiTheme="majorHAnsi" w:cstheme="majorHAnsi"/>
          <w:sz w:val="22"/>
          <w:szCs w:val="22"/>
        </w:rPr>
        <w:t xml:space="preserve">ere </w:t>
      </w:r>
      <w:r w:rsidR="004861D2" w:rsidRPr="00736F0A">
        <w:rPr>
          <w:rFonts w:asciiTheme="majorHAnsi" w:eastAsia="Calibri" w:hAnsiTheme="majorHAnsi" w:cstheme="majorHAnsi"/>
          <w:sz w:val="22"/>
          <w:szCs w:val="22"/>
        </w:rPr>
        <w:t>tabulated in four major categories. An attempt was then made to</w:t>
      </w:r>
      <w:r w:rsidR="00F9794A" w:rsidRPr="00736F0A">
        <w:rPr>
          <w:rFonts w:asciiTheme="majorHAnsi" w:eastAsia="Calibri" w:hAnsiTheme="majorHAnsi" w:cstheme="majorHAnsi"/>
          <w:sz w:val="22"/>
          <w:szCs w:val="22"/>
        </w:rPr>
        <w:t xml:space="preserve"> </w:t>
      </w:r>
      <w:r w:rsidR="004861D2" w:rsidRPr="00736F0A">
        <w:rPr>
          <w:rFonts w:asciiTheme="majorHAnsi" w:eastAsia="Calibri" w:hAnsiTheme="majorHAnsi" w:cstheme="majorHAnsi"/>
          <w:sz w:val="22"/>
          <w:szCs w:val="22"/>
        </w:rPr>
        <w:t>identify common</w:t>
      </w:r>
      <w:r w:rsidR="00F9794A" w:rsidRPr="00736F0A">
        <w:rPr>
          <w:rFonts w:asciiTheme="majorHAnsi" w:eastAsia="Calibri" w:hAnsiTheme="majorHAnsi" w:cstheme="majorHAnsi"/>
          <w:sz w:val="22"/>
          <w:szCs w:val="22"/>
        </w:rPr>
        <w:t xml:space="preserve"> </w:t>
      </w:r>
      <w:r w:rsidR="004861D2" w:rsidRPr="00736F0A">
        <w:rPr>
          <w:rFonts w:asciiTheme="majorHAnsi" w:eastAsia="Calibri" w:hAnsiTheme="majorHAnsi" w:cstheme="majorHAnsi"/>
          <w:sz w:val="22"/>
          <w:szCs w:val="22"/>
        </w:rPr>
        <w:t xml:space="preserve">themes in each of the </w:t>
      </w:r>
      <w:r w:rsidR="00F9794A" w:rsidRPr="00736F0A">
        <w:rPr>
          <w:rFonts w:asciiTheme="majorHAnsi" w:eastAsia="Calibri" w:hAnsiTheme="majorHAnsi" w:cstheme="majorHAnsi"/>
          <w:sz w:val="22"/>
          <w:szCs w:val="22"/>
        </w:rPr>
        <w:t>categori</w:t>
      </w:r>
      <w:r w:rsidR="004861D2" w:rsidRPr="00736F0A">
        <w:rPr>
          <w:rFonts w:asciiTheme="majorHAnsi" w:eastAsia="Calibri" w:hAnsiTheme="majorHAnsi" w:cstheme="majorHAnsi"/>
          <w:sz w:val="22"/>
          <w:szCs w:val="22"/>
        </w:rPr>
        <w:t>es.</w:t>
      </w:r>
      <w:r w:rsidRPr="00736F0A">
        <w:rPr>
          <w:rFonts w:asciiTheme="majorHAnsi" w:eastAsia="Calibri" w:hAnsiTheme="majorHAnsi" w:cstheme="majorHAnsi"/>
          <w:sz w:val="22"/>
          <w:szCs w:val="22"/>
        </w:rPr>
        <w:t xml:space="preserve"> We focussed on themes rather than the absolute numbers of events for two reasons. Firstly, because of the changes in the methodology of the reporting system</w:t>
      </w:r>
      <w:r w:rsidR="00987172" w:rsidRPr="00736F0A">
        <w:rPr>
          <w:rFonts w:asciiTheme="majorHAnsi" w:eastAsia="Calibri" w:hAnsiTheme="majorHAnsi" w:cstheme="majorHAnsi"/>
          <w:sz w:val="22"/>
          <w:szCs w:val="22"/>
        </w:rPr>
        <w:t xml:space="preserve"> as detailed above</w:t>
      </w:r>
      <w:r w:rsidRPr="00736F0A">
        <w:rPr>
          <w:rFonts w:asciiTheme="majorHAnsi" w:eastAsia="Calibri" w:hAnsiTheme="majorHAnsi" w:cstheme="majorHAnsi"/>
          <w:sz w:val="22"/>
          <w:szCs w:val="22"/>
        </w:rPr>
        <w:t xml:space="preserve">, the annual trends of each </w:t>
      </w:r>
      <w:r w:rsidRPr="00736F0A">
        <w:rPr>
          <w:rFonts w:asciiTheme="majorHAnsi" w:eastAsia="Calibri" w:hAnsiTheme="majorHAnsi" w:cstheme="majorHAnsi"/>
          <w:sz w:val="22"/>
          <w:szCs w:val="22"/>
        </w:rPr>
        <w:lastRenderedPageBreak/>
        <w:t>individual category may not be reliable and secondly, it can never be guaranteed in any healthcare system that all such events have been reported though we have one of the most robust systems for this in the UK.</w:t>
      </w:r>
    </w:p>
    <w:p w14:paraId="0000001C" w14:textId="392326DE" w:rsidR="004B4687" w:rsidRPr="00736F0A" w:rsidRDefault="00940080" w:rsidP="00CA2C0F">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 T</w:t>
      </w:r>
      <w:r w:rsidR="004B13A0" w:rsidRPr="00736F0A">
        <w:rPr>
          <w:rFonts w:asciiTheme="majorHAnsi" w:eastAsia="Calibri" w:hAnsiTheme="majorHAnsi" w:cstheme="majorHAnsi"/>
          <w:sz w:val="22"/>
          <w:szCs w:val="22"/>
        </w:rPr>
        <w:t>o be able to focus on important themes</w:t>
      </w:r>
      <w:r w:rsidR="000A2014" w:rsidRPr="00736F0A">
        <w:rPr>
          <w:rFonts w:asciiTheme="majorHAnsi" w:eastAsia="Calibri" w:hAnsiTheme="majorHAnsi" w:cstheme="majorHAnsi"/>
          <w:sz w:val="22"/>
          <w:szCs w:val="22"/>
        </w:rPr>
        <w:t>,</w:t>
      </w:r>
      <w:r w:rsidRPr="00736F0A">
        <w:rPr>
          <w:rFonts w:asciiTheme="majorHAnsi" w:eastAsia="Calibri" w:hAnsiTheme="majorHAnsi" w:cstheme="majorHAnsi"/>
          <w:sz w:val="22"/>
          <w:szCs w:val="22"/>
        </w:rPr>
        <w:t xml:space="preserve"> NE reported</w:t>
      </w:r>
      <w:r w:rsidR="004B13A0" w:rsidRPr="00736F0A">
        <w:rPr>
          <w:rFonts w:asciiTheme="majorHAnsi" w:eastAsia="Calibri" w:hAnsiTheme="majorHAnsi" w:cstheme="majorHAnsi"/>
          <w:sz w:val="22"/>
          <w:szCs w:val="22"/>
        </w:rPr>
        <w:t xml:space="preserve"> ≤ 5 times during the entire</w:t>
      </w:r>
      <w:r w:rsidRPr="00736F0A">
        <w:rPr>
          <w:rFonts w:asciiTheme="majorHAnsi" w:eastAsia="Calibri" w:hAnsiTheme="majorHAnsi" w:cstheme="majorHAnsi"/>
          <w:sz w:val="22"/>
          <w:szCs w:val="22"/>
        </w:rPr>
        <w:t xml:space="preserve"> study period were grouped i</w:t>
      </w:r>
      <w:r w:rsidR="004B13A0" w:rsidRPr="00736F0A">
        <w:rPr>
          <w:rFonts w:asciiTheme="majorHAnsi" w:eastAsia="Calibri" w:hAnsiTheme="majorHAnsi" w:cstheme="majorHAnsi"/>
          <w:sz w:val="22"/>
          <w:szCs w:val="22"/>
        </w:rPr>
        <w:t>n the miscellaneous category</w:t>
      </w:r>
      <w:r w:rsidRPr="00736F0A">
        <w:rPr>
          <w:rFonts w:asciiTheme="majorHAnsi" w:eastAsia="Calibri" w:hAnsiTheme="majorHAnsi" w:cstheme="majorHAnsi"/>
          <w:sz w:val="22"/>
          <w:szCs w:val="22"/>
        </w:rPr>
        <w:t xml:space="preserve"> for analysis of wrong-site surgery and non-surgical NEs. While analysing retained objects, all guidewires were grouped together. While analysing retained objects and wrong implants, events reported ≤ 3 times during the </w:t>
      </w:r>
      <w:r w:rsidR="004B13A0" w:rsidRPr="00736F0A">
        <w:rPr>
          <w:rFonts w:asciiTheme="majorHAnsi" w:eastAsia="Calibri" w:hAnsiTheme="majorHAnsi" w:cstheme="majorHAnsi"/>
          <w:sz w:val="22"/>
          <w:szCs w:val="22"/>
        </w:rPr>
        <w:t xml:space="preserve">entire </w:t>
      </w:r>
      <w:r w:rsidRPr="00736F0A">
        <w:rPr>
          <w:rFonts w:asciiTheme="majorHAnsi" w:eastAsia="Calibri" w:hAnsiTheme="majorHAnsi" w:cstheme="majorHAnsi"/>
          <w:sz w:val="22"/>
          <w:szCs w:val="22"/>
        </w:rPr>
        <w:t>study period were categorised</w:t>
      </w:r>
      <w:r w:rsidR="000B5D3D" w:rsidRPr="00736F0A">
        <w:rPr>
          <w:rFonts w:asciiTheme="majorHAnsi" w:eastAsia="Calibri" w:hAnsiTheme="majorHAnsi" w:cstheme="majorHAnsi"/>
          <w:sz w:val="22"/>
          <w:szCs w:val="22"/>
        </w:rPr>
        <w:t xml:space="preserve"> </w:t>
      </w:r>
      <w:r w:rsidRPr="00736F0A">
        <w:rPr>
          <w:rFonts w:asciiTheme="majorHAnsi" w:eastAsia="Calibri" w:hAnsiTheme="majorHAnsi" w:cstheme="majorHAnsi"/>
          <w:sz w:val="22"/>
          <w:szCs w:val="22"/>
        </w:rPr>
        <w:t>as miscellaneous</w:t>
      </w:r>
      <w:r w:rsidRPr="00736F0A">
        <w:rPr>
          <w:rFonts w:asciiTheme="majorHAnsi" w:eastAsia="Calibri" w:hAnsiTheme="majorHAnsi" w:cstheme="majorHAnsi"/>
          <w:b/>
          <w:sz w:val="22"/>
          <w:szCs w:val="22"/>
        </w:rPr>
        <w:t xml:space="preserve">. </w:t>
      </w:r>
      <w:r w:rsidRPr="00736F0A">
        <w:rPr>
          <w:rFonts w:asciiTheme="majorHAnsi" w:eastAsia="Calibri" w:hAnsiTheme="majorHAnsi" w:cstheme="majorHAnsi"/>
          <w:sz w:val="22"/>
          <w:szCs w:val="22"/>
        </w:rPr>
        <w:t xml:space="preserve">For the wrong surgery category, some events that were only reported once during the study period were assigned to appropriate general themes. </w:t>
      </w:r>
      <w:r w:rsidR="004B13A0" w:rsidRPr="00736F0A">
        <w:rPr>
          <w:rFonts w:asciiTheme="majorHAnsi" w:eastAsia="Calibri" w:hAnsiTheme="majorHAnsi" w:cstheme="majorHAnsi"/>
          <w:sz w:val="22"/>
          <w:szCs w:val="22"/>
        </w:rPr>
        <w:t>All this information is also presented below each table for further clarity.</w:t>
      </w:r>
    </w:p>
    <w:p w14:paraId="0000001D" w14:textId="77777777" w:rsidR="004B4687" w:rsidRPr="00736F0A" w:rsidRDefault="004B4687" w:rsidP="00AB3CD4">
      <w:pPr>
        <w:spacing w:after="240" w:line="360" w:lineRule="auto"/>
        <w:jc w:val="both"/>
        <w:rPr>
          <w:rFonts w:asciiTheme="majorHAnsi" w:eastAsia="Calibri" w:hAnsiTheme="majorHAnsi" w:cstheme="majorHAnsi"/>
          <w:sz w:val="22"/>
          <w:szCs w:val="22"/>
        </w:rPr>
      </w:pPr>
    </w:p>
    <w:p w14:paraId="57B23822" w14:textId="77777777" w:rsidR="00A02FED" w:rsidRPr="00736F0A" w:rsidRDefault="00A02FED" w:rsidP="00AB3CD4">
      <w:pPr>
        <w:spacing w:after="240" w:line="360" w:lineRule="auto"/>
        <w:jc w:val="both"/>
        <w:rPr>
          <w:rFonts w:asciiTheme="majorHAnsi" w:eastAsia="Calibri" w:hAnsiTheme="majorHAnsi" w:cstheme="majorHAnsi"/>
          <w:b/>
          <w:sz w:val="22"/>
          <w:szCs w:val="22"/>
        </w:rPr>
      </w:pPr>
    </w:p>
    <w:p w14:paraId="6B2057AD" w14:textId="77777777" w:rsidR="00A02FED" w:rsidRPr="00736F0A" w:rsidRDefault="00A02FED" w:rsidP="00AB3CD4">
      <w:pPr>
        <w:spacing w:after="240" w:line="360" w:lineRule="auto"/>
        <w:jc w:val="both"/>
        <w:rPr>
          <w:rFonts w:asciiTheme="majorHAnsi" w:eastAsia="Calibri" w:hAnsiTheme="majorHAnsi" w:cstheme="majorHAnsi"/>
          <w:b/>
          <w:sz w:val="22"/>
          <w:szCs w:val="22"/>
        </w:rPr>
      </w:pPr>
    </w:p>
    <w:p w14:paraId="52D07431" w14:textId="77777777" w:rsidR="00A02FED" w:rsidRPr="00736F0A" w:rsidRDefault="00A02FED" w:rsidP="00AB3CD4">
      <w:pPr>
        <w:spacing w:after="240" w:line="360" w:lineRule="auto"/>
        <w:jc w:val="both"/>
        <w:rPr>
          <w:rFonts w:asciiTheme="majorHAnsi" w:eastAsia="Calibri" w:hAnsiTheme="majorHAnsi" w:cstheme="majorHAnsi"/>
          <w:b/>
          <w:sz w:val="22"/>
          <w:szCs w:val="22"/>
        </w:rPr>
      </w:pPr>
    </w:p>
    <w:p w14:paraId="22066ED1" w14:textId="77777777" w:rsidR="00A02FED" w:rsidRPr="00736F0A" w:rsidRDefault="00A02FED" w:rsidP="00AB3CD4">
      <w:pPr>
        <w:spacing w:after="240" w:line="360" w:lineRule="auto"/>
        <w:jc w:val="both"/>
        <w:rPr>
          <w:rFonts w:asciiTheme="majorHAnsi" w:eastAsia="Calibri" w:hAnsiTheme="majorHAnsi" w:cstheme="majorHAnsi"/>
          <w:b/>
          <w:sz w:val="22"/>
          <w:szCs w:val="22"/>
        </w:rPr>
      </w:pPr>
    </w:p>
    <w:p w14:paraId="6BD61ACB" w14:textId="77777777" w:rsidR="00A02FED" w:rsidRPr="00736F0A" w:rsidRDefault="00A02FED" w:rsidP="00AB3CD4">
      <w:pPr>
        <w:spacing w:after="240" w:line="360" w:lineRule="auto"/>
        <w:jc w:val="both"/>
        <w:rPr>
          <w:rFonts w:asciiTheme="majorHAnsi" w:eastAsia="Calibri" w:hAnsiTheme="majorHAnsi" w:cstheme="majorHAnsi"/>
          <w:b/>
          <w:sz w:val="22"/>
          <w:szCs w:val="22"/>
        </w:rPr>
      </w:pPr>
    </w:p>
    <w:p w14:paraId="0FCED9E8" w14:textId="77777777" w:rsidR="00A02FED" w:rsidRPr="00736F0A" w:rsidRDefault="00A02FED" w:rsidP="00AB3CD4">
      <w:pPr>
        <w:spacing w:after="240" w:line="360" w:lineRule="auto"/>
        <w:jc w:val="both"/>
        <w:rPr>
          <w:rFonts w:asciiTheme="majorHAnsi" w:eastAsia="Calibri" w:hAnsiTheme="majorHAnsi" w:cstheme="majorHAnsi"/>
          <w:b/>
          <w:sz w:val="22"/>
          <w:szCs w:val="22"/>
        </w:rPr>
      </w:pPr>
    </w:p>
    <w:p w14:paraId="0D8A4C03" w14:textId="77777777" w:rsidR="00A02FED" w:rsidRPr="00736F0A" w:rsidRDefault="00A02FED" w:rsidP="00AB3CD4">
      <w:pPr>
        <w:spacing w:after="240" w:line="360" w:lineRule="auto"/>
        <w:jc w:val="both"/>
        <w:rPr>
          <w:rFonts w:asciiTheme="majorHAnsi" w:eastAsia="Calibri" w:hAnsiTheme="majorHAnsi" w:cstheme="majorHAnsi"/>
          <w:b/>
          <w:sz w:val="22"/>
          <w:szCs w:val="22"/>
        </w:rPr>
      </w:pPr>
    </w:p>
    <w:p w14:paraId="0D92C172" w14:textId="77777777" w:rsidR="00A02FED" w:rsidRPr="00736F0A" w:rsidRDefault="00A02FED" w:rsidP="00AB3CD4">
      <w:pPr>
        <w:spacing w:after="240" w:line="360" w:lineRule="auto"/>
        <w:jc w:val="both"/>
        <w:rPr>
          <w:rFonts w:asciiTheme="majorHAnsi" w:eastAsia="Calibri" w:hAnsiTheme="majorHAnsi" w:cstheme="majorHAnsi"/>
          <w:b/>
          <w:sz w:val="22"/>
          <w:szCs w:val="22"/>
        </w:rPr>
      </w:pPr>
    </w:p>
    <w:p w14:paraId="5213E849" w14:textId="77777777" w:rsidR="00A02FED" w:rsidRPr="00736F0A" w:rsidRDefault="00A02FED" w:rsidP="00AB3CD4">
      <w:pPr>
        <w:spacing w:after="240" w:line="360" w:lineRule="auto"/>
        <w:jc w:val="both"/>
        <w:rPr>
          <w:rFonts w:asciiTheme="majorHAnsi" w:eastAsia="Calibri" w:hAnsiTheme="majorHAnsi" w:cstheme="majorHAnsi"/>
          <w:b/>
          <w:sz w:val="22"/>
          <w:szCs w:val="22"/>
        </w:rPr>
      </w:pPr>
    </w:p>
    <w:p w14:paraId="60C3295C" w14:textId="77777777" w:rsidR="00A02FED" w:rsidRPr="00736F0A" w:rsidRDefault="00A02FED" w:rsidP="00AB3CD4">
      <w:pPr>
        <w:spacing w:after="240" w:line="360" w:lineRule="auto"/>
        <w:jc w:val="both"/>
        <w:rPr>
          <w:rFonts w:asciiTheme="majorHAnsi" w:eastAsia="Calibri" w:hAnsiTheme="majorHAnsi" w:cstheme="majorHAnsi"/>
          <w:b/>
          <w:sz w:val="22"/>
          <w:szCs w:val="22"/>
        </w:rPr>
      </w:pPr>
    </w:p>
    <w:p w14:paraId="3A169D64" w14:textId="77777777" w:rsidR="00A02FED" w:rsidRPr="00736F0A" w:rsidRDefault="00A02FED" w:rsidP="00AB3CD4">
      <w:pPr>
        <w:spacing w:after="240" w:line="360" w:lineRule="auto"/>
        <w:jc w:val="both"/>
        <w:rPr>
          <w:rFonts w:asciiTheme="majorHAnsi" w:eastAsia="Calibri" w:hAnsiTheme="majorHAnsi" w:cstheme="majorHAnsi"/>
          <w:b/>
          <w:sz w:val="22"/>
          <w:szCs w:val="22"/>
        </w:rPr>
      </w:pPr>
    </w:p>
    <w:p w14:paraId="10A0DF8C" w14:textId="1496E932" w:rsidR="00A02FED" w:rsidRDefault="00A02FED" w:rsidP="00AB3CD4">
      <w:pPr>
        <w:spacing w:after="240" w:line="360" w:lineRule="auto"/>
        <w:jc w:val="both"/>
        <w:rPr>
          <w:rFonts w:asciiTheme="majorHAnsi" w:eastAsia="Calibri" w:hAnsiTheme="majorHAnsi" w:cstheme="majorHAnsi"/>
          <w:b/>
          <w:sz w:val="22"/>
          <w:szCs w:val="22"/>
        </w:rPr>
      </w:pPr>
    </w:p>
    <w:p w14:paraId="7C7CCEC5" w14:textId="77777777" w:rsidR="00CA2C0F" w:rsidRPr="00736F0A" w:rsidRDefault="00CA2C0F" w:rsidP="00AB3CD4">
      <w:pPr>
        <w:spacing w:after="240" w:line="360" w:lineRule="auto"/>
        <w:jc w:val="both"/>
        <w:rPr>
          <w:rFonts w:asciiTheme="majorHAnsi" w:eastAsia="Calibri" w:hAnsiTheme="majorHAnsi" w:cstheme="majorHAnsi"/>
          <w:b/>
          <w:sz w:val="22"/>
          <w:szCs w:val="22"/>
        </w:rPr>
      </w:pPr>
    </w:p>
    <w:p w14:paraId="06ACA5A6" w14:textId="77777777" w:rsidR="00A02FED" w:rsidRPr="00736F0A" w:rsidRDefault="00A02FED" w:rsidP="00AB3CD4">
      <w:pPr>
        <w:spacing w:after="240" w:line="360" w:lineRule="auto"/>
        <w:jc w:val="both"/>
        <w:rPr>
          <w:rFonts w:asciiTheme="majorHAnsi" w:eastAsia="Calibri" w:hAnsiTheme="majorHAnsi" w:cstheme="majorHAnsi"/>
          <w:b/>
          <w:sz w:val="22"/>
          <w:szCs w:val="22"/>
        </w:rPr>
      </w:pPr>
    </w:p>
    <w:p w14:paraId="0000001F" w14:textId="77777777" w:rsidR="004B4687" w:rsidRPr="00736F0A" w:rsidRDefault="00940080" w:rsidP="00AB3CD4">
      <w:pPr>
        <w:spacing w:after="240" w:line="360" w:lineRule="auto"/>
        <w:jc w:val="both"/>
        <w:rPr>
          <w:rFonts w:asciiTheme="majorHAnsi" w:eastAsia="Calibri" w:hAnsiTheme="majorHAnsi" w:cstheme="majorHAnsi"/>
          <w:b/>
          <w:sz w:val="22"/>
          <w:szCs w:val="22"/>
        </w:rPr>
      </w:pPr>
      <w:r w:rsidRPr="00736F0A">
        <w:rPr>
          <w:rFonts w:asciiTheme="majorHAnsi" w:eastAsia="Calibri" w:hAnsiTheme="majorHAnsi" w:cstheme="majorHAnsi"/>
          <w:b/>
          <w:sz w:val="22"/>
          <w:szCs w:val="22"/>
        </w:rPr>
        <w:lastRenderedPageBreak/>
        <w:t>Results:</w:t>
      </w:r>
    </w:p>
    <w:p w14:paraId="00000021" w14:textId="6F20B545" w:rsidR="004B4687"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   </w:t>
      </w:r>
      <w:r w:rsidR="00302142" w:rsidRPr="00736F0A">
        <w:rPr>
          <w:rFonts w:asciiTheme="majorHAnsi" w:eastAsia="Calibri" w:hAnsiTheme="majorHAnsi" w:cstheme="majorHAnsi"/>
          <w:sz w:val="22"/>
          <w:szCs w:val="22"/>
        </w:rPr>
        <w:t>A total of 3247 NEs reported to NHS England between April 2012 and February 2020</w:t>
      </w:r>
      <w:r w:rsidR="006F672E" w:rsidRPr="00736F0A">
        <w:rPr>
          <w:rFonts w:asciiTheme="majorHAnsi" w:eastAsia="Calibri" w:hAnsiTheme="majorHAnsi" w:cstheme="majorHAnsi"/>
          <w:sz w:val="22"/>
          <w:szCs w:val="22"/>
        </w:rPr>
        <w:t xml:space="preserve"> were analysed. We identified 51</w:t>
      </w:r>
      <w:r w:rsidR="00302142" w:rsidRPr="00736F0A">
        <w:rPr>
          <w:rFonts w:asciiTheme="majorHAnsi" w:eastAsia="Calibri" w:hAnsiTheme="majorHAnsi" w:cstheme="majorHAnsi"/>
          <w:sz w:val="22"/>
          <w:szCs w:val="22"/>
        </w:rPr>
        <w:t xml:space="preserve"> common NE themes in 4 main categories. </w:t>
      </w:r>
      <w:r w:rsidRPr="00736F0A">
        <w:rPr>
          <w:rFonts w:asciiTheme="majorHAnsi" w:eastAsia="Calibri" w:hAnsiTheme="majorHAnsi" w:cstheme="majorHAnsi"/>
          <w:sz w:val="22"/>
          <w:szCs w:val="22"/>
        </w:rPr>
        <w:t xml:space="preserve">Table 1 shows </w:t>
      </w:r>
      <w:r w:rsidR="00DE15DF" w:rsidRPr="00736F0A">
        <w:rPr>
          <w:rFonts w:asciiTheme="majorHAnsi" w:eastAsia="Calibri" w:hAnsiTheme="majorHAnsi" w:cstheme="majorHAnsi"/>
          <w:sz w:val="22"/>
          <w:szCs w:val="22"/>
        </w:rPr>
        <w:t>all the</w:t>
      </w:r>
      <w:r w:rsidRPr="00736F0A">
        <w:rPr>
          <w:rFonts w:asciiTheme="majorHAnsi" w:eastAsia="Calibri" w:hAnsiTheme="majorHAnsi" w:cstheme="majorHAnsi"/>
          <w:sz w:val="22"/>
          <w:szCs w:val="22"/>
        </w:rPr>
        <w:t xml:space="preserve"> NEs broken down into </w:t>
      </w:r>
      <w:r w:rsidR="00FC31CC" w:rsidRPr="00736F0A">
        <w:rPr>
          <w:rFonts w:asciiTheme="majorHAnsi" w:eastAsia="Calibri" w:hAnsiTheme="majorHAnsi" w:cstheme="majorHAnsi"/>
          <w:sz w:val="22"/>
          <w:szCs w:val="22"/>
        </w:rPr>
        <w:t>four main</w:t>
      </w:r>
      <w:r w:rsidRPr="00736F0A">
        <w:rPr>
          <w:rFonts w:asciiTheme="majorHAnsi" w:eastAsia="Calibri" w:hAnsiTheme="majorHAnsi" w:cstheme="majorHAnsi"/>
          <w:sz w:val="22"/>
          <w:szCs w:val="22"/>
        </w:rPr>
        <w:t xml:space="preserve"> categories. </w:t>
      </w:r>
      <w:r w:rsidR="00302142" w:rsidRPr="00736F0A">
        <w:rPr>
          <w:rFonts w:asciiTheme="majorHAnsi" w:eastAsia="Calibri" w:hAnsiTheme="majorHAnsi" w:cstheme="majorHAnsi"/>
          <w:sz w:val="22"/>
          <w:szCs w:val="22"/>
        </w:rPr>
        <w:t>Overall, W</w:t>
      </w:r>
      <w:r w:rsidRPr="00736F0A">
        <w:rPr>
          <w:rFonts w:asciiTheme="majorHAnsi" w:eastAsia="Calibri" w:hAnsiTheme="majorHAnsi" w:cstheme="majorHAnsi"/>
          <w:sz w:val="22"/>
          <w:szCs w:val="22"/>
        </w:rPr>
        <w:t>rong-site surgery was the most common NE category</w:t>
      </w:r>
      <w:r w:rsidR="00302142" w:rsidRPr="00736F0A">
        <w:rPr>
          <w:rFonts w:asciiTheme="majorHAnsi" w:eastAsia="Calibri" w:hAnsiTheme="majorHAnsi" w:cstheme="majorHAnsi"/>
          <w:sz w:val="22"/>
          <w:szCs w:val="22"/>
        </w:rPr>
        <w:t xml:space="preserve"> (n= 1307; 40.25%) followed by R</w:t>
      </w:r>
      <w:r w:rsidRPr="00736F0A">
        <w:rPr>
          <w:rFonts w:asciiTheme="majorHAnsi" w:eastAsia="Calibri" w:hAnsiTheme="majorHAnsi" w:cstheme="majorHAnsi"/>
          <w:sz w:val="22"/>
          <w:szCs w:val="22"/>
        </w:rPr>
        <w:t>etained fore</w:t>
      </w:r>
      <w:r w:rsidR="00FC31CC" w:rsidRPr="00736F0A">
        <w:rPr>
          <w:rFonts w:asciiTheme="majorHAnsi" w:eastAsia="Calibri" w:hAnsiTheme="majorHAnsi" w:cstheme="majorHAnsi"/>
          <w:sz w:val="22"/>
          <w:szCs w:val="22"/>
        </w:rPr>
        <w:t xml:space="preserve">ign objects (n= 901; 27.7%); </w:t>
      </w:r>
      <w:r w:rsidR="00302142" w:rsidRPr="00736F0A">
        <w:rPr>
          <w:rFonts w:asciiTheme="majorHAnsi" w:eastAsia="Calibri" w:hAnsiTheme="majorHAnsi" w:cstheme="majorHAnsi"/>
          <w:sz w:val="22"/>
          <w:szCs w:val="22"/>
        </w:rPr>
        <w:t>W</w:t>
      </w:r>
      <w:r w:rsidRPr="00736F0A">
        <w:rPr>
          <w:rFonts w:asciiTheme="majorHAnsi" w:eastAsia="Calibri" w:hAnsiTheme="majorHAnsi" w:cstheme="majorHAnsi"/>
          <w:sz w:val="22"/>
          <w:szCs w:val="22"/>
        </w:rPr>
        <w:t>rong implant or prosthesis (n= 425; 13.</w:t>
      </w:r>
      <w:r w:rsidR="00612424" w:rsidRPr="00736F0A">
        <w:rPr>
          <w:rFonts w:asciiTheme="majorHAnsi" w:eastAsia="Calibri" w:hAnsiTheme="majorHAnsi" w:cstheme="majorHAnsi"/>
          <w:sz w:val="22"/>
          <w:szCs w:val="22"/>
        </w:rPr>
        <w:t>09</w:t>
      </w:r>
      <w:r w:rsidR="00302142" w:rsidRPr="00736F0A">
        <w:rPr>
          <w:rFonts w:asciiTheme="majorHAnsi" w:eastAsia="Calibri" w:hAnsiTheme="majorHAnsi" w:cstheme="majorHAnsi"/>
          <w:sz w:val="22"/>
          <w:szCs w:val="22"/>
        </w:rPr>
        <w:t>%); and N</w:t>
      </w:r>
      <w:r w:rsidR="00FC31CC" w:rsidRPr="00736F0A">
        <w:rPr>
          <w:rFonts w:asciiTheme="majorHAnsi" w:eastAsia="Calibri" w:hAnsiTheme="majorHAnsi" w:cstheme="majorHAnsi"/>
          <w:sz w:val="22"/>
          <w:szCs w:val="22"/>
        </w:rPr>
        <w:t>on-surgical/ infrequent never events (n= 614; 18.9%)</w:t>
      </w:r>
    </w:p>
    <w:p w14:paraId="00000023" w14:textId="21136918" w:rsidR="004B4687"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   </w:t>
      </w:r>
      <w:r w:rsidR="00302142" w:rsidRPr="00736F0A">
        <w:rPr>
          <w:rFonts w:asciiTheme="majorHAnsi" w:eastAsia="Calibri" w:hAnsiTheme="majorHAnsi" w:cstheme="majorHAnsi"/>
          <w:sz w:val="22"/>
          <w:szCs w:val="22"/>
        </w:rPr>
        <w:t xml:space="preserve"> Table 2 shows the analysis of W</w:t>
      </w:r>
      <w:r w:rsidRPr="00736F0A">
        <w:rPr>
          <w:rFonts w:asciiTheme="majorHAnsi" w:eastAsia="Calibri" w:hAnsiTheme="majorHAnsi" w:cstheme="majorHAnsi"/>
          <w:sz w:val="22"/>
          <w:szCs w:val="22"/>
        </w:rPr>
        <w:t xml:space="preserve">rong-site surgery incidents (n= 1307). </w:t>
      </w:r>
      <w:r w:rsidR="006F672E" w:rsidRPr="00736F0A">
        <w:rPr>
          <w:rFonts w:asciiTheme="majorHAnsi" w:eastAsia="Calibri" w:hAnsiTheme="majorHAnsi" w:cstheme="majorHAnsi"/>
          <w:sz w:val="22"/>
          <w:szCs w:val="22"/>
        </w:rPr>
        <w:t>We identified 20</w:t>
      </w:r>
      <w:r w:rsidR="00DE15DF" w:rsidRPr="00736F0A">
        <w:rPr>
          <w:rFonts w:asciiTheme="majorHAnsi" w:eastAsia="Calibri" w:hAnsiTheme="majorHAnsi" w:cstheme="majorHAnsi"/>
          <w:sz w:val="22"/>
          <w:szCs w:val="22"/>
        </w:rPr>
        <w:t xml:space="preserve"> major themes in this category. </w:t>
      </w:r>
      <w:r w:rsidRPr="00736F0A">
        <w:rPr>
          <w:rFonts w:asciiTheme="majorHAnsi" w:eastAsia="Calibri" w:hAnsiTheme="majorHAnsi" w:cstheme="majorHAnsi"/>
          <w:sz w:val="22"/>
          <w:szCs w:val="22"/>
        </w:rPr>
        <w:t xml:space="preserve">Wrong side (laterality) and wrong tooth removal were the most common wrong-site surgery problems, accounting for </w:t>
      </w:r>
      <w:r w:rsidR="00D20988" w:rsidRPr="00736F0A">
        <w:rPr>
          <w:rFonts w:asciiTheme="majorHAnsi" w:eastAsia="Calibri" w:hAnsiTheme="majorHAnsi" w:cstheme="majorHAnsi"/>
          <w:sz w:val="22"/>
          <w:szCs w:val="22"/>
        </w:rPr>
        <w:t>22.95</w:t>
      </w:r>
      <w:r w:rsidRPr="00736F0A">
        <w:rPr>
          <w:rFonts w:asciiTheme="majorHAnsi" w:eastAsia="Calibri" w:hAnsiTheme="majorHAnsi" w:cstheme="majorHAnsi"/>
          <w:sz w:val="22"/>
          <w:szCs w:val="22"/>
        </w:rPr>
        <w:t xml:space="preserve"> % (n=300) and 20.</w:t>
      </w:r>
      <w:r w:rsidR="00426BF6" w:rsidRPr="00736F0A">
        <w:rPr>
          <w:rFonts w:asciiTheme="majorHAnsi" w:eastAsia="Calibri" w:hAnsiTheme="majorHAnsi" w:cstheme="majorHAnsi"/>
          <w:sz w:val="22"/>
          <w:szCs w:val="22"/>
        </w:rPr>
        <w:t>12</w:t>
      </w:r>
      <w:r w:rsidRPr="00736F0A">
        <w:rPr>
          <w:rFonts w:asciiTheme="majorHAnsi" w:eastAsia="Calibri" w:hAnsiTheme="majorHAnsi" w:cstheme="majorHAnsi"/>
          <w:sz w:val="22"/>
          <w:szCs w:val="22"/>
        </w:rPr>
        <w:t xml:space="preserve"> % (n=263) cases respectively. Since being introduced as a reportable NE in 2015/2016, </w:t>
      </w:r>
      <w:bookmarkStart w:id="2" w:name="_Hlk42450892"/>
      <w:r w:rsidRPr="00736F0A">
        <w:rPr>
          <w:rFonts w:asciiTheme="majorHAnsi" w:eastAsia="Calibri" w:hAnsiTheme="majorHAnsi" w:cstheme="majorHAnsi"/>
          <w:sz w:val="22"/>
          <w:szCs w:val="22"/>
        </w:rPr>
        <w:t>the wrong site block has been a frequent problem accounting for 15</w:t>
      </w:r>
      <w:r w:rsidR="00CE334E" w:rsidRPr="00736F0A">
        <w:rPr>
          <w:rFonts w:asciiTheme="majorHAnsi" w:eastAsia="Calibri" w:hAnsiTheme="majorHAnsi" w:cstheme="majorHAnsi"/>
          <w:sz w:val="22"/>
          <w:szCs w:val="22"/>
        </w:rPr>
        <w:t xml:space="preserve"> % of the total (n=197). </w:t>
      </w:r>
      <w:r w:rsidRPr="00736F0A">
        <w:rPr>
          <w:rFonts w:asciiTheme="majorHAnsi" w:eastAsia="Calibri" w:hAnsiTheme="majorHAnsi" w:cstheme="majorHAnsi"/>
          <w:sz w:val="22"/>
          <w:szCs w:val="22"/>
        </w:rPr>
        <w:t>There were 125 wrong procedures performed accounting for 9.</w:t>
      </w:r>
      <w:r w:rsidR="00E27D82" w:rsidRPr="00736F0A">
        <w:rPr>
          <w:rFonts w:asciiTheme="majorHAnsi" w:eastAsia="Calibri" w:hAnsiTheme="majorHAnsi" w:cstheme="majorHAnsi"/>
          <w:sz w:val="22"/>
          <w:szCs w:val="22"/>
        </w:rPr>
        <w:t>5</w:t>
      </w:r>
      <w:r w:rsidRPr="00736F0A">
        <w:rPr>
          <w:rFonts w:asciiTheme="majorHAnsi" w:eastAsia="Calibri" w:hAnsiTheme="majorHAnsi" w:cstheme="majorHAnsi"/>
          <w:sz w:val="22"/>
          <w:szCs w:val="22"/>
        </w:rPr>
        <w:t>6% of the total wrong-site surgery. Excision of wrong skin lesions has been a frequently reported problem with an overall 96 incidents representing 7.3</w:t>
      </w:r>
      <w:r w:rsidR="00AF6ECC" w:rsidRPr="00736F0A">
        <w:rPr>
          <w:rFonts w:asciiTheme="majorHAnsi" w:eastAsia="Calibri" w:hAnsiTheme="majorHAnsi" w:cstheme="majorHAnsi"/>
          <w:sz w:val="22"/>
          <w:szCs w:val="22"/>
        </w:rPr>
        <w:t>4</w:t>
      </w:r>
      <w:r w:rsidRPr="00736F0A">
        <w:rPr>
          <w:rFonts w:asciiTheme="majorHAnsi" w:eastAsia="Calibri" w:hAnsiTheme="majorHAnsi" w:cstheme="majorHAnsi"/>
          <w:sz w:val="22"/>
          <w:szCs w:val="22"/>
        </w:rPr>
        <w:t>% of the total.</w:t>
      </w:r>
      <w:bookmarkEnd w:id="2"/>
    </w:p>
    <w:p w14:paraId="00000024" w14:textId="057B44FD" w:rsidR="004B4687"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    Table 3 shows R</w:t>
      </w:r>
      <w:r w:rsidR="00E91FD9" w:rsidRPr="00736F0A">
        <w:rPr>
          <w:rFonts w:asciiTheme="majorHAnsi" w:eastAsia="Calibri" w:hAnsiTheme="majorHAnsi" w:cstheme="majorHAnsi"/>
          <w:sz w:val="22"/>
          <w:szCs w:val="22"/>
        </w:rPr>
        <w:t xml:space="preserve">etained foreign objects (n= 901) categorised </w:t>
      </w:r>
      <w:r w:rsidR="00DE15DF" w:rsidRPr="00736F0A">
        <w:rPr>
          <w:rFonts w:asciiTheme="majorHAnsi" w:eastAsia="Calibri" w:hAnsiTheme="majorHAnsi" w:cstheme="majorHAnsi"/>
          <w:sz w:val="22"/>
          <w:szCs w:val="22"/>
        </w:rPr>
        <w:t xml:space="preserve">into 12 themes </w:t>
      </w:r>
      <w:r w:rsidR="00E91FD9" w:rsidRPr="00736F0A">
        <w:rPr>
          <w:rFonts w:asciiTheme="majorHAnsi" w:eastAsia="Calibri" w:hAnsiTheme="majorHAnsi" w:cstheme="majorHAnsi"/>
          <w:sz w:val="22"/>
          <w:szCs w:val="22"/>
        </w:rPr>
        <w:t>according to the object retained. Vaginal swabs were the most commonly retained items (276; 30.6</w:t>
      </w:r>
      <w:r w:rsidR="00E27D82" w:rsidRPr="00736F0A">
        <w:rPr>
          <w:rFonts w:asciiTheme="majorHAnsi" w:eastAsia="Calibri" w:hAnsiTheme="majorHAnsi" w:cstheme="majorHAnsi"/>
          <w:sz w:val="22"/>
          <w:szCs w:val="22"/>
        </w:rPr>
        <w:t>3</w:t>
      </w:r>
      <w:r w:rsidR="00E91FD9" w:rsidRPr="00736F0A">
        <w:rPr>
          <w:rFonts w:asciiTheme="majorHAnsi" w:eastAsia="Calibri" w:hAnsiTheme="majorHAnsi" w:cstheme="majorHAnsi"/>
          <w:sz w:val="22"/>
          <w:szCs w:val="22"/>
        </w:rPr>
        <w:t>%) followed by surgical swabs</w:t>
      </w:r>
      <w:r w:rsidR="00CE334E" w:rsidRPr="00736F0A">
        <w:rPr>
          <w:rFonts w:asciiTheme="majorHAnsi" w:eastAsia="Calibri" w:hAnsiTheme="majorHAnsi" w:cstheme="majorHAnsi"/>
          <w:sz w:val="22"/>
          <w:szCs w:val="22"/>
        </w:rPr>
        <w:t xml:space="preserve"> (164; 18.20%) and guidewires (</w:t>
      </w:r>
      <w:r w:rsidR="00E91FD9" w:rsidRPr="00736F0A">
        <w:rPr>
          <w:rFonts w:asciiTheme="majorHAnsi" w:eastAsia="Calibri" w:hAnsiTheme="majorHAnsi" w:cstheme="majorHAnsi"/>
          <w:sz w:val="22"/>
          <w:szCs w:val="22"/>
        </w:rPr>
        <w:t>152;</w:t>
      </w:r>
      <w:r w:rsidR="00E27D82" w:rsidRPr="00736F0A">
        <w:rPr>
          <w:rFonts w:asciiTheme="majorHAnsi" w:eastAsia="Calibri" w:hAnsiTheme="majorHAnsi" w:cstheme="majorHAnsi"/>
          <w:sz w:val="22"/>
          <w:szCs w:val="22"/>
        </w:rPr>
        <w:t xml:space="preserve"> </w:t>
      </w:r>
      <w:r w:rsidR="00CE334E" w:rsidRPr="00736F0A">
        <w:rPr>
          <w:rFonts w:asciiTheme="majorHAnsi" w:eastAsia="Calibri" w:hAnsiTheme="majorHAnsi" w:cstheme="majorHAnsi"/>
          <w:sz w:val="22"/>
          <w:szCs w:val="22"/>
        </w:rPr>
        <w:t xml:space="preserve">16.87%). </w:t>
      </w:r>
      <w:r w:rsidR="00E91FD9" w:rsidRPr="00736F0A">
        <w:rPr>
          <w:rFonts w:asciiTheme="majorHAnsi" w:eastAsia="Calibri" w:hAnsiTheme="majorHAnsi" w:cstheme="majorHAnsi"/>
          <w:sz w:val="22"/>
          <w:szCs w:val="22"/>
        </w:rPr>
        <w:t>Additionally, there were 67 incidents of retained parts of broken instruments and 48 retained instruments representing 7.4</w:t>
      </w:r>
      <w:r w:rsidR="00C94C89" w:rsidRPr="00736F0A">
        <w:rPr>
          <w:rFonts w:asciiTheme="majorHAnsi" w:eastAsia="Calibri" w:hAnsiTheme="majorHAnsi" w:cstheme="majorHAnsi"/>
          <w:sz w:val="22"/>
          <w:szCs w:val="22"/>
        </w:rPr>
        <w:t>4</w:t>
      </w:r>
      <w:r w:rsidR="00E91FD9" w:rsidRPr="00736F0A">
        <w:rPr>
          <w:rFonts w:asciiTheme="majorHAnsi" w:eastAsia="Calibri" w:hAnsiTheme="majorHAnsi" w:cstheme="majorHAnsi"/>
          <w:sz w:val="22"/>
          <w:szCs w:val="22"/>
        </w:rPr>
        <w:t>% and 5.3</w:t>
      </w:r>
      <w:r w:rsidR="00C94C89" w:rsidRPr="00736F0A">
        <w:rPr>
          <w:rFonts w:asciiTheme="majorHAnsi" w:eastAsia="Calibri" w:hAnsiTheme="majorHAnsi" w:cstheme="majorHAnsi"/>
          <w:sz w:val="22"/>
          <w:szCs w:val="22"/>
        </w:rPr>
        <w:t>3</w:t>
      </w:r>
      <w:r w:rsidR="00E91FD9" w:rsidRPr="00736F0A">
        <w:rPr>
          <w:rFonts w:asciiTheme="majorHAnsi" w:eastAsia="Calibri" w:hAnsiTheme="majorHAnsi" w:cstheme="majorHAnsi"/>
          <w:sz w:val="22"/>
          <w:szCs w:val="22"/>
        </w:rPr>
        <w:t xml:space="preserve">% of the total retained items. </w:t>
      </w:r>
    </w:p>
    <w:p w14:paraId="00000025" w14:textId="137D0BA2" w:rsidR="004B4687"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   Table 4 lists the W</w:t>
      </w:r>
      <w:r w:rsidR="00E91FD9" w:rsidRPr="00736F0A">
        <w:rPr>
          <w:rFonts w:asciiTheme="majorHAnsi" w:eastAsia="Calibri" w:hAnsiTheme="majorHAnsi" w:cstheme="majorHAnsi"/>
          <w:sz w:val="22"/>
          <w:szCs w:val="22"/>
        </w:rPr>
        <w:t>rong implant or prosthesis NE (n= 425)</w:t>
      </w:r>
      <w:r w:rsidR="00DE15DF" w:rsidRPr="00736F0A">
        <w:rPr>
          <w:rFonts w:asciiTheme="majorHAnsi" w:eastAsia="Calibri" w:hAnsiTheme="majorHAnsi" w:cstheme="majorHAnsi"/>
          <w:sz w:val="22"/>
          <w:szCs w:val="22"/>
        </w:rPr>
        <w:t xml:space="preserve"> broken down into 7 themes</w:t>
      </w:r>
      <w:r w:rsidR="00E91FD9" w:rsidRPr="00736F0A">
        <w:rPr>
          <w:rFonts w:asciiTheme="majorHAnsi" w:eastAsia="Calibri" w:hAnsiTheme="majorHAnsi" w:cstheme="majorHAnsi"/>
          <w:sz w:val="22"/>
          <w:szCs w:val="22"/>
        </w:rPr>
        <w:t>. Wrong intraocular lenses were the most common incidents (</w:t>
      </w:r>
      <w:r w:rsidR="00DB0307" w:rsidRPr="00736F0A">
        <w:rPr>
          <w:rFonts w:asciiTheme="majorHAnsi" w:eastAsia="Calibri" w:hAnsiTheme="majorHAnsi" w:cstheme="majorHAnsi"/>
          <w:sz w:val="22"/>
          <w:szCs w:val="22"/>
        </w:rPr>
        <w:t>165</w:t>
      </w:r>
      <w:r w:rsidR="00E91FD9" w:rsidRPr="00736F0A">
        <w:rPr>
          <w:rFonts w:asciiTheme="majorHAnsi" w:eastAsia="Calibri" w:hAnsiTheme="majorHAnsi" w:cstheme="majorHAnsi"/>
          <w:sz w:val="22"/>
          <w:szCs w:val="22"/>
        </w:rPr>
        <w:t xml:space="preserve">; </w:t>
      </w:r>
      <w:r w:rsidR="00DB0307" w:rsidRPr="00736F0A">
        <w:rPr>
          <w:rFonts w:asciiTheme="majorHAnsi" w:eastAsia="Calibri" w:hAnsiTheme="majorHAnsi" w:cstheme="majorHAnsi"/>
          <w:sz w:val="22"/>
          <w:szCs w:val="22"/>
        </w:rPr>
        <w:t>38.82</w:t>
      </w:r>
      <w:r w:rsidR="00E91FD9" w:rsidRPr="00736F0A">
        <w:rPr>
          <w:rFonts w:asciiTheme="majorHAnsi" w:eastAsia="Calibri" w:hAnsiTheme="majorHAnsi" w:cstheme="majorHAnsi"/>
          <w:sz w:val="22"/>
          <w:szCs w:val="22"/>
        </w:rPr>
        <w:t>%), wrong hip prostheses reported in (</w:t>
      </w:r>
      <w:r w:rsidR="00DB0307" w:rsidRPr="00736F0A">
        <w:rPr>
          <w:rFonts w:asciiTheme="majorHAnsi" w:eastAsia="Calibri" w:hAnsiTheme="majorHAnsi" w:cstheme="majorHAnsi"/>
          <w:sz w:val="22"/>
          <w:szCs w:val="22"/>
        </w:rPr>
        <w:t>94</w:t>
      </w:r>
      <w:r w:rsidR="00E91FD9" w:rsidRPr="00736F0A">
        <w:rPr>
          <w:rFonts w:asciiTheme="majorHAnsi" w:eastAsia="Calibri" w:hAnsiTheme="majorHAnsi" w:cstheme="majorHAnsi"/>
          <w:sz w:val="22"/>
          <w:szCs w:val="22"/>
        </w:rPr>
        <w:t xml:space="preserve">; </w:t>
      </w:r>
      <w:r w:rsidR="00DB0307" w:rsidRPr="00736F0A">
        <w:rPr>
          <w:rFonts w:asciiTheme="majorHAnsi" w:eastAsia="Calibri" w:hAnsiTheme="majorHAnsi" w:cstheme="majorHAnsi"/>
          <w:sz w:val="22"/>
          <w:szCs w:val="22"/>
        </w:rPr>
        <w:t>22</w:t>
      </w:r>
      <w:r w:rsidR="00E91FD9" w:rsidRPr="00736F0A">
        <w:rPr>
          <w:rFonts w:asciiTheme="majorHAnsi" w:eastAsia="Calibri" w:hAnsiTheme="majorHAnsi" w:cstheme="majorHAnsi"/>
          <w:sz w:val="22"/>
          <w:szCs w:val="22"/>
        </w:rPr>
        <w:t>.</w:t>
      </w:r>
      <w:r w:rsidR="00DB0307" w:rsidRPr="00736F0A">
        <w:rPr>
          <w:rFonts w:asciiTheme="majorHAnsi" w:eastAsia="Calibri" w:hAnsiTheme="majorHAnsi" w:cstheme="majorHAnsi"/>
          <w:sz w:val="22"/>
          <w:szCs w:val="22"/>
        </w:rPr>
        <w:t>11</w:t>
      </w:r>
      <w:r w:rsidR="00E91FD9" w:rsidRPr="00736F0A">
        <w:rPr>
          <w:rFonts w:asciiTheme="majorHAnsi" w:eastAsia="Calibri" w:hAnsiTheme="majorHAnsi" w:cstheme="majorHAnsi"/>
          <w:sz w:val="22"/>
          <w:szCs w:val="22"/>
        </w:rPr>
        <w:t>%) cases while wrong knee prostheses accounted for (</w:t>
      </w:r>
      <w:r w:rsidR="00DB0307" w:rsidRPr="00736F0A">
        <w:rPr>
          <w:rFonts w:asciiTheme="majorHAnsi" w:eastAsia="Calibri" w:hAnsiTheme="majorHAnsi" w:cstheme="majorHAnsi"/>
          <w:sz w:val="22"/>
          <w:szCs w:val="22"/>
        </w:rPr>
        <w:t>91</w:t>
      </w:r>
      <w:r w:rsidR="00E91FD9" w:rsidRPr="00736F0A">
        <w:rPr>
          <w:rFonts w:asciiTheme="majorHAnsi" w:eastAsia="Calibri" w:hAnsiTheme="majorHAnsi" w:cstheme="majorHAnsi"/>
          <w:sz w:val="22"/>
          <w:szCs w:val="22"/>
        </w:rPr>
        <w:t>; 2</w:t>
      </w:r>
      <w:r w:rsidR="00DB0307" w:rsidRPr="00736F0A">
        <w:rPr>
          <w:rFonts w:asciiTheme="majorHAnsi" w:eastAsia="Calibri" w:hAnsiTheme="majorHAnsi" w:cstheme="majorHAnsi"/>
          <w:sz w:val="22"/>
          <w:szCs w:val="22"/>
        </w:rPr>
        <w:t>1.41</w:t>
      </w:r>
      <w:r w:rsidR="00CE334E" w:rsidRPr="00736F0A">
        <w:rPr>
          <w:rFonts w:asciiTheme="majorHAnsi" w:eastAsia="Calibri" w:hAnsiTheme="majorHAnsi" w:cstheme="majorHAnsi"/>
          <w:sz w:val="22"/>
          <w:szCs w:val="22"/>
        </w:rPr>
        <w:t>%) cases. T</w:t>
      </w:r>
      <w:r w:rsidR="00E91FD9" w:rsidRPr="00736F0A">
        <w:rPr>
          <w:rFonts w:asciiTheme="majorHAnsi" w:eastAsia="Calibri" w:hAnsiTheme="majorHAnsi" w:cstheme="majorHAnsi"/>
          <w:sz w:val="22"/>
          <w:szCs w:val="22"/>
        </w:rPr>
        <w:t>here were 16 wrong intrauterine devices and 1</w:t>
      </w:r>
      <w:r w:rsidR="00DB0307" w:rsidRPr="00736F0A">
        <w:rPr>
          <w:rFonts w:asciiTheme="majorHAnsi" w:eastAsia="Calibri" w:hAnsiTheme="majorHAnsi" w:cstheme="majorHAnsi"/>
          <w:sz w:val="22"/>
          <w:szCs w:val="22"/>
        </w:rPr>
        <w:t>3</w:t>
      </w:r>
      <w:r w:rsidR="00E91FD9" w:rsidRPr="00736F0A">
        <w:rPr>
          <w:rFonts w:asciiTheme="majorHAnsi" w:eastAsia="Calibri" w:hAnsiTheme="majorHAnsi" w:cstheme="majorHAnsi"/>
          <w:sz w:val="22"/>
          <w:szCs w:val="22"/>
        </w:rPr>
        <w:t xml:space="preserve"> wrong plates and screws representing 3.76% and </w:t>
      </w:r>
      <w:r w:rsidR="00DB0307" w:rsidRPr="00736F0A">
        <w:rPr>
          <w:rFonts w:asciiTheme="majorHAnsi" w:eastAsia="Calibri" w:hAnsiTheme="majorHAnsi" w:cstheme="majorHAnsi"/>
          <w:sz w:val="22"/>
          <w:szCs w:val="22"/>
        </w:rPr>
        <w:t>3.05</w:t>
      </w:r>
      <w:r w:rsidR="00E91FD9" w:rsidRPr="00736F0A">
        <w:rPr>
          <w:rFonts w:asciiTheme="majorHAnsi" w:eastAsia="Calibri" w:hAnsiTheme="majorHAnsi" w:cstheme="majorHAnsi"/>
          <w:sz w:val="22"/>
          <w:szCs w:val="22"/>
        </w:rPr>
        <w:t xml:space="preserve">% respectively. </w:t>
      </w:r>
    </w:p>
    <w:p w14:paraId="6F8C1F1F" w14:textId="23DEF12E" w:rsidR="00034108" w:rsidRPr="00736F0A" w:rsidRDefault="00940080" w:rsidP="00AB3CD4">
      <w:pPr>
        <w:spacing w:after="240" w:line="360" w:lineRule="auto"/>
        <w:jc w:val="both"/>
        <w:rPr>
          <w:rFonts w:asciiTheme="majorHAnsi" w:eastAsia="Calibri" w:hAnsiTheme="majorHAnsi" w:cstheme="majorHAnsi"/>
          <w:b/>
          <w:sz w:val="22"/>
          <w:szCs w:val="22"/>
        </w:rPr>
      </w:pPr>
      <w:r w:rsidRPr="00736F0A">
        <w:rPr>
          <w:rFonts w:asciiTheme="majorHAnsi" w:eastAsia="Calibri" w:hAnsiTheme="majorHAnsi" w:cstheme="majorHAnsi"/>
          <w:sz w:val="22"/>
          <w:szCs w:val="22"/>
        </w:rPr>
        <w:t xml:space="preserve">  Table 5 lists all the N</w:t>
      </w:r>
      <w:r w:rsidR="00FC31CC" w:rsidRPr="00736F0A">
        <w:rPr>
          <w:rFonts w:asciiTheme="majorHAnsi" w:eastAsia="Calibri" w:hAnsiTheme="majorHAnsi" w:cstheme="majorHAnsi"/>
          <w:sz w:val="22"/>
          <w:szCs w:val="22"/>
        </w:rPr>
        <w:t>on-surgical/ infrequent NE (n= 614) broken down into 12 themes. Misplaced naso- or oro-gastric tubes (n=178) and wrong route administration of medications (n=111) were the most common in this category representing 29% and 18% of all the events in this category respectively.</w:t>
      </w:r>
    </w:p>
    <w:p w14:paraId="37743FF3" w14:textId="77777777" w:rsidR="00034108" w:rsidRPr="00736F0A" w:rsidRDefault="00034108" w:rsidP="00AB3CD4">
      <w:pPr>
        <w:spacing w:after="240" w:line="360" w:lineRule="auto"/>
        <w:jc w:val="both"/>
        <w:rPr>
          <w:rFonts w:asciiTheme="majorHAnsi" w:eastAsia="Calibri" w:hAnsiTheme="majorHAnsi" w:cstheme="majorHAnsi"/>
          <w:b/>
          <w:sz w:val="22"/>
          <w:szCs w:val="22"/>
        </w:rPr>
      </w:pPr>
    </w:p>
    <w:p w14:paraId="355C5E51" w14:textId="45A81272" w:rsidR="00CE334E" w:rsidRPr="00736F0A" w:rsidRDefault="00CE334E" w:rsidP="00AB3CD4">
      <w:pPr>
        <w:spacing w:after="240" w:line="360" w:lineRule="auto"/>
        <w:jc w:val="both"/>
        <w:rPr>
          <w:rFonts w:asciiTheme="majorHAnsi" w:eastAsia="Calibri" w:hAnsiTheme="majorHAnsi" w:cstheme="majorHAnsi"/>
          <w:b/>
          <w:sz w:val="22"/>
          <w:szCs w:val="22"/>
        </w:rPr>
      </w:pPr>
    </w:p>
    <w:p w14:paraId="5BD86ADE" w14:textId="77777777" w:rsidR="008C610C" w:rsidRPr="00736F0A" w:rsidRDefault="008C610C" w:rsidP="00AB3CD4">
      <w:pPr>
        <w:spacing w:after="240" w:line="360" w:lineRule="auto"/>
        <w:jc w:val="both"/>
        <w:rPr>
          <w:rFonts w:asciiTheme="majorHAnsi" w:eastAsia="Calibri" w:hAnsiTheme="majorHAnsi" w:cstheme="majorHAnsi"/>
          <w:b/>
          <w:sz w:val="22"/>
          <w:szCs w:val="22"/>
        </w:rPr>
      </w:pPr>
    </w:p>
    <w:p w14:paraId="00000026" w14:textId="6D92E551" w:rsidR="004B4687" w:rsidRPr="00736F0A" w:rsidRDefault="00940080" w:rsidP="00AB3CD4">
      <w:pPr>
        <w:spacing w:after="240" w:line="360" w:lineRule="auto"/>
        <w:jc w:val="both"/>
        <w:rPr>
          <w:rFonts w:asciiTheme="majorHAnsi" w:eastAsia="Calibri" w:hAnsiTheme="majorHAnsi" w:cstheme="majorHAnsi"/>
          <w:b/>
          <w:sz w:val="22"/>
          <w:szCs w:val="22"/>
        </w:rPr>
      </w:pPr>
      <w:r w:rsidRPr="00736F0A">
        <w:rPr>
          <w:rFonts w:asciiTheme="majorHAnsi" w:eastAsia="Calibri" w:hAnsiTheme="majorHAnsi" w:cstheme="majorHAnsi"/>
          <w:b/>
          <w:sz w:val="22"/>
          <w:szCs w:val="22"/>
        </w:rPr>
        <w:lastRenderedPageBreak/>
        <w:t>Discussion:</w:t>
      </w:r>
    </w:p>
    <w:p w14:paraId="00000027" w14:textId="0A8A1EE2" w:rsidR="004B4687"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   This </w:t>
      </w:r>
      <w:r w:rsidR="00FA4718" w:rsidRPr="00736F0A">
        <w:rPr>
          <w:rFonts w:asciiTheme="majorHAnsi" w:eastAsia="Calibri" w:hAnsiTheme="majorHAnsi" w:cstheme="majorHAnsi"/>
          <w:sz w:val="22"/>
          <w:szCs w:val="22"/>
        </w:rPr>
        <w:t xml:space="preserve">detailed </w:t>
      </w:r>
      <w:r w:rsidRPr="00736F0A">
        <w:rPr>
          <w:rFonts w:asciiTheme="majorHAnsi" w:eastAsia="Calibri" w:hAnsiTheme="majorHAnsi" w:cstheme="majorHAnsi"/>
          <w:sz w:val="22"/>
          <w:szCs w:val="22"/>
        </w:rPr>
        <w:t xml:space="preserve">analysis of 3247 NE reported by NHS England, covering a period of nearly 8 years from March 2012 to February 2020, found </w:t>
      </w:r>
      <w:r w:rsidR="0048209A" w:rsidRPr="00736F0A">
        <w:rPr>
          <w:rFonts w:asciiTheme="majorHAnsi" w:eastAsia="Calibri" w:hAnsiTheme="majorHAnsi" w:cstheme="majorHAnsi"/>
          <w:sz w:val="22"/>
          <w:szCs w:val="22"/>
        </w:rPr>
        <w:t>51</w:t>
      </w:r>
      <w:r w:rsidR="00302142" w:rsidRPr="00736F0A">
        <w:rPr>
          <w:rFonts w:asciiTheme="majorHAnsi" w:eastAsia="Calibri" w:hAnsiTheme="majorHAnsi" w:cstheme="majorHAnsi"/>
          <w:sz w:val="22"/>
          <w:szCs w:val="22"/>
        </w:rPr>
        <w:t xml:space="preserve"> common themes in 4 main categories</w:t>
      </w:r>
      <w:r w:rsidR="00FA4718" w:rsidRPr="00736F0A">
        <w:rPr>
          <w:rFonts w:asciiTheme="majorHAnsi" w:eastAsia="Calibri" w:hAnsiTheme="majorHAnsi" w:cstheme="majorHAnsi"/>
          <w:sz w:val="22"/>
          <w:szCs w:val="22"/>
        </w:rPr>
        <w:t>. This is the first such analysis of NE data from anywhere in the world with a specific fo</w:t>
      </w:r>
      <w:r w:rsidR="00B66AF0" w:rsidRPr="00736F0A">
        <w:rPr>
          <w:rFonts w:asciiTheme="majorHAnsi" w:eastAsia="Calibri" w:hAnsiTheme="majorHAnsi" w:cstheme="majorHAnsi"/>
          <w:sz w:val="22"/>
          <w:szCs w:val="22"/>
        </w:rPr>
        <w:t xml:space="preserve">cus on identifying commonly recurring </w:t>
      </w:r>
      <w:r w:rsidR="00FA4718" w:rsidRPr="00736F0A">
        <w:rPr>
          <w:rFonts w:asciiTheme="majorHAnsi" w:eastAsia="Calibri" w:hAnsiTheme="majorHAnsi" w:cstheme="majorHAnsi"/>
          <w:sz w:val="22"/>
          <w:szCs w:val="22"/>
        </w:rPr>
        <w:t xml:space="preserve">NE. </w:t>
      </w:r>
      <w:r w:rsidR="00B66AF0" w:rsidRPr="00736F0A">
        <w:rPr>
          <w:rFonts w:asciiTheme="majorHAnsi" w:eastAsia="Calibri" w:hAnsiTheme="majorHAnsi" w:cstheme="majorHAnsi"/>
          <w:sz w:val="22"/>
          <w:szCs w:val="22"/>
        </w:rPr>
        <w:t>This knowledge might help</w:t>
      </w:r>
      <w:r w:rsidR="00FA4718" w:rsidRPr="00736F0A">
        <w:rPr>
          <w:rFonts w:asciiTheme="majorHAnsi" w:eastAsia="Calibri" w:hAnsiTheme="majorHAnsi" w:cstheme="majorHAnsi"/>
          <w:sz w:val="22"/>
          <w:szCs w:val="22"/>
        </w:rPr>
        <w:t xml:space="preserve"> reduce their occurrence in the future. </w:t>
      </w:r>
      <w:r w:rsidR="00936F66" w:rsidRPr="00736F0A">
        <w:rPr>
          <w:rFonts w:asciiTheme="majorHAnsi" w:eastAsia="Calibri" w:hAnsiTheme="majorHAnsi" w:cstheme="majorHAnsi"/>
          <w:sz w:val="22"/>
          <w:szCs w:val="22"/>
        </w:rPr>
        <w:t>If we had included every single NE separately, it would have mad</w:t>
      </w:r>
      <w:r w:rsidR="00382C17" w:rsidRPr="00736F0A">
        <w:rPr>
          <w:rFonts w:asciiTheme="majorHAnsi" w:eastAsia="Calibri" w:hAnsiTheme="majorHAnsi" w:cstheme="majorHAnsi"/>
          <w:sz w:val="22"/>
          <w:szCs w:val="22"/>
        </w:rPr>
        <w:t xml:space="preserve">e our tables too large and </w:t>
      </w:r>
      <w:r w:rsidR="00936F66" w:rsidRPr="00736F0A">
        <w:rPr>
          <w:rFonts w:asciiTheme="majorHAnsi" w:eastAsia="Calibri" w:hAnsiTheme="majorHAnsi" w:cstheme="majorHAnsi"/>
          <w:sz w:val="22"/>
          <w:szCs w:val="22"/>
        </w:rPr>
        <w:t>distracted us from our main aim of anal</w:t>
      </w:r>
      <w:r w:rsidR="002763F0" w:rsidRPr="00736F0A">
        <w:rPr>
          <w:rFonts w:asciiTheme="majorHAnsi" w:eastAsia="Calibri" w:hAnsiTheme="majorHAnsi" w:cstheme="majorHAnsi"/>
          <w:sz w:val="22"/>
          <w:szCs w:val="22"/>
        </w:rPr>
        <w:t>ysing the common themes. So</w:t>
      </w:r>
      <w:r w:rsidR="00936F66" w:rsidRPr="00736F0A">
        <w:rPr>
          <w:rFonts w:asciiTheme="majorHAnsi" w:eastAsia="Calibri" w:hAnsiTheme="majorHAnsi" w:cstheme="majorHAnsi"/>
          <w:sz w:val="22"/>
          <w:szCs w:val="22"/>
        </w:rPr>
        <w:t>, we grouped the rare events into miscellaneous categories as detailed above</w:t>
      </w:r>
      <w:r w:rsidR="002763F0" w:rsidRPr="00736F0A">
        <w:rPr>
          <w:rFonts w:asciiTheme="majorHAnsi" w:eastAsia="Calibri" w:hAnsiTheme="majorHAnsi" w:cstheme="majorHAnsi"/>
          <w:sz w:val="22"/>
          <w:szCs w:val="22"/>
        </w:rPr>
        <w:t xml:space="preserve"> in the Methods section</w:t>
      </w:r>
      <w:r w:rsidR="00936F66" w:rsidRPr="00736F0A">
        <w:rPr>
          <w:rFonts w:asciiTheme="majorHAnsi" w:eastAsia="Calibri" w:hAnsiTheme="majorHAnsi" w:cstheme="majorHAnsi"/>
          <w:sz w:val="22"/>
          <w:szCs w:val="22"/>
        </w:rPr>
        <w:t>.</w:t>
      </w:r>
      <w:r w:rsidR="00382C17" w:rsidRPr="00736F0A">
        <w:rPr>
          <w:rFonts w:asciiTheme="majorHAnsi" w:eastAsia="Calibri" w:hAnsiTheme="majorHAnsi" w:cstheme="majorHAnsi"/>
          <w:sz w:val="22"/>
          <w:szCs w:val="22"/>
        </w:rPr>
        <w:t xml:space="preserve"> We hope to carry out further focussed analysis of NE in each clinical area and in that analysis, we will also include these rarer NE to identify speciality specific themes.</w:t>
      </w:r>
    </w:p>
    <w:p w14:paraId="4B1A5BBC" w14:textId="77777777" w:rsidR="00CC3619"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  </w:t>
      </w:r>
      <w:r w:rsidR="00FC5E20" w:rsidRPr="00736F0A">
        <w:rPr>
          <w:rFonts w:asciiTheme="majorHAnsi" w:eastAsia="Calibri" w:hAnsiTheme="majorHAnsi" w:cstheme="majorHAnsi"/>
          <w:sz w:val="22"/>
          <w:szCs w:val="22"/>
        </w:rPr>
        <w:t xml:space="preserve">There is widespread recognition, and it is also apparent from our analysis that the problem of NE has persisted </w:t>
      </w:r>
      <w:r w:rsidR="00BD5651" w:rsidRPr="00736F0A">
        <w:rPr>
          <w:rFonts w:asciiTheme="majorHAnsi" w:eastAsia="Calibri" w:hAnsiTheme="majorHAnsi" w:cstheme="majorHAnsi"/>
          <w:sz w:val="22"/>
          <w:szCs w:val="22"/>
          <w:vertAlign w:val="superscript"/>
        </w:rPr>
        <w:t>12</w:t>
      </w:r>
      <w:r w:rsidR="00BD5651" w:rsidRPr="00736F0A">
        <w:rPr>
          <w:rFonts w:asciiTheme="majorHAnsi" w:eastAsia="Calibri" w:hAnsiTheme="majorHAnsi" w:cstheme="majorHAnsi"/>
          <w:sz w:val="22"/>
          <w:szCs w:val="22"/>
        </w:rPr>
        <w:t xml:space="preserve"> </w:t>
      </w:r>
      <w:r w:rsidR="00FC5E20" w:rsidRPr="00736F0A">
        <w:rPr>
          <w:rFonts w:asciiTheme="majorHAnsi" w:eastAsia="Calibri" w:hAnsiTheme="majorHAnsi" w:cstheme="majorHAnsi"/>
          <w:sz w:val="22"/>
          <w:szCs w:val="22"/>
        </w:rPr>
        <w:t>despite the introduction of measures like the surgical safety checklists. It may be because the</w:t>
      </w:r>
      <w:r w:rsidR="00DF33BF" w:rsidRPr="00736F0A">
        <w:rPr>
          <w:rFonts w:asciiTheme="majorHAnsi" w:eastAsia="Calibri" w:hAnsiTheme="majorHAnsi" w:cstheme="majorHAnsi"/>
          <w:sz w:val="22"/>
          <w:szCs w:val="22"/>
        </w:rPr>
        <w:t xml:space="preserve"> checklists can be difficult to implement effectively.</w:t>
      </w:r>
      <w:r w:rsidR="00BD5651" w:rsidRPr="00736F0A">
        <w:rPr>
          <w:rFonts w:asciiTheme="majorHAnsi" w:eastAsia="Calibri" w:hAnsiTheme="majorHAnsi" w:cstheme="majorHAnsi"/>
          <w:sz w:val="22"/>
          <w:szCs w:val="22"/>
          <w:vertAlign w:val="superscript"/>
        </w:rPr>
        <w:t>13</w:t>
      </w:r>
      <w:r w:rsidR="00BD5651" w:rsidRPr="00736F0A">
        <w:rPr>
          <w:rFonts w:asciiTheme="majorHAnsi" w:eastAsia="Calibri" w:hAnsiTheme="majorHAnsi" w:cstheme="majorHAnsi"/>
          <w:sz w:val="22"/>
          <w:szCs w:val="22"/>
        </w:rPr>
        <w:t xml:space="preserve"> </w:t>
      </w:r>
      <w:r w:rsidR="00DF33BF" w:rsidRPr="00736F0A">
        <w:rPr>
          <w:rFonts w:asciiTheme="majorHAnsi" w:eastAsia="Calibri" w:hAnsiTheme="majorHAnsi" w:cstheme="majorHAnsi"/>
          <w:sz w:val="22"/>
          <w:szCs w:val="22"/>
        </w:rPr>
        <w:t>It may also be because of a lack of awareness of specific pitfalls that then repeat themselves.</w:t>
      </w:r>
      <w:r w:rsidR="00221BB3" w:rsidRPr="00736F0A">
        <w:rPr>
          <w:rFonts w:asciiTheme="majorHAnsi" w:eastAsia="Calibri" w:hAnsiTheme="majorHAnsi" w:cstheme="majorHAnsi"/>
          <w:sz w:val="22"/>
          <w:szCs w:val="22"/>
          <w:vertAlign w:val="superscript"/>
        </w:rPr>
        <w:t>14</w:t>
      </w:r>
      <w:r w:rsidR="002763F0" w:rsidRPr="00736F0A">
        <w:rPr>
          <w:rFonts w:asciiTheme="majorHAnsi" w:eastAsia="Calibri" w:hAnsiTheme="majorHAnsi" w:cstheme="majorHAnsi"/>
          <w:sz w:val="22"/>
          <w:szCs w:val="22"/>
        </w:rPr>
        <w:t xml:space="preserve"> Identification of predisposing factors for each specific NE is beyond the purview of this paper as we </w:t>
      </w:r>
      <w:r w:rsidR="0048209A" w:rsidRPr="00736F0A">
        <w:rPr>
          <w:rFonts w:asciiTheme="majorHAnsi" w:eastAsia="Calibri" w:hAnsiTheme="majorHAnsi" w:cstheme="majorHAnsi"/>
          <w:sz w:val="22"/>
          <w:szCs w:val="22"/>
        </w:rPr>
        <w:t xml:space="preserve">have </w:t>
      </w:r>
      <w:r w:rsidR="002763F0" w:rsidRPr="00736F0A">
        <w:rPr>
          <w:rFonts w:asciiTheme="majorHAnsi" w:eastAsia="Calibri" w:hAnsiTheme="majorHAnsi" w:cstheme="majorHAnsi"/>
          <w:sz w:val="22"/>
          <w:szCs w:val="22"/>
        </w:rPr>
        <w:t>focus</w:t>
      </w:r>
      <w:r w:rsidR="0048209A" w:rsidRPr="00736F0A">
        <w:rPr>
          <w:rFonts w:asciiTheme="majorHAnsi" w:eastAsia="Calibri" w:hAnsiTheme="majorHAnsi" w:cstheme="majorHAnsi"/>
          <w:sz w:val="22"/>
          <w:szCs w:val="22"/>
        </w:rPr>
        <w:t>sed</w:t>
      </w:r>
      <w:r w:rsidR="002763F0" w:rsidRPr="00736F0A">
        <w:rPr>
          <w:rFonts w:asciiTheme="majorHAnsi" w:eastAsia="Calibri" w:hAnsiTheme="majorHAnsi" w:cstheme="majorHAnsi"/>
          <w:sz w:val="22"/>
          <w:szCs w:val="22"/>
        </w:rPr>
        <w:t xml:space="preserve"> on the identification of themes rather than their prevention in this paper. Usually, all such incidents undergo a thorough Root Cause Analysis (RCA) in the NHS where all contributory factors are examined, and locally approp</w:t>
      </w:r>
      <w:r w:rsidR="0048209A" w:rsidRPr="00736F0A">
        <w:rPr>
          <w:rFonts w:asciiTheme="majorHAnsi" w:eastAsia="Calibri" w:hAnsiTheme="majorHAnsi" w:cstheme="majorHAnsi"/>
          <w:sz w:val="22"/>
          <w:szCs w:val="22"/>
        </w:rPr>
        <w:t>r</w:t>
      </w:r>
      <w:r w:rsidR="00D81EFE" w:rsidRPr="00736F0A">
        <w:rPr>
          <w:rFonts w:asciiTheme="majorHAnsi" w:eastAsia="Calibri" w:hAnsiTheme="majorHAnsi" w:cstheme="majorHAnsi"/>
          <w:sz w:val="22"/>
          <w:szCs w:val="22"/>
        </w:rPr>
        <w:t xml:space="preserve">iate recommendations are made. Individual organisations do report these incidents and NHS England </w:t>
      </w:r>
      <w:r w:rsidRPr="00736F0A">
        <w:rPr>
          <w:rFonts w:asciiTheme="majorHAnsi" w:eastAsia="Calibri" w:hAnsiTheme="majorHAnsi" w:cstheme="majorHAnsi"/>
          <w:sz w:val="22"/>
          <w:szCs w:val="22"/>
        </w:rPr>
        <w:t xml:space="preserve">then </w:t>
      </w:r>
      <w:r w:rsidR="00D81EFE" w:rsidRPr="00736F0A">
        <w:rPr>
          <w:rFonts w:asciiTheme="majorHAnsi" w:eastAsia="Calibri" w:hAnsiTheme="majorHAnsi" w:cstheme="majorHAnsi"/>
          <w:sz w:val="22"/>
          <w:szCs w:val="22"/>
        </w:rPr>
        <w:t xml:space="preserve">produces an annual report but poor engagement </w:t>
      </w:r>
      <w:r w:rsidRPr="00736F0A">
        <w:rPr>
          <w:rFonts w:asciiTheme="majorHAnsi" w:eastAsia="Calibri" w:hAnsiTheme="majorHAnsi" w:cstheme="majorHAnsi"/>
          <w:sz w:val="22"/>
          <w:szCs w:val="22"/>
        </w:rPr>
        <w:t xml:space="preserve">from clinicians means that this data is not then used to proactively implement preventative measures. </w:t>
      </w:r>
    </w:p>
    <w:p w14:paraId="54034738" w14:textId="2E80AED0" w:rsidR="001E2806"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As we can see from the data held by NHS England, this sadly means that the same NE is then repeated from one trust to another.</w:t>
      </w:r>
      <w:r w:rsidR="00A749A2" w:rsidRPr="00736F0A">
        <w:rPr>
          <w:rFonts w:asciiTheme="majorHAnsi" w:eastAsia="Calibri" w:hAnsiTheme="majorHAnsi" w:cstheme="majorHAnsi"/>
          <w:sz w:val="22"/>
          <w:szCs w:val="22"/>
        </w:rPr>
        <w:t xml:space="preserve"> We hope that studies like this will help</w:t>
      </w:r>
      <w:r w:rsidRPr="00736F0A">
        <w:rPr>
          <w:rFonts w:asciiTheme="majorHAnsi" w:eastAsia="Calibri" w:hAnsiTheme="majorHAnsi" w:cstheme="majorHAnsi"/>
          <w:sz w:val="22"/>
          <w:szCs w:val="22"/>
        </w:rPr>
        <w:t xml:space="preserve"> raise awareness of common NE themes</w:t>
      </w:r>
      <w:r w:rsidR="00A749A2" w:rsidRPr="00736F0A">
        <w:rPr>
          <w:rFonts w:asciiTheme="majorHAnsi" w:eastAsia="Calibri" w:hAnsiTheme="majorHAnsi" w:cstheme="majorHAnsi"/>
          <w:sz w:val="22"/>
          <w:szCs w:val="22"/>
        </w:rPr>
        <w:t xml:space="preserve"> and encourage healthcare professionals to be more vigilant whilst performing procedures known to be</w:t>
      </w:r>
      <w:r w:rsidR="0048209A" w:rsidRPr="00736F0A">
        <w:rPr>
          <w:rFonts w:asciiTheme="majorHAnsi" w:eastAsia="Calibri" w:hAnsiTheme="majorHAnsi" w:cstheme="majorHAnsi"/>
          <w:sz w:val="22"/>
          <w:szCs w:val="22"/>
        </w:rPr>
        <w:t xml:space="preserve"> at high risk of leading to NEs</w:t>
      </w:r>
      <w:r w:rsidRPr="00736F0A">
        <w:rPr>
          <w:rFonts w:asciiTheme="majorHAnsi" w:eastAsia="Calibri" w:hAnsiTheme="majorHAnsi" w:cstheme="majorHAnsi"/>
          <w:sz w:val="22"/>
          <w:szCs w:val="22"/>
        </w:rPr>
        <w:t>.</w:t>
      </w:r>
    </w:p>
    <w:p w14:paraId="518E0AB6" w14:textId="4713BEC4" w:rsidR="00635765"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Surgical checklists have been around for almost a decade</w:t>
      </w:r>
      <w:r w:rsidR="00822F4D" w:rsidRPr="00736F0A">
        <w:rPr>
          <w:rFonts w:asciiTheme="majorHAnsi" w:eastAsia="Calibri" w:hAnsiTheme="majorHAnsi" w:cstheme="majorHAnsi"/>
          <w:sz w:val="22"/>
          <w:szCs w:val="22"/>
        </w:rPr>
        <w:t xml:space="preserve"> and though they have many other benefits, it is not certain if they have led to a reduction of NEs. For obvious reasons, this study does not allow us to make any conclusions about the effectiveness of checklists. It is, however, difficult to understand how some of the NE we have noticed would </w:t>
      </w:r>
      <w:r w:rsidR="009039A6" w:rsidRPr="00736F0A">
        <w:rPr>
          <w:rFonts w:asciiTheme="majorHAnsi" w:eastAsia="Calibri" w:hAnsiTheme="majorHAnsi" w:cstheme="majorHAnsi"/>
          <w:sz w:val="22"/>
          <w:szCs w:val="22"/>
        </w:rPr>
        <w:t xml:space="preserve">still </w:t>
      </w:r>
      <w:r w:rsidR="00822F4D" w:rsidRPr="00736F0A">
        <w:rPr>
          <w:rFonts w:asciiTheme="majorHAnsi" w:eastAsia="Calibri" w:hAnsiTheme="majorHAnsi" w:cstheme="majorHAnsi"/>
          <w:sz w:val="22"/>
          <w:szCs w:val="22"/>
        </w:rPr>
        <w:t>have happened if a proper checklist was in place and diligently executed by healthcare professionals.</w:t>
      </w:r>
      <w:r w:rsidR="009039A6" w:rsidRPr="00736F0A">
        <w:rPr>
          <w:rFonts w:asciiTheme="majorHAnsi" w:eastAsia="Calibri" w:hAnsiTheme="majorHAnsi" w:cstheme="majorHAnsi"/>
          <w:sz w:val="22"/>
          <w:szCs w:val="22"/>
        </w:rPr>
        <w:t xml:space="preserve"> It is, however, recognised that checklists by themselves cannot reduce NEs. They need doctors and nurses to engage with them. One of the reasons healthcare professionals do not engage with them is because </w:t>
      </w:r>
      <w:r w:rsidR="0067573B" w:rsidRPr="00736F0A">
        <w:rPr>
          <w:rFonts w:asciiTheme="majorHAnsi" w:eastAsia="Calibri" w:hAnsiTheme="majorHAnsi" w:cstheme="majorHAnsi"/>
          <w:sz w:val="22"/>
          <w:szCs w:val="22"/>
        </w:rPr>
        <w:t>they feel checklists</w:t>
      </w:r>
      <w:r w:rsidR="009039A6" w:rsidRPr="00736F0A">
        <w:rPr>
          <w:rFonts w:asciiTheme="majorHAnsi" w:eastAsia="Calibri" w:hAnsiTheme="majorHAnsi" w:cstheme="majorHAnsi"/>
          <w:sz w:val="22"/>
          <w:szCs w:val="22"/>
        </w:rPr>
        <w:t xml:space="preserve"> are unnecessary and a </w:t>
      </w:r>
      <w:r w:rsidR="0067573B" w:rsidRPr="00736F0A">
        <w:rPr>
          <w:rFonts w:asciiTheme="majorHAnsi" w:eastAsia="Calibri" w:hAnsiTheme="majorHAnsi" w:cstheme="majorHAnsi"/>
          <w:sz w:val="22"/>
          <w:szCs w:val="22"/>
        </w:rPr>
        <w:t xml:space="preserve">bureaucratic </w:t>
      </w:r>
      <w:r w:rsidR="009039A6" w:rsidRPr="00736F0A">
        <w:rPr>
          <w:rFonts w:asciiTheme="majorHAnsi" w:eastAsia="Calibri" w:hAnsiTheme="majorHAnsi" w:cstheme="majorHAnsi"/>
          <w:sz w:val="22"/>
          <w:szCs w:val="22"/>
        </w:rPr>
        <w:t xml:space="preserve">waste of time. We hope studies like this would help change that </w:t>
      </w:r>
      <w:r w:rsidR="0067573B" w:rsidRPr="00736F0A">
        <w:rPr>
          <w:rFonts w:asciiTheme="majorHAnsi" w:eastAsia="Calibri" w:hAnsiTheme="majorHAnsi" w:cstheme="majorHAnsi"/>
          <w:sz w:val="22"/>
          <w:szCs w:val="22"/>
        </w:rPr>
        <w:t xml:space="preserve">perception and </w:t>
      </w:r>
      <w:r w:rsidR="009039A6" w:rsidRPr="00736F0A">
        <w:rPr>
          <w:rFonts w:asciiTheme="majorHAnsi" w:eastAsia="Calibri" w:hAnsiTheme="majorHAnsi" w:cstheme="majorHAnsi"/>
          <w:sz w:val="22"/>
          <w:szCs w:val="22"/>
        </w:rPr>
        <w:t xml:space="preserve">culture </w:t>
      </w:r>
      <w:r w:rsidR="009039A6" w:rsidRPr="00736F0A">
        <w:rPr>
          <w:rFonts w:asciiTheme="majorHAnsi" w:eastAsia="Calibri" w:hAnsiTheme="majorHAnsi" w:cstheme="majorHAnsi"/>
          <w:sz w:val="22"/>
          <w:szCs w:val="22"/>
        </w:rPr>
        <w:lastRenderedPageBreak/>
        <w:t xml:space="preserve">as these events are not that uncommon and many, if not most, clinicians incur the </w:t>
      </w:r>
      <w:r w:rsidR="0067573B" w:rsidRPr="00736F0A">
        <w:rPr>
          <w:rFonts w:asciiTheme="majorHAnsi" w:eastAsia="Calibri" w:hAnsiTheme="majorHAnsi" w:cstheme="majorHAnsi"/>
          <w:sz w:val="22"/>
          <w:szCs w:val="22"/>
        </w:rPr>
        <w:t xml:space="preserve">risk of being caught out in their </w:t>
      </w:r>
      <w:r w:rsidR="00382C17" w:rsidRPr="00736F0A">
        <w:rPr>
          <w:rFonts w:asciiTheme="majorHAnsi" w:eastAsia="Calibri" w:hAnsiTheme="majorHAnsi" w:cstheme="majorHAnsi"/>
          <w:sz w:val="22"/>
          <w:szCs w:val="22"/>
        </w:rPr>
        <w:t>lifetime</w:t>
      </w:r>
      <w:r w:rsidR="009039A6" w:rsidRPr="00736F0A">
        <w:rPr>
          <w:rFonts w:asciiTheme="majorHAnsi" w:eastAsia="Calibri" w:hAnsiTheme="majorHAnsi" w:cstheme="majorHAnsi"/>
          <w:sz w:val="22"/>
          <w:szCs w:val="22"/>
        </w:rPr>
        <w:t xml:space="preserve"> if adequate systems are not in place and followed.</w:t>
      </w:r>
      <w:r w:rsidR="00822F4D" w:rsidRPr="00736F0A">
        <w:rPr>
          <w:rFonts w:asciiTheme="majorHAnsi" w:eastAsia="Calibri" w:hAnsiTheme="majorHAnsi" w:cstheme="majorHAnsi"/>
          <w:sz w:val="22"/>
          <w:szCs w:val="22"/>
        </w:rPr>
        <w:t xml:space="preserve"> </w:t>
      </w:r>
    </w:p>
    <w:p w14:paraId="5EB65E24" w14:textId="5B6D9141" w:rsidR="00CD3407"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  </w:t>
      </w:r>
      <w:r w:rsidR="00015774" w:rsidRPr="00736F0A">
        <w:rPr>
          <w:rFonts w:asciiTheme="majorHAnsi" w:eastAsia="Calibri" w:hAnsiTheme="majorHAnsi" w:cstheme="majorHAnsi"/>
          <w:sz w:val="22"/>
          <w:szCs w:val="22"/>
        </w:rPr>
        <w:t xml:space="preserve">The analysis of factors predisposing NE has so far focussed on </w:t>
      </w:r>
      <w:r w:rsidR="00125481" w:rsidRPr="00736F0A">
        <w:rPr>
          <w:rFonts w:asciiTheme="majorHAnsi" w:eastAsia="Calibri" w:hAnsiTheme="majorHAnsi" w:cstheme="majorHAnsi"/>
          <w:sz w:val="22"/>
          <w:szCs w:val="22"/>
        </w:rPr>
        <w:t>identifying human factors</w:t>
      </w:r>
      <w:r w:rsidR="00A509A7" w:rsidRPr="00736F0A">
        <w:rPr>
          <w:rFonts w:asciiTheme="majorHAnsi" w:eastAsia="Calibri" w:hAnsiTheme="majorHAnsi" w:cstheme="majorHAnsi"/>
          <w:sz w:val="22"/>
          <w:szCs w:val="22"/>
        </w:rPr>
        <w:t xml:space="preserve"> </w:t>
      </w:r>
      <w:r w:rsidR="00373BA2" w:rsidRPr="00736F0A">
        <w:rPr>
          <w:rFonts w:asciiTheme="majorHAnsi" w:eastAsia="Calibri" w:hAnsiTheme="majorHAnsi" w:cstheme="majorHAnsi"/>
          <w:sz w:val="22"/>
          <w:szCs w:val="22"/>
          <w:vertAlign w:val="superscript"/>
        </w:rPr>
        <w:t>15</w:t>
      </w:r>
      <w:r w:rsidR="00373BA2" w:rsidRPr="00736F0A">
        <w:rPr>
          <w:rFonts w:asciiTheme="majorHAnsi" w:eastAsia="Calibri" w:hAnsiTheme="majorHAnsi" w:cstheme="majorHAnsi"/>
          <w:sz w:val="22"/>
          <w:szCs w:val="22"/>
        </w:rPr>
        <w:t xml:space="preserve"> </w:t>
      </w:r>
      <w:r w:rsidR="00125481" w:rsidRPr="00736F0A">
        <w:rPr>
          <w:rFonts w:asciiTheme="majorHAnsi" w:eastAsia="Calibri" w:hAnsiTheme="majorHAnsi" w:cstheme="majorHAnsi"/>
          <w:sz w:val="22"/>
          <w:szCs w:val="22"/>
        </w:rPr>
        <w:t xml:space="preserve">and </w:t>
      </w:r>
      <w:r w:rsidR="00015774" w:rsidRPr="00736F0A">
        <w:rPr>
          <w:rFonts w:asciiTheme="majorHAnsi" w:eastAsia="Calibri" w:hAnsiTheme="majorHAnsi" w:cstheme="majorHAnsi"/>
          <w:sz w:val="22"/>
          <w:szCs w:val="22"/>
        </w:rPr>
        <w:t xml:space="preserve">broad </w:t>
      </w:r>
      <w:r w:rsidR="00437AE4" w:rsidRPr="00736F0A">
        <w:rPr>
          <w:rFonts w:asciiTheme="majorHAnsi" w:eastAsia="Calibri" w:hAnsiTheme="majorHAnsi" w:cstheme="majorHAnsi"/>
          <w:sz w:val="22"/>
          <w:szCs w:val="22"/>
        </w:rPr>
        <w:t xml:space="preserve">speciality </w:t>
      </w:r>
      <w:r w:rsidR="00125481" w:rsidRPr="00736F0A">
        <w:rPr>
          <w:rFonts w:asciiTheme="majorHAnsi" w:eastAsia="Calibri" w:hAnsiTheme="majorHAnsi" w:cstheme="majorHAnsi"/>
          <w:sz w:val="22"/>
          <w:szCs w:val="22"/>
        </w:rPr>
        <w:t>specific predisposing factors</w:t>
      </w:r>
      <w:r w:rsidR="00015774" w:rsidRPr="00736F0A">
        <w:rPr>
          <w:rFonts w:asciiTheme="majorHAnsi" w:eastAsia="Calibri" w:hAnsiTheme="majorHAnsi" w:cstheme="majorHAnsi"/>
          <w:sz w:val="22"/>
          <w:szCs w:val="22"/>
        </w:rPr>
        <w:t>.</w:t>
      </w:r>
      <w:r w:rsidR="00943ED6" w:rsidRPr="00736F0A">
        <w:rPr>
          <w:rFonts w:asciiTheme="majorHAnsi" w:eastAsia="Calibri" w:hAnsiTheme="majorHAnsi" w:cstheme="majorHAnsi"/>
          <w:sz w:val="22"/>
          <w:szCs w:val="22"/>
          <w:vertAlign w:val="superscript"/>
        </w:rPr>
        <w:t>16</w:t>
      </w:r>
      <w:r w:rsidR="00015774" w:rsidRPr="00736F0A">
        <w:rPr>
          <w:rFonts w:asciiTheme="majorHAnsi" w:eastAsia="Calibri" w:hAnsiTheme="majorHAnsi" w:cstheme="majorHAnsi"/>
          <w:sz w:val="22"/>
          <w:szCs w:val="22"/>
        </w:rPr>
        <w:t xml:space="preserve"> </w:t>
      </w:r>
      <w:r w:rsidR="00125481" w:rsidRPr="00736F0A">
        <w:rPr>
          <w:rFonts w:asciiTheme="majorHAnsi" w:eastAsia="Calibri" w:hAnsiTheme="majorHAnsi" w:cstheme="majorHAnsi"/>
          <w:sz w:val="22"/>
          <w:szCs w:val="22"/>
        </w:rPr>
        <w:t xml:space="preserve">But </w:t>
      </w:r>
      <w:r w:rsidR="00437AE4" w:rsidRPr="00736F0A">
        <w:rPr>
          <w:rFonts w:asciiTheme="majorHAnsi" w:eastAsia="Calibri" w:hAnsiTheme="majorHAnsi" w:cstheme="majorHAnsi"/>
          <w:sz w:val="22"/>
          <w:szCs w:val="22"/>
        </w:rPr>
        <w:t xml:space="preserve">there has </w:t>
      </w:r>
      <w:r w:rsidRPr="00736F0A">
        <w:rPr>
          <w:rFonts w:asciiTheme="majorHAnsi" w:eastAsia="Calibri" w:hAnsiTheme="majorHAnsi" w:cstheme="majorHAnsi"/>
          <w:sz w:val="22"/>
          <w:szCs w:val="22"/>
        </w:rPr>
        <w:t xml:space="preserve">thus far </w:t>
      </w:r>
      <w:r w:rsidR="00437AE4" w:rsidRPr="00736F0A">
        <w:rPr>
          <w:rFonts w:asciiTheme="majorHAnsi" w:eastAsia="Calibri" w:hAnsiTheme="majorHAnsi" w:cstheme="majorHAnsi"/>
          <w:sz w:val="22"/>
          <w:szCs w:val="22"/>
        </w:rPr>
        <w:t xml:space="preserve">been </w:t>
      </w:r>
      <w:r w:rsidRPr="00736F0A">
        <w:rPr>
          <w:rFonts w:asciiTheme="majorHAnsi" w:eastAsia="Calibri" w:hAnsiTheme="majorHAnsi" w:cstheme="majorHAnsi"/>
          <w:sz w:val="22"/>
          <w:szCs w:val="22"/>
        </w:rPr>
        <w:t xml:space="preserve">little emphasis on the identification of specific NE that have often </w:t>
      </w:r>
      <w:r w:rsidR="00437AE4" w:rsidRPr="00736F0A">
        <w:rPr>
          <w:rFonts w:asciiTheme="majorHAnsi" w:eastAsia="Calibri" w:hAnsiTheme="majorHAnsi" w:cstheme="majorHAnsi"/>
          <w:sz w:val="22"/>
          <w:szCs w:val="22"/>
        </w:rPr>
        <w:t xml:space="preserve">then repeated themselves. </w:t>
      </w:r>
      <w:r w:rsidRPr="00736F0A">
        <w:rPr>
          <w:rFonts w:asciiTheme="majorHAnsi" w:eastAsia="Calibri" w:hAnsiTheme="majorHAnsi" w:cstheme="majorHAnsi"/>
          <w:sz w:val="22"/>
          <w:szCs w:val="22"/>
        </w:rPr>
        <w:t xml:space="preserve">For example, excision of the wrong skin lesion is one of the commonest wrong site NE in our dataset with a total of 96 independent events during the study period but authors are not aware of any specific study </w:t>
      </w:r>
      <w:r w:rsidR="00437AE4" w:rsidRPr="00736F0A">
        <w:rPr>
          <w:rFonts w:asciiTheme="majorHAnsi" w:eastAsia="Calibri" w:hAnsiTheme="majorHAnsi" w:cstheme="majorHAnsi"/>
          <w:sz w:val="22"/>
          <w:szCs w:val="22"/>
        </w:rPr>
        <w:t xml:space="preserve">highlighting this problem and examining the reasons for it. It is probably because of incorrect markings without involving patients or their representatives. But such an analysis has not been carried out as </w:t>
      </w:r>
      <w:r w:rsidRPr="00736F0A">
        <w:rPr>
          <w:rFonts w:asciiTheme="majorHAnsi" w:eastAsia="Calibri" w:hAnsiTheme="majorHAnsi" w:cstheme="majorHAnsi"/>
          <w:sz w:val="22"/>
          <w:szCs w:val="22"/>
        </w:rPr>
        <w:t>many surgeons, like us, are not even aware of this being a common pitfall.</w:t>
      </w:r>
    </w:p>
    <w:p w14:paraId="21E5E1B1" w14:textId="33F170A0" w:rsidR="00486429"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  </w:t>
      </w:r>
      <w:r w:rsidR="00CD3407" w:rsidRPr="00736F0A">
        <w:rPr>
          <w:rFonts w:asciiTheme="majorHAnsi" w:eastAsia="Calibri" w:hAnsiTheme="majorHAnsi" w:cstheme="majorHAnsi"/>
          <w:sz w:val="22"/>
          <w:szCs w:val="22"/>
        </w:rPr>
        <w:t>Similarly, there were 25 instances of retained specimen retrieval bags in this study but the authors are not aware of any published report of this problem</w:t>
      </w:r>
      <w:r w:rsidR="00437AE4" w:rsidRPr="00736F0A">
        <w:rPr>
          <w:rFonts w:asciiTheme="majorHAnsi" w:eastAsia="Calibri" w:hAnsiTheme="majorHAnsi" w:cstheme="majorHAnsi"/>
          <w:sz w:val="22"/>
          <w:szCs w:val="22"/>
        </w:rPr>
        <w:t xml:space="preserve"> in the peer-reviewed scientific literature</w:t>
      </w:r>
      <w:r w:rsidR="00CD3407" w:rsidRPr="00736F0A">
        <w:rPr>
          <w:rFonts w:asciiTheme="majorHAnsi" w:eastAsia="Calibri" w:hAnsiTheme="majorHAnsi" w:cstheme="majorHAnsi"/>
          <w:sz w:val="22"/>
          <w:szCs w:val="22"/>
        </w:rPr>
        <w:t>. In one such instance that authors are aware of, the problem happened because these bags were not in the theatre count polic</w:t>
      </w:r>
      <w:r w:rsidR="00437AE4" w:rsidRPr="00736F0A">
        <w:rPr>
          <w:rFonts w:asciiTheme="majorHAnsi" w:eastAsia="Calibri" w:hAnsiTheme="majorHAnsi" w:cstheme="majorHAnsi"/>
          <w:sz w:val="22"/>
          <w:szCs w:val="22"/>
        </w:rPr>
        <w:t xml:space="preserve">y, which had not been </w:t>
      </w:r>
      <w:r w:rsidR="00CD3407" w:rsidRPr="00736F0A">
        <w:rPr>
          <w:rFonts w:asciiTheme="majorHAnsi" w:eastAsia="Calibri" w:hAnsiTheme="majorHAnsi" w:cstheme="majorHAnsi"/>
          <w:sz w:val="22"/>
          <w:szCs w:val="22"/>
        </w:rPr>
        <w:t xml:space="preserve">updated </w:t>
      </w:r>
      <w:r w:rsidR="00437AE4" w:rsidRPr="00736F0A">
        <w:rPr>
          <w:rFonts w:asciiTheme="majorHAnsi" w:eastAsia="Calibri" w:hAnsiTheme="majorHAnsi" w:cstheme="majorHAnsi"/>
          <w:sz w:val="22"/>
          <w:szCs w:val="22"/>
        </w:rPr>
        <w:t xml:space="preserve">to accommodate this commonly used new item </w:t>
      </w:r>
      <w:r w:rsidR="00CD3407" w:rsidRPr="00736F0A">
        <w:rPr>
          <w:rFonts w:asciiTheme="majorHAnsi" w:eastAsia="Calibri" w:hAnsiTheme="majorHAnsi" w:cstheme="majorHAnsi"/>
          <w:sz w:val="22"/>
          <w:szCs w:val="22"/>
        </w:rPr>
        <w:t xml:space="preserve">in </w:t>
      </w:r>
      <w:r w:rsidR="00520675" w:rsidRPr="00736F0A">
        <w:rPr>
          <w:rFonts w:asciiTheme="majorHAnsi" w:eastAsia="Calibri" w:hAnsiTheme="majorHAnsi" w:cstheme="majorHAnsi"/>
          <w:sz w:val="22"/>
          <w:szCs w:val="22"/>
        </w:rPr>
        <w:t xml:space="preserve">the laparoscopic era. </w:t>
      </w:r>
      <w:r w:rsidR="00437AE4" w:rsidRPr="00736F0A">
        <w:rPr>
          <w:rFonts w:asciiTheme="majorHAnsi" w:eastAsia="Calibri" w:hAnsiTheme="majorHAnsi" w:cstheme="majorHAnsi"/>
          <w:sz w:val="22"/>
          <w:szCs w:val="22"/>
        </w:rPr>
        <w:t xml:space="preserve">This was potentially an easily avoidable situation but still happened and keeps on happening in different hospitals simply because surgeons are not aware of this item not being there in their theatre count policies. </w:t>
      </w:r>
      <w:r w:rsidR="00520675" w:rsidRPr="00736F0A">
        <w:rPr>
          <w:rFonts w:asciiTheme="majorHAnsi" w:eastAsia="Calibri" w:hAnsiTheme="majorHAnsi" w:cstheme="majorHAnsi"/>
          <w:sz w:val="22"/>
          <w:szCs w:val="22"/>
        </w:rPr>
        <w:t xml:space="preserve"> </w:t>
      </w:r>
    </w:p>
    <w:p w14:paraId="4B6645FE" w14:textId="0F8EA25F" w:rsidR="000423CE"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 </w:t>
      </w:r>
      <w:r w:rsidR="004861D2" w:rsidRPr="00736F0A">
        <w:rPr>
          <w:rFonts w:asciiTheme="majorHAnsi" w:eastAsia="Calibri" w:hAnsiTheme="majorHAnsi" w:cstheme="majorHAnsi"/>
          <w:sz w:val="22"/>
          <w:szCs w:val="22"/>
        </w:rPr>
        <w:t>Another common problem worth highlighting is that of guidewires. Increasing use of percutaneous approaches means there is now a range of tubes being used in a variety of clinical areas that have guidewires within them but many of these procedures are carried out in environments where there may not even be formal count policies emphasising perhaps the need to develop policies for the safe performance of these procedures in different clinical areas.</w:t>
      </w:r>
    </w:p>
    <w:p w14:paraId="0780E354" w14:textId="33FDA100" w:rsidR="00E60E02" w:rsidRPr="00736F0A" w:rsidRDefault="00940080" w:rsidP="00AB3CD4">
      <w:pPr>
        <w:spacing w:line="360" w:lineRule="auto"/>
        <w:jc w:val="both"/>
        <w:rPr>
          <w:rFonts w:asciiTheme="majorHAnsi" w:hAnsiTheme="majorHAnsi" w:cstheme="majorHAnsi"/>
          <w:sz w:val="22"/>
          <w:szCs w:val="22"/>
        </w:rPr>
      </w:pPr>
      <w:r w:rsidRPr="00736F0A">
        <w:rPr>
          <w:rFonts w:asciiTheme="majorHAnsi" w:hAnsiTheme="majorHAnsi" w:cstheme="majorHAnsi"/>
          <w:sz w:val="22"/>
          <w:szCs w:val="22"/>
        </w:rPr>
        <w:t xml:space="preserve">  Following the publication of National Safety Standards for Invasive Procedures (NatSSIPs) on 7</w:t>
      </w:r>
      <w:r w:rsidRPr="00736F0A">
        <w:rPr>
          <w:rFonts w:asciiTheme="majorHAnsi" w:hAnsiTheme="majorHAnsi" w:cstheme="majorHAnsi"/>
          <w:sz w:val="22"/>
          <w:szCs w:val="22"/>
          <w:vertAlign w:val="superscript"/>
        </w:rPr>
        <w:t>th</w:t>
      </w:r>
      <w:r w:rsidRPr="00736F0A">
        <w:rPr>
          <w:rFonts w:asciiTheme="majorHAnsi" w:hAnsiTheme="majorHAnsi" w:cstheme="majorHAnsi"/>
          <w:sz w:val="22"/>
          <w:szCs w:val="22"/>
        </w:rPr>
        <w:t xml:space="preserve"> September’ 2015,</w:t>
      </w:r>
      <w:r w:rsidR="000E6E77" w:rsidRPr="00736F0A">
        <w:rPr>
          <w:rFonts w:asciiTheme="majorHAnsi" w:hAnsiTheme="majorHAnsi" w:cstheme="majorHAnsi"/>
          <w:sz w:val="22"/>
          <w:szCs w:val="22"/>
          <w:vertAlign w:val="superscript"/>
        </w:rPr>
        <w:t>17</w:t>
      </w:r>
      <w:r w:rsidRPr="00736F0A">
        <w:rPr>
          <w:rFonts w:asciiTheme="majorHAnsi" w:hAnsiTheme="majorHAnsi" w:cstheme="majorHAnsi"/>
          <w:sz w:val="22"/>
          <w:szCs w:val="22"/>
        </w:rPr>
        <w:t xml:space="preserve"> the NHS England issued a stage two alert (Alert Reference Number NHS/PSA/RE/2015/08) on 14</w:t>
      </w:r>
      <w:r w:rsidRPr="00736F0A">
        <w:rPr>
          <w:rFonts w:asciiTheme="majorHAnsi" w:hAnsiTheme="majorHAnsi" w:cstheme="majorHAnsi"/>
          <w:sz w:val="22"/>
          <w:szCs w:val="22"/>
          <w:vertAlign w:val="superscript"/>
        </w:rPr>
        <w:t>th</w:t>
      </w:r>
      <w:r w:rsidRPr="00736F0A">
        <w:rPr>
          <w:rFonts w:asciiTheme="majorHAnsi" w:hAnsiTheme="majorHAnsi" w:cstheme="majorHAnsi"/>
          <w:sz w:val="22"/>
          <w:szCs w:val="22"/>
        </w:rPr>
        <w:t xml:space="preserve"> September’ 2015 asking relevant NHS organisations to develop “their own Local Safety Standards for Invasive Procedures (LOCSSIPs) based upon the high-level national standards”</w:t>
      </w:r>
      <w:r w:rsidR="007A3CD8" w:rsidRPr="00736F0A">
        <w:rPr>
          <w:rFonts w:asciiTheme="majorHAnsi" w:hAnsiTheme="majorHAnsi" w:cstheme="majorHAnsi"/>
          <w:sz w:val="22"/>
          <w:szCs w:val="22"/>
        </w:rPr>
        <w:t xml:space="preserve"> </w:t>
      </w:r>
      <w:r w:rsidR="000E6E77" w:rsidRPr="00736F0A">
        <w:rPr>
          <w:rFonts w:asciiTheme="majorHAnsi" w:hAnsiTheme="majorHAnsi" w:cstheme="majorHAnsi"/>
          <w:sz w:val="22"/>
          <w:szCs w:val="22"/>
          <w:vertAlign w:val="superscript"/>
        </w:rPr>
        <w:t>18</w:t>
      </w:r>
      <w:r w:rsidR="000E6E77" w:rsidRPr="00736F0A">
        <w:rPr>
          <w:rFonts w:asciiTheme="majorHAnsi" w:hAnsiTheme="majorHAnsi" w:cstheme="majorHAnsi"/>
          <w:sz w:val="22"/>
          <w:szCs w:val="22"/>
        </w:rPr>
        <w:t xml:space="preserve"> </w:t>
      </w:r>
      <w:r w:rsidRPr="00736F0A">
        <w:rPr>
          <w:rFonts w:asciiTheme="majorHAnsi" w:hAnsiTheme="majorHAnsi" w:cstheme="majorHAnsi"/>
          <w:sz w:val="22"/>
          <w:szCs w:val="22"/>
        </w:rPr>
        <w:t>with an overarching objective of reducing “Never events”.  Amongst other things, the alert asked the organisations providing NHS funded care to “develop and test LocSSIPs based on the relevant NatSSIPs using local insight”. Even though the guidance and the alert were issued several years ago, a recent survey</w:t>
      </w:r>
      <w:r w:rsidR="007A3CD8" w:rsidRPr="00736F0A">
        <w:rPr>
          <w:rFonts w:asciiTheme="majorHAnsi" w:hAnsiTheme="majorHAnsi" w:cstheme="majorHAnsi"/>
          <w:sz w:val="22"/>
          <w:szCs w:val="22"/>
        </w:rPr>
        <w:t xml:space="preserve"> </w:t>
      </w:r>
      <w:r w:rsidR="00790714" w:rsidRPr="00736F0A">
        <w:rPr>
          <w:rFonts w:asciiTheme="majorHAnsi" w:hAnsiTheme="majorHAnsi" w:cstheme="majorHAnsi"/>
          <w:sz w:val="22"/>
          <w:szCs w:val="22"/>
          <w:vertAlign w:val="superscript"/>
        </w:rPr>
        <w:t>19</w:t>
      </w:r>
      <w:r w:rsidR="00790714" w:rsidRPr="00736F0A">
        <w:rPr>
          <w:rFonts w:asciiTheme="majorHAnsi" w:hAnsiTheme="majorHAnsi" w:cstheme="majorHAnsi"/>
          <w:sz w:val="22"/>
          <w:szCs w:val="22"/>
        </w:rPr>
        <w:t xml:space="preserve"> </w:t>
      </w:r>
      <w:r w:rsidRPr="00736F0A">
        <w:rPr>
          <w:rFonts w:asciiTheme="majorHAnsi" w:hAnsiTheme="majorHAnsi" w:cstheme="majorHAnsi"/>
          <w:sz w:val="22"/>
          <w:szCs w:val="22"/>
        </w:rPr>
        <w:t xml:space="preserve">by NHS Improvement showed that this is very much work in progress. </w:t>
      </w:r>
      <w:r w:rsidR="000423CE" w:rsidRPr="00736F0A">
        <w:rPr>
          <w:rFonts w:asciiTheme="majorHAnsi" w:hAnsiTheme="majorHAnsi" w:cstheme="majorHAnsi"/>
          <w:sz w:val="22"/>
          <w:szCs w:val="22"/>
        </w:rPr>
        <w:t>Several of the common events highlighted in this study could probably be prevented by the development of LocSSIPs specifically designed for this purpose.</w:t>
      </w:r>
      <w:r w:rsidR="00635765" w:rsidRPr="00736F0A">
        <w:rPr>
          <w:rFonts w:asciiTheme="majorHAnsi" w:hAnsiTheme="majorHAnsi" w:cstheme="majorHAnsi"/>
          <w:sz w:val="22"/>
          <w:szCs w:val="22"/>
        </w:rPr>
        <w:t xml:space="preserve"> We hope that the findings of this study </w:t>
      </w:r>
      <w:r w:rsidR="00635765" w:rsidRPr="00736F0A">
        <w:rPr>
          <w:rFonts w:asciiTheme="majorHAnsi" w:hAnsiTheme="majorHAnsi" w:cstheme="majorHAnsi"/>
          <w:sz w:val="22"/>
          <w:szCs w:val="22"/>
        </w:rPr>
        <w:lastRenderedPageBreak/>
        <w:t>would</w:t>
      </w:r>
      <w:r w:rsidR="00635765" w:rsidRPr="00736F0A">
        <w:rPr>
          <w:rFonts w:asciiTheme="majorHAnsi" w:eastAsia="Calibri" w:hAnsiTheme="majorHAnsi" w:cstheme="majorHAnsi"/>
          <w:sz w:val="22"/>
          <w:szCs w:val="22"/>
        </w:rPr>
        <w:t xml:space="preserve"> help National Safety Standards for Invasive Procedures (NatSSIPs) leads in each trust to identify priority areas for the development of Local Safety Standards for Invasive Procedures (LocSSIPs) in their institutions.</w:t>
      </w:r>
    </w:p>
    <w:p w14:paraId="2D9FBD3D" w14:textId="642B8EF2" w:rsidR="009D3383" w:rsidRPr="00736F0A" w:rsidRDefault="009D3383" w:rsidP="00AB3CD4">
      <w:pPr>
        <w:spacing w:line="360" w:lineRule="auto"/>
        <w:jc w:val="both"/>
        <w:rPr>
          <w:rFonts w:asciiTheme="majorHAnsi" w:hAnsiTheme="majorHAnsi" w:cstheme="majorHAnsi"/>
          <w:sz w:val="22"/>
          <w:szCs w:val="22"/>
        </w:rPr>
      </w:pPr>
    </w:p>
    <w:p w14:paraId="00000042" w14:textId="3B524453" w:rsidR="004B4687" w:rsidRPr="00736F0A" w:rsidRDefault="00940080" w:rsidP="00AB3CD4">
      <w:pPr>
        <w:spacing w:after="240" w:line="360" w:lineRule="auto"/>
        <w:jc w:val="both"/>
        <w:rPr>
          <w:rFonts w:asciiTheme="majorHAnsi" w:eastAsia="Calibri" w:hAnsiTheme="majorHAnsi" w:cstheme="majorHAnsi"/>
          <w:b/>
          <w:sz w:val="22"/>
          <w:szCs w:val="22"/>
        </w:rPr>
      </w:pPr>
      <w:r w:rsidRPr="00736F0A">
        <w:rPr>
          <w:rFonts w:asciiTheme="majorHAnsi" w:eastAsia="Calibri" w:hAnsiTheme="majorHAnsi" w:cstheme="majorHAnsi"/>
          <w:b/>
          <w:sz w:val="22"/>
          <w:szCs w:val="22"/>
        </w:rPr>
        <w:t xml:space="preserve">Strengths and Limitations: </w:t>
      </w:r>
    </w:p>
    <w:p w14:paraId="00000043" w14:textId="26EBB6FA" w:rsidR="004B4687" w:rsidRPr="00736F0A" w:rsidRDefault="00940080" w:rsidP="00AB3CD4">
      <w:pPr>
        <w:spacing w:after="240" w:line="360" w:lineRule="auto"/>
        <w:jc w:val="both"/>
        <w:rPr>
          <w:rFonts w:asciiTheme="majorHAnsi" w:eastAsia="Calibri" w:hAnsiTheme="majorHAnsi" w:cstheme="majorHAnsi"/>
          <w:b/>
          <w:sz w:val="22"/>
          <w:szCs w:val="22"/>
        </w:rPr>
      </w:pPr>
      <w:r w:rsidRPr="00736F0A">
        <w:rPr>
          <w:rFonts w:asciiTheme="majorHAnsi" w:eastAsia="Calibri" w:hAnsiTheme="majorHAnsi" w:cstheme="majorHAnsi"/>
          <w:sz w:val="22"/>
          <w:szCs w:val="22"/>
        </w:rPr>
        <w:t xml:space="preserve">    This is the first in-depth analysis of </w:t>
      </w:r>
      <w:r w:rsidR="00C554E7" w:rsidRPr="00736F0A">
        <w:rPr>
          <w:rFonts w:asciiTheme="majorHAnsi" w:eastAsia="Calibri" w:hAnsiTheme="majorHAnsi" w:cstheme="majorHAnsi"/>
          <w:sz w:val="22"/>
          <w:szCs w:val="22"/>
        </w:rPr>
        <w:t xml:space="preserve">specific </w:t>
      </w:r>
      <w:r w:rsidRPr="00736F0A">
        <w:rPr>
          <w:rFonts w:asciiTheme="majorHAnsi" w:eastAsia="Calibri" w:hAnsiTheme="majorHAnsi" w:cstheme="majorHAnsi"/>
          <w:sz w:val="22"/>
          <w:szCs w:val="22"/>
        </w:rPr>
        <w:t xml:space="preserve">NE events data published by NHS England. </w:t>
      </w:r>
      <w:r w:rsidR="00C554E7" w:rsidRPr="00736F0A">
        <w:rPr>
          <w:rFonts w:asciiTheme="majorHAnsi" w:eastAsia="Calibri" w:hAnsiTheme="majorHAnsi" w:cstheme="majorHAnsi"/>
          <w:sz w:val="22"/>
          <w:szCs w:val="22"/>
        </w:rPr>
        <w:t xml:space="preserve">Themes identified in this analysis might help increase awareness of specific pitfalls and encourage further research into their predisposing factors. </w:t>
      </w:r>
    </w:p>
    <w:p w14:paraId="00000044" w14:textId="7AE378DA" w:rsidR="004B4687"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    There are several limitations to this study. First of all, and as mentioned above, the data from year to year are not strictly comparable and should not be used to indicate trends over the study period. This is because of various changes in methodologies of data collection and definition of NE by NHS England during the entire study period. Secondly, we are unable to comment on causative factors as that data has not been reported and is likely to be buried within the individual clinical incidents. Thirdly, to be able to focus on important themes, we clubbed many infrequently reported incidents into the Miscellaneous category. Focussed work by specialities should take that into account and probably start with the raw data itself to not miss any.</w:t>
      </w:r>
      <w:r w:rsidR="00A01719" w:rsidRPr="00736F0A">
        <w:rPr>
          <w:rFonts w:asciiTheme="majorHAnsi" w:eastAsia="Calibri" w:hAnsiTheme="majorHAnsi" w:cstheme="majorHAnsi"/>
          <w:sz w:val="22"/>
          <w:szCs w:val="22"/>
        </w:rPr>
        <w:t xml:space="preserve"> Finally, we cannot be absolutely certain that the data includes all NE occurring within NHS England during this time period. Though there are safeguards in place to deter underreporting and harsh penalties for medical professionals </w:t>
      </w:r>
      <w:r w:rsidR="002B7580" w:rsidRPr="00736F0A">
        <w:rPr>
          <w:rFonts w:asciiTheme="majorHAnsi" w:eastAsia="Calibri" w:hAnsiTheme="majorHAnsi" w:cstheme="majorHAnsi"/>
          <w:sz w:val="22"/>
          <w:szCs w:val="22"/>
        </w:rPr>
        <w:t xml:space="preserve">and institutions </w:t>
      </w:r>
      <w:r w:rsidR="00A01719" w:rsidRPr="00736F0A">
        <w:rPr>
          <w:rFonts w:asciiTheme="majorHAnsi" w:eastAsia="Calibri" w:hAnsiTheme="majorHAnsi" w:cstheme="majorHAnsi"/>
          <w:sz w:val="22"/>
          <w:szCs w:val="22"/>
        </w:rPr>
        <w:t xml:space="preserve">who fail </w:t>
      </w:r>
      <w:r w:rsidR="002B7580" w:rsidRPr="00736F0A">
        <w:rPr>
          <w:rFonts w:asciiTheme="majorHAnsi" w:eastAsia="Calibri" w:hAnsiTheme="majorHAnsi" w:cstheme="majorHAnsi"/>
          <w:sz w:val="22"/>
          <w:szCs w:val="22"/>
        </w:rPr>
        <w:t>to comply, one can never be completely confident</w:t>
      </w:r>
      <w:r w:rsidR="00A01719" w:rsidRPr="00736F0A">
        <w:rPr>
          <w:rFonts w:asciiTheme="majorHAnsi" w:eastAsia="Calibri" w:hAnsiTheme="majorHAnsi" w:cstheme="majorHAnsi"/>
          <w:sz w:val="22"/>
          <w:szCs w:val="22"/>
        </w:rPr>
        <w:t xml:space="preserve"> that all such incidents have been reported and recorded. </w:t>
      </w:r>
      <w:r w:rsidR="002B7580" w:rsidRPr="00736F0A">
        <w:rPr>
          <w:rFonts w:asciiTheme="majorHAnsi" w:eastAsia="Calibri" w:hAnsiTheme="majorHAnsi" w:cstheme="majorHAnsi"/>
          <w:sz w:val="22"/>
          <w:szCs w:val="22"/>
        </w:rPr>
        <w:t>T</w:t>
      </w:r>
      <w:r w:rsidR="00A01719" w:rsidRPr="00736F0A">
        <w:rPr>
          <w:rFonts w:asciiTheme="majorHAnsi" w:eastAsia="Calibri" w:hAnsiTheme="majorHAnsi" w:cstheme="majorHAnsi"/>
          <w:sz w:val="22"/>
          <w:szCs w:val="22"/>
        </w:rPr>
        <w:t xml:space="preserve">hat is why we have focussed on identifying important themes rather than focussing on the numbers of individual events annually. </w:t>
      </w:r>
      <w:r w:rsidR="002B7580" w:rsidRPr="00736F0A">
        <w:rPr>
          <w:rFonts w:asciiTheme="majorHAnsi" w:eastAsia="Calibri" w:hAnsiTheme="majorHAnsi" w:cstheme="majorHAnsi"/>
          <w:sz w:val="22"/>
          <w:szCs w:val="22"/>
        </w:rPr>
        <w:t>Authors, therefore, feel occasional failure to report NE would not significantly undermine the value of our study.</w:t>
      </w:r>
    </w:p>
    <w:p w14:paraId="00000045" w14:textId="77777777" w:rsidR="004B4687" w:rsidRPr="00736F0A" w:rsidRDefault="004B4687" w:rsidP="00AB3CD4">
      <w:pPr>
        <w:spacing w:after="240" w:line="360" w:lineRule="auto"/>
        <w:jc w:val="both"/>
        <w:rPr>
          <w:rFonts w:asciiTheme="majorHAnsi" w:eastAsia="Calibri" w:hAnsiTheme="majorHAnsi" w:cstheme="majorHAnsi"/>
          <w:sz w:val="22"/>
          <w:szCs w:val="22"/>
        </w:rPr>
      </w:pPr>
    </w:p>
    <w:p w14:paraId="00000046" w14:textId="77777777" w:rsidR="004B4687" w:rsidRPr="00736F0A" w:rsidRDefault="004B4687" w:rsidP="00AB3CD4">
      <w:pPr>
        <w:spacing w:after="240" w:line="360" w:lineRule="auto"/>
        <w:jc w:val="both"/>
        <w:rPr>
          <w:rFonts w:asciiTheme="majorHAnsi" w:eastAsia="Calibri" w:hAnsiTheme="majorHAnsi" w:cstheme="majorHAnsi"/>
          <w:b/>
          <w:sz w:val="22"/>
          <w:szCs w:val="22"/>
        </w:rPr>
      </w:pPr>
    </w:p>
    <w:p w14:paraId="00000047" w14:textId="7DD50B8A" w:rsidR="004B4687" w:rsidRPr="00736F0A" w:rsidRDefault="004B4687" w:rsidP="00506344">
      <w:pPr>
        <w:spacing w:after="240" w:line="360" w:lineRule="auto"/>
        <w:ind w:firstLine="720"/>
        <w:jc w:val="both"/>
        <w:rPr>
          <w:rFonts w:asciiTheme="majorHAnsi" w:eastAsia="Calibri" w:hAnsiTheme="majorHAnsi" w:cstheme="majorHAnsi"/>
          <w:b/>
          <w:sz w:val="22"/>
          <w:szCs w:val="22"/>
        </w:rPr>
      </w:pPr>
    </w:p>
    <w:p w14:paraId="7128B4FA" w14:textId="77777777" w:rsidR="00506344" w:rsidRPr="00736F0A" w:rsidRDefault="00506344" w:rsidP="00506344">
      <w:pPr>
        <w:spacing w:after="240" w:line="360" w:lineRule="auto"/>
        <w:ind w:firstLine="720"/>
        <w:jc w:val="both"/>
        <w:rPr>
          <w:rFonts w:asciiTheme="majorHAnsi" w:eastAsia="Calibri" w:hAnsiTheme="majorHAnsi" w:cstheme="majorHAnsi"/>
          <w:b/>
          <w:sz w:val="22"/>
          <w:szCs w:val="22"/>
        </w:rPr>
      </w:pPr>
    </w:p>
    <w:p w14:paraId="00000048" w14:textId="2DF9418A" w:rsidR="004B4687" w:rsidRPr="00736F0A" w:rsidRDefault="004B4687" w:rsidP="00AB3CD4">
      <w:pPr>
        <w:spacing w:after="240" w:line="360" w:lineRule="auto"/>
        <w:jc w:val="both"/>
        <w:rPr>
          <w:rFonts w:asciiTheme="majorHAnsi" w:eastAsia="Calibri" w:hAnsiTheme="majorHAnsi" w:cstheme="majorHAnsi"/>
          <w:b/>
          <w:sz w:val="22"/>
          <w:szCs w:val="22"/>
        </w:rPr>
      </w:pPr>
    </w:p>
    <w:p w14:paraId="4E5421AD" w14:textId="77777777" w:rsidR="00077FB6" w:rsidRPr="00736F0A" w:rsidRDefault="00077FB6" w:rsidP="00AB3CD4">
      <w:pPr>
        <w:spacing w:after="240" w:line="360" w:lineRule="auto"/>
        <w:jc w:val="both"/>
        <w:rPr>
          <w:rFonts w:asciiTheme="majorHAnsi" w:eastAsia="Calibri" w:hAnsiTheme="majorHAnsi" w:cstheme="majorHAnsi"/>
          <w:b/>
          <w:sz w:val="22"/>
          <w:szCs w:val="22"/>
        </w:rPr>
      </w:pPr>
    </w:p>
    <w:p w14:paraId="5C99C074" w14:textId="77777777" w:rsidR="00A02FED" w:rsidRPr="00736F0A" w:rsidRDefault="00A02FED" w:rsidP="00AB3CD4">
      <w:pPr>
        <w:spacing w:after="240" w:line="360" w:lineRule="auto"/>
        <w:jc w:val="both"/>
        <w:rPr>
          <w:rFonts w:asciiTheme="majorHAnsi" w:eastAsia="Calibri" w:hAnsiTheme="majorHAnsi" w:cstheme="majorHAnsi"/>
          <w:b/>
          <w:sz w:val="22"/>
          <w:szCs w:val="22"/>
        </w:rPr>
      </w:pPr>
    </w:p>
    <w:p w14:paraId="00000050" w14:textId="4C519540" w:rsidR="004B4687" w:rsidRPr="00736F0A" w:rsidRDefault="00940080" w:rsidP="00AB3CD4">
      <w:pPr>
        <w:spacing w:after="240" w:line="360" w:lineRule="auto"/>
        <w:jc w:val="both"/>
        <w:rPr>
          <w:rFonts w:asciiTheme="majorHAnsi" w:eastAsia="Calibri" w:hAnsiTheme="majorHAnsi" w:cstheme="majorHAnsi"/>
          <w:b/>
          <w:sz w:val="22"/>
          <w:szCs w:val="22"/>
        </w:rPr>
      </w:pPr>
      <w:r w:rsidRPr="00736F0A">
        <w:rPr>
          <w:rFonts w:asciiTheme="majorHAnsi" w:eastAsia="Calibri" w:hAnsiTheme="majorHAnsi" w:cstheme="majorHAnsi"/>
          <w:b/>
          <w:sz w:val="22"/>
          <w:szCs w:val="22"/>
        </w:rPr>
        <w:lastRenderedPageBreak/>
        <w:t>C</w:t>
      </w:r>
      <w:r w:rsidR="00C554E7" w:rsidRPr="00736F0A">
        <w:rPr>
          <w:rFonts w:asciiTheme="majorHAnsi" w:eastAsia="Calibri" w:hAnsiTheme="majorHAnsi" w:cstheme="majorHAnsi"/>
          <w:b/>
          <w:sz w:val="22"/>
          <w:szCs w:val="22"/>
        </w:rPr>
        <w:t xml:space="preserve">onclusions: </w:t>
      </w:r>
    </w:p>
    <w:p w14:paraId="4DF1B24A" w14:textId="6A677258" w:rsidR="00C554E7"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This detailed analysis of published Never Events data by NHS England over a period of 8 years from April 2012 to February 2020 identified </w:t>
      </w:r>
      <w:r w:rsidR="00A02FED" w:rsidRPr="00736F0A">
        <w:rPr>
          <w:rFonts w:asciiTheme="majorHAnsi" w:eastAsia="Calibri" w:hAnsiTheme="majorHAnsi" w:cstheme="majorHAnsi"/>
          <w:sz w:val="22"/>
          <w:szCs w:val="22"/>
        </w:rPr>
        <w:t>51</w:t>
      </w:r>
      <w:r w:rsidR="00AA0E79" w:rsidRPr="00736F0A">
        <w:rPr>
          <w:rFonts w:asciiTheme="majorHAnsi" w:eastAsia="Calibri" w:hAnsiTheme="majorHAnsi" w:cstheme="majorHAnsi"/>
          <w:sz w:val="22"/>
          <w:szCs w:val="22"/>
        </w:rPr>
        <w:t xml:space="preserve"> common themes in 4 main categories. </w:t>
      </w:r>
      <w:r w:rsidRPr="00736F0A">
        <w:rPr>
          <w:rFonts w:asciiTheme="majorHAnsi" w:eastAsia="Calibri" w:hAnsiTheme="majorHAnsi" w:cstheme="majorHAnsi"/>
          <w:sz w:val="22"/>
          <w:szCs w:val="22"/>
        </w:rPr>
        <w:t>Awareness of these themes might help reduce their incidence and allow for focussed work to</w:t>
      </w:r>
      <w:r w:rsidR="000423CE" w:rsidRPr="00736F0A">
        <w:rPr>
          <w:rFonts w:asciiTheme="majorHAnsi" w:eastAsia="Calibri" w:hAnsiTheme="majorHAnsi" w:cstheme="majorHAnsi"/>
          <w:sz w:val="22"/>
          <w:szCs w:val="22"/>
        </w:rPr>
        <w:t xml:space="preserve"> reduce their incidence as well as the development of specific LocSSIPs.  </w:t>
      </w:r>
    </w:p>
    <w:p w14:paraId="00000055" w14:textId="77777777" w:rsidR="004B4687" w:rsidRPr="00736F0A" w:rsidRDefault="004B4687" w:rsidP="00AB3CD4">
      <w:pPr>
        <w:pBdr>
          <w:top w:val="nil"/>
          <w:left w:val="nil"/>
          <w:bottom w:val="nil"/>
          <w:right w:val="nil"/>
          <w:between w:val="nil"/>
        </w:pBdr>
        <w:spacing w:after="240" w:line="360" w:lineRule="auto"/>
        <w:ind w:left="284"/>
        <w:jc w:val="both"/>
        <w:rPr>
          <w:rFonts w:asciiTheme="majorHAnsi" w:eastAsia="Calibri" w:hAnsiTheme="majorHAnsi" w:cstheme="majorHAnsi"/>
          <w:sz w:val="22"/>
          <w:szCs w:val="22"/>
        </w:rPr>
      </w:pPr>
    </w:p>
    <w:p w14:paraId="6BF6A4CB" w14:textId="77777777" w:rsidR="00C554E7" w:rsidRPr="00736F0A" w:rsidRDefault="00C554E7" w:rsidP="00AB3CD4">
      <w:pPr>
        <w:spacing w:after="240" w:line="360" w:lineRule="auto"/>
        <w:jc w:val="both"/>
        <w:rPr>
          <w:rFonts w:asciiTheme="majorHAnsi" w:eastAsia="Calibri" w:hAnsiTheme="majorHAnsi" w:cstheme="majorHAnsi"/>
          <w:b/>
          <w:sz w:val="22"/>
          <w:szCs w:val="22"/>
        </w:rPr>
      </w:pPr>
    </w:p>
    <w:p w14:paraId="701CFA1A" w14:textId="77777777" w:rsidR="00C554E7" w:rsidRPr="00736F0A" w:rsidRDefault="00C554E7" w:rsidP="00AB3CD4">
      <w:pPr>
        <w:spacing w:after="240" w:line="360" w:lineRule="auto"/>
        <w:jc w:val="both"/>
        <w:rPr>
          <w:rFonts w:asciiTheme="majorHAnsi" w:eastAsia="Calibri" w:hAnsiTheme="majorHAnsi" w:cstheme="majorHAnsi"/>
          <w:b/>
          <w:sz w:val="22"/>
          <w:szCs w:val="22"/>
        </w:rPr>
      </w:pPr>
    </w:p>
    <w:p w14:paraId="22B3A91D" w14:textId="77777777" w:rsidR="00C554E7" w:rsidRPr="00736F0A" w:rsidRDefault="00C554E7" w:rsidP="00AB3CD4">
      <w:pPr>
        <w:spacing w:after="240" w:line="360" w:lineRule="auto"/>
        <w:jc w:val="both"/>
        <w:rPr>
          <w:rFonts w:asciiTheme="majorHAnsi" w:eastAsia="Calibri" w:hAnsiTheme="majorHAnsi" w:cstheme="majorHAnsi"/>
          <w:b/>
          <w:sz w:val="22"/>
          <w:szCs w:val="22"/>
        </w:rPr>
      </w:pPr>
    </w:p>
    <w:p w14:paraId="616B8624" w14:textId="77777777" w:rsidR="00C554E7" w:rsidRPr="00736F0A" w:rsidRDefault="00C554E7" w:rsidP="00AB3CD4">
      <w:pPr>
        <w:spacing w:after="240" w:line="360" w:lineRule="auto"/>
        <w:jc w:val="both"/>
        <w:rPr>
          <w:rFonts w:asciiTheme="majorHAnsi" w:eastAsia="Calibri" w:hAnsiTheme="majorHAnsi" w:cstheme="majorHAnsi"/>
          <w:b/>
          <w:sz w:val="22"/>
          <w:szCs w:val="22"/>
        </w:rPr>
      </w:pPr>
    </w:p>
    <w:p w14:paraId="7505ED4A" w14:textId="77777777" w:rsidR="00C554E7" w:rsidRPr="00736F0A" w:rsidRDefault="00C554E7" w:rsidP="00AB3CD4">
      <w:pPr>
        <w:spacing w:after="240" w:line="360" w:lineRule="auto"/>
        <w:jc w:val="both"/>
        <w:rPr>
          <w:rFonts w:asciiTheme="majorHAnsi" w:eastAsia="Calibri" w:hAnsiTheme="majorHAnsi" w:cstheme="majorHAnsi"/>
          <w:b/>
          <w:sz w:val="22"/>
          <w:szCs w:val="22"/>
        </w:rPr>
      </w:pPr>
    </w:p>
    <w:p w14:paraId="7F6D2465" w14:textId="77777777" w:rsidR="00C554E7" w:rsidRPr="00736F0A" w:rsidRDefault="00C554E7" w:rsidP="00AB3CD4">
      <w:pPr>
        <w:spacing w:after="240" w:line="360" w:lineRule="auto"/>
        <w:jc w:val="both"/>
        <w:rPr>
          <w:rFonts w:asciiTheme="majorHAnsi" w:eastAsia="Calibri" w:hAnsiTheme="majorHAnsi" w:cstheme="majorHAnsi"/>
          <w:b/>
          <w:sz w:val="22"/>
          <w:szCs w:val="22"/>
        </w:rPr>
      </w:pPr>
    </w:p>
    <w:p w14:paraId="191A21EB" w14:textId="77777777" w:rsidR="00C554E7" w:rsidRPr="00736F0A" w:rsidRDefault="00C554E7" w:rsidP="00AB3CD4">
      <w:pPr>
        <w:spacing w:after="240" w:line="360" w:lineRule="auto"/>
        <w:jc w:val="both"/>
        <w:rPr>
          <w:rFonts w:asciiTheme="majorHAnsi" w:eastAsia="Calibri" w:hAnsiTheme="majorHAnsi" w:cstheme="majorHAnsi"/>
          <w:b/>
          <w:sz w:val="22"/>
          <w:szCs w:val="22"/>
        </w:rPr>
      </w:pPr>
    </w:p>
    <w:p w14:paraId="1A93E527" w14:textId="77777777" w:rsidR="00C554E7" w:rsidRPr="00736F0A" w:rsidRDefault="00C554E7" w:rsidP="00AB3CD4">
      <w:pPr>
        <w:spacing w:after="240" w:line="360" w:lineRule="auto"/>
        <w:jc w:val="both"/>
        <w:rPr>
          <w:rFonts w:asciiTheme="majorHAnsi" w:eastAsia="Calibri" w:hAnsiTheme="majorHAnsi" w:cstheme="majorHAnsi"/>
          <w:b/>
          <w:sz w:val="22"/>
          <w:szCs w:val="22"/>
        </w:rPr>
      </w:pPr>
    </w:p>
    <w:p w14:paraId="36CAC629" w14:textId="77777777" w:rsidR="00C554E7" w:rsidRPr="00736F0A" w:rsidRDefault="00C554E7" w:rsidP="00AB3CD4">
      <w:pPr>
        <w:spacing w:after="240" w:line="360" w:lineRule="auto"/>
        <w:jc w:val="both"/>
        <w:rPr>
          <w:rFonts w:asciiTheme="majorHAnsi" w:eastAsia="Calibri" w:hAnsiTheme="majorHAnsi" w:cstheme="majorHAnsi"/>
          <w:b/>
          <w:sz w:val="22"/>
          <w:szCs w:val="22"/>
        </w:rPr>
      </w:pPr>
    </w:p>
    <w:p w14:paraId="3552038A" w14:textId="77777777" w:rsidR="00C554E7" w:rsidRPr="00736F0A" w:rsidRDefault="00C554E7" w:rsidP="00AB3CD4">
      <w:pPr>
        <w:spacing w:after="240" w:line="360" w:lineRule="auto"/>
        <w:jc w:val="both"/>
        <w:rPr>
          <w:rFonts w:asciiTheme="majorHAnsi" w:eastAsia="Calibri" w:hAnsiTheme="majorHAnsi" w:cstheme="majorHAnsi"/>
          <w:b/>
          <w:sz w:val="22"/>
          <w:szCs w:val="22"/>
        </w:rPr>
      </w:pPr>
    </w:p>
    <w:p w14:paraId="265E9C93" w14:textId="77777777" w:rsidR="00C554E7" w:rsidRPr="00736F0A" w:rsidRDefault="00C554E7" w:rsidP="00AB3CD4">
      <w:pPr>
        <w:spacing w:after="240" w:line="360" w:lineRule="auto"/>
        <w:jc w:val="both"/>
        <w:rPr>
          <w:rFonts w:asciiTheme="majorHAnsi" w:eastAsia="Calibri" w:hAnsiTheme="majorHAnsi" w:cstheme="majorHAnsi"/>
          <w:b/>
          <w:sz w:val="22"/>
          <w:szCs w:val="22"/>
        </w:rPr>
      </w:pPr>
    </w:p>
    <w:p w14:paraId="16A98C45" w14:textId="77777777" w:rsidR="00C554E7" w:rsidRPr="00736F0A" w:rsidRDefault="00C554E7" w:rsidP="00AB3CD4">
      <w:pPr>
        <w:spacing w:after="240" w:line="360" w:lineRule="auto"/>
        <w:jc w:val="both"/>
        <w:rPr>
          <w:rFonts w:asciiTheme="majorHAnsi" w:eastAsia="Calibri" w:hAnsiTheme="majorHAnsi" w:cstheme="majorHAnsi"/>
          <w:b/>
          <w:sz w:val="22"/>
          <w:szCs w:val="22"/>
        </w:rPr>
      </w:pPr>
    </w:p>
    <w:p w14:paraId="0176F6E1" w14:textId="77777777" w:rsidR="00C554E7" w:rsidRPr="00736F0A" w:rsidRDefault="00C554E7" w:rsidP="00AB3CD4">
      <w:pPr>
        <w:spacing w:after="240" w:line="360" w:lineRule="auto"/>
        <w:jc w:val="both"/>
        <w:rPr>
          <w:rFonts w:asciiTheme="majorHAnsi" w:eastAsia="Calibri" w:hAnsiTheme="majorHAnsi" w:cstheme="majorHAnsi"/>
          <w:b/>
          <w:sz w:val="22"/>
          <w:szCs w:val="22"/>
        </w:rPr>
      </w:pPr>
    </w:p>
    <w:p w14:paraId="4BE9D7F9" w14:textId="77777777" w:rsidR="00C554E7" w:rsidRPr="00736F0A" w:rsidRDefault="00C554E7" w:rsidP="00AB3CD4">
      <w:pPr>
        <w:spacing w:after="240" w:line="360" w:lineRule="auto"/>
        <w:jc w:val="both"/>
        <w:rPr>
          <w:rFonts w:asciiTheme="majorHAnsi" w:eastAsia="Calibri" w:hAnsiTheme="majorHAnsi" w:cstheme="majorHAnsi"/>
          <w:b/>
          <w:sz w:val="22"/>
          <w:szCs w:val="22"/>
        </w:rPr>
      </w:pPr>
    </w:p>
    <w:p w14:paraId="650F5B2D" w14:textId="77777777" w:rsidR="00C554E7" w:rsidRPr="00736F0A" w:rsidRDefault="00C554E7" w:rsidP="00AB3CD4">
      <w:pPr>
        <w:spacing w:after="240" w:line="360" w:lineRule="auto"/>
        <w:jc w:val="both"/>
        <w:rPr>
          <w:rFonts w:asciiTheme="majorHAnsi" w:eastAsia="Calibri" w:hAnsiTheme="majorHAnsi" w:cstheme="majorHAnsi"/>
          <w:b/>
          <w:sz w:val="22"/>
          <w:szCs w:val="22"/>
        </w:rPr>
      </w:pPr>
    </w:p>
    <w:p w14:paraId="1929ABFC" w14:textId="77777777" w:rsidR="00C554E7" w:rsidRPr="00736F0A" w:rsidRDefault="00C554E7" w:rsidP="00AB3CD4">
      <w:pPr>
        <w:spacing w:after="240" w:line="360" w:lineRule="auto"/>
        <w:jc w:val="both"/>
        <w:rPr>
          <w:rFonts w:asciiTheme="majorHAnsi" w:eastAsia="Calibri" w:hAnsiTheme="majorHAnsi" w:cstheme="majorHAnsi"/>
          <w:b/>
          <w:sz w:val="22"/>
          <w:szCs w:val="22"/>
        </w:rPr>
      </w:pPr>
    </w:p>
    <w:p w14:paraId="6EB7A5D4" w14:textId="77777777" w:rsidR="00C554E7" w:rsidRPr="00736F0A" w:rsidRDefault="00C554E7" w:rsidP="00AB3CD4">
      <w:pPr>
        <w:spacing w:after="240" w:line="360" w:lineRule="auto"/>
        <w:jc w:val="both"/>
        <w:rPr>
          <w:rFonts w:asciiTheme="majorHAnsi" w:eastAsia="Calibri" w:hAnsiTheme="majorHAnsi" w:cstheme="majorHAnsi"/>
          <w:b/>
          <w:sz w:val="22"/>
          <w:szCs w:val="22"/>
        </w:rPr>
      </w:pPr>
    </w:p>
    <w:p w14:paraId="00000056" w14:textId="039376AA" w:rsidR="004B4687"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b/>
          <w:sz w:val="22"/>
          <w:szCs w:val="22"/>
        </w:rPr>
        <w:lastRenderedPageBreak/>
        <w:t>Conflict of Interest Statement:</w:t>
      </w:r>
      <w:r w:rsidRPr="00736F0A">
        <w:rPr>
          <w:rFonts w:asciiTheme="majorHAnsi" w:eastAsia="Calibri" w:hAnsiTheme="majorHAnsi" w:cstheme="majorHAnsi"/>
          <w:sz w:val="22"/>
          <w:szCs w:val="22"/>
        </w:rPr>
        <w:t xml:space="preserve"> The authors declare that they have no conflict of interest. </w:t>
      </w:r>
    </w:p>
    <w:p w14:paraId="00000057" w14:textId="77777777" w:rsidR="004B4687"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b/>
          <w:sz w:val="22"/>
          <w:szCs w:val="22"/>
        </w:rPr>
        <w:t>Statement of Human and Animal Rights:</w:t>
      </w:r>
      <w:r w:rsidRPr="00736F0A">
        <w:rPr>
          <w:rFonts w:asciiTheme="majorHAnsi" w:eastAsia="Calibri" w:hAnsiTheme="majorHAnsi" w:cstheme="majorHAnsi"/>
          <w:sz w:val="22"/>
          <w:szCs w:val="22"/>
        </w:rPr>
        <w:t xml:space="preserve"> Not Applicable</w:t>
      </w:r>
    </w:p>
    <w:p w14:paraId="00000058" w14:textId="77777777" w:rsidR="004B4687"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b/>
          <w:sz w:val="22"/>
          <w:szCs w:val="22"/>
        </w:rPr>
        <w:t>Statement of Informed Consent:</w:t>
      </w:r>
      <w:r w:rsidRPr="00736F0A">
        <w:rPr>
          <w:rFonts w:asciiTheme="majorHAnsi" w:eastAsia="Calibri" w:hAnsiTheme="majorHAnsi" w:cstheme="majorHAnsi"/>
          <w:sz w:val="22"/>
          <w:szCs w:val="22"/>
        </w:rPr>
        <w:t xml:space="preserve"> Not Applicable</w:t>
      </w:r>
    </w:p>
    <w:p w14:paraId="00000059" w14:textId="7788636D" w:rsidR="004B4687"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b/>
          <w:sz w:val="22"/>
          <w:szCs w:val="22"/>
        </w:rPr>
        <w:t xml:space="preserve">Author Contribution: </w:t>
      </w:r>
      <w:r w:rsidR="00FA4718" w:rsidRPr="00736F0A">
        <w:rPr>
          <w:rFonts w:asciiTheme="majorHAnsi" w:eastAsia="Calibri" w:hAnsiTheme="majorHAnsi" w:cstheme="majorHAnsi"/>
          <w:sz w:val="22"/>
          <w:szCs w:val="22"/>
        </w:rPr>
        <w:t>Author 1</w:t>
      </w:r>
      <w:r w:rsidRPr="00736F0A">
        <w:rPr>
          <w:rFonts w:asciiTheme="majorHAnsi" w:eastAsia="Calibri" w:hAnsiTheme="majorHAnsi" w:cstheme="majorHAnsi"/>
          <w:sz w:val="22"/>
          <w:szCs w:val="22"/>
        </w:rPr>
        <w:t xml:space="preserve"> performed the data collection and analysis,</w:t>
      </w:r>
      <w:r w:rsidR="009D64B6" w:rsidRPr="00736F0A">
        <w:rPr>
          <w:rFonts w:asciiTheme="majorHAnsi" w:eastAsia="Calibri" w:hAnsiTheme="majorHAnsi" w:cstheme="majorHAnsi"/>
          <w:sz w:val="22"/>
          <w:szCs w:val="22"/>
        </w:rPr>
        <w:t xml:space="preserve"> </w:t>
      </w:r>
      <w:r w:rsidRPr="00736F0A">
        <w:rPr>
          <w:rFonts w:asciiTheme="majorHAnsi" w:eastAsia="Calibri" w:hAnsiTheme="majorHAnsi" w:cstheme="majorHAnsi"/>
          <w:sz w:val="22"/>
          <w:szCs w:val="22"/>
        </w:rPr>
        <w:t xml:space="preserve">and drafted the manuscript. Author 6 conceived the idea for this </w:t>
      </w:r>
      <w:r w:rsidR="00486429" w:rsidRPr="00736F0A">
        <w:rPr>
          <w:rFonts w:asciiTheme="majorHAnsi" w:eastAsia="Calibri" w:hAnsiTheme="majorHAnsi" w:cstheme="majorHAnsi"/>
          <w:sz w:val="22"/>
          <w:szCs w:val="22"/>
        </w:rPr>
        <w:t>study, assisted</w:t>
      </w:r>
      <w:r w:rsidRPr="00736F0A">
        <w:rPr>
          <w:rFonts w:asciiTheme="majorHAnsi" w:eastAsia="Calibri" w:hAnsiTheme="majorHAnsi" w:cstheme="majorHAnsi"/>
          <w:sz w:val="22"/>
          <w:szCs w:val="22"/>
        </w:rPr>
        <w:t xml:space="preserve"> with data collection and analysis, and manuscript writing. All other authors helped with determining methodology, provided feedback at every stage, and critically reviewed the manuscript. All authors have seen and approved the final manuscript.</w:t>
      </w:r>
    </w:p>
    <w:p w14:paraId="0000005A" w14:textId="77777777" w:rsidR="004B4687" w:rsidRPr="00736F0A" w:rsidRDefault="004B4687" w:rsidP="00AB3CD4">
      <w:pPr>
        <w:spacing w:after="240" w:line="360" w:lineRule="auto"/>
        <w:jc w:val="both"/>
        <w:rPr>
          <w:rFonts w:asciiTheme="majorHAnsi" w:eastAsia="Calibri" w:hAnsiTheme="majorHAnsi" w:cstheme="majorHAnsi"/>
          <w:b/>
          <w:sz w:val="22"/>
          <w:szCs w:val="22"/>
        </w:rPr>
      </w:pPr>
    </w:p>
    <w:p w14:paraId="0000005B" w14:textId="77777777" w:rsidR="004B4687" w:rsidRPr="00736F0A" w:rsidRDefault="004B4687" w:rsidP="00AB3CD4">
      <w:pPr>
        <w:spacing w:after="240" w:line="360" w:lineRule="auto"/>
        <w:jc w:val="both"/>
        <w:rPr>
          <w:rFonts w:asciiTheme="majorHAnsi" w:eastAsia="Calibri" w:hAnsiTheme="majorHAnsi" w:cstheme="majorHAnsi"/>
          <w:b/>
          <w:sz w:val="22"/>
          <w:szCs w:val="22"/>
        </w:rPr>
      </w:pPr>
    </w:p>
    <w:p w14:paraId="0000005C" w14:textId="77777777" w:rsidR="004B4687" w:rsidRPr="00736F0A" w:rsidRDefault="004B4687" w:rsidP="00AB3CD4">
      <w:pPr>
        <w:spacing w:after="240" w:line="360" w:lineRule="auto"/>
        <w:jc w:val="both"/>
        <w:rPr>
          <w:rFonts w:asciiTheme="majorHAnsi" w:eastAsia="Calibri" w:hAnsiTheme="majorHAnsi" w:cstheme="majorHAnsi"/>
          <w:b/>
          <w:sz w:val="22"/>
          <w:szCs w:val="22"/>
        </w:rPr>
      </w:pPr>
    </w:p>
    <w:p w14:paraId="0000005D" w14:textId="77777777" w:rsidR="004B4687" w:rsidRPr="00736F0A" w:rsidRDefault="004B4687" w:rsidP="00AB3CD4">
      <w:pPr>
        <w:spacing w:after="240" w:line="360" w:lineRule="auto"/>
        <w:jc w:val="both"/>
        <w:rPr>
          <w:rFonts w:asciiTheme="majorHAnsi" w:eastAsia="Calibri" w:hAnsiTheme="majorHAnsi" w:cstheme="majorHAnsi"/>
          <w:b/>
          <w:sz w:val="22"/>
          <w:szCs w:val="22"/>
        </w:rPr>
      </w:pPr>
    </w:p>
    <w:p w14:paraId="0000005E" w14:textId="77777777" w:rsidR="004B4687" w:rsidRPr="00736F0A" w:rsidRDefault="004B4687" w:rsidP="00AB3CD4">
      <w:pPr>
        <w:spacing w:after="240" w:line="360" w:lineRule="auto"/>
        <w:jc w:val="both"/>
        <w:rPr>
          <w:rFonts w:asciiTheme="majorHAnsi" w:eastAsia="Calibri" w:hAnsiTheme="majorHAnsi" w:cstheme="majorHAnsi"/>
          <w:b/>
          <w:sz w:val="22"/>
          <w:szCs w:val="22"/>
        </w:rPr>
      </w:pPr>
    </w:p>
    <w:p w14:paraId="0000005F" w14:textId="77777777" w:rsidR="004B4687" w:rsidRPr="00736F0A" w:rsidRDefault="004B4687" w:rsidP="00AB3CD4">
      <w:pPr>
        <w:spacing w:after="240" w:line="360" w:lineRule="auto"/>
        <w:jc w:val="both"/>
        <w:rPr>
          <w:rFonts w:asciiTheme="majorHAnsi" w:eastAsia="Calibri" w:hAnsiTheme="majorHAnsi" w:cstheme="majorHAnsi"/>
          <w:b/>
          <w:sz w:val="22"/>
          <w:szCs w:val="22"/>
        </w:rPr>
      </w:pPr>
    </w:p>
    <w:p w14:paraId="00000060" w14:textId="77777777" w:rsidR="004B4687" w:rsidRPr="00736F0A" w:rsidRDefault="004B4687" w:rsidP="00AB3CD4">
      <w:pPr>
        <w:spacing w:after="240" w:line="360" w:lineRule="auto"/>
        <w:jc w:val="both"/>
        <w:rPr>
          <w:rFonts w:asciiTheme="majorHAnsi" w:eastAsia="Calibri" w:hAnsiTheme="majorHAnsi" w:cstheme="majorHAnsi"/>
          <w:b/>
          <w:sz w:val="22"/>
          <w:szCs w:val="22"/>
        </w:rPr>
      </w:pPr>
    </w:p>
    <w:p w14:paraId="00000061" w14:textId="77777777" w:rsidR="004B4687" w:rsidRPr="00736F0A" w:rsidRDefault="004B4687" w:rsidP="00AB3CD4">
      <w:pPr>
        <w:spacing w:after="240" w:line="360" w:lineRule="auto"/>
        <w:jc w:val="both"/>
        <w:rPr>
          <w:rFonts w:asciiTheme="majorHAnsi" w:eastAsia="Calibri" w:hAnsiTheme="majorHAnsi" w:cstheme="majorHAnsi"/>
          <w:b/>
          <w:sz w:val="22"/>
          <w:szCs w:val="22"/>
        </w:rPr>
      </w:pPr>
    </w:p>
    <w:p w14:paraId="00000062" w14:textId="77777777" w:rsidR="004B4687" w:rsidRPr="00736F0A" w:rsidRDefault="004B4687" w:rsidP="00AB3CD4">
      <w:pPr>
        <w:spacing w:after="240" w:line="360" w:lineRule="auto"/>
        <w:jc w:val="both"/>
        <w:rPr>
          <w:rFonts w:asciiTheme="majorHAnsi" w:eastAsia="Calibri" w:hAnsiTheme="majorHAnsi" w:cstheme="majorHAnsi"/>
          <w:b/>
          <w:sz w:val="22"/>
          <w:szCs w:val="22"/>
        </w:rPr>
      </w:pPr>
    </w:p>
    <w:p w14:paraId="1661BA91" w14:textId="77777777" w:rsidR="00C554E7" w:rsidRPr="00736F0A" w:rsidRDefault="00C554E7" w:rsidP="00AB3CD4">
      <w:pPr>
        <w:spacing w:after="240" w:line="360" w:lineRule="auto"/>
        <w:jc w:val="both"/>
        <w:rPr>
          <w:rFonts w:asciiTheme="majorHAnsi" w:eastAsia="Calibri" w:hAnsiTheme="majorHAnsi" w:cstheme="majorHAnsi"/>
          <w:b/>
          <w:sz w:val="22"/>
          <w:szCs w:val="22"/>
        </w:rPr>
      </w:pPr>
    </w:p>
    <w:p w14:paraId="3E3F0C97" w14:textId="77777777" w:rsidR="00C554E7" w:rsidRPr="00736F0A" w:rsidRDefault="00C554E7" w:rsidP="00AB3CD4">
      <w:pPr>
        <w:spacing w:after="240" w:line="360" w:lineRule="auto"/>
        <w:jc w:val="both"/>
        <w:rPr>
          <w:rFonts w:asciiTheme="majorHAnsi" w:eastAsia="Calibri" w:hAnsiTheme="majorHAnsi" w:cstheme="majorHAnsi"/>
          <w:b/>
          <w:sz w:val="22"/>
          <w:szCs w:val="22"/>
        </w:rPr>
      </w:pPr>
    </w:p>
    <w:p w14:paraId="13D2D460" w14:textId="77777777" w:rsidR="00C554E7" w:rsidRPr="00736F0A" w:rsidRDefault="00C554E7" w:rsidP="00AB3CD4">
      <w:pPr>
        <w:spacing w:after="240" w:line="360" w:lineRule="auto"/>
        <w:jc w:val="both"/>
        <w:rPr>
          <w:rFonts w:asciiTheme="majorHAnsi" w:eastAsia="Calibri" w:hAnsiTheme="majorHAnsi" w:cstheme="majorHAnsi"/>
          <w:b/>
          <w:sz w:val="22"/>
          <w:szCs w:val="22"/>
        </w:rPr>
      </w:pPr>
    </w:p>
    <w:p w14:paraId="1A2A2059" w14:textId="77777777" w:rsidR="00C554E7" w:rsidRPr="00736F0A" w:rsidRDefault="00C554E7" w:rsidP="00AB3CD4">
      <w:pPr>
        <w:spacing w:after="240" w:line="360" w:lineRule="auto"/>
        <w:jc w:val="both"/>
        <w:rPr>
          <w:rFonts w:asciiTheme="majorHAnsi" w:eastAsia="Calibri" w:hAnsiTheme="majorHAnsi" w:cstheme="majorHAnsi"/>
          <w:b/>
          <w:sz w:val="22"/>
          <w:szCs w:val="22"/>
        </w:rPr>
      </w:pPr>
    </w:p>
    <w:p w14:paraId="5D27B605" w14:textId="77777777" w:rsidR="00C554E7" w:rsidRPr="00736F0A" w:rsidRDefault="00C554E7" w:rsidP="00AB3CD4">
      <w:pPr>
        <w:spacing w:after="240" w:line="360" w:lineRule="auto"/>
        <w:jc w:val="both"/>
        <w:rPr>
          <w:rFonts w:asciiTheme="majorHAnsi" w:eastAsia="Calibri" w:hAnsiTheme="majorHAnsi" w:cstheme="majorHAnsi"/>
          <w:b/>
          <w:sz w:val="22"/>
          <w:szCs w:val="22"/>
        </w:rPr>
      </w:pPr>
    </w:p>
    <w:p w14:paraId="577EC6CA" w14:textId="77777777" w:rsidR="00C554E7" w:rsidRPr="00736F0A" w:rsidRDefault="00C554E7" w:rsidP="00AB3CD4">
      <w:pPr>
        <w:spacing w:after="240" w:line="360" w:lineRule="auto"/>
        <w:jc w:val="both"/>
        <w:rPr>
          <w:rFonts w:asciiTheme="majorHAnsi" w:eastAsia="Calibri" w:hAnsiTheme="majorHAnsi" w:cstheme="majorHAnsi"/>
          <w:b/>
          <w:sz w:val="22"/>
          <w:szCs w:val="22"/>
        </w:rPr>
      </w:pPr>
    </w:p>
    <w:p w14:paraId="00000063" w14:textId="77777777" w:rsidR="004B4687" w:rsidRPr="00736F0A" w:rsidRDefault="00940080" w:rsidP="00AB3CD4">
      <w:pPr>
        <w:spacing w:after="240" w:line="360" w:lineRule="auto"/>
        <w:jc w:val="both"/>
        <w:rPr>
          <w:rFonts w:asciiTheme="majorHAnsi" w:eastAsia="Calibri" w:hAnsiTheme="majorHAnsi" w:cstheme="majorHAnsi"/>
          <w:b/>
          <w:sz w:val="22"/>
          <w:szCs w:val="22"/>
        </w:rPr>
      </w:pPr>
      <w:r w:rsidRPr="00736F0A">
        <w:rPr>
          <w:rFonts w:asciiTheme="majorHAnsi" w:eastAsia="Calibri" w:hAnsiTheme="majorHAnsi" w:cstheme="majorHAnsi"/>
          <w:b/>
          <w:sz w:val="22"/>
          <w:szCs w:val="22"/>
        </w:rPr>
        <w:lastRenderedPageBreak/>
        <w:t>References:</w:t>
      </w:r>
    </w:p>
    <w:p w14:paraId="10819B7F" w14:textId="77777777" w:rsidR="00B77AB5"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1. National Patent Safety Agency. Never Events Annual Report 2009/10, 2010. </w:t>
      </w:r>
      <w:hyperlink r:id="rId8" w:history="1">
        <w:r w:rsidRPr="00736F0A">
          <w:rPr>
            <w:rFonts w:asciiTheme="majorHAnsi" w:eastAsia="Calibri" w:hAnsiTheme="majorHAnsi" w:cstheme="majorHAnsi"/>
            <w:sz w:val="22"/>
            <w:szCs w:val="22"/>
            <w:u w:val="single"/>
          </w:rPr>
          <w:t>https://www.gov.uk/government/publications/the-national-patient-safety-agency-annual-report-and-accounts-2009-to-2010</w:t>
        </w:r>
      </w:hyperlink>
      <w:r w:rsidRPr="00736F0A">
        <w:rPr>
          <w:rFonts w:asciiTheme="majorHAnsi" w:eastAsia="Calibri" w:hAnsiTheme="majorHAnsi" w:cstheme="majorHAnsi"/>
          <w:sz w:val="22"/>
          <w:szCs w:val="22"/>
        </w:rPr>
        <w:t xml:space="preserve"> Last accessed on 30</w:t>
      </w:r>
      <w:r w:rsidRPr="00736F0A">
        <w:rPr>
          <w:rFonts w:asciiTheme="majorHAnsi" w:eastAsia="Calibri" w:hAnsiTheme="majorHAnsi" w:cstheme="majorHAnsi"/>
          <w:sz w:val="22"/>
          <w:szCs w:val="22"/>
          <w:vertAlign w:val="superscript"/>
        </w:rPr>
        <w:t>th</w:t>
      </w:r>
      <w:r w:rsidRPr="00736F0A">
        <w:rPr>
          <w:rFonts w:asciiTheme="majorHAnsi" w:eastAsia="Calibri" w:hAnsiTheme="majorHAnsi" w:cstheme="majorHAnsi"/>
          <w:sz w:val="22"/>
          <w:szCs w:val="22"/>
        </w:rPr>
        <w:t xml:space="preserve"> April 2020</w:t>
      </w:r>
    </w:p>
    <w:p w14:paraId="573721D7" w14:textId="77777777" w:rsidR="00B77AB5"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2. Michaels, R., Makary, M., Dahab, Y., Frassica, F., Heitmiller, E., Rowen, L., Crotreau, R., Brem, H., &amp; Pronovost, P. (2007). Achieving the National Quality Forum’s “Never Events”: prevention of wrong site, wrong procedure, and wrong patient operations. Annals of Surgery, 245, 526–532.</w:t>
      </w:r>
    </w:p>
    <w:p w14:paraId="791A129D" w14:textId="77777777" w:rsidR="00B77AB5"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3. Kizer, K. W. (2001). Patient safety: a call to action: a consensus statement from the National Quality Forum. MedGenMed : Medscape general medicine, 3(2), 10.</w:t>
      </w:r>
    </w:p>
    <w:p w14:paraId="7849053F" w14:textId="77777777" w:rsidR="00B77AB5"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4. WHO Patient Safety &amp; World Health Organization. (‎2009)‎. WHO guidelines for safe surgery: 2009: safe surgery saves lives. World Health Organization. </w:t>
      </w:r>
      <w:hyperlink r:id="rId9" w:history="1">
        <w:r w:rsidRPr="00736F0A">
          <w:rPr>
            <w:rFonts w:asciiTheme="majorHAnsi" w:eastAsia="Calibri" w:hAnsiTheme="majorHAnsi" w:cstheme="majorHAnsi"/>
            <w:sz w:val="22"/>
            <w:szCs w:val="22"/>
            <w:u w:val="single"/>
          </w:rPr>
          <w:t>https://apps.who.int/iris/handle/10665/44185</w:t>
        </w:r>
      </w:hyperlink>
      <w:r w:rsidRPr="00736F0A">
        <w:rPr>
          <w:rFonts w:asciiTheme="majorHAnsi" w:eastAsia="Calibri" w:hAnsiTheme="majorHAnsi" w:cstheme="majorHAnsi"/>
          <w:sz w:val="22"/>
          <w:szCs w:val="22"/>
        </w:rPr>
        <w:t xml:space="preserve"> Last accessed on 30</w:t>
      </w:r>
      <w:r w:rsidRPr="00736F0A">
        <w:rPr>
          <w:rFonts w:asciiTheme="majorHAnsi" w:eastAsia="Calibri" w:hAnsiTheme="majorHAnsi" w:cstheme="majorHAnsi"/>
          <w:sz w:val="22"/>
          <w:szCs w:val="22"/>
          <w:vertAlign w:val="superscript"/>
        </w:rPr>
        <w:t>th</w:t>
      </w:r>
      <w:r w:rsidRPr="00736F0A">
        <w:rPr>
          <w:rFonts w:asciiTheme="majorHAnsi" w:eastAsia="Calibri" w:hAnsiTheme="majorHAnsi" w:cstheme="majorHAnsi"/>
          <w:sz w:val="22"/>
          <w:szCs w:val="22"/>
        </w:rPr>
        <w:t xml:space="preserve"> April’ 2020</w:t>
      </w:r>
    </w:p>
    <w:p w14:paraId="245B379A" w14:textId="77777777" w:rsidR="00B77AB5"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5. National Patient Safety Agency. (2009). Patient Safety Alert UPDATE. </w:t>
      </w:r>
      <w:hyperlink r:id="rId10" w:history="1">
        <w:r w:rsidRPr="00736F0A">
          <w:rPr>
            <w:rFonts w:asciiTheme="majorHAnsi" w:eastAsia="Calibri" w:hAnsiTheme="majorHAnsi" w:cstheme="majorHAnsi"/>
            <w:sz w:val="22"/>
            <w:szCs w:val="22"/>
            <w:u w:val="single"/>
          </w:rPr>
          <w:t>https://www.rcophth.ac.uk/wp-content/uploads/2015/01/WHO_-_NPSA_generic_checklist.pdf</w:t>
        </w:r>
      </w:hyperlink>
      <w:r w:rsidRPr="00736F0A">
        <w:rPr>
          <w:rFonts w:asciiTheme="majorHAnsi" w:eastAsia="Calibri" w:hAnsiTheme="majorHAnsi" w:cstheme="majorHAnsi"/>
          <w:sz w:val="22"/>
          <w:szCs w:val="22"/>
        </w:rPr>
        <w:t xml:space="preserve">  Last accessed on 30</w:t>
      </w:r>
      <w:r w:rsidRPr="00736F0A">
        <w:rPr>
          <w:rFonts w:asciiTheme="majorHAnsi" w:eastAsia="Calibri" w:hAnsiTheme="majorHAnsi" w:cstheme="majorHAnsi"/>
          <w:sz w:val="22"/>
          <w:szCs w:val="22"/>
          <w:vertAlign w:val="superscript"/>
        </w:rPr>
        <w:t>th</w:t>
      </w:r>
      <w:r w:rsidRPr="00736F0A">
        <w:rPr>
          <w:rFonts w:asciiTheme="majorHAnsi" w:eastAsia="Calibri" w:hAnsiTheme="majorHAnsi" w:cstheme="majorHAnsi"/>
          <w:sz w:val="22"/>
          <w:szCs w:val="22"/>
        </w:rPr>
        <w:t xml:space="preserve"> April 2020</w:t>
      </w:r>
    </w:p>
    <w:p w14:paraId="5A70D035" w14:textId="77777777" w:rsidR="00B77AB5" w:rsidRPr="00736F0A" w:rsidRDefault="00940080" w:rsidP="00AB3CD4">
      <w:pPr>
        <w:spacing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6. Never Events list 2018. NHS improvement January 2018 </w:t>
      </w:r>
      <w:hyperlink r:id="rId11" w:history="1">
        <w:r w:rsidRPr="00736F0A">
          <w:rPr>
            <w:rFonts w:asciiTheme="majorHAnsi" w:eastAsia="Calibri" w:hAnsiTheme="majorHAnsi" w:cstheme="majorHAnsi"/>
            <w:sz w:val="22"/>
            <w:szCs w:val="22"/>
            <w:u w:val="single"/>
          </w:rPr>
          <w:t>https://improvement.nhs.uk/documents/2899/Never_Events_list_2018_FINAL_v7.pdf</w:t>
        </w:r>
      </w:hyperlink>
      <w:r w:rsidRPr="00736F0A">
        <w:rPr>
          <w:rFonts w:asciiTheme="majorHAnsi" w:eastAsia="Calibri" w:hAnsiTheme="majorHAnsi" w:cstheme="majorHAnsi"/>
          <w:sz w:val="22"/>
          <w:szCs w:val="22"/>
        </w:rPr>
        <w:t xml:space="preserve"> Last accessed on 26</w:t>
      </w:r>
      <w:r w:rsidRPr="00736F0A">
        <w:rPr>
          <w:rFonts w:asciiTheme="majorHAnsi" w:eastAsia="Calibri" w:hAnsiTheme="majorHAnsi" w:cstheme="majorHAnsi"/>
          <w:sz w:val="22"/>
          <w:szCs w:val="22"/>
          <w:vertAlign w:val="superscript"/>
        </w:rPr>
        <w:t>th</w:t>
      </w:r>
      <w:r w:rsidRPr="00736F0A">
        <w:rPr>
          <w:rFonts w:asciiTheme="majorHAnsi" w:eastAsia="Calibri" w:hAnsiTheme="majorHAnsi" w:cstheme="majorHAnsi"/>
          <w:sz w:val="22"/>
          <w:szCs w:val="22"/>
        </w:rPr>
        <w:t xml:space="preserve"> April 2020</w:t>
      </w:r>
    </w:p>
    <w:p w14:paraId="34F0631C" w14:textId="77777777" w:rsidR="00B77AB5"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7. Never Events Data. NHS Improvement. </w:t>
      </w:r>
      <w:hyperlink r:id="rId12" w:history="1">
        <w:r w:rsidRPr="00736F0A">
          <w:rPr>
            <w:rFonts w:asciiTheme="majorHAnsi" w:eastAsia="Calibri" w:hAnsiTheme="majorHAnsi" w:cstheme="majorHAnsi"/>
            <w:sz w:val="22"/>
            <w:szCs w:val="22"/>
            <w:u w:val="single"/>
          </w:rPr>
          <w:t>https://improvement.nhs.uk/resources/never-events-data/</w:t>
        </w:r>
      </w:hyperlink>
      <w:r w:rsidRPr="00736F0A">
        <w:rPr>
          <w:rFonts w:asciiTheme="majorHAnsi" w:eastAsia="Calibri" w:hAnsiTheme="majorHAnsi" w:cstheme="majorHAnsi"/>
          <w:sz w:val="22"/>
          <w:szCs w:val="22"/>
        </w:rPr>
        <w:t xml:space="preserve"> Last accessed on 30</w:t>
      </w:r>
      <w:r w:rsidRPr="00736F0A">
        <w:rPr>
          <w:rFonts w:asciiTheme="majorHAnsi" w:eastAsia="Calibri" w:hAnsiTheme="majorHAnsi" w:cstheme="majorHAnsi"/>
          <w:sz w:val="22"/>
          <w:szCs w:val="22"/>
          <w:vertAlign w:val="superscript"/>
        </w:rPr>
        <w:t>th</w:t>
      </w:r>
      <w:r w:rsidRPr="00736F0A">
        <w:rPr>
          <w:rFonts w:asciiTheme="majorHAnsi" w:eastAsia="Calibri" w:hAnsiTheme="majorHAnsi" w:cstheme="majorHAnsi"/>
          <w:sz w:val="22"/>
          <w:szCs w:val="22"/>
        </w:rPr>
        <w:t xml:space="preserve"> April 2020</w:t>
      </w:r>
    </w:p>
    <w:p w14:paraId="05170B8F" w14:textId="77777777" w:rsidR="00B77AB5" w:rsidRPr="00736F0A" w:rsidRDefault="00940080" w:rsidP="00AB3CD4">
      <w:pPr>
        <w:spacing w:after="240" w:line="360" w:lineRule="auto"/>
        <w:jc w:val="both"/>
        <w:rPr>
          <w:rFonts w:asciiTheme="majorHAnsi" w:eastAsia="Calibri" w:hAnsiTheme="majorHAnsi" w:cstheme="majorHAnsi"/>
          <w:sz w:val="22"/>
          <w:szCs w:val="22"/>
          <w:u w:val="single"/>
        </w:rPr>
      </w:pPr>
      <w:r w:rsidRPr="00736F0A">
        <w:rPr>
          <w:rFonts w:asciiTheme="majorHAnsi" w:eastAsia="Calibri" w:hAnsiTheme="majorHAnsi" w:cstheme="majorHAnsi"/>
          <w:sz w:val="22"/>
          <w:szCs w:val="22"/>
        </w:rPr>
        <w:t xml:space="preserve">8. Kumar, J., &amp; Raina, R. (2017). ‘Never Events in Surgery’: Mere Error or an Avoidable Disaster. Indian J Surg, 79(3), 238–244. </w:t>
      </w:r>
      <w:hyperlink r:id="rId13" w:history="1">
        <w:r w:rsidRPr="00736F0A">
          <w:rPr>
            <w:rFonts w:asciiTheme="majorHAnsi" w:eastAsia="Calibri" w:hAnsiTheme="majorHAnsi" w:cstheme="majorHAnsi"/>
            <w:sz w:val="22"/>
            <w:szCs w:val="22"/>
            <w:u w:val="single"/>
          </w:rPr>
          <w:t>https://doi.org/10.1007/s12262-017-1620-4</w:t>
        </w:r>
      </w:hyperlink>
      <w:r w:rsidRPr="00736F0A">
        <w:rPr>
          <w:rFonts w:asciiTheme="majorHAnsi" w:eastAsia="Calibri" w:hAnsiTheme="majorHAnsi" w:cstheme="majorHAnsi"/>
          <w:sz w:val="22"/>
          <w:szCs w:val="22"/>
        </w:rPr>
        <w:t xml:space="preserve">.  </w:t>
      </w:r>
    </w:p>
    <w:p w14:paraId="60230D04" w14:textId="77777777" w:rsidR="00B77AB5"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9. Comptroller and Audit General. Financial sustainability of the NHS, Session 2016-17, HC 785, National Audit Office, November 2016.</w:t>
      </w:r>
    </w:p>
    <w:p w14:paraId="3BB748C4" w14:textId="77777777" w:rsidR="00B77AB5"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10. Gadelkareem, R. (2018). Experience of a Tertiary-Level Urology Center in the Clinical Urological Events of Rare and Very Rare Incidence. I. Surgical Never Events: 3. Urological Electrosurgical Never Events. Current Urology, 12, 33–38. </w:t>
      </w:r>
      <w:hyperlink r:id="rId14" w:history="1">
        <w:r w:rsidRPr="00736F0A">
          <w:rPr>
            <w:rStyle w:val="Hyperlink"/>
            <w:rFonts w:asciiTheme="majorHAnsi" w:eastAsia="Calibri" w:hAnsiTheme="majorHAnsi" w:cstheme="majorHAnsi"/>
            <w:color w:val="auto"/>
            <w:sz w:val="22"/>
            <w:szCs w:val="22"/>
          </w:rPr>
          <w:t>https://doi.org/10.1159/000447228</w:t>
        </w:r>
      </w:hyperlink>
    </w:p>
    <w:p w14:paraId="016F59C7" w14:textId="77777777" w:rsidR="00B77AB5"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lastRenderedPageBreak/>
        <w:t xml:space="preserve">11. Siracuse, J. J., Paracha, M., Farber, A., Rybin, D., Doros, G., Tseng, J., McAneny, D., &amp; Sachs, T. (2018). Never events after hepatopancreatobiliary operations. American Journal of Surgery, 216(6), 1129–1134. </w:t>
      </w:r>
      <w:hyperlink r:id="rId15" w:history="1">
        <w:r w:rsidRPr="00736F0A">
          <w:rPr>
            <w:rStyle w:val="Hyperlink"/>
            <w:rFonts w:asciiTheme="majorHAnsi" w:eastAsia="Calibri" w:hAnsiTheme="majorHAnsi" w:cstheme="majorHAnsi"/>
            <w:color w:val="auto"/>
            <w:sz w:val="22"/>
            <w:szCs w:val="22"/>
          </w:rPr>
          <w:t>https://doi.org/10.1016/j.amjsurg.2018.06.029</w:t>
        </w:r>
      </w:hyperlink>
    </w:p>
    <w:p w14:paraId="27D3E137" w14:textId="77777777" w:rsidR="00B77AB5"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12. Moshtaghi, O., Haidar, Y. M., Sahyouni, R., Moshtaghi, A., Ghavami, Y., Lin, H. W., &amp; Djalilian, H. R. (2017). Wrong-Site Surgery in California, 2007-2014. Otolaryngology--Head and Neck Surgery : Official Journal of American Academy of  Otolaryngology-Head and Neck Surgery, 157(1), 48–52. </w:t>
      </w:r>
      <w:hyperlink r:id="rId16" w:history="1">
        <w:r w:rsidRPr="00736F0A">
          <w:rPr>
            <w:rStyle w:val="Hyperlink"/>
            <w:rFonts w:asciiTheme="majorHAnsi" w:eastAsia="Calibri" w:hAnsiTheme="majorHAnsi" w:cstheme="majorHAnsi"/>
            <w:color w:val="auto"/>
            <w:sz w:val="22"/>
            <w:szCs w:val="22"/>
          </w:rPr>
          <w:t>https://doi.org/10.1177/0194599817693226</w:t>
        </w:r>
      </w:hyperlink>
    </w:p>
    <w:p w14:paraId="0673BE1F" w14:textId="77777777" w:rsidR="00B77AB5"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13. Weiser, T. G., &amp; Haynes, A. B. (2018). Ten years of the Surgical Safety Checklist. The British Journal of Surgery, 105(8), 927–929. </w:t>
      </w:r>
      <w:hyperlink r:id="rId17" w:history="1">
        <w:r w:rsidRPr="00736F0A">
          <w:rPr>
            <w:rStyle w:val="Hyperlink"/>
            <w:rFonts w:asciiTheme="majorHAnsi" w:eastAsia="Calibri" w:hAnsiTheme="majorHAnsi" w:cstheme="majorHAnsi"/>
            <w:color w:val="auto"/>
            <w:sz w:val="22"/>
            <w:szCs w:val="22"/>
          </w:rPr>
          <w:t>https://doi.org/10.1002/bjs.10907</w:t>
        </w:r>
      </w:hyperlink>
    </w:p>
    <w:p w14:paraId="215160A6" w14:textId="77777777" w:rsidR="00B77AB5"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14. Berner, J. E., Gokani, V., Savage, J., &amp; Blackburn, A. (2020). Repeated never events in plastic surgery: Can human factors help us understand why we fail? Journal of Plastic, Reconstructive &amp; Aesthetic Surgery, 73(1), 184–199. </w:t>
      </w:r>
      <w:hyperlink r:id="rId18" w:history="1">
        <w:r w:rsidRPr="00736F0A">
          <w:rPr>
            <w:rStyle w:val="Hyperlink"/>
            <w:rFonts w:asciiTheme="majorHAnsi" w:eastAsia="Calibri" w:hAnsiTheme="majorHAnsi" w:cstheme="majorHAnsi"/>
            <w:color w:val="auto"/>
            <w:sz w:val="22"/>
            <w:szCs w:val="22"/>
          </w:rPr>
          <w:t>https://doi.org/10.1016/j.bjps.2019.05.048</w:t>
        </w:r>
      </w:hyperlink>
    </w:p>
    <w:p w14:paraId="49F59709" w14:textId="77777777" w:rsidR="00B77AB5" w:rsidRPr="00736F0A" w:rsidRDefault="00940080" w:rsidP="00AB3CD4">
      <w:pPr>
        <w:spacing w:after="240" w:line="360" w:lineRule="auto"/>
        <w:jc w:val="both"/>
        <w:rPr>
          <w:rFonts w:asciiTheme="majorHAnsi" w:hAnsiTheme="majorHAnsi" w:cstheme="majorHAnsi"/>
          <w:sz w:val="22"/>
          <w:szCs w:val="22"/>
        </w:rPr>
      </w:pPr>
      <w:r w:rsidRPr="00736F0A">
        <w:rPr>
          <w:rFonts w:asciiTheme="majorHAnsi" w:eastAsia="Calibri" w:hAnsiTheme="majorHAnsi" w:cstheme="majorHAnsi"/>
          <w:sz w:val="22"/>
          <w:szCs w:val="22"/>
        </w:rPr>
        <w:t xml:space="preserve">15. Thiels, C. A., Lal, T. M., Nienow, J. M., Pasupathy, K. S., Blocker, R. C., Aho, J. M., Morgenthaler, T. I., Cima, R. R., Hallbeck, S., &amp; Bingener, J. (2015). Surgical never events and contributing human factors. Surgery, 158(2), 515–521. </w:t>
      </w:r>
      <w:hyperlink r:id="rId19" w:history="1">
        <w:r w:rsidRPr="00736F0A">
          <w:rPr>
            <w:rStyle w:val="Hyperlink"/>
            <w:rFonts w:asciiTheme="majorHAnsi" w:hAnsiTheme="majorHAnsi" w:cstheme="majorHAnsi"/>
            <w:color w:val="auto"/>
            <w:sz w:val="22"/>
            <w:szCs w:val="22"/>
          </w:rPr>
          <w:t>https://doi.org/10.1016/j.surg.2015.03.053</w:t>
        </w:r>
      </w:hyperlink>
    </w:p>
    <w:p w14:paraId="6DB0047A" w14:textId="77777777" w:rsidR="00B77AB5"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16. Shah, N. K., Farber, A., Kalish, J. A., Eslami, M. H., Sengupta, A., Doros, G., Rybin, D., &amp; Siracuse, J. J. (2016). Occurrence of “never events” after major open vascular surgery procedures. Journal of Vascular Surgery, 63(3), 738-45.e28.  </w:t>
      </w:r>
      <w:hyperlink r:id="rId20" w:history="1">
        <w:r w:rsidRPr="00736F0A">
          <w:rPr>
            <w:rStyle w:val="Hyperlink"/>
            <w:rFonts w:asciiTheme="majorHAnsi" w:eastAsia="Calibri" w:hAnsiTheme="majorHAnsi" w:cstheme="majorHAnsi"/>
            <w:color w:val="auto"/>
            <w:sz w:val="22"/>
            <w:szCs w:val="22"/>
          </w:rPr>
          <w:t>https://doi.org/10.1016/j.jvs.2015.09.024</w:t>
        </w:r>
      </w:hyperlink>
    </w:p>
    <w:p w14:paraId="14A8BA81" w14:textId="77777777" w:rsidR="00B77AB5" w:rsidRPr="00736F0A" w:rsidRDefault="00940080" w:rsidP="00AB3CD4">
      <w:pPr>
        <w:tabs>
          <w:tab w:val="left" w:pos="284"/>
        </w:tabs>
        <w:spacing w:after="240" w:line="360" w:lineRule="auto"/>
        <w:jc w:val="both"/>
        <w:rPr>
          <w:rFonts w:asciiTheme="majorHAnsi" w:eastAsia="Calibri" w:hAnsiTheme="majorHAnsi" w:cstheme="majorHAnsi"/>
          <w:sz w:val="22"/>
          <w:szCs w:val="22"/>
        </w:rPr>
      </w:pPr>
      <w:r w:rsidRPr="00736F0A">
        <w:rPr>
          <w:rFonts w:asciiTheme="majorHAnsi" w:hAnsiTheme="majorHAnsi" w:cstheme="majorHAnsi"/>
          <w:sz w:val="22"/>
          <w:szCs w:val="22"/>
        </w:rPr>
        <w:t xml:space="preserve">17. </w:t>
      </w:r>
      <w:r w:rsidRPr="00736F0A">
        <w:rPr>
          <w:rFonts w:asciiTheme="majorHAnsi" w:eastAsia="Calibri" w:hAnsiTheme="majorHAnsi" w:cstheme="majorHAnsi"/>
          <w:sz w:val="22"/>
          <w:szCs w:val="22"/>
        </w:rPr>
        <w:t xml:space="preserve">NHS England patient Safety Domain. (2015). National Safety Standards for Invasive Procedures. </w:t>
      </w:r>
      <w:hyperlink r:id="rId21" w:history="1">
        <w:r w:rsidRPr="00736F0A">
          <w:rPr>
            <w:rFonts w:asciiTheme="majorHAnsi" w:eastAsia="Calibri" w:hAnsiTheme="majorHAnsi" w:cstheme="majorHAnsi"/>
            <w:sz w:val="22"/>
            <w:szCs w:val="22"/>
            <w:u w:val="single"/>
          </w:rPr>
          <w:t>https://www.england.nhs.uk/patientsafety/wp-content/uploads/sites/32/2015/09/natssips-safety-standards.pdf</w:t>
        </w:r>
      </w:hyperlink>
      <w:r w:rsidRPr="00736F0A">
        <w:rPr>
          <w:rFonts w:asciiTheme="majorHAnsi" w:eastAsia="Calibri" w:hAnsiTheme="majorHAnsi" w:cstheme="majorHAnsi"/>
          <w:sz w:val="22"/>
          <w:szCs w:val="22"/>
        </w:rPr>
        <w:t xml:space="preserve"> Last accessed on 30</w:t>
      </w:r>
      <w:r w:rsidRPr="00736F0A">
        <w:rPr>
          <w:rFonts w:asciiTheme="majorHAnsi" w:eastAsia="Calibri" w:hAnsiTheme="majorHAnsi" w:cstheme="majorHAnsi"/>
          <w:sz w:val="22"/>
          <w:szCs w:val="22"/>
          <w:vertAlign w:val="superscript"/>
        </w:rPr>
        <w:t>th</w:t>
      </w:r>
      <w:r w:rsidRPr="00736F0A">
        <w:rPr>
          <w:rFonts w:asciiTheme="majorHAnsi" w:eastAsia="Calibri" w:hAnsiTheme="majorHAnsi" w:cstheme="majorHAnsi"/>
          <w:sz w:val="22"/>
          <w:szCs w:val="22"/>
        </w:rPr>
        <w:t xml:space="preserve"> April 2020</w:t>
      </w:r>
    </w:p>
    <w:p w14:paraId="280795D8" w14:textId="77777777" w:rsidR="00B77AB5"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18. NHS England patient Safety Domain. (2015). Patient Safety Alert Stage Two: Resources Supporting the introduction of the National Safety Standards for Invasive Procedures. </w:t>
      </w:r>
      <w:hyperlink r:id="rId22" w:history="1">
        <w:r w:rsidRPr="00736F0A">
          <w:rPr>
            <w:rFonts w:asciiTheme="majorHAnsi" w:eastAsia="Calibri" w:hAnsiTheme="majorHAnsi" w:cstheme="majorHAnsi"/>
            <w:sz w:val="22"/>
            <w:szCs w:val="22"/>
            <w:u w:val="single"/>
          </w:rPr>
          <w:t>https://www.england.nhs.uk/wp-content/uploads/2015/09/psa-natssips.pdf</w:t>
        </w:r>
      </w:hyperlink>
      <w:r w:rsidRPr="00736F0A">
        <w:rPr>
          <w:rFonts w:asciiTheme="majorHAnsi" w:eastAsia="Calibri" w:hAnsiTheme="majorHAnsi" w:cstheme="majorHAnsi"/>
          <w:sz w:val="22"/>
          <w:szCs w:val="22"/>
        </w:rPr>
        <w:t xml:space="preserve"> Last accessed on 30</w:t>
      </w:r>
      <w:r w:rsidRPr="00736F0A">
        <w:rPr>
          <w:rFonts w:asciiTheme="majorHAnsi" w:eastAsia="Calibri" w:hAnsiTheme="majorHAnsi" w:cstheme="majorHAnsi"/>
          <w:sz w:val="22"/>
          <w:szCs w:val="22"/>
          <w:vertAlign w:val="superscript"/>
        </w:rPr>
        <w:t>th</w:t>
      </w:r>
      <w:r w:rsidRPr="00736F0A">
        <w:rPr>
          <w:rFonts w:asciiTheme="majorHAnsi" w:eastAsia="Calibri" w:hAnsiTheme="majorHAnsi" w:cstheme="majorHAnsi"/>
          <w:sz w:val="22"/>
          <w:szCs w:val="22"/>
        </w:rPr>
        <w:t xml:space="preserve"> April 2020</w:t>
      </w:r>
    </w:p>
    <w:p w14:paraId="460C5509" w14:textId="77777777" w:rsidR="00B77AB5"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sz w:val="22"/>
          <w:szCs w:val="22"/>
        </w:rPr>
        <w:t xml:space="preserve">19. NHS Improvement. (2018). NatSSIPs implementation survey: full results. </w:t>
      </w:r>
      <w:hyperlink r:id="rId23" w:history="1">
        <w:r w:rsidRPr="00736F0A">
          <w:rPr>
            <w:rFonts w:asciiTheme="majorHAnsi" w:eastAsia="Calibri" w:hAnsiTheme="majorHAnsi" w:cstheme="majorHAnsi"/>
            <w:sz w:val="22"/>
            <w:szCs w:val="22"/>
            <w:u w:val="single"/>
          </w:rPr>
          <w:t>https://improvement.nhs.uk/documents/3206/NatSSIPs_implementation_survey_final.pdf</w:t>
        </w:r>
      </w:hyperlink>
      <w:r w:rsidRPr="00736F0A">
        <w:rPr>
          <w:rFonts w:asciiTheme="majorHAnsi" w:eastAsia="Calibri" w:hAnsiTheme="majorHAnsi" w:cstheme="majorHAnsi"/>
          <w:sz w:val="22"/>
          <w:szCs w:val="22"/>
        </w:rPr>
        <w:t xml:space="preserve"> Last accessed on 30</w:t>
      </w:r>
      <w:r w:rsidRPr="00736F0A">
        <w:rPr>
          <w:rFonts w:asciiTheme="majorHAnsi" w:eastAsia="Calibri" w:hAnsiTheme="majorHAnsi" w:cstheme="majorHAnsi"/>
          <w:sz w:val="22"/>
          <w:szCs w:val="22"/>
          <w:vertAlign w:val="superscript"/>
        </w:rPr>
        <w:t>th</w:t>
      </w:r>
      <w:r w:rsidRPr="00736F0A">
        <w:rPr>
          <w:rFonts w:asciiTheme="majorHAnsi" w:eastAsia="Calibri" w:hAnsiTheme="majorHAnsi" w:cstheme="majorHAnsi"/>
          <w:sz w:val="22"/>
          <w:szCs w:val="22"/>
        </w:rPr>
        <w:t xml:space="preserve"> April 2020</w:t>
      </w:r>
    </w:p>
    <w:p w14:paraId="00000085" w14:textId="77777777" w:rsidR="004B4687" w:rsidRPr="00736F0A" w:rsidRDefault="004B4687" w:rsidP="00AB3CD4">
      <w:pPr>
        <w:spacing w:after="240" w:line="360" w:lineRule="auto"/>
        <w:jc w:val="both"/>
        <w:rPr>
          <w:rFonts w:asciiTheme="majorHAnsi" w:eastAsia="Calibri" w:hAnsiTheme="majorHAnsi" w:cstheme="majorHAnsi"/>
          <w:sz w:val="22"/>
          <w:szCs w:val="22"/>
        </w:rPr>
      </w:pPr>
    </w:p>
    <w:p w14:paraId="00000086" w14:textId="77777777" w:rsidR="004B4687" w:rsidRPr="00736F0A" w:rsidRDefault="00940080" w:rsidP="00AB3CD4">
      <w:pPr>
        <w:spacing w:after="240" w:line="360" w:lineRule="auto"/>
        <w:jc w:val="both"/>
        <w:rPr>
          <w:rFonts w:asciiTheme="majorHAnsi" w:eastAsia="Calibri" w:hAnsiTheme="majorHAnsi" w:cstheme="majorHAnsi"/>
          <w:b/>
          <w:sz w:val="22"/>
          <w:szCs w:val="22"/>
        </w:rPr>
      </w:pPr>
      <w:r w:rsidRPr="00736F0A">
        <w:rPr>
          <w:rFonts w:asciiTheme="majorHAnsi" w:eastAsia="Calibri" w:hAnsiTheme="majorHAnsi" w:cstheme="majorHAnsi"/>
          <w:b/>
          <w:sz w:val="22"/>
          <w:szCs w:val="22"/>
        </w:rPr>
        <w:lastRenderedPageBreak/>
        <w:t xml:space="preserve">Abbreviations: </w:t>
      </w:r>
    </w:p>
    <w:p w14:paraId="00000087" w14:textId="77777777" w:rsidR="004B4687"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b/>
          <w:sz w:val="22"/>
          <w:szCs w:val="22"/>
        </w:rPr>
        <w:t>NE:</w:t>
      </w:r>
      <w:r w:rsidRPr="00736F0A">
        <w:rPr>
          <w:rFonts w:asciiTheme="majorHAnsi" w:eastAsia="Calibri" w:hAnsiTheme="majorHAnsi" w:cstheme="majorHAnsi"/>
          <w:sz w:val="22"/>
          <w:szCs w:val="22"/>
        </w:rPr>
        <w:t xml:space="preserve"> Never Event(s)</w:t>
      </w:r>
    </w:p>
    <w:p w14:paraId="00000088" w14:textId="77777777" w:rsidR="004B4687"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b/>
          <w:sz w:val="22"/>
          <w:szCs w:val="22"/>
        </w:rPr>
        <w:t xml:space="preserve">IOM: </w:t>
      </w:r>
      <w:r w:rsidRPr="00736F0A">
        <w:rPr>
          <w:rFonts w:asciiTheme="majorHAnsi" w:eastAsia="Calibri" w:hAnsiTheme="majorHAnsi" w:cstheme="majorHAnsi"/>
          <w:sz w:val="22"/>
          <w:szCs w:val="22"/>
        </w:rPr>
        <w:t>Institute of Medicine</w:t>
      </w:r>
    </w:p>
    <w:p w14:paraId="00000089" w14:textId="77777777" w:rsidR="004B4687"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b/>
          <w:sz w:val="22"/>
          <w:szCs w:val="22"/>
        </w:rPr>
        <w:t xml:space="preserve">USA: </w:t>
      </w:r>
      <w:r w:rsidRPr="00736F0A">
        <w:rPr>
          <w:rFonts w:asciiTheme="majorHAnsi" w:eastAsia="Calibri" w:hAnsiTheme="majorHAnsi" w:cstheme="majorHAnsi"/>
          <w:sz w:val="22"/>
          <w:szCs w:val="22"/>
        </w:rPr>
        <w:t>United States of America</w:t>
      </w:r>
    </w:p>
    <w:p w14:paraId="0000008A" w14:textId="77777777" w:rsidR="004B4687"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b/>
          <w:sz w:val="22"/>
          <w:szCs w:val="22"/>
        </w:rPr>
        <w:t xml:space="preserve">UK: </w:t>
      </w:r>
      <w:r w:rsidRPr="00736F0A">
        <w:rPr>
          <w:rFonts w:asciiTheme="majorHAnsi" w:eastAsia="Calibri" w:hAnsiTheme="majorHAnsi" w:cstheme="majorHAnsi"/>
          <w:sz w:val="22"/>
          <w:szCs w:val="22"/>
        </w:rPr>
        <w:t>United Kingdom</w:t>
      </w:r>
    </w:p>
    <w:p w14:paraId="0000008B" w14:textId="77777777" w:rsidR="004B4687"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b/>
          <w:sz w:val="22"/>
          <w:szCs w:val="22"/>
        </w:rPr>
        <w:t>NHS:</w:t>
      </w:r>
      <w:r w:rsidRPr="00736F0A">
        <w:rPr>
          <w:rFonts w:asciiTheme="majorHAnsi" w:eastAsia="Calibri" w:hAnsiTheme="majorHAnsi" w:cstheme="majorHAnsi"/>
          <w:sz w:val="22"/>
          <w:szCs w:val="22"/>
        </w:rPr>
        <w:t xml:space="preserve"> National Health Service</w:t>
      </w:r>
    </w:p>
    <w:p w14:paraId="0000008C" w14:textId="77777777" w:rsidR="004B4687"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b/>
          <w:sz w:val="22"/>
          <w:szCs w:val="22"/>
        </w:rPr>
        <w:t xml:space="preserve">NPSA: </w:t>
      </w:r>
      <w:r w:rsidRPr="00736F0A">
        <w:rPr>
          <w:rFonts w:asciiTheme="majorHAnsi" w:eastAsia="Calibri" w:hAnsiTheme="majorHAnsi" w:cstheme="majorHAnsi"/>
          <w:sz w:val="22"/>
          <w:szCs w:val="22"/>
        </w:rPr>
        <w:t xml:space="preserve">National Patient Safety Agency </w:t>
      </w:r>
    </w:p>
    <w:p w14:paraId="0000008D" w14:textId="77777777" w:rsidR="004B4687" w:rsidRPr="00736F0A" w:rsidRDefault="00940080" w:rsidP="00AB3CD4">
      <w:pPr>
        <w:spacing w:after="240" w:line="360" w:lineRule="auto"/>
        <w:jc w:val="both"/>
        <w:rPr>
          <w:rFonts w:asciiTheme="majorHAnsi" w:eastAsia="Calibri" w:hAnsiTheme="majorHAnsi" w:cstheme="majorHAnsi"/>
          <w:b/>
          <w:sz w:val="22"/>
          <w:szCs w:val="22"/>
        </w:rPr>
      </w:pPr>
      <w:r w:rsidRPr="00736F0A">
        <w:rPr>
          <w:rFonts w:asciiTheme="majorHAnsi" w:eastAsia="Calibri" w:hAnsiTheme="majorHAnsi" w:cstheme="majorHAnsi"/>
          <w:b/>
          <w:sz w:val="22"/>
          <w:szCs w:val="22"/>
        </w:rPr>
        <w:t xml:space="preserve">WHO: </w:t>
      </w:r>
      <w:r w:rsidRPr="00736F0A">
        <w:rPr>
          <w:rFonts w:asciiTheme="majorHAnsi" w:eastAsia="Calibri" w:hAnsiTheme="majorHAnsi" w:cstheme="majorHAnsi"/>
          <w:sz w:val="22"/>
          <w:szCs w:val="22"/>
        </w:rPr>
        <w:t>World Health Organisation</w:t>
      </w:r>
    </w:p>
    <w:p w14:paraId="0000008E" w14:textId="77777777" w:rsidR="004B4687"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b/>
          <w:sz w:val="22"/>
          <w:szCs w:val="22"/>
        </w:rPr>
        <w:t>NRLS:</w:t>
      </w:r>
      <w:r w:rsidRPr="00736F0A">
        <w:rPr>
          <w:rFonts w:asciiTheme="majorHAnsi" w:eastAsia="Calibri" w:hAnsiTheme="majorHAnsi" w:cstheme="majorHAnsi"/>
          <w:sz w:val="22"/>
          <w:szCs w:val="22"/>
        </w:rPr>
        <w:t xml:space="preserve"> National Reporting and Learning System</w:t>
      </w:r>
    </w:p>
    <w:p w14:paraId="0000008F" w14:textId="77777777" w:rsidR="004B4687"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b/>
          <w:sz w:val="22"/>
          <w:szCs w:val="22"/>
        </w:rPr>
        <w:t>STEIS:</w:t>
      </w:r>
      <w:r w:rsidRPr="00736F0A">
        <w:rPr>
          <w:rFonts w:asciiTheme="majorHAnsi" w:eastAsia="Calibri" w:hAnsiTheme="majorHAnsi" w:cstheme="majorHAnsi"/>
          <w:sz w:val="22"/>
          <w:szCs w:val="22"/>
        </w:rPr>
        <w:t xml:space="preserve"> Strategic Executive Information System</w:t>
      </w:r>
    </w:p>
    <w:p w14:paraId="00000090" w14:textId="77777777" w:rsidR="004B4687" w:rsidRPr="00736F0A" w:rsidRDefault="00940080" w:rsidP="00AB3CD4">
      <w:pPr>
        <w:spacing w:after="240" w:line="360" w:lineRule="auto"/>
        <w:jc w:val="both"/>
        <w:rPr>
          <w:rFonts w:asciiTheme="majorHAnsi" w:eastAsia="Calibri" w:hAnsiTheme="majorHAnsi" w:cstheme="majorHAnsi"/>
          <w:sz w:val="22"/>
          <w:szCs w:val="22"/>
        </w:rPr>
      </w:pPr>
      <w:r w:rsidRPr="00736F0A">
        <w:rPr>
          <w:rFonts w:asciiTheme="majorHAnsi" w:eastAsia="Calibri" w:hAnsiTheme="majorHAnsi" w:cstheme="majorHAnsi"/>
          <w:b/>
          <w:sz w:val="22"/>
          <w:szCs w:val="22"/>
        </w:rPr>
        <w:t>NatSSIPs:</w:t>
      </w:r>
      <w:r w:rsidRPr="00736F0A">
        <w:rPr>
          <w:rFonts w:asciiTheme="majorHAnsi" w:eastAsia="Calibri" w:hAnsiTheme="majorHAnsi" w:cstheme="majorHAnsi"/>
          <w:sz w:val="22"/>
          <w:szCs w:val="22"/>
        </w:rPr>
        <w:t xml:space="preserve"> National Safety Standards for Invasive Procedures </w:t>
      </w:r>
    </w:p>
    <w:p w14:paraId="00000091" w14:textId="77777777" w:rsidR="004B4687" w:rsidRPr="00736F0A" w:rsidRDefault="00940080" w:rsidP="00AB3CD4">
      <w:pPr>
        <w:spacing w:line="360" w:lineRule="auto"/>
        <w:jc w:val="both"/>
        <w:rPr>
          <w:rFonts w:asciiTheme="majorHAnsi" w:eastAsia="Calibri" w:hAnsiTheme="majorHAnsi" w:cstheme="majorHAnsi"/>
          <w:sz w:val="22"/>
          <w:szCs w:val="22"/>
        </w:rPr>
      </w:pPr>
      <w:r w:rsidRPr="00736F0A">
        <w:rPr>
          <w:rFonts w:asciiTheme="majorHAnsi" w:eastAsia="Calibri" w:hAnsiTheme="majorHAnsi" w:cstheme="majorHAnsi"/>
          <w:b/>
          <w:sz w:val="22"/>
          <w:szCs w:val="22"/>
        </w:rPr>
        <w:t>LocSSIPs:</w:t>
      </w:r>
      <w:r w:rsidRPr="00736F0A">
        <w:rPr>
          <w:rFonts w:asciiTheme="majorHAnsi" w:eastAsia="Calibri" w:hAnsiTheme="majorHAnsi" w:cstheme="majorHAnsi"/>
          <w:sz w:val="22"/>
          <w:szCs w:val="22"/>
        </w:rPr>
        <w:t xml:space="preserve"> Local Safety Standards for Invasive Procedures </w:t>
      </w:r>
    </w:p>
    <w:sectPr w:rsidR="004B4687" w:rsidRPr="00736F0A" w:rsidSect="00D7529E">
      <w:headerReference w:type="default" r:id="rId24"/>
      <w:pgSz w:w="11906" w:h="16838"/>
      <w:pgMar w:top="1418" w:right="1418" w:bottom="1418"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2DB56" w14:textId="77777777" w:rsidR="002C0807" w:rsidRDefault="002C0807">
      <w:r>
        <w:separator/>
      </w:r>
    </w:p>
  </w:endnote>
  <w:endnote w:type="continuationSeparator" w:id="0">
    <w:p w14:paraId="36D7AAFC" w14:textId="77777777" w:rsidR="002C0807" w:rsidRDefault="002C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ＭＳ 明朝"/>
    <w:panose1 w:val="00000000000000000000"/>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5DB5C" w14:textId="77777777" w:rsidR="002C0807" w:rsidRDefault="002C0807">
      <w:r>
        <w:separator/>
      </w:r>
    </w:p>
  </w:footnote>
  <w:footnote w:type="continuationSeparator" w:id="0">
    <w:p w14:paraId="6432612B" w14:textId="77777777" w:rsidR="002C0807" w:rsidRDefault="002C0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2" w14:textId="7BED2E4B" w:rsidR="004B4687" w:rsidRDefault="0094008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63486D">
      <w:rPr>
        <w:noProof/>
        <w:color w:val="000000"/>
      </w:rPr>
      <w:t>2</w:t>
    </w:r>
    <w:r>
      <w:rPr>
        <w:color w:val="000000"/>
      </w:rPr>
      <w:fldChar w:fldCharType="end"/>
    </w:r>
  </w:p>
  <w:p w14:paraId="00000093" w14:textId="77777777" w:rsidR="004B4687" w:rsidRDefault="004B468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B062D8"/>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2C2F40C2"/>
    <w:multiLevelType w:val="multilevel"/>
    <w:tmpl w:val="0602B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87"/>
    <w:rsid w:val="00015774"/>
    <w:rsid w:val="00017370"/>
    <w:rsid w:val="00034108"/>
    <w:rsid w:val="000423CE"/>
    <w:rsid w:val="000665C1"/>
    <w:rsid w:val="0007321F"/>
    <w:rsid w:val="00077FB6"/>
    <w:rsid w:val="000A2014"/>
    <w:rsid w:val="000A3E7C"/>
    <w:rsid w:val="000B5D3D"/>
    <w:rsid w:val="000C640D"/>
    <w:rsid w:val="000D2282"/>
    <w:rsid w:val="000E6E77"/>
    <w:rsid w:val="0012487C"/>
    <w:rsid w:val="00125481"/>
    <w:rsid w:val="00130A18"/>
    <w:rsid w:val="001329E0"/>
    <w:rsid w:val="0013482E"/>
    <w:rsid w:val="00141C5B"/>
    <w:rsid w:val="00164005"/>
    <w:rsid w:val="00166D88"/>
    <w:rsid w:val="00171FAC"/>
    <w:rsid w:val="001A534E"/>
    <w:rsid w:val="001E2806"/>
    <w:rsid w:val="00221BB3"/>
    <w:rsid w:val="00222E3B"/>
    <w:rsid w:val="002264B8"/>
    <w:rsid w:val="0025472D"/>
    <w:rsid w:val="002737C8"/>
    <w:rsid w:val="002763F0"/>
    <w:rsid w:val="00284910"/>
    <w:rsid w:val="002976BA"/>
    <w:rsid w:val="002B7580"/>
    <w:rsid w:val="002C0807"/>
    <w:rsid w:val="00302142"/>
    <w:rsid w:val="00321E66"/>
    <w:rsid w:val="0034075A"/>
    <w:rsid w:val="0035539A"/>
    <w:rsid w:val="00360C0C"/>
    <w:rsid w:val="00373BA2"/>
    <w:rsid w:val="00382C17"/>
    <w:rsid w:val="00396145"/>
    <w:rsid w:val="003A2086"/>
    <w:rsid w:val="003A6E60"/>
    <w:rsid w:val="003C7A29"/>
    <w:rsid w:val="00402982"/>
    <w:rsid w:val="00412806"/>
    <w:rsid w:val="00425AD6"/>
    <w:rsid w:val="00426BF6"/>
    <w:rsid w:val="0043699E"/>
    <w:rsid w:val="00437AE4"/>
    <w:rsid w:val="00443B36"/>
    <w:rsid w:val="00457C2F"/>
    <w:rsid w:val="00465A36"/>
    <w:rsid w:val="0048209A"/>
    <w:rsid w:val="004861D2"/>
    <w:rsid w:val="00486429"/>
    <w:rsid w:val="004923A7"/>
    <w:rsid w:val="00493C2C"/>
    <w:rsid w:val="004B13A0"/>
    <w:rsid w:val="004B32E6"/>
    <w:rsid w:val="004B4687"/>
    <w:rsid w:val="004B5F28"/>
    <w:rsid w:val="00502608"/>
    <w:rsid w:val="005048C6"/>
    <w:rsid w:val="00506344"/>
    <w:rsid w:val="00520675"/>
    <w:rsid w:val="00525A9C"/>
    <w:rsid w:val="00525B92"/>
    <w:rsid w:val="005265C8"/>
    <w:rsid w:val="00592216"/>
    <w:rsid w:val="00593D7F"/>
    <w:rsid w:val="005B1981"/>
    <w:rsid w:val="005C42A5"/>
    <w:rsid w:val="005E6170"/>
    <w:rsid w:val="00612424"/>
    <w:rsid w:val="00634436"/>
    <w:rsid w:val="0063486D"/>
    <w:rsid w:val="00634E7E"/>
    <w:rsid w:val="00635765"/>
    <w:rsid w:val="006429A8"/>
    <w:rsid w:val="00643BDC"/>
    <w:rsid w:val="0067573B"/>
    <w:rsid w:val="00695EF5"/>
    <w:rsid w:val="006962EA"/>
    <w:rsid w:val="006A5504"/>
    <w:rsid w:val="006C1512"/>
    <w:rsid w:val="006C39F4"/>
    <w:rsid w:val="006E01D3"/>
    <w:rsid w:val="006F672E"/>
    <w:rsid w:val="00713DC7"/>
    <w:rsid w:val="007144ED"/>
    <w:rsid w:val="00723DF4"/>
    <w:rsid w:val="00736F0A"/>
    <w:rsid w:val="00746507"/>
    <w:rsid w:val="00746E68"/>
    <w:rsid w:val="00790714"/>
    <w:rsid w:val="007A3622"/>
    <w:rsid w:val="007A3AC7"/>
    <w:rsid w:val="007A3CD8"/>
    <w:rsid w:val="007C1D1E"/>
    <w:rsid w:val="0080508B"/>
    <w:rsid w:val="008107BA"/>
    <w:rsid w:val="00822F4D"/>
    <w:rsid w:val="008573C4"/>
    <w:rsid w:val="00857DFA"/>
    <w:rsid w:val="00862858"/>
    <w:rsid w:val="008A198E"/>
    <w:rsid w:val="008A29EA"/>
    <w:rsid w:val="008B7888"/>
    <w:rsid w:val="008C1C07"/>
    <w:rsid w:val="008C3CD5"/>
    <w:rsid w:val="008C610C"/>
    <w:rsid w:val="008F1927"/>
    <w:rsid w:val="009039A6"/>
    <w:rsid w:val="00936F66"/>
    <w:rsid w:val="00940080"/>
    <w:rsid w:val="00943ED6"/>
    <w:rsid w:val="00947CCF"/>
    <w:rsid w:val="00964625"/>
    <w:rsid w:val="00984929"/>
    <w:rsid w:val="00987172"/>
    <w:rsid w:val="009C3689"/>
    <w:rsid w:val="009D3383"/>
    <w:rsid w:val="009D64B6"/>
    <w:rsid w:val="009F3093"/>
    <w:rsid w:val="00A01719"/>
    <w:rsid w:val="00A02FED"/>
    <w:rsid w:val="00A20ACD"/>
    <w:rsid w:val="00A509A7"/>
    <w:rsid w:val="00A71217"/>
    <w:rsid w:val="00A749A2"/>
    <w:rsid w:val="00A908DC"/>
    <w:rsid w:val="00A97E8E"/>
    <w:rsid w:val="00AA0E79"/>
    <w:rsid w:val="00AA3472"/>
    <w:rsid w:val="00AB3CD4"/>
    <w:rsid w:val="00AB6122"/>
    <w:rsid w:val="00AD79BC"/>
    <w:rsid w:val="00AF6ECC"/>
    <w:rsid w:val="00AF739C"/>
    <w:rsid w:val="00B1292B"/>
    <w:rsid w:val="00B14BBD"/>
    <w:rsid w:val="00B52BB8"/>
    <w:rsid w:val="00B661A6"/>
    <w:rsid w:val="00B66AF0"/>
    <w:rsid w:val="00B75A4D"/>
    <w:rsid w:val="00B77AB5"/>
    <w:rsid w:val="00B856E2"/>
    <w:rsid w:val="00BB4477"/>
    <w:rsid w:val="00BD54E7"/>
    <w:rsid w:val="00BD5651"/>
    <w:rsid w:val="00BD6341"/>
    <w:rsid w:val="00BE39A9"/>
    <w:rsid w:val="00BF1FE3"/>
    <w:rsid w:val="00C00E01"/>
    <w:rsid w:val="00C137C7"/>
    <w:rsid w:val="00C31ED8"/>
    <w:rsid w:val="00C554E7"/>
    <w:rsid w:val="00C56E51"/>
    <w:rsid w:val="00C75C6A"/>
    <w:rsid w:val="00C81690"/>
    <w:rsid w:val="00C8187D"/>
    <w:rsid w:val="00C84933"/>
    <w:rsid w:val="00C86158"/>
    <w:rsid w:val="00C94C89"/>
    <w:rsid w:val="00CA2C0F"/>
    <w:rsid w:val="00CA44F3"/>
    <w:rsid w:val="00CC0AA6"/>
    <w:rsid w:val="00CC3619"/>
    <w:rsid w:val="00CC3772"/>
    <w:rsid w:val="00CD3407"/>
    <w:rsid w:val="00CE334E"/>
    <w:rsid w:val="00CF0488"/>
    <w:rsid w:val="00D16569"/>
    <w:rsid w:val="00D1751C"/>
    <w:rsid w:val="00D20988"/>
    <w:rsid w:val="00D37402"/>
    <w:rsid w:val="00D43256"/>
    <w:rsid w:val="00D567C7"/>
    <w:rsid w:val="00D75170"/>
    <w:rsid w:val="00D7529E"/>
    <w:rsid w:val="00D81EFE"/>
    <w:rsid w:val="00D939E2"/>
    <w:rsid w:val="00DB0307"/>
    <w:rsid w:val="00DB51BE"/>
    <w:rsid w:val="00DD76E7"/>
    <w:rsid w:val="00DE15DF"/>
    <w:rsid w:val="00DE5C98"/>
    <w:rsid w:val="00DF33BF"/>
    <w:rsid w:val="00DF60AC"/>
    <w:rsid w:val="00DF7AE1"/>
    <w:rsid w:val="00E011B7"/>
    <w:rsid w:val="00E142BD"/>
    <w:rsid w:val="00E27D82"/>
    <w:rsid w:val="00E4784F"/>
    <w:rsid w:val="00E60E02"/>
    <w:rsid w:val="00E644B5"/>
    <w:rsid w:val="00E64A7E"/>
    <w:rsid w:val="00E72C59"/>
    <w:rsid w:val="00E91FD9"/>
    <w:rsid w:val="00ED57B2"/>
    <w:rsid w:val="00EE1482"/>
    <w:rsid w:val="00F16A31"/>
    <w:rsid w:val="00F303B4"/>
    <w:rsid w:val="00F32D48"/>
    <w:rsid w:val="00F460BB"/>
    <w:rsid w:val="00F6280B"/>
    <w:rsid w:val="00F710CF"/>
    <w:rsid w:val="00F712B7"/>
    <w:rsid w:val="00F86220"/>
    <w:rsid w:val="00F9794A"/>
    <w:rsid w:val="00FA4718"/>
    <w:rsid w:val="00FA4F41"/>
    <w:rsid w:val="00FC31CC"/>
    <w:rsid w:val="00FC5E20"/>
    <w:rsid w:val="00FE6FD7"/>
    <w:rsid w:val="00FF0680"/>
    <w:rsid w:val="00FF535F"/>
    <w:rsid w:val="00FF6E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C4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A6E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E6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E6FD7"/>
    <w:rPr>
      <w:b/>
      <w:bCs/>
    </w:rPr>
  </w:style>
  <w:style w:type="character" w:customStyle="1" w:styleId="CommentSubjectChar">
    <w:name w:val="Comment Subject Char"/>
    <w:basedOn w:val="CommentTextChar"/>
    <w:link w:val="CommentSubject"/>
    <w:uiPriority w:val="99"/>
    <w:semiHidden/>
    <w:rsid w:val="00FE6FD7"/>
    <w:rPr>
      <w:b/>
      <w:bCs/>
      <w:sz w:val="20"/>
      <w:szCs w:val="20"/>
    </w:rPr>
  </w:style>
  <w:style w:type="character" w:styleId="Hyperlink">
    <w:name w:val="Hyperlink"/>
    <w:basedOn w:val="DefaultParagraphFont"/>
    <w:uiPriority w:val="99"/>
    <w:unhideWhenUsed/>
    <w:rsid w:val="00DF33BF"/>
    <w:rPr>
      <w:color w:val="0000FF" w:themeColor="hyperlink"/>
      <w:u w:val="single"/>
    </w:rPr>
  </w:style>
  <w:style w:type="character" w:styleId="FollowedHyperlink">
    <w:name w:val="FollowedHyperlink"/>
    <w:basedOn w:val="DefaultParagraphFont"/>
    <w:uiPriority w:val="99"/>
    <w:semiHidden/>
    <w:unhideWhenUsed/>
    <w:rsid w:val="00BD5651"/>
    <w:rPr>
      <w:color w:val="800080" w:themeColor="followedHyperlink"/>
      <w:u w:val="single"/>
    </w:rPr>
  </w:style>
  <w:style w:type="paragraph" w:styleId="Header">
    <w:name w:val="header"/>
    <w:basedOn w:val="Normal"/>
    <w:link w:val="HeaderChar"/>
    <w:uiPriority w:val="99"/>
    <w:unhideWhenUsed/>
    <w:rsid w:val="002264B8"/>
    <w:pPr>
      <w:tabs>
        <w:tab w:val="center" w:pos="4513"/>
        <w:tab w:val="right" w:pos="9026"/>
      </w:tabs>
    </w:pPr>
  </w:style>
  <w:style w:type="character" w:customStyle="1" w:styleId="HeaderChar">
    <w:name w:val="Header Char"/>
    <w:basedOn w:val="DefaultParagraphFont"/>
    <w:link w:val="Header"/>
    <w:uiPriority w:val="99"/>
    <w:rsid w:val="002264B8"/>
  </w:style>
  <w:style w:type="paragraph" w:styleId="Footer">
    <w:name w:val="footer"/>
    <w:basedOn w:val="Normal"/>
    <w:link w:val="FooterChar"/>
    <w:uiPriority w:val="99"/>
    <w:unhideWhenUsed/>
    <w:rsid w:val="002264B8"/>
    <w:pPr>
      <w:tabs>
        <w:tab w:val="center" w:pos="4513"/>
        <w:tab w:val="right" w:pos="9026"/>
      </w:tabs>
    </w:pPr>
  </w:style>
  <w:style w:type="character" w:customStyle="1" w:styleId="FooterChar">
    <w:name w:val="Footer Char"/>
    <w:basedOn w:val="DefaultParagraphFont"/>
    <w:link w:val="Footer"/>
    <w:uiPriority w:val="99"/>
    <w:rsid w:val="002264B8"/>
  </w:style>
  <w:style w:type="paragraph" w:styleId="ListParagraph">
    <w:name w:val="List Paragraph"/>
    <w:basedOn w:val="Normal"/>
    <w:uiPriority w:val="34"/>
    <w:qFormat/>
    <w:rsid w:val="00D939E2"/>
    <w:pPr>
      <w:ind w:left="720"/>
      <w:contextualSpacing/>
    </w:pPr>
    <w:rPr>
      <w:rFonts w:ascii="Cambria" w:eastAsia="MS Minngs" w:hAnsi="Cambria"/>
      <w:lang w:eastAsia="en-US"/>
    </w:rPr>
  </w:style>
  <w:style w:type="paragraph" w:customStyle="1" w:styleId="NoteLevel11">
    <w:name w:val="Note Level 11"/>
    <w:basedOn w:val="Normal"/>
    <w:uiPriority w:val="99"/>
    <w:unhideWhenUsed/>
    <w:rsid w:val="00D939E2"/>
    <w:pPr>
      <w:keepNext/>
      <w:numPr>
        <w:numId w:val="2"/>
      </w:numPr>
      <w:spacing w:line="276" w:lineRule="auto"/>
      <w:contextualSpacing/>
      <w:outlineLvl w:val="0"/>
    </w:pPr>
    <w:rPr>
      <w:rFonts w:ascii="Verdana" w:eastAsiaTheme="minorHAnsi" w:hAnsi="Verdana" w:cstheme="minorBidi"/>
      <w:sz w:val="22"/>
      <w:szCs w:val="22"/>
      <w:lang w:eastAsia="en-US"/>
    </w:rPr>
  </w:style>
  <w:style w:type="paragraph" w:customStyle="1" w:styleId="NoteLevel21">
    <w:name w:val="Note Level 21"/>
    <w:basedOn w:val="Normal"/>
    <w:uiPriority w:val="99"/>
    <w:semiHidden/>
    <w:unhideWhenUsed/>
    <w:rsid w:val="00D939E2"/>
    <w:pPr>
      <w:keepNext/>
      <w:numPr>
        <w:ilvl w:val="1"/>
        <w:numId w:val="2"/>
      </w:numPr>
      <w:tabs>
        <w:tab w:val="clear" w:pos="720"/>
        <w:tab w:val="num" w:pos="360"/>
      </w:tabs>
      <w:spacing w:line="276" w:lineRule="auto"/>
      <w:ind w:left="0" w:firstLine="0"/>
      <w:contextualSpacing/>
      <w:outlineLvl w:val="1"/>
    </w:pPr>
    <w:rPr>
      <w:rFonts w:ascii="Verdana" w:eastAsiaTheme="minorHAnsi" w:hAnsi="Verdana" w:cstheme="minorBidi"/>
      <w:sz w:val="22"/>
      <w:szCs w:val="22"/>
      <w:lang w:eastAsia="en-US"/>
    </w:rPr>
  </w:style>
  <w:style w:type="paragraph" w:customStyle="1" w:styleId="NoteLevel31">
    <w:name w:val="Note Level 31"/>
    <w:basedOn w:val="Normal"/>
    <w:uiPriority w:val="99"/>
    <w:semiHidden/>
    <w:unhideWhenUsed/>
    <w:rsid w:val="00D939E2"/>
    <w:pPr>
      <w:keepNext/>
      <w:numPr>
        <w:ilvl w:val="2"/>
        <w:numId w:val="2"/>
      </w:numPr>
      <w:tabs>
        <w:tab w:val="clear" w:pos="1440"/>
        <w:tab w:val="num" w:pos="360"/>
      </w:tabs>
      <w:spacing w:line="276" w:lineRule="auto"/>
      <w:ind w:left="0" w:firstLine="0"/>
      <w:contextualSpacing/>
      <w:outlineLvl w:val="2"/>
    </w:pPr>
    <w:rPr>
      <w:rFonts w:ascii="Verdana" w:eastAsiaTheme="minorHAnsi" w:hAnsi="Verdana" w:cstheme="minorBidi"/>
      <w:sz w:val="22"/>
      <w:szCs w:val="22"/>
      <w:lang w:eastAsia="en-US"/>
    </w:rPr>
  </w:style>
  <w:style w:type="paragraph" w:customStyle="1" w:styleId="NoteLevel41">
    <w:name w:val="Note Level 41"/>
    <w:basedOn w:val="Normal"/>
    <w:uiPriority w:val="99"/>
    <w:semiHidden/>
    <w:unhideWhenUsed/>
    <w:rsid w:val="00D939E2"/>
    <w:pPr>
      <w:keepNext/>
      <w:numPr>
        <w:ilvl w:val="3"/>
        <w:numId w:val="2"/>
      </w:numPr>
      <w:tabs>
        <w:tab w:val="clear" w:pos="2160"/>
        <w:tab w:val="num" w:pos="360"/>
      </w:tabs>
      <w:spacing w:line="276" w:lineRule="auto"/>
      <w:ind w:left="0" w:firstLine="0"/>
      <w:contextualSpacing/>
      <w:outlineLvl w:val="3"/>
    </w:pPr>
    <w:rPr>
      <w:rFonts w:ascii="Verdana" w:eastAsiaTheme="minorHAnsi" w:hAnsi="Verdana" w:cstheme="minorBidi"/>
      <w:sz w:val="22"/>
      <w:szCs w:val="22"/>
      <w:lang w:eastAsia="en-US"/>
    </w:rPr>
  </w:style>
  <w:style w:type="paragraph" w:customStyle="1" w:styleId="NoteLevel51">
    <w:name w:val="Note Level 51"/>
    <w:basedOn w:val="Normal"/>
    <w:uiPriority w:val="99"/>
    <w:unhideWhenUsed/>
    <w:rsid w:val="00D939E2"/>
    <w:pPr>
      <w:keepNext/>
      <w:numPr>
        <w:ilvl w:val="4"/>
        <w:numId w:val="2"/>
      </w:numPr>
      <w:spacing w:line="276" w:lineRule="auto"/>
      <w:contextualSpacing/>
      <w:outlineLvl w:val="4"/>
    </w:pPr>
    <w:rPr>
      <w:rFonts w:ascii="Verdana" w:eastAsiaTheme="minorHAnsi" w:hAnsi="Verdana" w:cstheme="minorBidi"/>
      <w:sz w:val="22"/>
      <w:szCs w:val="22"/>
      <w:lang w:eastAsia="en-US"/>
    </w:rPr>
  </w:style>
  <w:style w:type="paragraph" w:customStyle="1" w:styleId="NoteLevel61">
    <w:name w:val="Note Level 61"/>
    <w:basedOn w:val="Normal"/>
    <w:uiPriority w:val="99"/>
    <w:semiHidden/>
    <w:unhideWhenUsed/>
    <w:rsid w:val="00D939E2"/>
    <w:pPr>
      <w:keepNext/>
      <w:numPr>
        <w:ilvl w:val="5"/>
        <w:numId w:val="2"/>
      </w:numPr>
      <w:tabs>
        <w:tab w:val="clear" w:pos="3600"/>
        <w:tab w:val="num" w:pos="360"/>
      </w:tabs>
      <w:spacing w:line="276" w:lineRule="auto"/>
      <w:ind w:left="0" w:firstLine="0"/>
      <w:contextualSpacing/>
      <w:outlineLvl w:val="5"/>
    </w:pPr>
    <w:rPr>
      <w:rFonts w:ascii="Verdana" w:eastAsiaTheme="minorHAnsi" w:hAnsi="Verdana" w:cstheme="minorBidi"/>
      <w:sz w:val="22"/>
      <w:szCs w:val="22"/>
      <w:lang w:eastAsia="en-US"/>
    </w:rPr>
  </w:style>
  <w:style w:type="paragraph" w:customStyle="1" w:styleId="NoteLevel71">
    <w:name w:val="Note Level 71"/>
    <w:basedOn w:val="Normal"/>
    <w:uiPriority w:val="99"/>
    <w:semiHidden/>
    <w:unhideWhenUsed/>
    <w:rsid w:val="00D939E2"/>
    <w:pPr>
      <w:keepNext/>
      <w:numPr>
        <w:ilvl w:val="6"/>
        <w:numId w:val="2"/>
      </w:numPr>
      <w:tabs>
        <w:tab w:val="clear" w:pos="4320"/>
        <w:tab w:val="num" w:pos="360"/>
      </w:tabs>
      <w:spacing w:line="276" w:lineRule="auto"/>
      <w:ind w:left="0" w:firstLine="0"/>
      <w:contextualSpacing/>
      <w:outlineLvl w:val="6"/>
    </w:pPr>
    <w:rPr>
      <w:rFonts w:ascii="Verdana" w:eastAsiaTheme="minorHAnsi" w:hAnsi="Verdana" w:cstheme="minorBidi"/>
      <w:sz w:val="22"/>
      <w:szCs w:val="22"/>
      <w:lang w:eastAsia="en-US"/>
    </w:rPr>
  </w:style>
  <w:style w:type="paragraph" w:customStyle="1" w:styleId="NoteLevel81">
    <w:name w:val="Note Level 81"/>
    <w:basedOn w:val="Normal"/>
    <w:uiPriority w:val="99"/>
    <w:semiHidden/>
    <w:unhideWhenUsed/>
    <w:rsid w:val="00D939E2"/>
    <w:pPr>
      <w:keepNext/>
      <w:numPr>
        <w:ilvl w:val="7"/>
        <w:numId w:val="2"/>
      </w:numPr>
      <w:tabs>
        <w:tab w:val="clear" w:pos="5040"/>
        <w:tab w:val="num" w:pos="360"/>
      </w:tabs>
      <w:spacing w:line="276" w:lineRule="auto"/>
      <w:ind w:left="0" w:firstLine="0"/>
      <w:contextualSpacing/>
      <w:outlineLvl w:val="7"/>
    </w:pPr>
    <w:rPr>
      <w:rFonts w:ascii="Verdana" w:eastAsiaTheme="minorHAnsi" w:hAnsi="Verdana" w:cstheme="minorBidi"/>
      <w:sz w:val="22"/>
      <w:szCs w:val="22"/>
      <w:lang w:eastAsia="en-US"/>
    </w:rPr>
  </w:style>
  <w:style w:type="paragraph" w:customStyle="1" w:styleId="NoteLevel91">
    <w:name w:val="Note Level 91"/>
    <w:basedOn w:val="Normal"/>
    <w:uiPriority w:val="99"/>
    <w:semiHidden/>
    <w:unhideWhenUsed/>
    <w:rsid w:val="00D939E2"/>
    <w:pPr>
      <w:keepNext/>
      <w:numPr>
        <w:ilvl w:val="8"/>
        <w:numId w:val="2"/>
      </w:numPr>
      <w:tabs>
        <w:tab w:val="clear" w:pos="5760"/>
        <w:tab w:val="num" w:pos="360"/>
      </w:tabs>
      <w:spacing w:line="276" w:lineRule="auto"/>
      <w:ind w:left="0" w:firstLine="0"/>
      <w:contextualSpacing/>
      <w:outlineLvl w:val="8"/>
    </w:pPr>
    <w:rPr>
      <w:rFonts w:ascii="Verdana" w:eastAsiaTheme="minorHAnsi" w:hAnsi="Verdana" w:cstheme="minorBidi"/>
      <w:sz w:val="22"/>
      <w:szCs w:val="22"/>
      <w:lang w:eastAsia="en-US"/>
    </w:rPr>
  </w:style>
  <w:style w:type="character" w:styleId="LineNumber">
    <w:name w:val="line number"/>
    <w:basedOn w:val="DefaultParagraphFont"/>
    <w:uiPriority w:val="99"/>
    <w:semiHidden/>
    <w:unhideWhenUsed/>
    <w:rsid w:val="00B52BB8"/>
  </w:style>
  <w:style w:type="character" w:customStyle="1" w:styleId="apple-converted-space">
    <w:name w:val="apple-converted-space"/>
    <w:basedOn w:val="DefaultParagraphFont"/>
    <w:rsid w:val="00C3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national-patient-safety-agency-annual-report-and-accounts-2009-to-2010" TargetMode="External"/><Relationship Id="rId13" Type="http://schemas.openxmlformats.org/officeDocument/2006/relationships/hyperlink" Target="https://doi.org/10.1007/s12262-017-1620-4" TargetMode="External"/><Relationship Id="rId18" Type="http://schemas.openxmlformats.org/officeDocument/2006/relationships/hyperlink" Target="https://doi.org/10.1016/j.bjps.2019.05.04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england.nhs.uk/patientsafety/wp-content/uploads/sites/32/2015/09/natssips-safety-standards.pdf" TargetMode="External"/><Relationship Id="rId7" Type="http://schemas.openxmlformats.org/officeDocument/2006/relationships/hyperlink" Target="mailto:kmahawar@gmail.com" TargetMode="External"/><Relationship Id="rId12" Type="http://schemas.openxmlformats.org/officeDocument/2006/relationships/hyperlink" Target="https://improvement.nhs.uk/resources/never-events-data/" TargetMode="External"/><Relationship Id="rId17" Type="http://schemas.openxmlformats.org/officeDocument/2006/relationships/hyperlink" Target="https://doi.org/10.1002/bjs.1090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77/0194599817693226" TargetMode="External"/><Relationship Id="rId20" Type="http://schemas.openxmlformats.org/officeDocument/2006/relationships/hyperlink" Target="https://doi.org/10.1016/j.jvs.2015.09.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provement.nhs.uk/documents/2899/Never_Events_list_2018_FINAL_v7.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016/j.amjsurg.2018.06.029" TargetMode="External"/><Relationship Id="rId23" Type="http://schemas.openxmlformats.org/officeDocument/2006/relationships/hyperlink" Target="https://improvement.nhs.uk/documents/3206/NatSSIPs_implementation_survey_final.pdf" TargetMode="External"/><Relationship Id="rId10" Type="http://schemas.openxmlformats.org/officeDocument/2006/relationships/hyperlink" Target="https://www.rcophth.ac.uk/wp-content/uploads/2015/01/WHO_-_NPSA_generic_checklist.pdf" TargetMode="External"/><Relationship Id="rId19" Type="http://schemas.openxmlformats.org/officeDocument/2006/relationships/hyperlink" Target="https://doi.org/10.1016/j.surg.2015.03.053" TargetMode="External"/><Relationship Id="rId4" Type="http://schemas.openxmlformats.org/officeDocument/2006/relationships/webSettings" Target="webSettings.xml"/><Relationship Id="rId9" Type="http://schemas.openxmlformats.org/officeDocument/2006/relationships/hyperlink" Target="https://apps.who.int/iris/handle/10665/44185" TargetMode="External"/><Relationship Id="rId14" Type="http://schemas.openxmlformats.org/officeDocument/2006/relationships/hyperlink" Target="https://doi.org/10.1159/000447228" TargetMode="External"/><Relationship Id="rId22" Type="http://schemas.openxmlformats.org/officeDocument/2006/relationships/hyperlink" Target="https://www.england.nhs.uk/wp-content/uploads/2015/09/psa-natssi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3884</Words>
  <Characters>22143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 Kumar Mahawar</dc:creator>
  <cp:lastModifiedBy>Yitka Graham</cp:lastModifiedBy>
  <cp:revision>2</cp:revision>
  <dcterms:created xsi:type="dcterms:W3CDTF">2020-11-24T11:17:00Z</dcterms:created>
  <dcterms:modified xsi:type="dcterms:W3CDTF">2020-11-24T11:17:00Z</dcterms:modified>
</cp:coreProperties>
</file>