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E1AE4" w14:textId="6A3B54FC" w:rsidR="00B15C35" w:rsidRPr="00542B34" w:rsidRDefault="00B15C35" w:rsidP="00542B34">
      <w:pPr>
        <w:pStyle w:val="Articletitle"/>
        <w:spacing w:after="0" w:line="480" w:lineRule="auto"/>
        <w:rPr>
          <w:sz w:val="24"/>
        </w:rPr>
      </w:pPr>
      <w:r w:rsidRPr="00542B34">
        <w:rPr>
          <w:sz w:val="24"/>
        </w:rPr>
        <w:t>Policy and Practice</w:t>
      </w:r>
    </w:p>
    <w:p w14:paraId="17A7F189" w14:textId="77777777" w:rsidR="00B15C35" w:rsidRPr="00542B34" w:rsidRDefault="00B15C35" w:rsidP="00542B34">
      <w:pPr>
        <w:pStyle w:val="Articletitle"/>
        <w:spacing w:after="0" w:line="480" w:lineRule="auto"/>
        <w:rPr>
          <w:b w:val="0"/>
          <w:bCs/>
          <w:sz w:val="24"/>
        </w:rPr>
      </w:pPr>
    </w:p>
    <w:p w14:paraId="42D97463" w14:textId="77777777" w:rsidR="00B15C35" w:rsidRPr="00542B34" w:rsidRDefault="00B15C35" w:rsidP="00542B34">
      <w:pPr>
        <w:pStyle w:val="Articletitle"/>
        <w:spacing w:after="0" w:line="480" w:lineRule="auto"/>
        <w:rPr>
          <w:b w:val="0"/>
          <w:bCs/>
          <w:sz w:val="24"/>
        </w:rPr>
      </w:pPr>
    </w:p>
    <w:p w14:paraId="21B18EFA" w14:textId="459CF8B6" w:rsidR="00661045" w:rsidRPr="00542B34" w:rsidRDefault="00170651" w:rsidP="00542B34">
      <w:pPr>
        <w:pStyle w:val="Articletitle"/>
        <w:spacing w:after="0" w:line="480" w:lineRule="auto"/>
        <w:jc w:val="center"/>
        <w:rPr>
          <w:sz w:val="24"/>
        </w:rPr>
      </w:pPr>
      <w:r w:rsidRPr="00542B34">
        <w:rPr>
          <w:sz w:val="24"/>
        </w:rPr>
        <w:t>O</w:t>
      </w:r>
      <w:r w:rsidR="000E1AB0" w:rsidRPr="00542B34">
        <w:rPr>
          <w:sz w:val="24"/>
        </w:rPr>
        <w:t xml:space="preserve">ccupational health </w:t>
      </w:r>
      <w:r w:rsidR="001E5B9F" w:rsidRPr="00542B34">
        <w:rPr>
          <w:sz w:val="24"/>
        </w:rPr>
        <w:t>issues</w:t>
      </w:r>
      <w:r w:rsidR="000E1AB0" w:rsidRPr="00542B34">
        <w:rPr>
          <w:sz w:val="24"/>
        </w:rPr>
        <w:t xml:space="preserve"> </w:t>
      </w:r>
      <w:r w:rsidR="00414CC7" w:rsidRPr="00542B34">
        <w:rPr>
          <w:sz w:val="24"/>
        </w:rPr>
        <w:t>experienced by</w:t>
      </w:r>
      <w:r w:rsidR="000E1AB0" w:rsidRPr="00542B34">
        <w:rPr>
          <w:sz w:val="24"/>
        </w:rPr>
        <w:t xml:space="preserve"> </w:t>
      </w:r>
      <w:r w:rsidRPr="00542B34">
        <w:rPr>
          <w:sz w:val="24"/>
        </w:rPr>
        <w:t xml:space="preserve">UK </w:t>
      </w:r>
      <w:r w:rsidR="00EB6E2F" w:rsidRPr="00542B34">
        <w:rPr>
          <w:sz w:val="24"/>
        </w:rPr>
        <w:t>embryologists</w:t>
      </w:r>
      <w:r w:rsidRPr="00542B34">
        <w:rPr>
          <w:sz w:val="24"/>
        </w:rPr>
        <w:t>:</w:t>
      </w:r>
      <w:r w:rsidR="000E1AB0" w:rsidRPr="00542B34">
        <w:rPr>
          <w:sz w:val="24"/>
        </w:rPr>
        <w:t xml:space="preserve"> </w:t>
      </w:r>
      <w:r w:rsidRPr="00542B34">
        <w:rPr>
          <w:sz w:val="24"/>
        </w:rPr>
        <w:t xml:space="preserve">informing improvements </w:t>
      </w:r>
      <w:r w:rsidR="00EB6E2F" w:rsidRPr="00542B34">
        <w:rPr>
          <w:sz w:val="24"/>
        </w:rPr>
        <w:t>in</w:t>
      </w:r>
      <w:r w:rsidRPr="00542B34">
        <w:rPr>
          <w:sz w:val="24"/>
        </w:rPr>
        <w:t xml:space="preserve"> </w:t>
      </w:r>
      <w:r w:rsidR="00EB6E2F" w:rsidRPr="00542B34">
        <w:rPr>
          <w:sz w:val="24"/>
        </w:rPr>
        <w:t>clinical reproductive science practice</w:t>
      </w:r>
    </w:p>
    <w:p w14:paraId="61FDFDC8" w14:textId="67FDC6CF" w:rsidR="00B15C35" w:rsidRPr="00B15C35" w:rsidRDefault="00B15C35" w:rsidP="00B15C35"/>
    <w:p w14:paraId="0DC0E0BF" w14:textId="77777777" w:rsidR="00B15C35" w:rsidRPr="00B15C35" w:rsidRDefault="00B15C35" w:rsidP="00542B34"/>
    <w:p w14:paraId="33C6D74D" w14:textId="7880202E" w:rsidR="00442B9C" w:rsidRPr="00542B34" w:rsidRDefault="00BA629E" w:rsidP="00542B34">
      <w:pPr>
        <w:pStyle w:val="Authornames"/>
        <w:spacing w:before="0" w:line="480" w:lineRule="auto"/>
        <w:jc w:val="center"/>
        <w:rPr>
          <w:sz w:val="24"/>
        </w:rPr>
      </w:pPr>
      <w:r w:rsidRPr="00542B34">
        <w:rPr>
          <w:sz w:val="24"/>
        </w:rPr>
        <w:t>Helen Priddle</w:t>
      </w:r>
      <w:r w:rsidR="004F428E" w:rsidRPr="00542B34">
        <w:rPr>
          <w:sz w:val="24"/>
          <w:vertAlign w:val="superscript"/>
        </w:rPr>
        <w:t>a</w:t>
      </w:r>
      <w:r w:rsidRPr="00542B34">
        <w:rPr>
          <w:sz w:val="24"/>
        </w:rPr>
        <w:t>, Sarah Pickup</w:t>
      </w:r>
      <w:r w:rsidRPr="00542B34">
        <w:rPr>
          <w:sz w:val="24"/>
          <w:vertAlign w:val="superscript"/>
        </w:rPr>
        <w:t>b</w:t>
      </w:r>
      <w:r w:rsidR="004F428E" w:rsidRPr="00542B34">
        <w:rPr>
          <w:sz w:val="24"/>
        </w:rPr>
        <w:t xml:space="preserve"> and </w:t>
      </w:r>
      <w:r w:rsidRPr="00542B34">
        <w:rPr>
          <w:sz w:val="24"/>
        </w:rPr>
        <w:t>Catherine Hayes</w:t>
      </w:r>
      <w:r w:rsidRPr="00542B34">
        <w:rPr>
          <w:sz w:val="24"/>
          <w:vertAlign w:val="superscript"/>
        </w:rPr>
        <w:t>c</w:t>
      </w:r>
      <w:r w:rsidR="003638B7" w:rsidRPr="00542B34">
        <w:rPr>
          <w:sz w:val="24"/>
          <w:vertAlign w:val="superscript"/>
        </w:rPr>
        <w:t>,</w:t>
      </w:r>
      <w:r w:rsidR="001B3B98" w:rsidRPr="00542B34">
        <w:rPr>
          <w:sz w:val="24"/>
          <w:vertAlign w:val="superscript"/>
        </w:rPr>
        <w:t>d</w:t>
      </w:r>
      <w:r w:rsidR="00B15C35">
        <w:rPr>
          <w:sz w:val="24"/>
        </w:rPr>
        <w:t xml:space="preserve"> on behalf of the </w:t>
      </w:r>
      <w:r w:rsidR="00B15C35" w:rsidRPr="00B15C35">
        <w:rPr>
          <w:sz w:val="24"/>
        </w:rPr>
        <w:t>Association of Reproductive and Clinical Scientists (ARCS)</w:t>
      </w:r>
      <w:r w:rsidR="00B15C35">
        <w:rPr>
          <w:sz w:val="24"/>
        </w:rPr>
        <w:t>.</w:t>
      </w:r>
    </w:p>
    <w:p w14:paraId="63A76375" w14:textId="12BB56B1" w:rsidR="00BA629E" w:rsidRDefault="00BA629E" w:rsidP="00B15C35"/>
    <w:p w14:paraId="37F99107" w14:textId="77777777" w:rsidR="00B15C35" w:rsidRPr="00B15C35" w:rsidRDefault="00B15C35" w:rsidP="00B15C35"/>
    <w:p w14:paraId="6E3E6D93" w14:textId="193B4371" w:rsidR="00997B0F" w:rsidRPr="00542B34" w:rsidRDefault="00B64FA3" w:rsidP="00542B34">
      <w:pPr>
        <w:pStyle w:val="Affiliation"/>
        <w:spacing w:before="0" w:line="480" w:lineRule="auto"/>
        <w:jc w:val="both"/>
        <w:rPr>
          <w:i w:val="0"/>
          <w:iCs/>
        </w:rPr>
      </w:pPr>
      <w:r w:rsidRPr="00542B34">
        <w:rPr>
          <w:i w:val="0"/>
          <w:iCs/>
          <w:vertAlign w:val="superscript"/>
        </w:rPr>
        <w:t>a</w:t>
      </w:r>
      <w:r w:rsidR="00BA629E" w:rsidRPr="00542B34">
        <w:rPr>
          <w:i w:val="0"/>
          <w:iCs/>
        </w:rPr>
        <w:t>London Women</w:t>
      </w:r>
      <w:r w:rsidR="00F8146F" w:rsidRPr="00542B34">
        <w:rPr>
          <w:i w:val="0"/>
          <w:iCs/>
        </w:rPr>
        <w:t>’</w:t>
      </w:r>
      <w:r w:rsidR="00BA629E" w:rsidRPr="00542B34">
        <w:rPr>
          <w:i w:val="0"/>
          <w:iCs/>
        </w:rPr>
        <w:t>s Clinic Wales, Cardiff, UK</w:t>
      </w:r>
      <w:r w:rsidRPr="00542B34">
        <w:rPr>
          <w:i w:val="0"/>
          <w:iCs/>
        </w:rPr>
        <w:t xml:space="preserve">; </w:t>
      </w:r>
      <w:r w:rsidRPr="00542B34">
        <w:rPr>
          <w:i w:val="0"/>
          <w:iCs/>
          <w:vertAlign w:val="superscript"/>
        </w:rPr>
        <w:t>b</w:t>
      </w:r>
      <w:r w:rsidR="00BA629E" w:rsidRPr="00542B34">
        <w:rPr>
          <w:i w:val="0"/>
          <w:iCs/>
        </w:rPr>
        <w:t>School of Psychology</w:t>
      </w:r>
      <w:r w:rsidRPr="00542B34">
        <w:rPr>
          <w:i w:val="0"/>
          <w:iCs/>
        </w:rPr>
        <w:t>, University</w:t>
      </w:r>
      <w:r w:rsidR="00BA629E" w:rsidRPr="00542B34">
        <w:rPr>
          <w:i w:val="0"/>
          <w:iCs/>
        </w:rPr>
        <w:t xml:space="preserve"> of Sunderland</w:t>
      </w:r>
      <w:r w:rsidRPr="00542B34">
        <w:rPr>
          <w:i w:val="0"/>
          <w:iCs/>
        </w:rPr>
        <w:t xml:space="preserve">, </w:t>
      </w:r>
      <w:r w:rsidR="00BA3B3C" w:rsidRPr="00542B34">
        <w:rPr>
          <w:i w:val="0"/>
          <w:iCs/>
        </w:rPr>
        <w:t>Sunderland</w:t>
      </w:r>
      <w:r w:rsidRPr="00542B34">
        <w:rPr>
          <w:i w:val="0"/>
          <w:iCs/>
        </w:rPr>
        <w:t xml:space="preserve">, </w:t>
      </w:r>
      <w:r w:rsidR="00BA629E" w:rsidRPr="00542B34">
        <w:rPr>
          <w:i w:val="0"/>
          <w:iCs/>
        </w:rPr>
        <w:t>UK;</w:t>
      </w:r>
      <w:r w:rsidR="00BA629E" w:rsidRPr="00542B34">
        <w:rPr>
          <w:i w:val="0"/>
          <w:iCs/>
          <w:vertAlign w:val="superscript"/>
        </w:rPr>
        <w:t xml:space="preserve"> c</w:t>
      </w:r>
      <w:r w:rsidR="00BA629E" w:rsidRPr="00542B34">
        <w:rPr>
          <w:i w:val="0"/>
          <w:iCs/>
        </w:rPr>
        <w:t xml:space="preserve">School of Nursing and Health Sciences, University of Sunderland, </w:t>
      </w:r>
      <w:r w:rsidR="00BA3B3C" w:rsidRPr="00542B34">
        <w:rPr>
          <w:i w:val="0"/>
          <w:iCs/>
        </w:rPr>
        <w:t>Sunderland</w:t>
      </w:r>
      <w:r w:rsidR="00BA629E" w:rsidRPr="00542B34">
        <w:rPr>
          <w:i w:val="0"/>
          <w:iCs/>
        </w:rPr>
        <w:t>, UK.</w:t>
      </w:r>
      <w:r w:rsidR="001B3B98" w:rsidRPr="00542B34">
        <w:rPr>
          <w:i w:val="0"/>
          <w:iCs/>
        </w:rPr>
        <w:t xml:space="preserve"> </w:t>
      </w:r>
      <w:r w:rsidR="001B3B98" w:rsidRPr="00542B34">
        <w:rPr>
          <w:i w:val="0"/>
          <w:iCs/>
          <w:vertAlign w:val="superscript"/>
        </w:rPr>
        <w:t>d</w:t>
      </w:r>
      <w:r w:rsidR="001B3B98" w:rsidRPr="00542B34">
        <w:rPr>
          <w:i w:val="0"/>
          <w:iCs/>
        </w:rPr>
        <w:t>Visiting Professor, University of Cumbria, UK</w:t>
      </w:r>
      <w:r w:rsidR="00941502" w:rsidRPr="00542B34">
        <w:rPr>
          <w:i w:val="0"/>
          <w:iCs/>
        </w:rPr>
        <w:t>.</w:t>
      </w:r>
    </w:p>
    <w:p w14:paraId="6984CF7A" w14:textId="77777777" w:rsidR="00941502" w:rsidRDefault="00941502" w:rsidP="00B15C35">
      <w:pPr>
        <w:pStyle w:val="Correspondencedetails"/>
        <w:spacing w:before="0" w:line="480" w:lineRule="auto"/>
        <w:jc w:val="both"/>
      </w:pPr>
    </w:p>
    <w:p w14:paraId="705EBFD3" w14:textId="77777777" w:rsidR="00941502" w:rsidRDefault="00941502" w:rsidP="00B15C35">
      <w:pPr>
        <w:pStyle w:val="Correspondencedetails"/>
        <w:spacing w:before="0" w:line="480" w:lineRule="auto"/>
        <w:jc w:val="both"/>
      </w:pPr>
    </w:p>
    <w:p w14:paraId="22728B56" w14:textId="2CA965D3" w:rsidR="00C14585" w:rsidRPr="00941502" w:rsidRDefault="00941502" w:rsidP="00542B34">
      <w:pPr>
        <w:pStyle w:val="Correspondencedetails"/>
        <w:spacing w:before="0" w:line="480" w:lineRule="auto"/>
        <w:jc w:val="both"/>
      </w:pPr>
      <w:r>
        <w:t xml:space="preserve">CONTACT: Helen Priddle, </w:t>
      </w:r>
      <w:r w:rsidRPr="00ED5CB3">
        <w:rPr>
          <w:iCs/>
        </w:rPr>
        <w:t xml:space="preserve">London Women’s Clinic Wales, </w:t>
      </w:r>
      <w:r w:rsidR="00542B34">
        <w:rPr>
          <w:iCs/>
        </w:rPr>
        <w:t xml:space="preserve">15 Windsor Place, </w:t>
      </w:r>
      <w:r w:rsidRPr="00ED5CB3">
        <w:rPr>
          <w:iCs/>
        </w:rPr>
        <w:t>Cardiff</w:t>
      </w:r>
      <w:r w:rsidR="00542B34">
        <w:rPr>
          <w:iCs/>
        </w:rPr>
        <w:t>, CF10 3BY;</w:t>
      </w:r>
      <w:r>
        <w:rPr>
          <w:iCs/>
        </w:rPr>
        <w:t xml:space="preserve"> Telephone: </w:t>
      </w:r>
      <w:r w:rsidR="00542B34">
        <w:rPr>
          <w:iCs/>
        </w:rPr>
        <w:t>02920 236301</w:t>
      </w:r>
      <w:r>
        <w:rPr>
          <w:iCs/>
        </w:rPr>
        <w:t>; Email:</w:t>
      </w:r>
      <w:r w:rsidR="00BA629E" w:rsidRPr="00941502">
        <w:t xml:space="preserve"> helen.priddle@londonwomensclinic.com</w:t>
      </w:r>
    </w:p>
    <w:p w14:paraId="7E80C257" w14:textId="5A485ECC" w:rsidR="00414CC7" w:rsidRPr="00542B34" w:rsidRDefault="00C14585" w:rsidP="00542B34">
      <w:pPr>
        <w:pStyle w:val="Articletitle"/>
        <w:spacing w:after="0" w:line="480" w:lineRule="auto"/>
        <w:rPr>
          <w:sz w:val="24"/>
        </w:rPr>
      </w:pPr>
      <w:r w:rsidRPr="00542B34">
        <w:rPr>
          <w:sz w:val="24"/>
        </w:rPr>
        <w:br w:type="page"/>
      </w:r>
      <w:r w:rsidR="00941502">
        <w:rPr>
          <w:sz w:val="24"/>
        </w:rPr>
        <w:lastRenderedPageBreak/>
        <w:t>ABSTRACT</w:t>
      </w:r>
    </w:p>
    <w:p w14:paraId="26170BA1" w14:textId="6302DCE7" w:rsidR="005570D9" w:rsidRPr="00542B34" w:rsidRDefault="001B3B98" w:rsidP="00542B34">
      <w:pPr>
        <w:pStyle w:val="Abstract"/>
        <w:spacing w:before="0" w:after="0" w:line="480" w:lineRule="auto"/>
        <w:ind w:left="0" w:right="-6"/>
        <w:jc w:val="both"/>
        <w:rPr>
          <w:sz w:val="24"/>
        </w:rPr>
      </w:pPr>
      <w:r w:rsidRPr="00542B34">
        <w:rPr>
          <w:sz w:val="24"/>
        </w:rPr>
        <w:t xml:space="preserve">A consultation exercise was undertaken with </w:t>
      </w:r>
      <w:r w:rsidR="00D851FA" w:rsidRPr="00542B34">
        <w:rPr>
          <w:sz w:val="24"/>
        </w:rPr>
        <w:t xml:space="preserve">UK </w:t>
      </w:r>
      <w:r w:rsidR="00414CC7" w:rsidRPr="00542B34">
        <w:rPr>
          <w:sz w:val="24"/>
        </w:rPr>
        <w:t>e</w:t>
      </w:r>
      <w:r w:rsidR="00D851FA" w:rsidRPr="00542B34">
        <w:rPr>
          <w:sz w:val="24"/>
        </w:rPr>
        <w:t xml:space="preserve">mbryologists </w:t>
      </w:r>
      <w:r w:rsidRPr="00542B34">
        <w:rPr>
          <w:sz w:val="24"/>
        </w:rPr>
        <w:t xml:space="preserve">to construct knowledge of the occupational health issues they </w:t>
      </w:r>
      <w:r w:rsidR="00410F1C" w:rsidRPr="00542B34">
        <w:rPr>
          <w:sz w:val="24"/>
        </w:rPr>
        <w:t>experience in</w:t>
      </w:r>
      <w:r w:rsidRPr="00542B34">
        <w:rPr>
          <w:sz w:val="24"/>
        </w:rPr>
        <w:t xml:space="preserve"> everyday practice. </w:t>
      </w:r>
      <w:r w:rsidR="00D851FA" w:rsidRPr="00542B34">
        <w:rPr>
          <w:sz w:val="24"/>
        </w:rPr>
        <w:t xml:space="preserve">Data </w:t>
      </w:r>
      <w:r w:rsidR="00231AB0" w:rsidRPr="00542B34">
        <w:rPr>
          <w:sz w:val="24"/>
        </w:rPr>
        <w:t xml:space="preserve">were </w:t>
      </w:r>
      <w:r w:rsidR="00E71FB1" w:rsidRPr="00542B34">
        <w:rPr>
          <w:sz w:val="24"/>
        </w:rPr>
        <w:t xml:space="preserve">obtained </w:t>
      </w:r>
      <w:r w:rsidR="00D851FA" w:rsidRPr="00542B34">
        <w:rPr>
          <w:sz w:val="24"/>
        </w:rPr>
        <w:t>from 2</w:t>
      </w:r>
      <w:r w:rsidR="009A653E" w:rsidRPr="00542B34">
        <w:rPr>
          <w:sz w:val="24"/>
        </w:rPr>
        <w:t>23 eligible</w:t>
      </w:r>
      <w:r w:rsidR="00D851FA" w:rsidRPr="00542B34">
        <w:rPr>
          <w:sz w:val="24"/>
        </w:rPr>
        <w:t xml:space="preserve"> survey respon</w:t>
      </w:r>
      <w:r w:rsidR="00E71FB1" w:rsidRPr="00542B34">
        <w:rPr>
          <w:sz w:val="24"/>
        </w:rPr>
        <w:t>ses.</w:t>
      </w:r>
      <w:r w:rsidR="00D851FA" w:rsidRPr="00542B34">
        <w:rPr>
          <w:sz w:val="24"/>
        </w:rPr>
        <w:t xml:space="preserve"> </w:t>
      </w:r>
      <w:r w:rsidR="00E71FB1" w:rsidRPr="00542B34">
        <w:rPr>
          <w:sz w:val="24"/>
        </w:rPr>
        <w:t xml:space="preserve">Work-related ill health was self-reported by 58.3% of respondents, 76.2% of </w:t>
      </w:r>
      <w:r w:rsidRPr="00542B34">
        <w:rPr>
          <w:sz w:val="24"/>
        </w:rPr>
        <w:t xml:space="preserve">whom </w:t>
      </w:r>
      <w:r w:rsidR="00231AB0" w:rsidRPr="00542B34">
        <w:rPr>
          <w:sz w:val="24"/>
        </w:rPr>
        <w:t>reported multiple</w:t>
      </w:r>
      <w:r w:rsidR="00E71FB1" w:rsidRPr="00542B34">
        <w:rPr>
          <w:sz w:val="24"/>
        </w:rPr>
        <w:t xml:space="preserve"> issue</w:t>
      </w:r>
      <w:r w:rsidR="00231AB0" w:rsidRPr="00542B34">
        <w:rPr>
          <w:sz w:val="24"/>
        </w:rPr>
        <w:t>s</w:t>
      </w:r>
      <w:r w:rsidR="00E71FB1" w:rsidRPr="00542B34">
        <w:rPr>
          <w:sz w:val="24"/>
        </w:rPr>
        <w:t xml:space="preserve">. The </w:t>
      </w:r>
      <w:r w:rsidR="00410F1C" w:rsidRPr="00542B34">
        <w:rPr>
          <w:sz w:val="24"/>
        </w:rPr>
        <w:t>most frequently disclosed</w:t>
      </w:r>
      <w:r w:rsidR="00E71FB1" w:rsidRPr="00542B34">
        <w:rPr>
          <w:sz w:val="24"/>
        </w:rPr>
        <w:t xml:space="preserve"> ill-health conditions were</w:t>
      </w:r>
      <w:r w:rsidRPr="00542B34">
        <w:rPr>
          <w:sz w:val="24"/>
        </w:rPr>
        <w:t xml:space="preserve"> </w:t>
      </w:r>
      <w:r w:rsidR="00D851FA" w:rsidRPr="00542B34">
        <w:rPr>
          <w:sz w:val="24"/>
        </w:rPr>
        <w:t>musculoskeletal disorders</w:t>
      </w:r>
      <w:r w:rsidR="00E71FB1" w:rsidRPr="00542B34">
        <w:rPr>
          <w:sz w:val="24"/>
        </w:rPr>
        <w:t xml:space="preserve"> (45.3%)</w:t>
      </w:r>
      <w:r w:rsidR="00D851FA" w:rsidRPr="00542B34">
        <w:rPr>
          <w:sz w:val="24"/>
        </w:rPr>
        <w:t xml:space="preserve"> and </w:t>
      </w:r>
      <w:r w:rsidR="00E71FB1" w:rsidRPr="00542B34">
        <w:rPr>
          <w:sz w:val="24"/>
        </w:rPr>
        <w:t>stress and mental health problems (27.8%)</w:t>
      </w:r>
      <w:r w:rsidR="009A653E" w:rsidRPr="00542B34">
        <w:rPr>
          <w:sz w:val="24"/>
        </w:rPr>
        <w:t>. O</w:t>
      </w:r>
      <w:r w:rsidR="000D14E5" w:rsidRPr="00542B34">
        <w:rPr>
          <w:sz w:val="24"/>
        </w:rPr>
        <w:t xml:space="preserve">ther </w:t>
      </w:r>
      <w:r w:rsidR="005570D9" w:rsidRPr="00542B34">
        <w:rPr>
          <w:sz w:val="24"/>
        </w:rPr>
        <w:t>issues with a</w:t>
      </w:r>
      <w:r w:rsidR="00AD760F" w:rsidRPr="00542B34">
        <w:rPr>
          <w:sz w:val="24"/>
        </w:rPr>
        <w:t>n</w:t>
      </w:r>
      <w:r w:rsidR="005570D9" w:rsidRPr="00542B34">
        <w:rPr>
          <w:sz w:val="24"/>
        </w:rPr>
        <w:t xml:space="preserve"> </w:t>
      </w:r>
      <w:r w:rsidR="00AD760F" w:rsidRPr="00542B34">
        <w:rPr>
          <w:sz w:val="24"/>
        </w:rPr>
        <w:t>incidence</w:t>
      </w:r>
      <w:r w:rsidR="005570D9" w:rsidRPr="00542B34">
        <w:rPr>
          <w:sz w:val="24"/>
        </w:rPr>
        <w:t xml:space="preserve"> above 3% were </w:t>
      </w:r>
      <w:r w:rsidR="00AA0C17" w:rsidRPr="00542B34">
        <w:rPr>
          <w:sz w:val="24"/>
        </w:rPr>
        <w:t>ocular</w:t>
      </w:r>
      <w:r w:rsidR="005570D9" w:rsidRPr="00542B34">
        <w:rPr>
          <w:sz w:val="24"/>
        </w:rPr>
        <w:t xml:space="preserve"> and </w:t>
      </w:r>
      <w:r w:rsidR="00AA0C17" w:rsidRPr="00542B34">
        <w:rPr>
          <w:sz w:val="24"/>
        </w:rPr>
        <w:t>auditory</w:t>
      </w:r>
      <w:r w:rsidR="005570D9" w:rsidRPr="00542B34">
        <w:rPr>
          <w:sz w:val="24"/>
        </w:rPr>
        <w:t xml:space="preserve"> problems and</w:t>
      </w:r>
      <w:r w:rsidR="00231AB0" w:rsidRPr="00542B34">
        <w:rPr>
          <w:sz w:val="24"/>
        </w:rPr>
        <w:t xml:space="preserve"> needlestick and liquid nitrogen</w:t>
      </w:r>
      <w:r w:rsidR="005570D9" w:rsidRPr="00542B34">
        <w:rPr>
          <w:sz w:val="24"/>
        </w:rPr>
        <w:t xml:space="preserve"> injuries</w:t>
      </w:r>
      <w:r w:rsidR="00231AB0" w:rsidRPr="00542B34">
        <w:rPr>
          <w:sz w:val="24"/>
        </w:rPr>
        <w:t>.</w:t>
      </w:r>
      <w:r w:rsidR="005570D9" w:rsidRPr="00542B34">
        <w:rPr>
          <w:sz w:val="24"/>
        </w:rPr>
        <w:t xml:space="preserve"> S</w:t>
      </w:r>
      <w:r w:rsidR="00E71FB1" w:rsidRPr="00542B34">
        <w:rPr>
          <w:sz w:val="24"/>
        </w:rPr>
        <w:t>houlder injury or pain</w:t>
      </w:r>
      <w:r w:rsidR="00231AB0" w:rsidRPr="00542B34">
        <w:rPr>
          <w:sz w:val="24"/>
        </w:rPr>
        <w:t xml:space="preserve"> correspondingly</w:t>
      </w:r>
      <w:r w:rsidR="00E71FB1" w:rsidRPr="00542B34">
        <w:rPr>
          <w:sz w:val="24"/>
        </w:rPr>
        <w:t xml:space="preserve"> increase</w:t>
      </w:r>
      <w:r w:rsidR="005570D9" w:rsidRPr="00542B34">
        <w:rPr>
          <w:sz w:val="24"/>
        </w:rPr>
        <w:t>d in incidence</w:t>
      </w:r>
      <w:r w:rsidR="00E71FB1" w:rsidRPr="00542B34">
        <w:rPr>
          <w:sz w:val="24"/>
        </w:rPr>
        <w:t xml:space="preserve"> with</w:t>
      </w:r>
      <w:r w:rsidR="00F554E1" w:rsidRPr="00542B34">
        <w:rPr>
          <w:sz w:val="24"/>
        </w:rPr>
        <w:t xml:space="preserve"> length of</w:t>
      </w:r>
      <w:r w:rsidR="00E71FB1" w:rsidRPr="00542B34">
        <w:rPr>
          <w:sz w:val="24"/>
        </w:rPr>
        <w:t xml:space="preserve"> time in service</w:t>
      </w:r>
      <w:r w:rsidR="005570D9" w:rsidRPr="00542B34">
        <w:rPr>
          <w:sz w:val="24"/>
        </w:rPr>
        <w:t xml:space="preserve">. Absence from work and/or light duties were necessitated for </w:t>
      </w:r>
      <w:r w:rsidR="00E71FB1" w:rsidRPr="00542B34">
        <w:rPr>
          <w:sz w:val="24"/>
        </w:rPr>
        <w:t xml:space="preserve">34.5% </w:t>
      </w:r>
      <w:r w:rsidR="005570D9" w:rsidRPr="00542B34">
        <w:rPr>
          <w:sz w:val="24"/>
        </w:rPr>
        <w:t xml:space="preserve">of </w:t>
      </w:r>
      <w:r w:rsidR="00D868CF" w:rsidRPr="00542B34">
        <w:rPr>
          <w:sz w:val="24"/>
        </w:rPr>
        <w:t>those affected</w:t>
      </w:r>
      <w:r w:rsidR="005570D9" w:rsidRPr="00542B34">
        <w:rPr>
          <w:sz w:val="24"/>
        </w:rPr>
        <w:t xml:space="preserve">. </w:t>
      </w:r>
      <w:r w:rsidR="00231AB0" w:rsidRPr="00542B34">
        <w:rPr>
          <w:sz w:val="24"/>
        </w:rPr>
        <w:t>Assessment of</w:t>
      </w:r>
      <w:r w:rsidR="005570D9" w:rsidRPr="00542B34">
        <w:rPr>
          <w:sz w:val="24"/>
        </w:rPr>
        <w:t xml:space="preserve"> the evidence base for these work-related ill</w:t>
      </w:r>
      <w:r w:rsidR="00AD760F" w:rsidRPr="00542B34">
        <w:rPr>
          <w:sz w:val="24"/>
        </w:rPr>
        <w:t>-</w:t>
      </w:r>
      <w:r w:rsidR="005570D9" w:rsidRPr="00542B34">
        <w:rPr>
          <w:sz w:val="24"/>
        </w:rPr>
        <w:t>health conditions</w:t>
      </w:r>
      <w:r w:rsidR="00F554E1" w:rsidRPr="00542B34">
        <w:rPr>
          <w:sz w:val="24"/>
        </w:rPr>
        <w:t xml:space="preserve"> </w:t>
      </w:r>
      <w:r w:rsidR="005570D9" w:rsidRPr="00542B34">
        <w:rPr>
          <w:sz w:val="24"/>
        </w:rPr>
        <w:t>explor</w:t>
      </w:r>
      <w:r w:rsidR="00231AB0" w:rsidRPr="00542B34">
        <w:rPr>
          <w:sz w:val="24"/>
        </w:rPr>
        <w:t>ed</w:t>
      </w:r>
      <w:r w:rsidR="005570D9" w:rsidRPr="00542B34">
        <w:rPr>
          <w:sz w:val="24"/>
        </w:rPr>
        <w:t xml:space="preserve"> contributory </w:t>
      </w:r>
      <w:r w:rsidR="00AD760F" w:rsidRPr="00542B34">
        <w:rPr>
          <w:sz w:val="24"/>
        </w:rPr>
        <w:t xml:space="preserve">and ameliorating </w:t>
      </w:r>
      <w:r w:rsidR="005570D9" w:rsidRPr="00542B34">
        <w:rPr>
          <w:sz w:val="24"/>
        </w:rPr>
        <w:t>factors</w:t>
      </w:r>
      <w:r w:rsidR="009A653E" w:rsidRPr="00542B34">
        <w:rPr>
          <w:sz w:val="24"/>
        </w:rPr>
        <w:t>,</w:t>
      </w:r>
      <w:r w:rsidR="005570D9" w:rsidRPr="00542B34">
        <w:rPr>
          <w:sz w:val="24"/>
        </w:rPr>
        <w:t xml:space="preserve"> </w:t>
      </w:r>
      <w:r w:rsidR="00F554E1" w:rsidRPr="00542B34">
        <w:rPr>
          <w:sz w:val="24"/>
        </w:rPr>
        <w:t>which enabled</w:t>
      </w:r>
      <w:r w:rsidR="005570D9" w:rsidRPr="00542B34">
        <w:rPr>
          <w:sz w:val="24"/>
        </w:rPr>
        <w:t xml:space="preserve"> a series of evidence-based recommendations</w:t>
      </w:r>
      <w:r w:rsidR="00F554E1" w:rsidRPr="00542B34">
        <w:rPr>
          <w:sz w:val="24"/>
        </w:rPr>
        <w:t xml:space="preserve"> to be formulated via the adoption of a</w:t>
      </w:r>
      <w:r w:rsidR="00410F1C" w:rsidRPr="00542B34">
        <w:rPr>
          <w:sz w:val="24"/>
        </w:rPr>
        <w:t xml:space="preserve"> </w:t>
      </w:r>
      <w:r w:rsidR="005570D9" w:rsidRPr="00542B34">
        <w:rPr>
          <w:sz w:val="24"/>
        </w:rPr>
        <w:t>GRADE</w:t>
      </w:r>
      <w:r w:rsidR="00F950F9" w:rsidRPr="00542B34">
        <w:rPr>
          <w:sz w:val="24"/>
        </w:rPr>
        <w:t>-based framework</w:t>
      </w:r>
      <w:r w:rsidR="005570D9" w:rsidRPr="00542B34">
        <w:rPr>
          <w:sz w:val="24"/>
        </w:rPr>
        <w:t>.</w:t>
      </w:r>
    </w:p>
    <w:p w14:paraId="13E0E784" w14:textId="6B86AD62" w:rsidR="00266354" w:rsidRPr="00542B34" w:rsidRDefault="00266354" w:rsidP="00542B34">
      <w:pPr>
        <w:pStyle w:val="Abstract"/>
        <w:spacing w:before="0" w:after="0" w:line="480" w:lineRule="auto"/>
        <w:ind w:left="0"/>
        <w:rPr>
          <w:sz w:val="24"/>
        </w:rPr>
      </w:pPr>
    </w:p>
    <w:p w14:paraId="158E6067" w14:textId="4D43B67C" w:rsidR="00C54CC4" w:rsidRPr="00B15C35" w:rsidRDefault="00997B0F" w:rsidP="00542B34">
      <w:pPr>
        <w:pStyle w:val="Keywords"/>
        <w:spacing w:before="0" w:after="0" w:line="480" w:lineRule="auto"/>
        <w:ind w:left="0" w:right="-6"/>
        <w:jc w:val="both"/>
      </w:pPr>
      <w:r w:rsidRPr="00542B34">
        <w:rPr>
          <w:b/>
          <w:bCs/>
          <w:sz w:val="24"/>
        </w:rPr>
        <w:t>K</w:t>
      </w:r>
      <w:r w:rsidR="004A5D2D" w:rsidRPr="00542B34">
        <w:rPr>
          <w:b/>
          <w:bCs/>
        </w:rPr>
        <w:t>EYWORDS</w:t>
      </w:r>
      <w:r w:rsidRPr="00542B34">
        <w:rPr>
          <w:b/>
          <w:bCs/>
          <w:sz w:val="24"/>
        </w:rPr>
        <w:t>:</w:t>
      </w:r>
      <w:r w:rsidRPr="00542B34">
        <w:rPr>
          <w:sz w:val="24"/>
        </w:rPr>
        <w:t xml:space="preserve"> </w:t>
      </w:r>
      <w:r w:rsidR="00B074BB" w:rsidRPr="00542B34">
        <w:rPr>
          <w:sz w:val="24"/>
        </w:rPr>
        <w:t xml:space="preserve">healthcare science, occupational health, </w:t>
      </w:r>
      <w:r w:rsidR="00AD760F" w:rsidRPr="00542B34">
        <w:rPr>
          <w:sz w:val="24"/>
        </w:rPr>
        <w:t xml:space="preserve">embryologists, </w:t>
      </w:r>
      <w:r w:rsidR="00B074BB" w:rsidRPr="00542B34">
        <w:rPr>
          <w:sz w:val="24"/>
        </w:rPr>
        <w:t>reproductive scien</w:t>
      </w:r>
      <w:r w:rsidR="00AD760F" w:rsidRPr="00542B34">
        <w:rPr>
          <w:sz w:val="24"/>
        </w:rPr>
        <w:t>tists</w:t>
      </w:r>
      <w:r w:rsidR="00B074BB" w:rsidRPr="00542B34">
        <w:rPr>
          <w:sz w:val="24"/>
        </w:rPr>
        <w:t xml:space="preserve">, qualitative survey, </w:t>
      </w:r>
      <w:r w:rsidR="00FA3293" w:rsidRPr="00542B34">
        <w:rPr>
          <w:sz w:val="24"/>
        </w:rPr>
        <w:t>workplace stress, musculoskeletal disorders</w:t>
      </w:r>
      <w:r w:rsidR="00AD760F" w:rsidRPr="00542B34">
        <w:rPr>
          <w:sz w:val="24"/>
        </w:rPr>
        <w:t>, in vitro fertilisation (IVF)</w:t>
      </w:r>
      <w:r w:rsidR="004A5D2D">
        <w:rPr>
          <w:sz w:val="24"/>
        </w:rPr>
        <w:t>.</w:t>
      </w:r>
    </w:p>
    <w:p w14:paraId="623C0F4A" w14:textId="77777777" w:rsidR="00941502" w:rsidRDefault="00941502">
      <w:pPr>
        <w:spacing w:line="240" w:lineRule="auto"/>
        <w:rPr>
          <w:b/>
          <w:bCs/>
          <w:kern w:val="32"/>
        </w:rPr>
      </w:pPr>
      <w:r>
        <w:br w:type="page"/>
      </w:r>
    </w:p>
    <w:p w14:paraId="2299288D" w14:textId="471A97BD" w:rsidR="00C54CC4" w:rsidRPr="00542B34" w:rsidRDefault="00C54CC4" w:rsidP="00542B34">
      <w:r w:rsidRPr="00542B34">
        <w:rPr>
          <w:b/>
          <w:bCs/>
        </w:rPr>
        <w:lastRenderedPageBreak/>
        <w:t>Introduction</w:t>
      </w:r>
    </w:p>
    <w:p w14:paraId="51CA6017" w14:textId="555E3B2B" w:rsidR="00F11CB3" w:rsidRPr="00B15C35" w:rsidRDefault="00CE3856" w:rsidP="00542B34">
      <w:pPr>
        <w:jc w:val="both"/>
      </w:pPr>
      <w:r w:rsidRPr="00B15C35">
        <w:t xml:space="preserve">Annual Health and Safety Executive (HSE) statistics for the United Kingdom (HSE, 2019) revealed </w:t>
      </w:r>
      <w:r w:rsidR="007B6B03" w:rsidRPr="00B15C35">
        <w:t>1.</w:t>
      </w:r>
      <w:r w:rsidRPr="00B15C35">
        <w:t>4</w:t>
      </w:r>
      <w:r w:rsidR="007B6B03" w:rsidRPr="00B15C35">
        <w:t xml:space="preserve"> million workers suffering from work</w:t>
      </w:r>
      <w:r w:rsidR="0056638B" w:rsidRPr="00B15C35">
        <w:t>-</w:t>
      </w:r>
      <w:r w:rsidR="007B6B03" w:rsidRPr="00B15C35">
        <w:t>related ill</w:t>
      </w:r>
      <w:r w:rsidR="00C17FE6" w:rsidRPr="00B15C35">
        <w:t>-</w:t>
      </w:r>
      <w:r w:rsidR="00B9171E" w:rsidRPr="00B15C35">
        <w:t>health</w:t>
      </w:r>
      <w:r w:rsidR="007B6B03" w:rsidRPr="00B15C35">
        <w:t>,</w:t>
      </w:r>
      <w:r w:rsidRPr="00B15C35">
        <w:t xml:space="preserve"> the most common</w:t>
      </w:r>
      <w:r w:rsidR="00F554E1" w:rsidRPr="00B15C35">
        <w:t>ly reported</w:t>
      </w:r>
      <w:r w:rsidRPr="00B15C35">
        <w:t xml:space="preserve"> issue</w:t>
      </w:r>
      <w:r w:rsidR="00FA4D97" w:rsidRPr="00B15C35">
        <w:t>s</w:t>
      </w:r>
      <w:r w:rsidRPr="00B15C35">
        <w:t xml:space="preserve"> being stress, depression and anxiety and </w:t>
      </w:r>
      <w:r w:rsidR="007B6B03" w:rsidRPr="00B15C35">
        <w:t xml:space="preserve">musculoskeletal disorders (MSDs). </w:t>
      </w:r>
      <w:r w:rsidR="00F11CB3" w:rsidRPr="00B15C35">
        <w:t>Overall, work</w:t>
      </w:r>
      <w:r w:rsidR="0056638B" w:rsidRPr="00B15C35">
        <w:t>-</w:t>
      </w:r>
      <w:r w:rsidR="00F11CB3" w:rsidRPr="00B15C35">
        <w:t>related ill</w:t>
      </w:r>
      <w:r w:rsidR="00C17FE6" w:rsidRPr="00B15C35">
        <w:t>-</w:t>
      </w:r>
      <w:r w:rsidR="00F11CB3" w:rsidRPr="00B15C35">
        <w:t>health</w:t>
      </w:r>
      <w:r w:rsidR="003014DF">
        <w:t xml:space="preserve"> in the UK</w:t>
      </w:r>
      <w:r w:rsidR="00F11CB3" w:rsidRPr="00B15C35">
        <w:t xml:space="preserve"> led to 23.5 million working days lost</w:t>
      </w:r>
      <w:r w:rsidR="003014DF">
        <w:t xml:space="preserve"> in 20</w:t>
      </w:r>
      <w:r w:rsidR="00542B34">
        <w:t>19</w:t>
      </w:r>
      <w:r w:rsidR="00231AB0" w:rsidRPr="00B15C35">
        <w:t>,</w:t>
      </w:r>
      <w:r w:rsidR="00C054B7" w:rsidRPr="00B15C35">
        <w:t xml:space="preserve"> cost</w:t>
      </w:r>
      <w:r w:rsidR="00FF398D" w:rsidRPr="00B15C35">
        <w:t>ing</w:t>
      </w:r>
      <w:r w:rsidR="00C054B7" w:rsidRPr="00B15C35">
        <w:t xml:space="preserve"> fifteen billion pounds</w:t>
      </w:r>
      <w:r w:rsidR="00F11CB3" w:rsidRPr="00B15C35">
        <w:t xml:space="preserve">. </w:t>
      </w:r>
      <w:r w:rsidR="003014DF">
        <w:t>Moreover, h</w:t>
      </w:r>
      <w:r w:rsidR="007B6B03" w:rsidRPr="00B15C35">
        <w:t>ealth and social work</w:t>
      </w:r>
      <w:r w:rsidR="00F554E1" w:rsidRPr="00B15C35">
        <w:t xml:space="preserve"> </w:t>
      </w:r>
      <w:r w:rsidR="00B30EC9" w:rsidRPr="00B15C35">
        <w:t>professions</w:t>
      </w:r>
      <w:r w:rsidR="00FA4D97" w:rsidRPr="00B15C35">
        <w:t xml:space="preserve"> </w:t>
      </w:r>
      <w:r w:rsidR="00A1361C" w:rsidRPr="00B15C35">
        <w:t>ha</w:t>
      </w:r>
      <w:r w:rsidR="00F554E1" w:rsidRPr="00B15C35">
        <w:t>ve</w:t>
      </w:r>
      <w:r w:rsidR="00100FB1" w:rsidRPr="00B15C35">
        <w:t xml:space="preserve"> significant</w:t>
      </w:r>
      <w:r w:rsidR="00F554E1" w:rsidRPr="00B15C35">
        <w:t>ly</w:t>
      </w:r>
      <w:r w:rsidR="00100FB1" w:rsidRPr="00B15C35">
        <w:t xml:space="preserve"> higher</w:t>
      </w:r>
      <w:r w:rsidR="00F11CB3" w:rsidRPr="00B15C35">
        <w:t xml:space="preserve"> rates of work-related ill health </w:t>
      </w:r>
      <w:r w:rsidR="00A1361C" w:rsidRPr="00B15C35">
        <w:t>than</w:t>
      </w:r>
      <w:r w:rsidR="0056638B" w:rsidRPr="00B15C35">
        <w:t xml:space="preserve"> most other industries</w:t>
      </w:r>
      <w:r w:rsidR="00F11CB3" w:rsidRPr="00B15C35">
        <w:t>.</w:t>
      </w:r>
    </w:p>
    <w:p w14:paraId="564E83E7" w14:textId="6485AAF2" w:rsidR="004E2A77" w:rsidRDefault="004E2A77" w:rsidP="00542B34">
      <w:pPr>
        <w:pStyle w:val="Newparagraph"/>
        <w:jc w:val="both"/>
      </w:pPr>
      <w:bookmarkStart w:id="0" w:name="_Hlk44351891"/>
      <w:r w:rsidRPr="00B15C35">
        <w:t xml:space="preserve">Regulators, professional bodies, employers and employees </w:t>
      </w:r>
      <w:bookmarkEnd w:id="0"/>
      <w:r w:rsidRPr="00B15C35">
        <w:t xml:space="preserve">have a shared responsibility to </w:t>
      </w:r>
      <w:r w:rsidR="002814F2" w:rsidRPr="00B15C35">
        <w:t>safeguard</w:t>
      </w:r>
      <w:r w:rsidRPr="00B15C35">
        <w:t xml:space="preserve"> the wellbeing of the workforce. </w:t>
      </w:r>
      <w:r w:rsidR="003014DF">
        <w:t xml:space="preserve">In this Policy and Practice paper, the </w:t>
      </w:r>
      <w:r w:rsidR="003014DF" w:rsidRPr="00B15C35">
        <w:t xml:space="preserve">Association of Reproductive and Clinical Scientists </w:t>
      </w:r>
      <w:r w:rsidR="003014DF">
        <w:t>(</w:t>
      </w:r>
      <w:r w:rsidRPr="00B15C35">
        <w:t>ARCS</w:t>
      </w:r>
      <w:r w:rsidR="003014DF">
        <w:t>)</w:t>
      </w:r>
      <w:r w:rsidRPr="00B15C35">
        <w:t xml:space="preserve"> aim</w:t>
      </w:r>
      <w:r w:rsidR="003014DF">
        <w:t>s</w:t>
      </w:r>
      <w:r w:rsidRPr="00B15C35">
        <w:t xml:space="preserve"> to assess the </w:t>
      </w:r>
      <w:r w:rsidR="00FF398D" w:rsidRPr="00B15C35">
        <w:t>prevailing</w:t>
      </w:r>
      <w:r w:rsidR="00B9171E" w:rsidRPr="00B15C35">
        <w:t xml:space="preserve"> </w:t>
      </w:r>
      <w:r w:rsidRPr="00B15C35">
        <w:t xml:space="preserve">occupational risks for </w:t>
      </w:r>
      <w:r w:rsidR="003B5197" w:rsidRPr="00B15C35">
        <w:t>r</w:t>
      </w:r>
      <w:r w:rsidRPr="00B15C35">
        <w:t xml:space="preserve">eproductive </w:t>
      </w:r>
      <w:r w:rsidR="003B5197" w:rsidRPr="00B15C35">
        <w:t>s</w:t>
      </w:r>
      <w:r w:rsidRPr="00B15C35">
        <w:t xml:space="preserve">cientists and </w:t>
      </w:r>
      <w:r w:rsidR="003014DF">
        <w:t>propose</w:t>
      </w:r>
      <w:r w:rsidRPr="00B15C35">
        <w:t xml:space="preserve"> the best practice to mitigate th</w:t>
      </w:r>
      <w:r w:rsidR="00B9171E" w:rsidRPr="00B15C35">
        <w:t>em</w:t>
      </w:r>
      <w:r w:rsidRPr="00B15C35">
        <w:t xml:space="preserve">. This </w:t>
      </w:r>
      <w:r w:rsidR="00061B37" w:rsidRPr="00B15C35">
        <w:t>involve</w:t>
      </w:r>
      <w:r w:rsidR="003014DF">
        <w:t>d</w:t>
      </w:r>
      <w:r w:rsidRPr="00B15C35">
        <w:t xml:space="preserve"> </w:t>
      </w:r>
      <w:r w:rsidR="004B64B0" w:rsidRPr="00B15C35">
        <w:t xml:space="preserve">a </w:t>
      </w:r>
      <w:r w:rsidRPr="00B15C35">
        <w:t xml:space="preserve">workforce </w:t>
      </w:r>
      <w:r w:rsidR="00B9171E" w:rsidRPr="00B15C35">
        <w:t xml:space="preserve">occupational health </w:t>
      </w:r>
      <w:r w:rsidRPr="00B15C35">
        <w:t>consultation</w:t>
      </w:r>
      <w:r w:rsidR="00FF398D" w:rsidRPr="00B15C35">
        <w:t>,</w:t>
      </w:r>
      <w:r w:rsidR="00F554E1" w:rsidRPr="00B15C35">
        <w:t xml:space="preserve"> </w:t>
      </w:r>
      <w:r w:rsidR="004B64B0" w:rsidRPr="00B15C35">
        <w:t xml:space="preserve">a </w:t>
      </w:r>
      <w:r w:rsidRPr="00B15C35">
        <w:t xml:space="preserve">review of the evidence base </w:t>
      </w:r>
      <w:r w:rsidR="004B64B0" w:rsidRPr="00B15C35">
        <w:t xml:space="preserve">and legislation regarding </w:t>
      </w:r>
      <w:r w:rsidR="00D22B07" w:rsidRPr="00B15C35">
        <w:t>common</w:t>
      </w:r>
      <w:r w:rsidR="00645F5B" w:rsidRPr="00B15C35">
        <w:t>ly reported</w:t>
      </w:r>
      <w:r w:rsidR="00D22B07" w:rsidRPr="00B15C35">
        <w:t xml:space="preserve"> </w:t>
      </w:r>
      <w:r w:rsidR="004B64B0" w:rsidRPr="00B15C35">
        <w:t>issue</w:t>
      </w:r>
      <w:r w:rsidR="00D22B07" w:rsidRPr="00B15C35">
        <w:t>s</w:t>
      </w:r>
      <w:r w:rsidR="003014DF">
        <w:t xml:space="preserve"> and a </w:t>
      </w:r>
      <w:r w:rsidR="004B64B0" w:rsidRPr="00B15C35">
        <w:t xml:space="preserve">series of </w:t>
      </w:r>
      <w:r w:rsidRPr="00B15C35">
        <w:t>recommendations</w:t>
      </w:r>
      <w:r w:rsidR="004B64B0" w:rsidRPr="00B15C35">
        <w:t>.</w:t>
      </w:r>
    </w:p>
    <w:p w14:paraId="53DF06EB" w14:textId="77777777" w:rsidR="00A531BC" w:rsidRPr="00A531BC" w:rsidRDefault="00A531BC" w:rsidP="00542B34">
      <w:pPr>
        <w:pStyle w:val="Newparagraph"/>
        <w:ind w:firstLine="0"/>
        <w:jc w:val="both"/>
      </w:pPr>
    </w:p>
    <w:p w14:paraId="17E3EE30" w14:textId="73D9BFBE" w:rsidR="00C54CC4" w:rsidRPr="00542B34" w:rsidRDefault="00C54CC4" w:rsidP="00542B34">
      <w:pPr>
        <w:jc w:val="both"/>
      </w:pPr>
      <w:r w:rsidRPr="00542B34">
        <w:rPr>
          <w:b/>
          <w:bCs/>
        </w:rPr>
        <w:t xml:space="preserve">Materials and </w:t>
      </w:r>
      <w:r w:rsidR="00A531BC" w:rsidRPr="00542B34">
        <w:rPr>
          <w:b/>
          <w:bCs/>
        </w:rPr>
        <w:t>m</w:t>
      </w:r>
      <w:r w:rsidRPr="00542B34">
        <w:rPr>
          <w:b/>
          <w:bCs/>
        </w:rPr>
        <w:t>ethods</w:t>
      </w:r>
    </w:p>
    <w:p w14:paraId="1E357883" w14:textId="375D7156" w:rsidR="00C54CC4" w:rsidRDefault="00857815" w:rsidP="00542B34">
      <w:pPr>
        <w:pStyle w:val="Paragraph"/>
        <w:spacing w:before="0"/>
        <w:jc w:val="both"/>
      </w:pPr>
      <w:r w:rsidRPr="00A531BC">
        <w:t>In January 2018, the membership of the Association of Clinical Embryologists (ACE</w:t>
      </w:r>
      <w:r w:rsidR="00F26B50">
        <w:t xml:space="preserve">) </w:t>
      </w:r>
      <w:r w:rsidR="00416934">
        <w:t>(</w:t>
      </w:r>
      <w:r w:rsidR="00F26B50">
        <w:t>which was incorporated into ARCS in January 2020 (see Kasraie et al., 2020)</w:t>
      </w:r>
      <w:r w:rsidR="00416934">
        <w:t>)</w:t>
      </w:r>
      <w:r w:rsidRPr="00B15C35">
        <w:t xml:space="preserve"> was consulted about </w:t>
      </w:r>
      <w:r w:rsidR="00416934">
        <w:t xml:space="preserve">their </w:t>
      </w:r>
      <w:r w:rsidRPr="00B15C35">
        <w:t>experience</w:t>
      </w:r>
      <w:r w:rsidR="00FF398D" w:rsidRPr="00B15C35">
        <w:t>s</w:t>
      </w:r>
      <w:r w:rsidRPr="00B15C35">
        <w:t xml:space="preserve"> of occupational health issues. An </w:t>
      </w:r>
      <w:r w:rsidR="00413B7D" w:rsidRPr="00B15C35">
        <w:t>anonymous</w:t>
      </w:r>
      <w:r w:rsidR="00DD0AF7" w:rsidRPr="00B15C35">
        <w:t>,</w:t>
      </w:r>
      <w:r w:rsidR="00413B7D" w:rsidRPr="00B15C35">
        <w:t xml:space="preserve"> </w:t>
      </w:r>
      <w:r w:rsidRPr="00B15C35">
        <w:t>online survey (see</w:t>
      </w:r>
      <w:r w:rsidR="00416934">
        <w:t xml:space="preserve"> Supplementary Material</w:t>
      </w:r>
      <w:r w:rsidRPr="00B15C35">
        <w:t xml:space="preserve">) was emailed to all 405 </w:t>
      </w:r>
      <w:r w:rsidR="00935FF7" w:rsidRPr="00B15C35">
        <w:t xml:space="preserve">ACE </w:t>
      </w:r>
      <w:r w:rsidRPr="00B15C35">
        <w:t xml:space="preserve">members, and data </w:t>
      </w:r>
      <w:r w:rsidR="00645F5B" w:rsidRPr="00B15C35">
        <w:t xml:space="preserve">were </w:t>
      </w:r>
      <w:r w:rsidRPr="00B15C35">
        <w:t>collated from</w:t>
      </w:r>
      <w:r w:rsidR="00E12812" w:rsidRPr="00B15C35">
        <w:t xml:space="preserve"> the</w:t>
      </w:r>
      <w:r w:rsidRPr="00B15C35">
        <w:t xml:space="preserve"> responses received.</w:t>
      </w:r>
      <w:r w:rsidR="00413B7D" w:rsidRPr="00B15C35">
        <w:t xml:space="preserve"> </w:t>
      </w:r>
      <w:r w:rsidR="00D0271B">
        <w:t>To preserve the anonymity of respondents, i</w:t>
      </w:r>
      <w:r w:rsidR="00410F1C" w:rsidRPr="00B15C35">
        <w:t>nfrequent</w:t>
      </w:r>
      <w:r w:rsidR="00413B7D" w:rsidRPr="00B15C35">
        <w:t xml:space="preserve"> health events </w:t>
      </w:r>
      <w:r w:rsidR="00D0271B">
        <w:t>were recorded as broad categories</w:t>
      </w:r>
      <w:r w:rsidR="00F42FBE" w:rsidRPr="00B15C35">
        <w:t>.</w:t>
      </w:r>
    </w:p>
    <w:p w14:paraId="25F1C91B" w14:textId="618BFB3A" w:rsidR="00C54CC4" w:rsidRDefault="00706FC0" w:rsidP="00542B34">
      <w:pPr>
        <w:pStyle w:val="Paragraph"/>
        <w:spacing w:before="0"/>
        <w:jc w:val="both"/>
      </w:pPr>
      <w:r>
        <w:tab/>
      </w:r>
      <w:r w:rsidR="00C02E74" w:rsidRPr="00A531BC">
        <w:t>F</w:t>
      </w:r>
      <w:r w:rsidR="00C02E74" w:rsidRPr="00B15C35">
        <w:t>or each occupational health issue</w:t>
      </w:r>
      <w:r>
        <w:t xml:space="preserve"> recorded</w:t>
      </w:r>
      <w:r w:rsidR="00C02E74" w:rsidRPr="00B15C35">
        <w:t>, the</w:t>
      </w:r>
      <w:r w:rsidR="00F42FBE" w:rsidRPr="00B15C35">
        <w:t xml:space="preserve"> published</w:t>
      </w:r>
      <w:r w:rsidR="00C02E74" w:rsidRPr="00B15C35">
        <w:t xml:space="preserve"> evidence base for </w:t>
      </w:r>
      <w:r w:rsidR="002F4FF3" w:rsidRPr="00B15C35">
        <w:t xml:space="preserve">work-related </w:t>
      </w:r>
      <w:r w:rsidR="00726690" w:rsidRPr="00B15C35">
        <w:t>factors</w:t>
      </w:r>
      <w:r w:rsidR="00431D02" w:rsidRPr="00B15C35">
        <w:t xml:space="preserve"> was explored using searches of </w:t>
      </w:r>
      <w:r w:rsidR="000A2752" w:rsidRPr="00B15C35">
        <w:t>PubMed</w:t>
      </w:r>
      <w:r w:rsidR="00F90065" w:rsidRPr="00B15C35">
        <w:t xml:space="preserve"> and APA PsychNet</w:t>
      </w:r>
      <w:r w:rsidR="00431D02" w:rsidRPr="00B15C35">
        <w:t xml:space="preserve">. </w:t>
      </w:r>
      <w:r w:rsidR="000A2752" w:rsidRPr="00B15C35">
        <w:lastRenderedPageBreak/>
        <w:t>Information, g</w:t>
      </w:r>
      <w:r w:rsidR="00431D02" w:rsidRPr="00B15C35">
        <w:t xml:space="preserve">uidance and requirements </w:t>
      </w:r>
      <w:r w:rsidR="00B9171E" w:rsidRPr="00B15C35">
        <w:t xml:space="preserve">from </w:t>
      </w:r>
      <w:r w:rsidR="00D22B07" w:rsidRPr="00B15C35">
        <w:t xml:space="preserve">relevant </w:t>
      </w:r>
      <w:r w:rsidR="002F4FF3" w:rsidRPr="00B15C35">
        <w:t xml:space="preserve">UK </w:t>
      </w:r>
      <w:r w:rsidR="00D22B07" w:rsidRPr="00B15C35">
        <w:t>bodies</w:t>
      </w:r>
      <w:r w:rsidR="002F4FF3" w:rsidRPr="00B15C35">
        <w:t xml:space="preserve"> </w:t>
      </w:r>
      <w:r w:rsidR="00431D02" w:rsidRPr="00B15C35">
        <w:t>w</w:t>
      </w:r>
      <w:r w:rsidR="00A1361C" w:rsidRPr="00B15C35">
        <w:t>ere</w:t>
      </w:r>
      <w:r>
        <w:t xml:space="preserve"> also</w:t>
      </w:r>
      <w:r w:rsidR="00A1361C" w:rsidRPr="00B15C35">
        <w:t xml:space="preserve"> </w:t>
      </w:r>
      <w:r w:rsidR="00C4333D" w:rsidRPr="00B15C35">
        <w:t>collated</w:t>
      </w:r>
      <w:r w:rsidR="00431D02" w:rsidRPr="00B15C35">
        <w:t>.</w:t>
      </w:r>
      <w:r w:rsidR="00736FEC" w:rsidRPr="00B15C35">
        <w:t xml:space="preserve"> The Grading of Recommendations Assessment, Development and Evaluation (GRADE) system (Guyatt et al., 2008) was </w:t>
      </w:r>
      <w:r w:rsidR="00430CB6" w:rsidRPr="00B15C35">
        <w:t xml:space="preserve">adapted for </w:t>
      </w:r>
      <w:r w:rsidR="00736FEC" w:rsidRPr="00B15C35">
        <w:t>use</w:t>
      </w:r>
      <w:r w:rsidR="00430CB6" w:rsidRPr="00B15C35">
        <w:t xml:space="preserve"> in this context</w:t>
      </w:r>
      <w:r w:rsidR="00736FEC" w:rsidRPr="00B15C35">
        <w:t xml:space="preserve"> </w:t>
      </w:r>
      <w:r w:rsidR="00431D02" w:rsidRPr="00B15C35">
        <w:t>(summarised in Table 1)</w:t>
      </w:r>
      <w:r w:rsidR="00736FEC" w:rsidRPr="00B15C35">
        <w:t>.</w:t>
      </w:r>
      <w:r w:rsidR="00972D8B" w:rsidRPr="00B15C35">
        <w:t xml:space="preserve"> </w:t>
      </w:r>
      <w:r w:rsidR="002F4FF3" w:rsidRPr="00B15C35">
        <w:t xml:space="preserve">Since </w:t>
      </w:r>
      <w:r w:rsidR="00431FB7" w:rsidRPr="00B15C35">
        <w:t xml:space="preserve">the use of </w:t>
      </w:r>
      <w:r w:rsidR="002F4FF3" w:rsidRPr="00B15C35">
        <w:t>any grading system is</w:t>
      </w:r>
      <w:r w:rsidR="00F42FBE" w:rsidRPr="00B15C35">
        <w:t xml:space="preserve"> inherently</w:t>
      </w:r>
      <w:r w:rsidR="002F4FF3" w:rsidRPr="00B15C35">
        <w:t xml:space="preserve"> subjectiv</w:t>
      </w:r>
      <w:r w:rsidR="00431FB7" w:rsidRPr="00B15C35">
        <w:t>e</w:t>
      </w:r>
      <w:r w:rsidR="002F4FF3" w:rsidRPr="00B15C35">
        <w:t xml:space="preserve">, this paper was </w:t>
      </w:r>
      <w:r w:rsidR="00935FF7" w:rsidRPr="00B15C35">
        <w:t xml:space="preserve">distributed </w:t>
      </w:r>
      <w:r w:rsidR="00EA1FC3">
        <w:t>to</w:t>
      </w:r>
      <w:r w:rsidR="002F4FF3" w:rsidRPr="00B15C35">
        <w:t xml:space="preserve"> the ARCS Executive Committee </w:t>
      </w:r>
      <w:r w:rsidR="00EA1FC3">
        <w:t xml:space="preserve">for critique </w:t>
      </w:r>
      <w:r w:rsidR="002F4FF3" w:rsidRPr="00B15C35">
        <w:t>prior to final drafting and manuscript submission.</w:t>
      </w:r>
    </w:p>
    <w:p w14:paraId="1196EA51" w14:textId="77777777" w:rsidR="00A531BC" w:rsidRPr="00A531BC" w:rsidRDefault="00A531BC" w:rsidP="00542B34">
      <w:pPr>
        <w:pStyle w:val="Newparagraph"/>
        <w:ind w:firstLine="0"/>
        <w:jc w:val="both"/>
      </w:pPr>
    </w:p>
    <w:p w14:paraId="5ABF93F8" w14:textId="4CDAC91E" w:rsidR="00076010" w:rsidRPr="00542B34" w:rsidRDefault="00C54CC4" w:rsidP="00EA1FC3">
      <w:pPr>
        <w:jc w:val="both"/>
      </w:pPr>
      <w:r w:rsidRPr="00EA1FC3">
        <w:rPr>
          <w:b/>
          <w:bCs/>
        </w:rPr>
        <w:t>Results</w:t>
      </w:r>
    </w:p>
    <w:p w14:paraId="6E5D138D" w14:textId="685D98FA" w:rsidR="00C54CC4" w:rsidRPr="00B15C35" w:rsidRDefault="00706FC0" w:rsidP="00EA1FC3">
      <w:pPr>
        <w:pStyle w:val="Paragraph"/>
        <w:spacing w:before="0"/>
        <w:jc w:val="both"/>
      </w:pPr>
      <w:r>
        <w:t>A total of</w:t>
      </w:r>
      <w:r w:rsidR="0079520C" w:rsidRPr="00B15C35">
        <w:t xml:space="preserve"> 252 survey responses </w:t>
      </w:r>
      <w:r w:rsidR="008B7CB2" w:rsidRPr="00B15C35">
        <w:t>were</w:t>
      </w:r>
      <w:r w:rsidR="0079520C" w:rsidRPr="00B15C35">
        <w:t xml:space="preserve"> received</w:t>
      </w:r>
      <w:r w:rsidR="00F33DB3" w:rsidRPr="00B15C35">
        <w:t xml:space="preserve"> (</w:t>
      </w:r>
      <w:r w:rsidR="0079520C" w:rsidRPr="00B15C35">
        <w:t xml:space="preserve">response rate </w:t>
      </w:r>
      <w:r w:rsidR="007A1F51" w:rsidRPr="00B15C35">
        <w:t>62.2%</w:t>
      </w:r>
      <w:r w:rsidR="00363167" w:rsidRPr="00B15C35">
        <w:t>)</w:t>
      </w:r>
      <w:r w:rsidR="007A1F51" w:rsidRPr="00B15C35">
        <w:t xml:space="preserve">. </w:t>
      </w:r>
      <w:r>
        <w:t>Only r</w:t>
      </w:r>
      <w:r w:rsidR="008363A5" w:rsidRPr="00B15C35">
        <w:t>espondents who worked</w:t>
      </w:r>
      <w:r w:rsidR="00972D8B" w:rsidRPr="00B15C35">
        <w:t>/</w:t>
      </w:r>
      <w:r w:rsidR="008363A5" w:rsidRPr="00B15C35">
        <w:t>trained as embryologists were eligible for inclusion</w:t>
      </w:r>
      <w:r w:rsidR="00061B37" w:rsidRPr="00B15C35">
        <w:t xml:space="preserve"> and</w:t>
      </w:r>
      <w:r w:rsidR="008363A5" w:rsidRPr="00B15C35">
        <w:t xml:space="preserve"> i</w:t>
      </w:r>
      <w:r w:rsidR="00D22B07" w:rsidRPr="00B15C35">
        <w:t xml:space="preserve">ncomplete responses were excluded </w:t>
      </w:r>
      <w:r w:rsidR="00F97E65" w:rsidRPr="00B15C35">
        <w:t xml:space="preserve">(see Figure 1). </w:t>
      </w:r>
      <w:r w:rsidR="00577AC7" w:rsidRPr="00B15C35">
        <w:t>Although d</w:t>
      </w:r>
      <w:r w:rsidR="00420D9F" w:rsidRPr="00B15C35">
        <w:t xml:space="preserve">ata </w:t>
      </w:r>
      <w:r>
        <w:t>was</w:t>
      </w:r>
      <w:r w:rsidR="00577AC7" w:rsidRPr="00B15C35">
        <w:t xml:space="preserve"> </w:t>
      </w:r>
      <w:r w:rsidR="00420D9F" w:rsidRPr="00B15C35">
        <w:t>collated from a cohort of embryologists</w:t>
      </w:r>
      <w:r w:rsidR="00577AC7" w:rsidRPr="00B15C35">
        <w:t xml:space="preserve">, it is generalisable to all clinical reproductive scientists </w:t>
      </w:r>
      <w:r w:rsidR="00420D9F" w:rsidRPr="00B15C35">
        <w:t xml:space="preserve">since </w:t>
      </w:r>
      <w:r w:rsidR="00577AC7" w:rsidRPr="00B15C35">
        <w:t xml:space="preserve">modern </w:t>
      </w:r>
      <w:r w:rsidR="00420D9F" w:rsidRPr="00B15C35">
        <w:t xml:space="preserve">IVF laboratories </w:t>
      </w:r>
      <w:r w:rsidR="00577AC7" w:rsidRPr="00B15C35">
        <w:t xml:space="preserve">also </w:t>
      </w:r>
      <w:r w:rsidR="00420D9F" w:rsidRPr="00B15C35">
        <w:t>include andrologists, practitioners and</w:t>
      </w:r>
      <w:r w:rsidR="00577AC7" w:rsidRPr="00B15C35">
        <w:t>/or</w:t>
      </w:r>
      <w:r w:rsidR="00420D9F" w:rsidRPr="00B15C35">
        <w:t xml:space="preserve"> technicians </w:t>
      </w:r>
      <w:r w:rsidR="00577AC7" w:rsidRPr="00B15C35">
        <w:t>sharing</w:t>
      </w:r>
      <w:r w:rsidR="00420D9F" w:rsidRPr="00B15C35">
        <w:t xml:space="preserve"> the </w:t>
      </w:r>
      <w:r w:rsidR="00577AC7" w:rsidRPr="00B15C35">
        <w:t>case</w:t>
      </w:r>
      <w:r w:rsidR="00420D9F" w:rsidRPr="00B15C35">
        <w:t xml:space="preserve">load. </w:t>
      </w:r>
      <w:r w:rsidR="00A1361C" w:rsidRPr="00B15C35">
        <w:t>The 223 eligible responses</w:t>
      </w:r>
      <w:r w:rsidR="007A1F51" w:rsidRPr="00B15C35">
        <w:t xml:space="preserve"> </w:t>
      </w:r>
      <w:r>
        <w:t>were employed in</w:t>
      </w:r>
      <w:r w:rsidR="007A1F51" w:rsidRPr="00B15C35">
        <w:t xml:space="preserve"> 80 different </w:t>
      </w:r>
      <w:r w:rsidR="00C66ED8" w:rsidRPr="00B15C35">
        <w:t>Human Fertilisation and Embryology Authority (</w:t>
      </w:r>
      <w:r w:rsidR="007A1F51" w:rsidRPr="00B15C35">
        <w:t>HFEA</w:t>
      </w:r>
      <w:r w:rsidR="00C66ED8" w:rsidRPr="00B15C35">
        <w:t>)</w:t>
      </w:r>
      <w:r w:rsidR="007A1F51" w:rsidRPr="00B15C35">
        <w:t xml:space="preserve"> licensed treatment centres in the UK</w:t>
      </w:r>
      <w:r>
        <w:t>. In addition,</w:t>
      </w:r>
      <w:r w:rsidR="007A1F51" w:rsidRPr="00B15C35">
        <w:t xml:space="preserve"> 6 responses</w:t>
      </w:r>
      <w:r>
        <w:t xml:space="preserve"> were obtained from embryologist</w:t>
      </w:r>
      <w:r w:rsidR="00EA1FC3">
        <w:t>s</w:t>
      </w:r>
      <w:r>
        <w:t xml:space="preserve"> working outside the UK</w:t>
      </w:r>
      <w:r w:rsidR="00295EBF">
        <w:t xml:space="preserve">. Over half of the respondents (56%) had over 10 years of experience </w:t>
      </w:r>
      <w:r w:rsidR="00D718D8" w:rsidRPr="00B15C35">
        <w:t>(see Table 2).</w:t>
      </w:r>
      <w:r w:rsidR="00EB6E2F" w:rsidRPr="00B15C35">
        <w:t xml:space="preserve"> </w:t>
      </w:r>
    </w:p>
    <w:p w14:paraId="19DC9244" w14:textId="4D156E50" w:rsidR="00C54CC4" w:rsidRPr="00B15C35" w:rsidRDefault="00AE1137" w:rsidP="00EA1FC3">
      <w:pPr>
        <w:pStyle w:val="Newparagraph"/>
        <w:jc w:val="both"/>
      </w:pPr>
      <w:r>
        <w:t xml:space="preserve">A total of </w:t>
      </w:r>
      <w:r w:rsidRPr="00ED5CB3">
        <w:t>58.3% of respondents</w:t>
      </w:r>
      <w:r>
        <w:t xml:space="preserve"> reported that they</w:t>
      </w:r>
      <w:r w:rsidR="00966F60" w:rsidRPr="00B15C35">
        <w:t xml:space="preserve"> had </w:t>
      </w:r>
      <w:r w:rsidR="008756E6" w:rsidRPr="00B15C35">
        <w:t>experienced</w:t>
      </w:r>
      <w:r w:rsidR="00966F60" w:rsidRPr="00B15C35">
        <w:t xml:space="preserve"> </w:t>
      </w:r>
      <w:r w:rsidR="0073771B" w:rsidRPr="00B15C35">
        <w:t xml:space="preserve">work-related </w:t>
      </w:r>
      <w:r w:rsidR="00966F60" w:rsidRPr="00B15C35">
        <w:t xml:space="preserve">ill-health. </w:t>
      </w:r>
      <w:r w:rsidR="006046D6" w:rsidRPr="00B15C35">
        <w:t>Given nine</w:t>
      </w:r>
      <w:r w:rsidR="00966F60" w:rsidRPr="00B15C35">
        <w:t xml:space="preserve"> </w:t>
      </w:r>
      <w:r w:rsidR="00596850" w:rsidRPr="00B15C35">
        <w:t>ill</w:t>
      </w:r>
      <w:r w:rsidR="00C17FE6" w:rsidRPr="00B15C35">
        <w:t>-</w:t>
      </w:r>
      <w:r w:rsidR="00596850" w:rsidRPr="00B15C35">
        <w:t>health categories</w:t>
      </w:r>
      <w:r w:rsidR="00966F60" w:rsidRPr="00B15C35">
        <w:t xml:space="preserve"> and free text </w:t>
      </w:r>
      <w:r w:rsidR="006046D6" w:rsidRPr="00B15C35">
        <w:t>for</w:t>
      </w:r>
      <w:r w:rsidR="00966F60" w:rsidRPr="00B15C35">
        <w:t xml:space="preserve"> </w:t>
      </w:r>
      <w:r w:rsidR="00C17FE6" w:rsidRPr="00B15C35">
        <w:t>other</w:t>
      </w:r>
      <w:r w:rsidR="00966F60" w:rsidRPr="00B15C35">
        <w:t xml:space="preserve"> issues</w:t>
      </w:r>
      <w:r w:rsidR="006046D6" w:rsidRPr="00B15C35">
        <w:t xml:space="preserve">, </w:t>
      </w:r>
      <w:r w:rsidR="00763F20" w:rsidRPr="00B15C35">
        <w:t xml:space="preserve">76.2% </w:t>
      </w:r>
      <w:r w:rsidR="00F42FBE" w:rsidRPr="00B15C35">
        <w:t xml:space="preserve">reported having </w:t>
      </w:r>
      <w:r w:rsidR="007A46C9" w:rsidRPr="00B15C35">
        <w:t>suffer</w:t>
      </w:r>
      <w:r w:rsidR="00F479C7" w:rsidRPr="00B15C35">
        <w:t>ed</w:t>
      </w:r>
      <w:r w:rsidR="007A46C9" w:rsidRPr="00B15C35">
        <w:t xml:space="preserve"> </w:t>
      </w:r>
      <w:r w:rsidR="00596850" w:rsidRPr="00B15C35">
        <w:t xml:space="preserve">more than one </w:t>
      </w:r>
      <w:r w:rsidR="006046D6" w:rsidRPr="00B15C35">
        <w:t xml:space="preserve">issue </w:t>
      </w:r>
      <w:r w:rsidR="007A46C9" w:rsidRPr="00B15C35">
        <w:t>and</w:t>
      </w:r>
      <w:r w:rsidR="00763F20" w:rsidRPr="00B15C35">
        <w:t xml:space="preserve"> </w:t>
      </w:r>
      <w:r w:rsidR="007A46C9" w:rsidRPr="00B15C35">
        <w:t>14.6%</w:t>
      </w:r>
      <w:r w:rsidR="00F479C7" w:rsidRPr="00B15C35">
        <w:t xml:space="preserve"> </w:t>
      </w:r>
      <w:r w:rsidR="00C17FE6" w:rsidRPr="00B15C35">
        <w:t>listed</w:t>
      </w:r>
      <w:r w:rsidR="00F479C7" w:rsidRPr="00B15C35">
        <w:t xml:space="preserve"> </w:t>
      </w:r>
      <w:r w:rsidR="00F42FBE" w:rsidRPr="00B15C35">
        <w:t xml:space="preserve">additional </w:t>
      </w:r>
      <w:r w:rsidR="00F479C7" w:rsidRPr="00B15C35">
        <w:t>issues</w:t>
      </w:r>
      <w:r w:rsidR="006046D6" w:rsidRPr="00B15C35">
        <w:t xml:space="preserve"> </w:t>
      </w:r>
      <w:r w:rsidR="0057509E" w:rsidRPr="00B15C35">
        <w:t>(</w:t>
      </w:r>
      <w:r w:rsidR="00264CC1" w:rsidRPr="00B15C35">
        <w:t>see</w:t>
      </w:r>
      <w:r w:rsidR="0057509E" w:rsidRPr="00B15C35">
        <w:t xml:space="preserve"> Table 3)</w:t>
      </w:r>
      <w:r w:rsidR="00F479C7" w:rsidRPr="00B15C35">
        <w:t>.</w:t>
      </w:r>
      <w:r w:rsidR="003B2765" w:rsidRPr="00B15C35">
        <w:t xml:space="preserve"> </w:t>
      </w:r>
      <w:r w:rsidR="00A04F08">
        <w:t>The i</w:t>
      </w:r>
      <w:r w:rsidR="008756E6" w:rsidRPr="00B15C35">
        <w:t>ncidence</w:t>
      </w:r>
      <w:r w:rsidR="006046D6" w:rsidRPr="00B15C35">
        <w:t xml:space="preserve"> of ill</w:t>
      </w:r>
      <w:r w:rsidR="00C17FE6" w:rsidRPr="00B15C35">
        <w:t>-</w:t>
      </w:r>
      <w:r w:rsidR="006046D6" w:rsidRPr="00B15C35">
        <w:t xml:space="preserve">health </w:t>
      </w:r>
      <w:r w:rsidR="00F42FBE" w:rsidRPr="00B15C35">
        <w:t>was</w:t>
      </w:r>
      <w:r w:rsidR="006046D6" w:rsidRPr="00B15C35">
        <w:t xml:space="preserve"> reported</w:t>
      </w:r>
      <w:r w:rsidR="00A04F08">
        <w:t xml:space="preserve"> </w:t>
      </w:r>
      <w:r w:rsidR="00A04F08" w:rsidRPr="00B15C35">
        <w:t>(Table 3, Figure 2)</w:t>
      </w:r>
      <w:r w:rsidR="006046D6" w:rsidRPr="00B15C35">
        <w:t xml:space="preserve"> </w:t>
      </w:r>
      <w:r w:rsidR="00A1361C" w:rsidRPr="00B15C35">
        <w:t>and a</w:t>
      </w:r>
      <w:r w:rsidR="00EB5B72" w:rsidRPr="00B15C35">
        <w:t xml:space="preserve"> Friedman test comparing frequency across categories found a significant difference (Χ</w:t>
      </w:r>
      <w:r w:rsidR="00EB5B72" w:rsidRPr="00B15C35">
        <w:rPr>
          <w:vertAlign w:val="superscript"/>
        </w:rPr>
        <w:t>2</w:t>
      </w:r>
      <w:r w:rsidR="00EB5B72" w:rsidRPr="00B15C35">
        <w:t xml:space="preserve"> (8) =214.428, p&lt;</w:t>
      </w:r>
      <w:r w:rsidR="00A04F08">
        <w:t>0</w:t>
      </w:r>
      <w:r w:rsidR="00EB5B72" w:rsidRPr="00B15C35">
        <w:t>.001). Specifically, Dunn-Bonferroni post</w:t>
      </w:r>
      <w:r w:rsidR="00F42FBE" w:rsidRPr="00B15C35">
        <w:t>-</w:t>
      </w:r>
      <w:r w:rsidR="00EB5B72" w:rsidRPr="00B15C35">
        <w:t xml:space="preserve">hoc tests </w:t>
      </w:r>
      <w:r w:rsidR="00F42FBE" w:rsidRPr="00B15C35">
        <w:t>revealed</w:t>
      </w:r>
      <w:r w:rsidR="00EB5B72" w:rsidRPr="00B15C35">
        <w:t xml:space="preserve"> higher frequencies of back pain/injury (&lt;</w:t>
      </w:r>
      <w:r w:rsidR="00A04F08">
        <w:t>0</w:t>
      </w:r>
      <w:r w:rsidR="00EB5B72" w:rsidRPr="00B15C35">
        <w:t>.001), stress</w:t>
      </w:r>
      <w:r w:rsidR="008756E6" w:rsidRPr="00B15C35">
        <w:t>/</w:t>
      </w:r>
      <w:r w:rsidR="00EB5B72" w:rsidRPr="00B15C35">
        <w:t>mental health (&lt;</w:t>
      </w:r>
      <w:r w:rsidR="00A04F08">
        <w:t>0</w:t>
      </w:r>
      <w:r w:rsidR="00EB5B72" w:rsidRPr="00B15C35">
        <w:t>.001), neck pain/injury (&lt;</w:t>
      </w:r>
      <w:r w:rsidR="00A04F08">
        <w:t>0</w:t>
      </w:r>
      <w:r w:rsidR="00EB5B72" w:rsidRPr="00B15C35">
        <w:t>.001),) and shoulder pain/injury (&lt;</w:t>
      </w:r>
      <w:r w:rsidR="00A04F08">
        <w:t>0</w:t>
      </w:r>
      <w:r w:rsidR="00EB5B72" w:rsidRPr="00B15C35">
        <w:t>.001) compared to other</w:t>
      </w:r>
      <w:r w:rsidR="008756E6" w:rsidRPr="00B15C35">
        <w:t xml:space="preserve"> </w:t>
      </w:r>
      <w:r w:rsidR="00EB5B72" w:rsidRPr="00B15C35">
        <w:t>categories.</w:t>
      </w:r>
    </w:p>
    <w:p w14:paraId="59FAB043" w14:textId="7F088E5C" w:rsidR="00C73C54" w:rsidRPr="00B15C35" w:rsidRDefault="00E30209" w:rsidP="00EA1FC3">
      <w:pPr>
        <w:pStyle w:val="Newparagraph"/>
        <w:jc w:val="both"/>
      </w:pPr>
      <w:r w:rsidRPr="00B15C35">
        <w:lastRenderedPageBreak/>
        <w:t>Of those with incidences of ill-health, 91.5% answered regarding the impact on their work</w:t>
      </w:r>
      <w:r w:rsidR="0080702C" w:rsidRPr="00B15C35">
        <w:t>;</w:t>
      </w:r>
      <w:r w:rsidRPr="00B15C35">
        <w:t xml:space="preserve"> of these </w:t>
      </w:r>
      <w:r w:rsidR="004412F9" w:rsidRPr="00B15C35">
        <w:t>34.5</w:t>
      </w:r>
      <w:r w:rsidR="002B385C" w:rsidRPr="00B15C35">
        <w:t xml:space="preserve">% </w:t>
      </w:r>
      <w:r w:rsidRPr="00B15C35">
        <w:t xml:space="preserve">required </w:t>
      </w:r>
      <w:r w:rsidR="008756E6" w:rsidRPr="00B15C35">
        <w:t>leave</w:t>
      </w:r>
      <w:r w:rsidRPr="00B15C35">
        <w:t xml:space="preserve"> or light duties. S</w:t>
      </w:r>
      <w:r w:rsidR="002B385C" w:rsidRPr="00B15C35">
        <w:t>hort</w:t>
      </w:r>
      <w:r w:rsidR="008756E6" w:rsidRPr="00B15C35">
        <w:t>-</w:t>
      </w:r>
      <w:r w:rsidR="002B385C" w:rsidRPr="00B15C35">
        <w:t xml:space="preserve">term absence </w:t>
      </w:r>
      <w:r w:rsidR="00645F5B" w:rsidRPr="00B15C35">
        <w:t>(</w:t>
      </w:r>
      <w:r w:rsidR="008756E6" w:rsidRPr="00B15C35">
        <w:t>less than</w:t>
      </w:r>
      <w:r w:rsidR="002B385C" w:rsidRPr="00B15C35">
        <w:t xml:space="preserve"> 1 month</w:t>
      </w:r>
      <w:r w:rsidR="00645F5B" w:rsidRPr="00B15C35">
        <w:t>)</w:t>
      </w:r>
      <w:r w:rsidR="002B385C" w:rsidRPr="00B15C35">
        <w:t xml:space="preserve"> </w:t>
      </w:r>
      <w:r w:rsidRPr="00B15C35">
        <w:t>was</w:t>
      </w:r>
      <w:r w:rsidR="002B385C" w:rsidRPr="00B15C35">
        <w:t xml:space="preserve"> the most frequent </w:t>
      </w:r>
      <w:r w:rsidR="00A04F08">
        <w:t>amount of sick leave</w:t>
      </w:r>
      <w:r w:rsidR="008756E6" w:rsidRPr="00B15C35">
        <w:t xml:space="preserve"> (16.8%)</w:t>
      </w:r>
      <w:r w:rsidR="002B385C" w:rsidRPr="00B15C35">
        <w:t xml:space="preserve">. There were no significant associations between the </w:t>
      </w:r>
      <w:r w:rsidR="001A2FC6" w:rsidRPr="00B15C35">
        <w:t>ill-</w:t>
      </w:r>
      <w:r w:rsidR="002B385C" w:rsidRPr="00B15C35">
        <w:t xml:space="preserve">health categories identified and the length of </w:t>
      </w:r>
      <w:r w:rsidR="0068187D" w:rsidRPr="00B15C35">
        <w:t xml:space="preserve">time </w:t>
      </w:r>
      <w:r w:rsidR="002B385C" w:rsidRPr="00B15C35">
        <w:t>absen</w:t>
      </w:r>
      <w:r w:rsidR="00577AC7" w:rsidRPr="00B15C35">
        <w:t>t</w:t>
      </w:r>
      <w:r w:rsidR="002B385C" w:rsidRPr="00B15C35">
        <w:t>.</w:t>
      </w:r>
    </w:p>
    <w:p w14:paraId="01A2AAF9" w14:textId="4989B5BC" w:rsidR="00C54CC4" w:rsidRDefault="00D20A13" w:rsidP="00EA1FC3">
      <w:pPr>
        <w:pStyle w:val="Newparagraph"/>
        <w:jc w:val="both"/>
      </w:pPr>
      <w:r w:rsidRPr="00B15C35">
        <w:t>Since</w:t>
      </w:r>
      <w:r w:rsidR="000B5DE7" w:rsidRPr="00B15C35">
        <w:t xml:space="preserve"> the majority of reproductive scientists </w:t>
      </w:r>
      <w:r w:rsidR="00726690" w:rsidRPr="00B15C35">
        <w:t>experienc</w:t>
      </w:r>
      <w:r w:rsidRPr="00B15C35">
        <w:t>e</w:t>
      </w:r>
      <w:r w:rsidR="00DD0813" w:rsidRPr="00B15C35">
        <w:t>d</w:t>
      </w:r>
      <w:r w:rsidR="00726690" w:rsidRPr="00B15C35">
        <w:t xml:space="preserve"> </w:t>
      </w:r>
      <w:r w:rsidR="002C5905" w:rsidRPr="00B15C35">
        <w:t>work-related ill</w:t>
      </w:r>
      <w:r w:rsidR="001A2FC6" w:rsidRPr="00B15C35">
        <w:t>-</w:t>
      </w:r>
      <w:r w:rsidR="002C5905" w:rsidRPr="00B15C35">
        <w:t>health</w:t>
      </w:r>
      <w:r w:rsidRPr="00B15C35">
        <w:t xml:space="preserve">, </w:t>
      </w:r>
      <w:r w:rsidR="00EE0BD0" w:rsidRPr="00B15C35">
        <w:t>assess</w:t>
      </w:r>
      <w:r w:rsidRPr="00B15C35">
        <w:t>ment</w:t>
      </w:r>
      <w:r w:rsidR="00120C13" w:rsidRPr="00B15C35">
        <w:t xml:space="preserve"> and </w:t>
      </w:r>
      <w:r w:rsidR="00EE0BD0" w:rsidRPr="00B15C35">
        <w:t>control</w:t>
      </w:r>
      <w:r w:rsidR="00120C13" w:rsidRPr="00B15C35">
        <w:t xml:space="preserve"> </w:t>
      </w:r>
      <w:r w:rsidRPr="00B15C35">
        <w:t xml:space="preserve">of risks </w:t>
      </w:r>
      <w:r w:rsidR="00577AC7" w:rsidRPr="00B15C35">
        <w:t xml:space="preserve">should </w:t>
      </w:r>
      <w:r w:rsidRPr="00B15C35">
        <w:t>be</w:t>
      </w:r>
      <w:r w:rsidR="0068187D" w:rsidRPr="00B15C35">
        <w:t xml:space="preserve">come </w:t>
      </w:r>
      <w:r w:rsidR="0030660E" w:rsidRPr="00B15C35">
        <w:t xml:space="preserve">a </w:t>
      </w:r>
      <w:r w:rsidRPr="00B15C35">
        <w:t>priorit</w:t>
      </w:r>
      <w:r w:rsidR="0030660E" w:rsidRPr="00B15C35">
        <w:t>y</w:t>
      </w:r>
      <w:r w:rsidRPr="00B15C35">
        <w:t>.</w:t>
      </w:r>
      <w:r w:rsidR="00C66ED8" w:rsidRPr="00B15C35">
        <w:t xml:space="preserve"> </w:t>
      </w:r>
      <w:r w:rsidRPr="00B15C35">
        <w:t>Moreover</w:t>
      </w:r>
      <w:r w:rsidR="00A04F08">
        <w:t>,</w:t>
      </w:r>
      <w:r w:rsidRPr="00B15C35">
        <w:t xml:space="preserve"> </w:t>
      </w:r>
      <w:r w:rsidR="008756E6" w:rsidRPr="00B15C35">
        <w:t>this</w:t>
      </w:r>
      <w:r w:rsidR="00A04F08">
        <w:t xml:space="preserve"> is</w:t>
      </w:r>
      <w:r w:rsidRPr="00B15C35">
        <w:t xml:space="preserve"> </w:t>
      </w:r>
      <w:r w:rsidR="00C66ED8" w:rsidRPr="00B15C35">
        <w:t>require</w:t>
      </w:r>
      <w:r w:rsidR="008756E6" w:rsidRPr="00B15C35">
        <w:t>d</w:t>
      </w:r>
      <w:r w:rsidR="00C66ED8" w:rsidRPr="00B15C35">
        <w:t xml:space="preserve"> </w:t>
      </w:r>
      <w:r w:rsidR="008756E6" w:rsidRPr="00B15C35">
        <w:t>by</w:t>
      </w:r>
      <w:r w:rsidR="00C66ED8" w:rsidRPr="00B15C35">
        <w:t xml:space="preserve"> </w:t>
      </w:r>
      <w:r w:rsidR="00EE0BD0" w:rsidRPr="00B15C35">
        <w:t xml:space="preserve">the UK Health and Safety at Work </w:t>
      </w:r>
      <w:r w:rsidR="006F6E18" w:rsidRPr="00B15C35">
        <w:t xml:space="preserve">etc </w:t>
      </w:r>
      <w:r w:rsidR="00EE0BD0" w:rsidRPr="00B15C35">
        <w:t>Act</w:t>
      </w:r>
      <w:r w:rsidR="00C66ED8" w:rsidRPr="00B15C35">
        <w:t xml:space="preserve"> (</w:t>
      </w:r>
      <w:r w:rsidR="00EE0BD0" w:rsidRPr="00B15C35">
        <w:t>1974</w:t>
      </w:r>
      <w:r w:rsidR="00C66ED8" w:rsidRPr="00B15C35">
        <w:t xml:space="preserve">), HFEA </w:t>
      </w:r>
      <w:r w:rsidR="002431CA" w:rsidRPr="00B15C35">
        <w:t>Licence Condition</w:t>
      </w:r>
      <w:r w:rsidR="00EF0C22" w:rsidRPr="00B15C35">
        <w:t>s</w:t>
      </w:r>
      <w:r w:rsidR="002431CA" w:rsidRPr="00B15C35">
        <w:t xml:space="preserve"> (</w:t>
      </w:r>
      <w:r w:rsidR="005A4B89" w:rsidRPr="00B15C35">
        <w:t>HFEA, n.d.</w:t>
      </w:r>
      <w:r w:rsidR="002431CA" w:rsidRPr="00B15C35">
        <w:t xml:space="preserve">), HFEA Code of Practice </w:t>
      </w:r>
      <w:r w:rsidR="00C66ED8" w:rsidRPr="00B15C35">
        <w:t>(</w:t>
      </w:r>
      <w:r w:rsidR="00B06168" w:rsidRPr="00B15C35">
        <w:t>HFEA, 2019</w:t>
      </w:r>
      <w:r w:rsidR="00C66ED8" w:rsidRPr="00B15C35">
        <w:t>), H</w:t>
      </w:r>
      <w:r w:rsidR="00EE0BD0" w:rsidRPr="00B15C35">
        <w:t xml:space="preserve">ealth and Care </w:t>
      </w:r>
      <w:r w:rsidR="00C66ED8" w:rsidRPr="00B15C35">
        <w:t>P</w:t>
      </w:r>
      <w:r w:rsidR="00EE0BD0" w:rsidRPr="00B15C35">
        <w:t xml:space="preserve">rofessions </w:t>
      </w:r>
      <w:r w:rsidR="00C66ED8" w:rsidRPr="00B15C35">
        <w:t>C</w:t>
      </w:r>
      <w:r w:rsidR="00EE0BD0" w:rsidRPr="00B15C35">
        <w:t>ouncil</w:t>
      </w:r>
      <w:r w:rsidR="00C66ED8" w:rsidRPr="00B15C35">
        <w:t xml:space="preserve"> </w:t>
      </w:r>
      <w:r w:rsidR="007911D0" w:rsidRPr="00B15C35">
        <w:t xml:space="preserve">(HCPC) </w:t>
      </w:r>
      <w:r w:rsidR="002431CA" w:rsidRPr="00B15C35">
        <w:t xml:space="preserve">Standards </w:t>
      </w:r>
      <w:r w:rsidR="007911D0" w:rsidRPr="00B15C35">
        <w:t xml:space="preserve">of Proficiency </w:t>
      </w:r>
      <w:r w:rsidR="00C66ED8" w:rsidRPr="00B15C35">
        <w:t>(</w:t>
      </w:r>
      <w:r w:rsidR="00EE0BD0" w:rsidRPr="00B15C35">
        <w:t xml:space="preserve">HCPC, </w:t>
      </w:r>
      <w:r w:rsidR="007911D0" w:rsidRPr="00B15C35">
        <w:t>2014</w:t>
      </w:r>
      <w:r w:rsidR="00C66ED8" w:rsidRPr="00B15C35">
        <w:t>)</w:t>
      </w:r>
      <w:r w:rsidR="007911D0" w:rsidRPr="00B15C35">
        <w:t>, ACE Guidelines (</w:t>
      </w:r>
      <w:r w:rsidR="00DD01A5" w:rsidRPr="00B15C35">
        <w:t>Hughes</w:t>
      </w:r>
      <w:r w:rsidR="007911D0" w:rsidRPr="00B15C35">
        <w:t xml:space="preserve">, 2012) </w:t>
      </w:r>
      <w:r w:rsidR="00C66ED8" w:rsidRPr="00B15C35">
        <w:t xml:space="preserve">and ARCS </w:t>
      </w:r>
      <w:r w:rsidR="002431CA" w:rsidRPr="00B15C35">
        <w:t xml:space="preserve">Code of </w:t>
      </w:r>
      <w:r w:rsidR="00EF0C22" w:rsidRPr="00B15C35">
        <w:t xml:space="preserve">Professional </w:t>
      </w:r>
      <w:r w:rsidR="002431CA" w:rsidRPr="00B15C35">
        <w:t xml:space="preserve">Conduct </w:t>
      </w:r>
      <w:r w:rsidR="00C66ED8" w:rsidRPr="00B15C35">
        <w:t>(</w:t>
      </w:r>
      <w:r w:rsidR="00EF0C22" w:rsidRPr="00B15C35">
        <w:t>ARCS, 2019</w:t>
      </w:r>
      <w:r w:rsidR="00C66ED8" w:rsidRPr="00B15C35">
        <w:t>).</w:t>
      </w:r>
      <w:r w:rsidR="00C73C54" w:rsidRPr="00B15C35">
        <w:t xml:space="preserve"> </w:t>
      </w:r>
      <w:r w:rsidR="008756E6" w:rsidRPr="00B15C35">
        <w:t>T</w:t>
      </w:r>
      <w:r w:rsidR="0068187D" w:rsidRPr="00B15C35">
        <w:t>his study permitted the evaluation of</w:t>
      </w:r>
      <w:r w:rsidR="00F31A86" w:rsidRPr="00B15C35">
        <w:t xml:space="preserve"> the evidence base and</w:t>
      </w:r>
      <w:r w:rsidR="008377E5" w:rsidRPr="00B15C35">
        <w:t xml:space="preserve"> </w:t>
      </w:r>
      <w:r w:rsidR="0068187D" w:rsidRPr="00B15C35">
        <w:t xml:space="preserve">the </w:t>
      </w:r>
      <w:r w:rsidR="00A04F08">
        <w:t>proposal</w:t>
      </w:r>
      <w:r w:rsidR="0068187D" w:rsidRPr="00B15C35">
        <w:t xml:space="preserve"> of key </w:t>
      </w:r>
      <w:r w:rsidR="00C73C54" w:rsidRPr="00B15C35">
        <w:t>recommendations regarding the most prevalent occupational health issues identified (summarised in Table 4).</w:t>
      </w:r>
    </w:p>
    <w:p w14:paraId="72B1CDAA" w14:textId="77777777" w:rsidR="00A531BC" w:rsidRPr="00A531BC" w:rsidRDefault="00A531BC" w:rsidP="00EA1FC3">
      <w:pPr>
        <w:pStyle w:val="Newparagraph"/>
        <w:ind w:firstLine="0"/>
        <w:jc w:val="both"/>
      </w:pPr>
    </w:p>
    <w:p w14:paraId="2D176E12" w14:textId="783DE078" w:rsidR="00F2748A" w:rsidRPr="00EA1FC3" w:rsidRDefault="00F15E36" w:rsidP="00EA1FC3">
      <w:pPr>
        <w:jc w:val="both"/>
        <w:rPr>
          <w:i/>
          <w:iCs/>
        </w:rPr>
      </w:pPr>
      <w:r w:rsidRPr="00EA1FC3">
        <w:rPr>
          <w:i/>
          <w:iCs/>
        </w:rPr>
        <w:t xml:space="preserve">Musculoskeletal </w:t>
      </w:r>
      <w:r w:rsidR="002C3FB1">
        <w:rPr>
          <w:i/>
          <w:iCs/>
        </w:rPr>
        <w:t>d</w:t>
      </w:r>
      <w:r w:rsidRPr="00EA1FC3">
        <w:rPr>
          <w:i/>
          <w:iCs/>
        </w:rPr>
        <w:t>isorders</w:t>
      </w:r>
      <w:r w:rsidR="005A1F74" w:rsidRPr="00A531BC">
        <w:rPr>
          <w:i/>
          <w:iCs/>
        </w:rPr>
        <w:t xml:space="preserve"> (MSD)</w:t>
      </w:r>
      <w:r w:rsidR="00F2748A" w:rsidRPr="00EA1FC3">
        <w:rPr>
          <w:i/>
          <w:iCs/>
        </w:rPr>
        <w:t xml:space="preserve"> </w:t>
      </w:r>
    </w:p>
    <w:p w14:paraId="1EF7F946" w14:textId="5B4C7EEC" w:rsidR="005A1F74" w:rsidRPr="00B15C35" w:rsidRDefault="002D2EF7" w:rsidP="00EA1FC3">
      <w:pPr>
        <w:pStyle w:val="Paragraph"/>
        <w:spacing w:before="0"/>
        <w:jc w:val="both"/>
      </w:pPr>
      <w:bookmarkStart w:id="1" w:name="_Hlk40722679"/>
      <w:r w:rsidRPr="00B15C35">
        <w:t xml:space="preserve">The </w:t>
      </w:r>
      <w:r w:rsidR="0068187D" w:rsidRPr="00B15C35">
        <w:t xml:space="preserve">most commonly </w:t>
      </w:r>
      <w:r w:rsidRPr="00B15C35">
        <w:t xml:space="preserve">reported issue for respondents was </w:t>
      </w:r>
      <w:r w:rsidR="0073291A" w:rsidRPr="00B15C35">
        <w:t>back pain/injury (28.3%)</w:t>
      </w:r>
      <w:r w:rsidRPr="00B15C35">
        <w:t xml:space="preserve">. Incidents of </w:t>
      </w:r>
      <w:r w:rsidR="0073291A" w:rsidRPr="00B15C35">
        <w:t>shoulder pain/injury and neck pain/injury</w:t>
      </w:r>
      <w:r w:rsidRPr="00B15C35">
        <w:t xml:space="preserve"> were also high (27.8% and 25.6% respectively)</w:t>
      </w:r>
      <w:r w:rsidR="00D1161B" w:rsidRPr="00B15C35">
        <w:t xml:space="preserve"> and 29 respondents reported repetitive strain injuries (13%)</w:t>
      </w:r>
      <w:r w:rsidR="0073291A" w:rsidRPr="00B15C35">
        <w:t xml:space="preserve">. </w:t>
      </w:r>
      <w:r w:rsidR="0030660E" w:rsidRPr="00B15C35">
        <w:t>C</w:t>
      </w:r>
      <w:r w:rsidR="0073291A" w:rsidRPr="00B15C35">
        <w:t>ombined</w:t>
      </w:r>
      <w:r w:rsidRPr="00B15C35">
        <w:t xml:space="preserve">, </w:t>
      </w:r>
      <w:r w:rsidR="00051B95" w:rsidRPr="00B15C35">
        <w:t>MSDs</w:t>
      </w:r>
      <w:r w:rsidR="0073291A" w:rsidRPr="00B15C35">
        <w:t xml:space="preserve"> were the most </w:t>
      </w:r>
      <w:r w:rsidR="008756E6" w:rsidRPr="00B15C35">
        <w:t>frequently reported</w:t>
      </w:r>
      <w:r w:rsidR="0073291A" w:rsidRPr="00B15C35">
        <w:t xml:space="preserve"> </w:t>
      </w:r>
      <w:r w:rsidR="008756E6" w:rsidRPr="00B15C35">
        <w:t>(</w:t>
      </w:r>
      <w:r w:rsidR="0073291A" w:rsidRPr="00B15C35">
        <w:t>4</w:t>
      </w:r>
      <w:r w:rsidR="00D1161B" w:rsidRPr="00B15C35">
        <w:t>5</w:t>
      </w:r>
      <w:r w:rsidR="0073291A" w:rsidRPr="00B15C35">
        <w:t>.</w:t>
      </w:r>
      <w:r w:rsidR="00D1161B" w:rsidRPr="00B15C35">
        <w:t>3</w:t>
      </w:r>
      <w:r w:rsidR="0073291A" w:rsidRPr="00B15C35">
        <w:t>%</w:t>
      </w:r>
      <w:r w:rsidR="008756E6" w:rsidRPr="00B15C35">
        <w:t xml:space="preserve"> </w:t>
      </w:r>
      <w:r w:rsidR="001328A6" w:rsidRPr="00B15C35">
        <w:t>of respondents</w:t>
      </w:r>
      <w:r w:rsidR="008756E6" w:rsidRPr="00B15C35">
        <w:t>)</w:t>
      </w:r>
      <w:r w:rsidR="0073291A" w:rsidRPr="00B15C35">
        <w:t>.</w:t>
      </w:r>
      <w:r w:rsidR="005A1F74" w:rsidRPr="00B15C35">
        <w:t xml:space="preserve"> </w:t>
      </w:r>
      <w:r w:rsidR="0030660E" w:rsidRPr="00B15C35">
        <w:t>High rates of MSDs</w:t>
      </w:r>
      <w:r w:rsidR="00A04F08">
        <w:t xml:space="preserve"> </w:t>
      </w:r>
      <w:r w:rsidR="0030660E" w:rsidRPr="00B15C35">
        <w:t xml:space="preserve">were also </w:t>
      </w:r>
      <w:r w:rsidR="008756E6" w:rsidRPr="00B15C35">
        <w:t>identified</w:t>
      </w:r>
      <w:r w:rsidR="0030660E" w:rsidRPr="00B15C35">
        <w:t xml:space="preserve"> in research with</w:t>
      </w:r>
      <w:r w:rsidR="0068187D" w:rsidRPr="00B15C35">
        <w:t xml:space="preserve"> Spanish embryologists </w:t>
      </w:r>
      <w:r w:rsidR="005A1F74" w:rsidRPr="00B15C35">
        <w:t>(López-Lería et al., 2014).</w:t>
      </w:r>
    </w:p>
    <w:p w14:paraId="2E3DAF48" w14:textId="3B21EA8C" w:rsidR="00A70F90" w:rsidRPr="00B15C35" w:rsidRDefault="002D2EF7" w:rsidP="00EA1FC3">
      <w:pPr>
        <w:pStyle w:val="Paragraph"/>
        <w:spacing w:before="0"/>
        <w:ind w:firstLine="720"/>
        <w:jc w:val="both"/>
      </w:pPr>
      <w:r w:rsidRPr="00B15C35">
        <w:t xml:space="preserve">If workplace stressors </w:t>
      </w:r>
      <w:r w:rsidR="00190153" w:rsidRPr="00B15C35">
        <w:t xml:space="preserve">were </w:t>
      </w:r>
      <w:r w:rsidRPr="00B15C35">
        <w:t xml:space="preserve">having a </w:t>
      </w:r>
      <w:r w:rsidR="0073291A" w:rsidRPr="00B15C35">
        <w:t xml:space="preserve">cumulative </w:t>
      </w:r>
      <w:r w:rsidRPr="00B15C35">
        <w:t>impact, a relationship between length of service and incidence</w:t>
      </w:r>
      <w:r w:rsidR="00190153" w:rsidRPr="00B15C35">
        <w:t xml:space="preserve"> of </w:t>
      </w:r>
      <w:r w:rsidR="0030660E" w:rsidRPr="00B15C35">
        <w:t>MSD</w:t>
      </w:r>
      <w:r w:rsidR="00190153" w:rsidRPr="00B15C35">
        <w:t xml:space="preserve"> would be </w:t>
      </w:r>
      <w:r w:rsidR="0030660E" w:rsidRPr="00B15C35">
        <w:t>anticipated</w:t>
      </w:r>
      <w:r w:rsidR="0073291A" w:rsidRPr="00B15C35">
        <w:t xml:space="preserve">. </w:t>
      </w:r>
      <w:r w:rsidR="00A04F08">
        <w:t>However, t</w:t>
      </w:r>
      <w:r w:rsidR="0073291A" w:rsidRPr="00B15C35">
        <w:t>here were no associations</w:t>
      </w:r>
      <w:r w:rsidR="00A04F08">
        <w:t xml:space="preserve"> </w:t>
      </w:r>
      <w:r w:rsidR="0073291A" w:rsidRPr="00B15C35">
        <w:t>between back pain/injury (Χ</w:t>
      </w:r>
      <w:r w:rsidR="0073291A" w:rsidRPr="00B15C35">
        <w:rPr>
          <w:vertAlign w:val="superscript"/>
        </w:rPr>
        <w:t>2</w:t>
      </w:r>
      <w:r w:rsidR="0073291A" w:rsidRPr="00B15C35">
        <w:t xml:space="preserve"> (4) =8.110, p=</w:t>
      </w:r>
      <w:r w:rsidR="00A04F08">
        <w:t>0</w:t>
      </w:r>
      <w:r w:rsidR="0073291A" w:rsidRPr="00B15C35">
        <w:t>.088) and neck pain/injury (Χ</w:t>
      </w:r>
      <w:r w:rsidR="0073291A" w:rsidRPr="00B15C35">
        <w:rPr>
          <w:vertAlign w:val="superscript"/>
        </w:rPr>
        <w:t>2</w:t>
      </w:r>
      <w:r w:rsidR="0073291A" w:rsidRPr="00B15C35">
        <w:t xml:space="preserve"> (4) =9,122, p=</w:t>
      </w:r>
      <w:r w:rsidR="00A04F08">
        <w:t>0</w:t>
      </w:r>
      <w:r w:rsidR="0073291A" w:rsidRPr="00B15C35">
        <w:t xml:space="preserve">.058) </w:t>
      </w:r>
      <w:r w:rsidRPr="00B15C35">
        <w:t>but</w:t>
      </w:r>
      <w:r w:rsidR="0073291A" w:rsidRPr="00B15C35">
        <w:t xml:space="preserve"> there was a significant association </w:t>
      </w:r>
      <w:r w:rsidR="00A04F08">
        <w:t>between</w:t>
      </w:r>
      <w:r w:rsidR="0073291A" w:rsidRPr="00B15C35">
        <w:t xml:space="preserve"> shoulder pain/injury and length of service (Χ</w:t>
      </w:r>
      <w:r w:rsidR="0073291A" w:rsidRPr="00B15C35">
        <w:rPr>
          <w:vertAlign w:val="superscript"/>
        </w:rPr>
        <w:t>2</w:t>
      </w:r>
      <w:r w:rsidR="0073291A" w:rsidRPr="00B15C35">
        <w:t xml:space="preserve"> (4) =11.607, p&lt;</w:t>
      </w:r>
      <w:r w:rsidR="00A04F08">
        <w:t>0</w:t>
      </w:r>
      <w:r w:rsidR="0073291A" w:rsidRPr="00B15C35">
        <w:t>.05). Post</w:t>
      </w:r>
      <w:r w:rsidR="00190153" w:rsidRPr="00B15C35">
        <w:t>-</w:t>
      </w:r>
      <w:r w:rsidR="0073291A" w:rsidRPr="00B15C35">
        <w:t xml:space="preserve">hoc tests with Bonferroni adjustment found differences between 0-5 year (5.3%) compared to 5-10 (35.1%) and 15-20 years </w:t>
      </w:r>
      <w:r w:rsidR="0073291A" w:rsidRPr="00B15C35">
        <w:lastRenderedPageBreak/>
        <w:t xml:space="preserve">(26.3%) of experience. </w:t>
      </w:r>
      <w:r w:rsidR="006F6E18" w:rsidRPr="00B15C35">
        <w:t>Cramér's</w:t>
      </w:r>
      <w:r w:rsidR="0073291A" w:rsidRPr="00B15C35">
        <w:t xml:space="preserve"> V (</w:t>
      </w:r>
      <w:r w:rsidR="00A04F08">
        <w:t>0</w:t>
      </w:r>
      <w:r w:rsidR="0073291A" w:rsidRPr="00B15C35">
        <w:t>.228)</w:t>
      </w:r>
      <w:r w:rsidR="00190153" w:rsidRPr="00B15C35">
        <w:t xml:space="preserve"> suggest</w:t>
      </w:r>
      <w:r w:rsidR="008756E6" w:rsidRPr="00B15C35">
        <w:t>s</w:t>
      </w:r>
      <w:r w:rsidR="00190153" w:rsidRPr="00B15C35">
        <w:t xml:space="preserve"> a </w:t>
      </w:r>
      <w:r w:rsidR="0073291A" w:rsidRPr="00B15C35">
        <w:t>medium</w:t>
      </w:r>
      <w:r w:rsidR="008756E6" w:rsidRPr="00B15C35">
        <w:t>-</w:t>
      </w:r>
      <w:r w:rsidR="0073291A" w:rsidRPr="00B15C35">
        <w:t>size</w:t>
      </w:r>
      <w:r w:rsidR="008756E6" w:rsidRPr="00B15C35">
        <w:t>d effect</w:t>
      </w:r>
      <w:r w:rsidR="0073291A" w:rsidRPr="00B15C35">
        <w:t>.</w:t>
      </w:r>
      <w:r w:rsidR="00986A94" w:rsidRPr="00B15C35">
        <w:t xml:space="preserve"> </w:t>
      </w:r>
    </w:p>
    <w:p w14:paraId="5A32F922" w14:textId="2DD2864D" w:rsidR="00A70F90" w:rsidRPr="006113D6" w:rsidRDefault="00BC2AB2" w:rsidP="00A6049E">
      <w:pPr>
        <w:pStyle w:val="Newparagraph"/>
        <w:jc w:val="both"/>
      </w:pPr>
      <w:r w:rsidRPr="00B15C35">
        <w:t>S</w:t>
      </w:r>
      <w:r w:rsidR="00051B95" w:rsidRPr="00B15C35">
        <w:t>ome professions have greater levels of work-related MSDs. Roles involving repetitive tasks, static postures</w:t>
      </w:r>
      <w:r w:rsidRPr="00B15C35">
        <w:t>,</w:t>
      </w:r>
      <w:r w:rsidR="00051B95" w:rsidRPr="00B15C35">
        <w:t xml:space="preserve"> or working </w:t>
      </w:r>
      <w:r w:rsidRPr="00B15C35">
        <w:t xml:space="preserve">with </w:t>
      </w:r>
      <w:r w:rsidR="00051B95" w:rsidRPr="00B15C35">
        <w:t>raised arms</w:t>
      </w:r>
      <w:r w:rsidRPr="00B15C35">
        <w:t xml:space="preserve"> or </w:t>
      </w:r>
      <w:r w:rsidR="00051B95" w:rsidRPr="00B15C35">
        <w:t>hands are</w:t>
      </w:r>
      <w:r w:rsidR="00190153" w:rsidRPr="00B15C35">
        <w:t xml:space="preserve"> particularly</w:t>
      </w:r>
      <w:r w:rsidR="00051B95" w:rsidRPr="00B15C35">
        <w:t xml:space="preserve"> problematic </w:t>
      </w:r>
      <w:r w:rsidR="00A70F90" w:rsidRPr="00B15C35">
        <w:t>(</w:t>
      </w:r>
      <w:r w:rsidR="00051B95" w:rsidRPr="00B15C35">
        <w:t>H</w:t>
      </w:r>
      <w:r w:rsidR="00A70F90" w:rsidRPr="00B15C35">
        <w:t>agber</w:t>
      </w:r>
      <w:r w:rsidR="007119C9" w:rsidRPr="00B15C35">
        <w:t>g</w:t>
      </w:r>
      <w:r w:rsidR="00A70F90" w:rsidRPr="00B15C35">
        <w:t xml:space="preserve"> </w:t>
      </w:r>
      <w:r w:rsidR="00051B95" w:rsidRPr="00B15C35">
        <w:t>&amp;</w:t>
      </w:r>
      <w:r w:rsidR="00A70F90" w:rsidRPr="00B15C35">
        <w:t xml:space="preserve"> Wegman</w:t>
      </w:r>
      <w:r w:rsidR="00051B95" w:rsidRPr="00B15C35">
        <w:t>,</w:t>
      </w:r>
      <w:r w:rsidR="00A70F90" w:rsidRPr="00B15C35">
        <w:t xml:space="preserve"> 1987)</w:t>
      </w:r>
      <w:r w:rsidR="00051B95" w:rsidRPr="00B15C35">
        <w:t xml:space="preserve"> and this can be </w:t>
      </w:r>
      <w:r w:rsidR="00416A06" w:rsidRPr="00B15C35">
        <w:t>influenced by</w:t>
      </w:r>
      <w:r w:rsidR="00051B95" w:rsidRPr="00B15C35">
        <w:t xml:space="preserve"> psychosocial </w:t>
      </w:r>
      <w:r w:rsidR="00416A06" w:rsidRPr="00B15C35">
        <w:t xml:space="preserve">workplace factors </w:t>
      </w:r>
      <w:r w:rsidR="00A70F90" w:rsidRPr="00B15C35">
        <w:t>(</w:t>
      </w:r>
      <w:r w:rsidR="006F6E18" w:rsidRPr="00B15C35">
        <w:t xml:space="preserve">J.H. </w:t>
      </w:r>
      <w:r w:rsidR="00051B95" w:rsidRPr="00B15C35">
        <w:t>Andersen et al., 2007</w:t>
      </w:r>
      <w:r w:rsidR="00A70F90" w:rsidRPr="00B15C35">
        <w:t>)</w:t>
      </w:r>
      <w:r w:rsidR="00051B95" w:rsidRPr="00B15C35">
        <w:t>.</w:t>
      </w:r>
      <w:r w:rsidR="00E80DDD" w:rsidRPr="00B15C35">
        <w:t xml:space="preserve"> </w:t>
      </w:r>
      <w:r w:rsidR="008756E6" w:rsidRPr="00B15C35">
        <w:t>T</w:t>
      </w:r>
      <w:r w:rsidR="002B7AD8" w:rsidRPr="00B15C35">
        <w:t xml:space="preserve">he rate of </w:t>
      </w:r>
      <w:r w:rsidR="000A6413" w:rsidRPr="00B15C35">
        <w:t xml:space="preserve">work-related </w:t>
      </w:r>
      <w:r w:rsidR="002B7AD8" w:rsidRPr="00B15C35">
        <w:t>M</w:t>
      </w:r>
      <w:r w:rsidR="000A6413" w:rsidRPr="00B15C35">
        <w:t>S</w:t>
      </w:r>
      <w:r w:rsidR="002B7AD8" w:rsidRPr="00B15C35">
        <w:t>D</w:t>
      </w:r>
      <w:r w:rsidR="000A6413" w:rsidRPr="00B15C35">
        <w:t>s</w:t>
      </w:r>
      <w:r w:rsidR="002B7AD8" w:rsidRPr="00B15C35">
        <w:t xml:space="preserve"> in surgeons (42%)</w:t>
      </w:r>
      <w:r w:rsidR="00416A06" w:rsidRPr="00B15C35">
        <w:t xml:space="preserve"> </w:t>
      </w:r>
      <w:r w:rsidR="002B7AD8" w:rsidRPr="00B15C35">
        <w:t xml:space="preserve">is high </w:t>
      </w:r>
      <w:r w:rsidR="00E80DDD" w:rsidRPr="00B15C35">
        <w:t>(Grant et al., 2020).</w:t>
      </w:r>
      <w:r w:rsidR="001470B5" w:rsidRPr="00B15C35">
        <w:t xml:space="preserve"> </w:t>
      </w:r>
      <w:r w:rsidR="00374D07" w:rsidRPr="006113D6">
        <w:t>Occupational r</w:t>
      </w:r>
      <w:r w:rsidR="001470B5" w:rsidRPr="006113D6">
        <w:t xml:space="preserve">isks which cannot be </w:t>
      </w:r>
      <w:r w:rsidR="00020ACC" w:rsidRPr="006113D6">
        <w:t>eliminated</w:t>
      </w:r>
      <w:r w:rsidR="001470B5" w:rsidRPr="006113D6">
        <w:t xml:space="preserve"> may be</w:t>
      </w:r>
      <w:r w:rsidR="00190153" w:rsidRPr="006113D6">
        <w:t xml:space="preserve"> partially</w:t>
      </w:r>
      <w:r w:rsidR="001470B5" w:rsidRPr="006113D6">
        <w:t xml:space="preserve"> mitigated by physical or psychological exercises (Jay et al., 2015) or periodic mini-breaks for stretching (</w:t>
      </w:r>
      <w:r w:rsidR="001470B5" w:rsidRPr="00B15C35">
        <w:t>Park et al., 2017</w:t>
      </w:r>
      <w:r w:rsidR="001470B5" w:rsidRPr="006113D6">
        <w:t>).</w:t>
      </w:r>
    </w:p>
    <w:p w14:paraId="31767152" w14:textId="2A2BF463" w:rsidR="0073291A" w:rsidRDefault="0091551C" w:rsidP="00A6049E">
      <w:pPr>
        <w:pStyle w:val="Newparagraph"/>
        <w:jc w:val="both"/>
      </w:pPr>
      <w:r w:rsidRPr="00B15C35">
        <w:t xml:space="preserve">Studies </w:t>
      </w:r>
      <w:r w:rsidR="00374D07" w:rsidRPr="00B15C35">
        <w:t>of</w:t>
      </w:r>
      <w:r w:rsidR="00EA5FE6" w:rsidRPr="00941502">
        <w:t xml:space="preserve"> </w:t>
      </w:r>
      <w:r w:rsidR="00020ACC" w:rsidRPr="00941502">
        <w:t>professions</w:t>
      </w:r>
      <w:r w:rsidR="00190153" w:rsidRPr="00941502">
        <w:t xml:space="preserve"> </w:t>
      </w:r>
      <w:r w:rsidR="00374D07" w:rsidRPr="00941502">
        <w:t>in</w:t>
      </w:r>
      <w:r w:rsidR="00190153" w:rsidRPr="00A531BC">
        <w:t xml:space="preserve"> </w:t>
      </w:r>
      <w:r w:rsidR="00416A06" w:rsidRPr="00A531BC">
        <w:t>related</w:t>
      </w:r>
      <w:r w:rsidR="00190153" w:rsidRPr="00A531BC">
        <w:t xml:space="preserve"> setting</w:t>
      </w:r>
      <w:r w:rsidR="00374D07" w:rsidRPr="00A531BC">
        <w:t>s</w:t>
      </w:r>
      <w:r w:rsidR="00190153" w:rsidRPr="00A531BC">
        <w:t xml:space="preserve"> also</w:t>
      </w:r>
      <w:r w:rsidR="00AB2ECE" w:rsidRPr="00A531BC">
        <w:t xml:space="preserve"> </w:t>
      </w:r>
      <w:r w:rsidR="00020ACC" w:rsidRPr="00A531BC">
        <w:t>identify specific</w:t>
      </w:r>
      <w:r w:rsidR="00EA5FE6" w:rsidRPr="00B15C35">
        <w:t xml:space="preserve"> risks for </w:t>
      </w:r>
      <w:r w:rsidR="00E30D8F" w:rsidRPr="00B15C35">
        <w:t>reproductive scientists.</w:t>
      </w:r>
      <w:r w:rsidR="00190153" w:rsidRPr="00B15C35">
        <w:t xml:space="preserve"> </w:t>
      </w:r>
      <w:r w:rsidR="00374D07" w:rsidRPr="00B15C35">
        <w:t>P</w:t>
      </w:r>
      <w:r w:rsidR="002B7AD8" w:rsidRPr="00B15C35">
        <w:t xml:space="preserve">ipetting </w:t>
      </w:r>
      <w:r w:rsidR="00511E2E" w:rsidRPr="00B15C35">
        <w:t>is</w:t>
      </w:r>
      <w:r w:rsidR="00E30D8F" w:rsidRPr="00B15C35">
        <w:t xml:space="preserve"> associated with</w:t>
      </w:r>
      <w:r w:rsidR="002B7AD8" w:rsidRPr="00B15C35">
        <w:t xml:space="preserve"> </w:t>
      </w:r>
      <w:r w:rsidR="00E30D8F" w:rsidRPr="00B15C35">
        <w:t>work-related upper limb disorders (</w:t>
      </w:r>
      <w:r w:rsidR="002B7AD8" w:rsidRPr="00B15C35">
        <w:t>WRULD</w:t>
      </w:r>
      <w:r w:rsidR="00E30D8F" w:rsidRPr="00B15C35">
        <w:t xml:space="preserve">; David &amp; Buckle, 1997). </w:t>
      </w:r>
      <w:r w:rsidR="00190153" w:rsidRPr="00B15C35">
        <w:t xml:space="preserve">Prolonged </w:t>
      </w:r>
      <w:r w:rsidR="00E30D8F" w:rsidRPr="00B15C35">
        <w:t>microscope</w:t>
      </w:r>
      <w:r w:rsidR="00374D07" w:rsidRPr="00B15C35">
        <w:t xml:space="preserve"> u</w:t>
      </w:r>
      <w:r w:rsidR="00E30D8F" w:rsidRPr="00B15C35">
        <w:t>s</w:t>
      </w:r>
      <w:r w:rsidR="00374D07" w:rsidRPr="00B15C35">
        <w:t>e</w:t>
      </w:r>
      <w:r w:rsidR="00E30D8F" w:rsidRPr="00B15C35">
        <w:t xml:space="preserve"> contributes to MSD in </w:t>
      </w:r>
      <w:r w:rsidR="00374D07" w:rsidRPr="00B15C35">
        <w:t>over</w:t>
      </w:r>
      <w:r w:rsidR="00E30D8F" w:rsidRPr="00B15C35">
        <w:t xml:space="preserve"> 85% of cytotechnologists</w:t>
      </w:r>
      <w:r w:rsidR="0073291A" w:rsidRPr="006113D6">
        <w:t xml:space="preserve"> (Thomson et al</w:t>
      </w:r>
      <w:r w:rsidR="00E30D8F" w:rsidRPr="006113D6">
        <w:t>.,</w:t>
      </w:r>
      <w:r w:rsidR="0073291A" w:rsidRPr="006113D6">
        <w:t xml:space="preserve"> 2003)</w:t>
      </w:r>
      <w:r w:rsidR="00E30D8F" w:rsidRPr="006113D6">
        <w:t>. A study of lab</w:t>
      </w:r>
      <w:r w:rsidR="00430546" w:rsidRPr="006113D6">
        <w:t>oratory</w:t>
      </w:r>
      <w:r w:rsidR="00E30D8F" w:rsidRPr="006113D6">
        <w:t xml:space="preserve"> technologists showed neck</w:t>
      </w:r>
      <w:r w:rsidR="00374D07" w:rsidRPr="006113D6">
        <w:t>/</w:t>
      </w:r>
      <w:r w:rsidR="00E30D8F" w:rsidRPr="006113D6">
        <w:t>shoulder problems</w:t>
      </w:r>
      <w:r w:rsidR="00BC2AB2" w:rsidRPr="006113D6">
        <w:t xml:space="preserve"> </w:t>
      </w:r>
      <w:r w:rsidR="00E30D8F" w:rsidRPr="006113D6">
        <w:t>in approaching 70% of participants (Jay et al., 2015).</w:t>
      </w:r>
    </w:p>
    <w:p w14:paraId="734B36BB" w14:textId="77777777" w:rsidR="00A531BC" w:rsidRPr="006113D6" w:rsidRDefault="00A531BC" w:rsidP="006113D6">
      <w:pPr>
        <w:pStyle w:val="Newparagraph"/>
        <w:ind w:firstLine="0"/>
        <w:jc w:val="both"/>
      </w:pPr>
    </w:p>
    <w:bookmarkEnd w:id="1"/>
    <w:p w14:paraId="64145800" w14:textId="77777777" w:rsidR="00470DE9" w:rsidRPr="00B15C35" w:rsidRDefault="00470DE9" w:rsidP="006113D6">
      <w:pPr>
        <w:pStyle w:val="Paragraph"/>
        <w:spacing w:before="0"/>
        <w:jc w:val="both"/>
        <w:rPr>
          <w:i/>
          <w:iCs/>
        </w:rPr>
      </w:pPr>
      <w:r w:rsidRPr="00B15C35">
        <w:rPr>
          <w:i/>
          <w:iCs/>
        </w:rPr>
        <w:t>Recommendations</w:t>
      </w:r>
    </w:p>
    <w:p w14:paraId="4E26E188" w14:textId="3C5EEBDC" w:rsidR="00BC2AB2" w:rsidRPr="00B15C35" w:rsidRDefault="0091551C" w:rsidP="006113D6">
      <w:pPr>
        <w:pStyle w:val="Newparagraph"/>
        <w:ind w:firstLine="0"/>
        <w:jc w:val="both"/>
      </w:pPr>
      <w:r w:rsidRPr="00941502">
        <w:t xml:space="preserve">Since MSDs are a </w:t>
      </w:r>
      <w:r w:rsidR="00374D07" w:rsidRPr="00941502">
        <w:t xml:space="preserve">significantly </w:t>
      </w:r>
      <w:r w:rsidRPr="00941502">
        <w:t xml:space="preserve">frequent issue for embryologists, employers </w:t>
      </w:r>
      <w:r w:rsidR="00190153" w:rsidRPr="00941502">
        <w:t xml:space="preserve">have a duty to </w:t>
      </w:r>
      <w:r w:rsidRPr="00B15C35">
        <w:t>proactive</w:t>
      </w:r>
      <w:r w:rsidR="00317672" w:rsidRPr="00B15C35">
        <w:t>ly</w:t>
      </w:r>
      <w:r w:rsidRPr="00B15C35">
        <w:t xml:space="preserve"> </w:t>
      </w:r>
      <w:r w:rsidR="00317672" w:rsidRPr="00B15C35">
        <w:t>address risks</w:t>
      </w:r>
      <w:r w:rsidR="00BC2AB2" w:rsidRPr="00B15C35">
        <w:t xml:space="preserve">, with reference to The Health and Safety (Display Screen Equipment) Regulations (1992), The Manual Handling Operations Regulations (1992) and The Provision and Use of Work Equipment Regulations </w:t>
      </w:r>
      <w:r w:rsidR="00CC69CA" w:rsidRPr="00B15C35">
        <w:t>(</w:t>
      </w:r>
      <w:r w:rsidR="00BC2AB2" w:rsidRPr="00B15C35">
        <w:t>1998</w:t>
      </w:r>
      <w:r w:rsidR="00CC69CA" w:rsidRPr="00B15C35">
        <w:t>)</w:t>
      </w:r>
      <w:r w:rsidR="0095505C" w:rsidRPr="00B15C35">
        <w:t xml:space="preserve">. </w:t>
      </w:r>
      <w:r w:rsidR="00374D07" w:rsidRPr="00B15C35">
        <w:t xml:space="preserve">The </w:t>
      </w:r>
      <w:r w:rsidR="005F184A" w:rsidRPr="00B15C35">
        <w:t xml:space="preserve">HSE produced an MSD Toolkit (HSE, n.d.-a) and guide </w:t>
      </w:r>
      <w:r w:rsidR="00374D07" w:rsidRPr="00B15C35">
        <w:t>regarding</w:t>
      </w:r>
      <w:r w:rsidR="005F184A" w:rsidRPr="00B15C35">
        <w:t xml:space="preserve"> upper limb disorders (HSE, n.d.-b) which provides a particularly relevant risk assessment and control tool</w:t>
      </w:r>
      <w:r w:rsidR="00190153" w:rsidRPr="00B15C35">
        <w:t xml:space="preserve"> for</w:t>
      </w:r>
      <w:r w:rsidR="00374D07" w:rsidRPr="00B15C35">
        <w:t xml:space="preserve"> </w:t>
      </w:r>
      <w:r w:rsidR="00190153" w:rsidRPr="00B15C35">
        <w:t>implementation</w:t>
      </w:r>
      <w:r w:rsidR="005F184A" w:rsidRPr="00B15C35">
        <w:t xml:space="preserve">. </w:t>
      </w:r>
    </w:p>
    <w:p w14:paraId="5EBFBF72" w14:textId="2B9E7596" w:rsidR="006D4507" w:rsidRDefault="0052677E" w:rsidP="006113D6">
      <w:pPr>
        <w:pStyle w:val="Newparagraph"/>
        <w:jc w:val="both"/>
      </w:pPr>
      <w:r w:rsidRPr="00B15C35">
        <w:t xml:space="preserve">The procedures undertaken by reproductive scientists </w:t>
      </w:r>
      <w:r w:rsidR="00696E1C" w:rsidRPr="00B15C35">
        <w:t>which should be assessed</w:t>
      </w:r>
      <w:r w:rsidR="00511E2E" w:rsidRPr="00B15C35">
        <w:t xml:space="preserve"> include</w:t>
      </w:r>
      <w:r w:rsidRPr="00B15C35">
        <w:t xml:space="preserve"> </w:t>
      </w:r>
      <w:r w:rsidR="006D4507" w:rsidRPr="00B15C35">
        <w:t xml:space="preserve">manual handling of </w:t>
      </w:r>
      <w:r w:rsidRPr="00B15C35">
        <w:t>equipment</w:t>
      </w:r>
      <w:r w:rsidR="006D4507" w:rsidRPr="00B15C35">
        <w:t xml:space="preserve"> and consumables, </w:t>
      </w:r>
      <w:r w:rsidRPr="00B15C35">
        <w:t xml:space="preserve">use of </w:t>
      </w:r>
      <w:r w:rsidR="006D4507" w:rsidRPr="00B15C35">
        <w:t>display screens (</w:t>
      </w:r>
      <w:r w:rsidRPr="00B15C35">
        <w:t>office-</w:t>
      </w:r>
      <w:r w:rsidR="00020ACC" w:rsidRPr="00B15C35">
        <w:t xml:space="preserve"> </w:t>
      </w:r>
      <w:r w:rsidR="00020ACC" w:rsidRPr="00B15C35">
        <w:lastRenderedPageBreak/>
        <w:t>or lab-</w:t>
      </w:r>
      <w:r w:rsidRPr="00B15C35">
        <w:t>based)</w:t>
      </w:r>
      <w:r w:rsidR="006D4507" w:rsidRPr="00B15C35">
        <w:t>,</w:t>
      </w:r>
      <w:r w:rsidR="00020ACC" w:rsidRPr="00B15C35">
        <w:t xml:space="preserve"> and</w:t>
      </w:r>
      <w:r w:rsidRPr="00B15C35">
        <w:t xml:space="preserve"> </w:t>
      </w:r>
      <w:r w:rsidR="006D4507" w:rsidRPr="00B15C35">
        <w:t>ergo</w:t>
      </w:r>
      <w:r w:rsidRPr="00B15C35">
        <w:t>no</w:t>
      </w:r>
      <w:r w:rsidR="006D4507" w:rsidRPr="00B15C35">
        <w:t xml:space="preserve">mics associated with </w:t>
      </w:r>
      <w:r w:rsidR="00374D07" w:rsidRPr="00B15C35">
        <w:t xml:space="preserve">standard operating </w:t>
      </w:r>
      <w:r w:rsidR="006D4507" w:rsidRPr="00B15C35">
        <w:t>procedures</w:t>
      </w:r>
      <w:r w:rsidRPr="00B15C35">
        <w:t xml:space="preserve">. </w:t>
      </w:r>
      <w:r w:rsidR="00020ACC" w:rsidRPr="006113D6">
        <w:t xml:space="preserve">Where opportunity arises, design of </w:t>
      </w:r>
      <w:r w:rsidR="00374D07" w:rsidRPr="006113D6">
        <w:t xml:space="preserve">new </w:t>
      </w:r>
      <w:r w:rsidR="00020ACC" w:rsidRPr="006113D6">
        <w:t>laborator</w:t>
      </w:r>
      <w:r w:rsidR="00374D07" w:rsidRPr="006113D6">
        <w:t>ies</w:t>
      </w:r>
      <w:r w:rsidR="00020ACC" w:rsidRPr="006113D6">
        <w:t xml:space="preserve"> or equipment </w:t>
      </w:r>
      <w:r w:rsidR="00416A06" w:rsidRPr="006113D6">
        <w:t>should</w:t>
      </w:r>
      <w:r w:rsidR="00190153" w:rsidRPr="006113D6">
        <w:t xml:space="preserve"> consider </w:t>
      </w:r>
      <w:r w:rsidR="00020ACC" w:rsidRPr="006113D6">
        <w:t xml:space="preserve">user ergonomics </w:t>
      </w:r>
      <w:r w:rsidR="00020ACC" w:rsidRPr="00B15C35">
        <w:t xml:space="preserve">(Colombini &amp; Occhipinti, 2006). </w:t>
      </w:r>
      <w:r w:rsidR="005F184A" w:rsidRPr="00B15C35">
        <w:t xml:space="preserve">ACE guidance (Hughes, 2012) </w:t>
      </w:r>
      <w:r w:rsidR="00020ACC" w:rsidRPr="00941502">
        <w:t>requires</w:t>
      </w:r>
      <w:r w:rsidR="005F184A" w:rsidRPr="00941502">
        <w:t xml:space="preserve"> staff train</w:t>
      </w:r>
      <w:r w:rsidR="00416A06" w:rsidRPr="00B15C35">
        <w:t>ing</w:t>
      </w:r>
      <w:r w:rsidR="005F184A" w:rsidRPr="00B15C35">
        <w:t xml:space="preserve"> in manual handling, and attention </w:t>
      </w:r>
      <w:r w:rsidR="00020ACC" w:rsidRPr="00B15C35">
        <w:t>to</w:t>
      </w:r>
      <w:r w:rsidR="005F184A" w:rsidRPr="00B15C35">
        <w:t xml:space="preserve"> be paid to </w:t>
      </w:r>
      <w:r w:rsidR="00416A06" w:rsidRPr="00B15C35">
        <w:t xml:space="preserve">user comfort </w:t>
      </w:r>
      <w:r w:rsidR="005F184A" w:rsidRPr="00B15C35">
        <w:t>(adjustable chairs, bench heights, microscope heights</w:t>
      </w:r>
      <w:r w:rsidR="00696E1C" w:rsidRPr="00B15C35">
        <w:t xml:space="preserve">, </w:t>
      </w:r>
      <w:r w:rsidR="005F184A" w:rsidRPr="00B15C35">
        <w:t>air conditioning, temperature, humidity). R</w:t>
      </w:r>
      <w:r w:rsidRPr="00B15C35">
        <w:t>isks associated with microscopy and pipetting</w:t>
      </w:r>
      <w:r w:rsidR="00020ACC" w:rsidRPr="00B15C35">
        <w:t xml:space="preserve"> have been discussed</w:t>
      </w:r>
      <w:r w:rsidRPr="00B15C35">
        <w:t xml:space="preserve"> </w:t>
      </w:r>
      <w:r w:rsidR="00020ACC" w:rsidRPr="00B15C35">
        <w:t xml:space="preserve">but </w:t>
      </w:r>
      <w:r w:rsidRPr="00B15C35">
        <w:t>other risks</w:t>
      </w:r>
      <w:r w:rsidR="00020ACC" w:rsidRPr="00B15C35">
        <w:t xml:space="preserve"> </w:t>
      </w:r>
      <w:r w:rsidR="00374D07" w:rsidRPr="00B15C35">
        <w:t>exist</w:t>
      </w:r>
      <w:r w:rsidRPr="00B15C35">
        <w:t>, such as repeated</w:t>
      </w:r>
      <w:r w:rsidR="007D5489" w:rsidRPr="00B15C35">
        <w:t xml:space="preserve"> musculoskeletal </w:t>
      </w:r>
      <w:r w:rsidRPr="00B15C35">
        <w:t>twistin</w:t>
      </w:r>
      <w:r w:rsidR="005F184A" w:rsidRPr="00B15C35">
        <w:t>g</w:t>
      </w:r>
      <w:r w:rsidR="00020ACC" w:rsidRPr="00B15C35">
        <w:t xml:space="preserve"> and </w:t>
      </w:r>
      <w:r w:rsidRPr="00B15C35">
        <w:t>reaching</w:t>
      </w:r>
      <w:r w:rsidR="00020ACC" w:rsidRPr="00B15C35">
        <w:t>,</w:t>
      </w:r>
      <w:r w:rsidRPr="00B15C35">
        <w:t xml:space="preserve"> </w:t>
      </w:r>
      <w:r w:rsidR="00020ACC" w:rsidRPr="00B15C35">
        <w:t>or prolonged maintenance of static postures</w:t>
      </w:r>
      <w:r w:rsidRPr="00B15C35">
        <w:t>.</w:t>
      </w:r>
      <w:r w:rsidR="00FE2D91" w:rsidRPr="00B15C35">
        <w:t xml:space="preserve"> </w:t>
      </w:r>
      <w:r w:rsidR="00020ACC" w:rsidRPr="00B15C35">
        <w:t>W</w:t>
      </w:r>
      <w:r w:rsidR="00FE2D91" w:rsidRPr="00B15C35">
        <w:t xml:space="preserve">orkplace stress </w:t>
      </w:r>
      <w:r w:rsidR="007D5489" w:rsidRPr="00B15C35">
        <w:t>predispos</w:t>
      </w:r>
      <w:r w:rsidR="00374D07" w:rsidRPr="00B15C35">
        <w:t>es</w:t>
      </w:r>
      <w:r w:rsidR="007D5489" w:rsidRPr="00B15C35">
        <w:t xml:space="preserve"> </w:t>
      </w:r>
      <w:r w:rsidR="00374D07" w:rsidRPr="00B15C35">
        <w:t xml:space="preserve">to </w:t>
      </w:r>
      <w:r w:rsidR="007D5489" w:rsidRPr="00B15C35">
        <w:t>the development of</w:t>
      </w:r>
      <w:r w:rsidR="00FE2D91" w:rsidRPr="00B15C35">
        <w:t xml:space="preserve"> </w:t>
      </w:r>
      <w:r w:rsidR="00511E2E" w:rsidRPr="00B15C35">
        <w:t xml:space="preserve">work-related </w:t>
      </w:r>
      <w:r w:rsidR="00FE2D91" w:rsidRPr="00B15C35">
        <w:t>M</w:t>
      </w:r>
      <w:r w:rsidR="00511E2E" w:rsidRPr="00B15C35">
        <w:t>S</w:t>
      </w:r>
      <w:r w:rsidR="00FE2D91" w:rsidRPr="00B15C35">
        <w:t>D</w:t>
      </w:r>
      <w:r w:rsidR="00511E2E" w:rsidRPr="00B15C35">
        <w:t>s</w:t>
      </w:r>
      <w:r w:rsidR="006D4507" w:rsidRPr="006113D6">
        <w:t xml:space="preserve"> (</w:t>
      </w:r>
      <w:r w:rsidR="00FE2D91" w:rsidRPr="006113D6">
        <w:t>D</w:t>
      </w:r>
      <w:r w:rsidR="006D4507" w:rsidRPr="006113D6">
        <w:t>evereux</w:t>
      </w:r>
      <w:r w:rsidR="00FE2D91" w:rsidRPr="006113D6">
        <w:t>,</w:t>
      </w:r>
      <w:r w:rsidR="006D4507" w:rsidRPr="006113D6">
        <w:t xml:space="preserve"> et al</w:t>
      </w:r>
      <w:r w:rsidR="00FE2D91" w:rsidRPr="006113D6">
        <w:t>.,</w:t>
      </w:r>
      <w:r w:rsidR="006D4507" w:rsidRPr="006113D6">
        <w:t xml:space="preserve"> 1999)</w:t>
      </w:r>
      <w:r w:rsidR="00020ACC" w:rsidRPr="006113D6">
        <w:t xml:space="preserve"> and should be addressed</w:t>
      </w:r>
      <w:r w:rsidR="00FE2D91" w:rsidRPr="006113D6">
        <w:t>.</w:t>
      </w:r>
    </w:p>
    <w:p w14:paraId="561A0A2C" w14:textId="77777777" w:rsidR="00A531BC" w:rsidRPr="00B15C35" w:rsidRDefault="00A531BC" w:rsidP="006113D6">
      <w:pPr>
        <w:pStyle w:val="Newparagraph"/>
        <w:jc w:val="both"/>
      </w:pPr>
    </w:p>
    <w:p w14:paraId="0EF38231" w14:textId="2DE810CC" w:rsidR="00291EEB" w:rsidRPr="006113D6" w:rsidRDefault="00F15E36" w:rsidP="006113D6">
      <w:pPr>
        <w:pStyle w:val="Paragraph"/>
        <w:spacing w:before="0"/>
        <w:jc w:val="both"/>
        <w:rPr>
          <w:i/>
          <w:iCs/>
        </w:rPr>
      </w:pPr>
      <w:r w:rsidRPr="006113D6">
        <w:rPr>
          <w:i/>
          <w:iCs/>
        </w:rPr>
        <w:t xml:space="preserve">Stress and </w:t>
      </w:r>
      <w:r w:rsidR="002C3FB1">
        <w:rPr>
          <w:i/>
          <w:iCs/>
        </w:rPr>
        <w:t>m</w:t>
      </w:r>
      <w:r w:rsidRPr="006113D6">
        <w:rPr>
          <w:i/>
          <w:iCs/>
        </w:rPr>
        <w:t xml:space="preserve">ental </w:t>
      </w:r>
      <w:r w:rsidR="002C3FB1">
        <w:rPr>
          <w:i/>
          <w:iCs/>
        </w:rPr>
        <w:t>h</w:t>
      </w:r>
      <w:r w:rsidRPr="006113D6">
        <w:rPr>
          <w:i/>
          <w:iCs/>
        </w:rPr>
        <w:t xml:space="preserve">ealth </w:t>
      </w:r>
      <w:r w:rsidR="002C3FB1">
        <w:rPr>
          <w:i/>
          <w:iCs/>
        </w:rPr>
        <w:t>p</w:t>
      </w:r>
      <w:r w:rsidRPr="006113D6">
        <w:rPr>
          <w:i/>
          <w:iCs/>
        </w:rPr>
        <w:t>roblems</w:t>
      </w:r>
    </w:p>
    <w:p w14:paraId="557673A7" w14:textId="3778FF71" w:rsidR="001449B6" w:rsidRPr="00B15C35" w:rsidRDefault="000D7B7F" w:rsidP="006113D6">
      <w:pPr>
        <w:pStyle w:val="Newparagraph"/>
        <w:ind w:firstLine="0"/>
        <w:jc w:val="both"/>
      </w:pPr>
      <w:r w:rsidRPr="00B15C35">
        <w:t xml:space="preserve">Over a quarter (27.8%) of respondents reported </w:t>
      </w:r>
      <w:r w:rsidR="00374D07" w:rsidRPr="00B15C35">
        <w:t xml:space="preserve">work-related </w:t>
      </w:r>
      <w:r w:rsidRPr="00B15C35">
        <w:t>stres</w:t>
      </w:r>
      <w:r w:rsidR="00374D07" w:rsidRPr="00B15C35">
        <w:t>s/</w:t>
      </w:r>
      <w:r w:rsidRPr="00B15C35">
        <w:t xml:space="preserve">mental health problems. </w:t>
      </w:r>
      <w:r w:rsidR="00374D07" w:rsidRPr="00B15C35">
        <w:t>I</w:t>
      </w:r>
      <w:r w:rsidR="001F2CD4" w:rsidRPr="00B15C35">
        <w:t xml:space="preserve">n a study with Spanish embryologists, </w:t>
      </w:r>
      <w:r w:rsidR="00460AFF" w:rsidRPr="00B15C35">
        <w:t>López-Lería</w:t>
      </w:r>
      <w:r w:rsidRPr="00B15C35">
        <w:t xml:space="preserve"> et al</w:t>
      </w:r>
      <w:r w:rsidR="00460AFF" w:rsidRPr="00B15C35">
        <w:t>.</w:t>
      </w:r>
      <w:r w:rsidRPr="00B15C35">
        <w:t xml:space="preserve"> (2014) </w:t>
      </w:r>
      <w:r w:rsidR="001F2CD4" w:rsidRPr="00B15C35">
        <w:t>demonstrated</w:t>
      </w:r>
      <w:r w:rsidRPr="00B15C35">
        <w:t xml:space="preserve"> </w:t>
      </w:r>
      <w:r w:rsidR="00374D07" w:rsidRPr="00B15C35">
        <w:t>their</w:t>
      </w:r>
      <w:r w:rsidRPr="00B15C35">
        <w:t xml:space="preserve"> poorer mental health </w:t>
      </w:r>
      <w:r w:rsidR="00374D07" w:rsidRPr="00B15C35">
        <w:t>compared to</w:t>
      </w:r>
      <w:r w:rsidRPr="00B15C35">
        <w:t xml:space="preserve"> the general population</w:t>
      </w:r>
      <w:r w:rsidR="00374D07" w:rsidRPr="00B15C35">
        <w:t>,</w:t>
      </w:r>
      <w:r w:rsidRPr="00B15C35">
        <w:t xml:space="preserve"> and 36.3% </w:t>
      </w:r>
      <w:r w:rsidR="00B06C30" w:rsidRPr="00B15C35">
        <w:t>s</w:t>
      </w:r>
      <w:r w:rsidR="00460AFF" w:rsidRPr="00B15C35">
        <w:t>cored highly</w:t>
      </w:r>
      <w:r w:rsidRPr="00B15C35">
        <w:t xml:space="preserve"> </w:t>
      </w:r>
      <w:r w:rsidR="00460AFF" w:rsidRPr="00B15C35">
        <w:t xml:space="preserve">for </w:t>
      </w:r>
      <w:r w:rsidR="0044083E" w:rsidRPr="00B15C35">
        <w:t xml:space="preserve">a </w:t>
      </w:r>
      <w:r w:rsidR="0055754F" w:rsidRPr="00B15C35">
        <w:t>feature</w:t>
      </w:r>
      <w:r w:rsidR="00074722" w:rsidRPr="00B15C35">
        <w:t xml:space="preserve"> of </w:t>
      </w:r>
      <w:r w:rsidRPr="00B15C35">
        <w:t xml:space="preserve">burnout. </w:t>
      </w:r>
      <w:r w:rsidR="0039307B" w:rsidRPr="00B15C35">
        <w:t xml:space="preserve">Surgeons are acknowledged to </w:t>
      </w:r>
      <w:r w:rsidR="00074722" w:rsidRPr="00B15C35">
        <w:t xml:space="preserve">be amongst the most </w:t>
      </w:r>
      <w:r w:rsidR="007019D2" w:rsidRPr="00B15C35">
        <w:t>stressed professionals</w:t>
      </w:r>
      <w:r w:rsidR="0039307B" w:rsidRPr="00B15C35">
        <w:t xml:space="preserve">, </w:t>
      </w:r>
      <w:r w:rsidR="0055754F" w:rsidRPr="00B15C35">
        <w:t xml:space="preserve">with </w:t>
      </w:r>
      <w:r w:rsidR="00074722" w:rsidRPr="00B15C35">
        <w:t>a</w:t>
      </w:r>
      <w:r w:rsidR="0039307B" w:rsidRPr="00B15C35">
        <w:t xml:space="preserve"> </w:t>
      </w:r>
      <w:r w:rsidR="00074722" w:rsidRPr="00B15C35">
        <w:t>meta-analysis</w:t>
      </w:r>
      <w:r w:rsidR="0039307B" w:rsidRPr="00B15C35">
        <w:t xml:space="preserve"> </w:t>
      </w:r>
      <w:r w:rsidR="00291EEB" w:rsidRPr="00B15C35">
        <w:t>reporting burnout in</w:t>
      </w:r>
      <w:r w:rsidR="00074722" w:rsidRPr="00B15C35">
        <w:t xml:space="preserve"> up to 34% of</w:t>
      </w:r>
      <w:r w:rsidR="0039307B" w:rsidRPr="00B15C35">
        <w:t xml:space="preserve"> American surgeons (</w:t>
      </w:r>
      <w:r w:rsidR="00074722" w:rsidRPr="00B15C35">
        <w:t>Bartholomew</w:t>
      </w:r>
      <w:r w:rsidR="0039307B" w:rsidRPr="00B15C35">
        <w:t xml:space="preserve"> et al., 201</w:t>
      </w:r>
      <w:r w:rsidR="00074722" w:rsidRPr="00B15C35">
        <w:t>8</w:t>
      </w:r>
      <w:r w:rsidR="0039307B" w:rsidRPr="00B15C35">
        <w:t>). This phenomenon not only impacts the physician</w:t>
      </w:r>
      <w:r w:rsidR="00374D07" w:rsidRPr="00B15C35">
        <w:t>’s wellbeing</w:t>
      </w:r>
      <w:r w:rsidR="0039307B" w:rsidRPr="00B15C35">
        <w:t>, but their quality of care (</w:t>
      </w:r>
      <w:r w:rsidR="00D21BD5" w:rsidRPr="00B15C35">
        <w:t>Panagioti et al., 2018</w:t>
      </w:r>
      <w:r w:rsidR="0039307B" w:rsidRPr="00B15C35">
        <w:t>)</w:t>
      </w:r>
      <w:r w:rsidR="00347614" w:rsidRPr="00B15C35">
        <w:t xml:space="preserve">. </w:t>
      </w:r>
      <w:r w:rsidR="006430D4" w:rsidRPr="00B15C35">
        <w:t>Since</w:t>
      </w:r>
      <w:r w:rsidR="00776945" w:rsidRPr="00B15C35">
        <w:t xml:space="preserve"> rates of </w:t>
      </w:r>
      <w:r w:rsidR="006430D4" w:rsidRPr="00B15C35">
        <w:t>burnout</w:t>
      </w:r>
      <w:r w:rsidR="00776945" w:rsidRPr="00B15C35">
        <w:t xml:space="preserve"> </w:t>
      </w:r>
      <w:r w:rsidR="0055754F" w:rsidRPr="00B15C35">
        <w:t>are</w:t>
      </w:r>
      <w:r w:rsidR="00975E9E" w:rsidRPr="00B15C35">
        <w:t xml:space="preserve"> </w:t>
      </w:r>
      <w:r w:rsidR="00776945" w:rsidRPr="00B15C35">
        <w:t xml:space="preserve">similar in embryologists, </w:t>
      </w:r>
      <w:r w:rsidR="00B06C30" w:rsidRPr="00B15C35">
        <w:t>we must be cognisant of an impact on</w:t>
      </w:r>
      <w:r w:rsidR="009D3452" w:rsidRPr="00B15C35">
        <w:t xml:space="preserve"> </w:t>
      </w:r>
      <w:r w:rsidR="00860EAF" w:rsidRPr="00B15C35">
        <w:t>professional effectiveness</w:t>
      </w:r>
      <w:r w:rsidR="009D3452" w:rsidRPr="00B15C35">
        <w:t xml:space="preserve">. </w:t>
      </w:r>
    </w:p>
    <w:p w14:paraId="451DE3BA" w14:textId="721295E6" w:rsidR="005A4F6B" w:rsidRPr="00B15C35" w:rsidRDefault="00801420" w:rsidP="006113D6">
      <w:pPr>
        <w:pStyle w:val="Newparagraph"/>
        <w:jc w:val="both"/>
      </w:pPr>
      <w:r w:rsidRPr="00B15C35">
        <w:t xml:space="preserve">Our </w:t>
      </w:r>
      <w:r w:rsidR="00BB7D18" w:rsidRPr="00B15C35">
        <w:t>respondents’</w:t>
      </w:r>
      <w:r w:rsidRPr="00B15C35">
        <w:t xml:space="preserve"> comment</w:t>
      </w:r>
      <w:r w:rsidR="00C31B33" w:rsidRPr="00B15C35">
        <w:t xml:space="preserve">s </w:t>
      </w:r>
      <w:r w:rsidR="00186E8D" w:rsidRPr="00B15C35">
        <w:t>provided appreciation of some of the existing stressors</w:t>
      </w:r>
      <w:r w:rsidR="000132FE" w:rsidRPr="00B15C35">
        <w:t xml:space="preserve">. Working conditions </w:t>
      </w:r>
      <w:r w:rsidR="008E32E1" w:rsidRPr="00B15C35">
        <w:t>can</w:t>
      </w:r>
      <w:r w:rsidR="000132FE" w:rsidRPr="00B15C35">
        <w:t xml:space="preserve"> be claustrophobic, with limited or irregular breaks, limited exposure to daylight, and</w:t>
      </w:r>
      <w:r w:rsidR="00FA0F3D" w:rsidRPr="00B15C35">
        <w:t xml:space="preserve"> uncomfortable</w:t>
      </w:r>
      <w:r w:rsidR="000132FE" w:rsidRPr="00B15C35">
        <w:t xml:space="preserve"> temperatures </w:t>
      </w:r>
      <w:r w:rsidR="00FA0F3D" w:rsidRPr="00B15C35">
        <w:t>seasonally</w:t>
      </w:r>
      <w:r w:rsidR="000132FE" w:rsidRPr="00B15C35">
        <w:t>. Increased work</w:t>
      </w:r>
      <w:r w:rsidR="00CA342F" w:rsidRPr="00B15C35">
        <w:t>load</w:t>
      </w:r>
      <w:r w:rsidR="000132FE" w:rsidRPr="00B15C35">
        <w:t xml:space="preserve"> can result from understaffing, </w:t>
      </w:r>
      <w:r w:rsidR="00BB7D18" w:rsidRPr="00B15C35">
        <w:t xml:space="preserve">case </w:t>
      </w:r>
      <w:r w:rsidR="000132FE" w:rsidRPr="00B15C35">
        <w:t>overloading</w:t>
      </w:r>
      <w:r w:rsidR="00C31B33" w:rsidRPr="00B15C35">
        <w:t>,</w:t>
      </w:r>
      <w:r w:rsidR="000132FE" w:rsidRPr="00B15C35">
        <w:t xml:space="preserve"> or </w:t>
      </w:r>
      <w:r w:rsidR="00CE72C2" w:rsidRPr="00B15C35">
        <w:t>challenging</w:t>
      </w:r>
      <w:r w:rsidR="0055754F" w:rsidRPr="00B15C35">
        <w:t xml:space="preserve"> </w:t>
      </w:r>
      <w:r w:rsidR="000132FE" w:rsidRPr="00B15C35">
        <w:t>case</w:t>
      </w:r>
      <w:r w:rsidR="00C31B33" w:rsidRPr="00B15C35">
        <w:t xml:space="preserve"> distribution. </w:t>
      </w:r>
      <w:r w:rsidR="00CE72C2" w:rsidRPr="00B15C35">
        <w:t>P</w:t>
      </w:r>
      <w:r w:rsidR="00C31B33" w:rsidRPr="00B15C35">
        <w:t>rocedures require a high level of focus and</w:t>
      </w:r>
      <w:r w:rsidR="00032C65" w:rsidRPr="00B15C35">
        <w:t>/or</w:t>
      </w:r>
      <w:r w:rsidR="00C31B33" w:rsidRPr="00B15C35">
        <w:t xml:space="preserve"> fine motor skills</w:t>
      </w:r>
      <w:r w:rsidR="00B06C30" w:rsidRPr="00B15C35">
        <w:t>,</w:t>
      </w:r>
      <w:r w:rsidR="00BB7D18" w:rsidRPr="00B15C35">
        <w:t xml:space="preserve"> maintained </w:t>
      </w:r>
      <w:r w:rsidR="00BB7D18" w:rsidRPr="00B15C35">
        <w:lastRenderedPageBreak/>
        <w:t xml:space="preserve">for long periods. </w:t>
      </w:r>
      <w:r w:rsidR="00CE72C2" w:rsidRPr="00B15C35">
        <w:t>As a</w:t>
      </w:r>
      <w:r w:rsidR="001C505A" w:rsidRPr="00B15C35">
        <w:t>voiding light damage to embryos</w:t>
      </w:r>
      <w:r w:rsidR="00CE72C2" w:rsidRPr="00B15C35">
        <w:t>/</w:t>
      </w:r>
      <w:r w:rsidR="001C505A" w:rsidRPr="00B15C35">
        <w:t>gametes</w:t>
      </w:r>
      <w:r w:rsidR="00CE72C2" w:rsidRPr="00B15C35">
        <w:t xml:space="preserve"> is important</w:t>
      </w:r>
      <w:r w:rsidR="001C505A" w:rsidRPr="00B15C35">
        <w:t xml:space="preserve">, </w:t>
      </w:r>
      <w:r w:rsidR="001F2CD4" w:rsidRPr="00B15C35">
        <w:t xml:space="preserve">many </w:t>
      </w:r>
      <w:r w:rsidR="001C505A" w:rsidRPr="00B15C35">
        <w:t xml:space="preserve">laboratories </w:t>
      </w:r>
      <w:r w:rsidR="001F2CD4" w:rsidRPr="00B15C35">
        <w:t>us</w:t>
      </w:r>
      <w:r w:rsidR="00CE72C2" w:rsidRPr="00B15C35">
        <w:t>e</w:t>
      </w:r>
      <w:r w:rsidR="001C505A" w:rsidRPr="00B15C35">
        <w:t xml:space="preserve"> reduced or filtered lighting. However, d</w:t>
      </w:r>
      <w:r w:rsidR="00186E8D" w:rsidRPr="00B15C35">
        <w:t>isruption of circadian rhythm</w:t>
      </w:r>
      <w:r w:rsidR="00CE72C2" w:rsidRPr="00B15C35">
        <w:t>s</w:t>
      </w:r>
      <w:r w:rsidR="00186E8D" w:rsidRPr="00B15C35">
        <w:t xml:space="preserve"> can cause changes in mood (Walker et al., 2020) </w:t>
      </w:r>
      <w:r w:rsidR="00CE72C2" w:rsidRPr="00B15C35">
        <w:t>and reduced</w:t>
      </w:r>
      <w:r w:rsidR="00186E8D" w:rsidRPr="00B15C35">
        <w:t xml:space="preserve"> daylight caus</w:t>
      </w:r>
      <w:r w:rsidR="00CE72C2" w:rsidRPr="00B15C35">
        <w:t>es</w:t>
      </w:r>
      <w:r w:rsidR="00186E8D" w:rsidRPr="00B15C35">
        <w:t xml:space="preserve"> seasonal affective disorder (Magnusson, 2000). Filtering out blue light also has this effect (Hu et al., 2020). Workplace stress additionally permeates family life exacerbating worker fatigue and depression (van Hooff et al., 2005). </w:t>
      </w:r>
    </w:p>
    <w:p w14:paraId="401B82E1" w14:textId="212EBCA3" w:rsidR="0055754F" w:rsidRDefault="006A072E">
      <w:pPr>
        <w:pStyle w:val="Newparagraph"/>
        <w:jc w:val="both"/>
      </w:pPr>
      <w:r w:rsidRPr="00B15C35">
        <w:t>Burnout is associated with emotional exhaustion, depersonalisation (cynicism</w:t>
      </w:r>
      <w:r w:rsidR="004D3B59" w:rsidRPr="00B15C35">
        <w:t xml:space="preserve"> towards</w:t>
      </w:r>
      <w:r w:rsidR="00186E8D" w:rsidRPr="00B15C35">
        <w:t>/</w:t>
      </w:r>
      <w:r w:rsidRPr="00B15C35">
        <w:t>detachment</w:t>
      </w:r>
      <w:r w:rsidR="004D3B59" w:rsidRPr="00B15C35">
        <w:t xml:space="preserve"> from</w:t>
      </w:r>
      <w:r w:rsidRPr="00B15C35">
        <w:t xml:space="preserve"> colleagues and patient</w:t>
      </w:r>
      <w:r w:rsidR="004D3B59" w:rsidRPr="00B15C35">
        <w:t>s</w:t>
      </w:r>
      <w:r w:rsidRPr="00B15C35">
        <w:t xml:space="preserve">) and </w:t>
      </w:r>
      <w:r w:rsidR="004D3B59" w:rsidRPr="00B15C35">
        <w:t>r</w:t>
      </w:r>
      <w:r w:rsidRPr="00B15C35">
        <w:t xml:space="preserve">educed </w:t>
      </w:r>
      <w:r w:rsidR="004D3B59" w:rsidRPr="00B15C35">
        <w:t>self-esteem</w:t>
      </w:r>
      <w:r w:rsidRPr="00B15C35">
        <w:t>.</w:t>
      </w:r>
      <w:r w:rsidR="00956F50" w:rsidRPr="00B15C35">
        <w:t xml:space="preserve"> </w:t>
      </w:r>
      <w:r w:rsidR="00E01F23" w:rsidRPr="00B15C35">
        <w:t>P</w:t>
      </w:r>
      <w:r w:rsidR="002A2F6E" w:rsidRPr="00B15C35">
        <w:t>romoting</w:t>
      </w:r>
      <w:r w:rsidR="00956F50" w:rsidRPr="00B15C35">
        <w:t xml:space="preserve"> </w:t>
      </w:r>
      <w:r w:rsidR="00E01F23" w:rsidRPr="00B15C35">
        <w:t>factors include</w:t>
      </w:r>
      <w:r w:rsidR="00956F50" w:rsidRPr="00B15C35">
        <w:t xml:space="preserve"> </w:t>
      </w:r>
      <w:r w:rsidR="0055754F" w:rsidRPr="00B15C35">
        <w:t xml:space="preserve">a </w:t>
      </w:r>
      <w:r w:rsidR="00956F50" w:rsidRPr="00B15C35">
        <w:t>lac</w:t>
      </w:r>
      <w:r w:rsidR="002A2F6E" w:rsidRPr="00B15C35">
        <w:t>k</w:t>
      </w:r>
      <w:r w:rsidR="00956F50" w:rsidRPr="00B15C35">
        <w:t xml:space="preserve"> of positive feedback, </w:t>
      </w:r>
      <w:r w:rsidR="0055754F" w:rsidRPr="00B15C35">
        <w:t xml:space="preserve">a </w:t>
      </w:r>
      <w:r w:rsidR="00956F50" w:rsidRPr="00B15C35">
        <w:t xml:space="preserve">lack of </w:t>
      </w:r>
      <w:r w:rsidR="002A2F6E" w:rsidRPr="00B15C35">
        <w:t>autonomy</w:t>
      </w:r>
      <w:r w:rsidR="00956F50" w:rsidRPr="00B15C35">
        <w:t xml:space="preserve">, </w:t>
      </w:r>
      <w:r w:rsidR="00E01F23" w:rsidRPr="00B15C35">
        <w:t xml:space="preserve">high job demands </w:t>
      </w:r>
      <w:r w:rsidR="00956F50" w:rsidRPr="00B15C35">
        <w:t xml:space="preserve">and a lack of support. </w:t>
      </w:r>
      <w:r w:rsidR="001C505A" w:rsidRPr="00B15C35">
        <w:t>O</w:t>
      </w:r>
      <w:r w:rsidR="00956F50" w:rsidRPr="00B15C35">
        <w:t xml:space="preserve">verly high ideals </w:t>
      </w:r>
      <w:r w:rsidR="001C505A" w:rsidRPr="00B15C35">
        <w:t xml:space="preserve">held by workers </w:t>
      </w:r>
      <w:r w:rsidR="00956F50" w:rsidRPr="00B15C35">
        <w:t>about their profession</w:t>
      </w:r>
      <w:r w:rsidR="004D3B59" w:rsidRPr="00B15C35">
        <w:t xml:space="preserve"> can</w:t>
      </w:r>
      <w:r w:rsidR="002A2F6E" w:rsidRPr="00B15C35">
        <w:t xml:space="preserve"> also contribute</w:t>
      </w:r>
      <w:r w:rsidR="00956F50" w:rsidRPr="00B15C35">
        <w:t xml:space="preserve"> (</w:t>
      </w:r>
      <w:r w:rsidR="00F21ABF" w:rsidRPr="00B15C35">
        <w:t xml:space="preserve">Aronsson et al., 2017; </w:t>
      </w:r>
      <w:r w:rsidR="00956F50" w:rsidRPr="00B15C35">
        <w:t xml:space="preserve">Maslach &amp; Jackson, 1984). </w:t>
      </w:r>
      <w:r w:rsidR="0039404B" w:rsidRPr="00B15C35">
        <w:t>Workers</w:t>
      </w:r>
      <w:r w:rsidR="00956F50" w:rsidRPr="00B15C35">
        <w:t xml:space="preserve"> </w:t>
      </w:r>
      <w:r w:rsidR="0039404B" w:rsidRPr="00B15C35">
        <w:t xml:space="preserve">cope </w:t>
      </w:r>
      <w:r w:rsidR="008A6AF0" w:rsidRPr="00B15C35">
        <w:t>using</w:t>
      </w:r>
      <w:r w:rsidR="00E01F23" w:rsidRPr="00B15C35">
        <w:t xml:space="preserve"> </w:t>
      </w:r>
      <w:r w:rsidR="008D5041" w:rsidRPr="00B15C35">
        <w:t xml:space="preserve">personal </w:t>
      </w:r>
      <w:r w:rsidR="002A2F6E" w:rsidRPr="00B15C35">
        <w:t>(self-esteem, optimism) or job (autonomy, advancement opportunities</w:t>
      </w:r>
      <w:r w:rsidR="0039404B" w:rsidRPr="00B15C35">
        <w:t xml:space="preserve">) </w:t>
      </w:r>
      <w:r w:rsidR="008D5041" w:rsidRPr="00B15C35">
        <w:t xml:space="preserve">resources </w:t>
      </w:r>
      <w:r w:rsidR="0039404B" w:rsidRPr="00B15C35">
        <w:t>(Hobfoll, 1989)</w:t>
      </w:r>
      <w:r w:rsidR="002A2F6E" w:rsidRPr="00B15C35">
        <w:t>.</w:t>
      </w:r>
      <w:r w:rsidR="0039404B" w:rsidRPr="00B15C35">
        <w:t xml:space="preserve"> </w:t>
      </w:r>
      <w:r w:rsidR="003E127C" w:rsidRPr="00B15C35">
        <w:t xml:space="preserve">When demands </w:t>
      </w:r>
      <w:r w:rsidR="004D3B59" w:rsidRPr="00B15C35">
        <w:t>overwhelm resources,</w:t>
      </w:r>
      <w:r w:rsidR="003E127C" w:rsidRPr="00B15C35">
        <w:t xml:space="preserve"> </w:t>
      </w:r>
      <w:r w:rsidR="004D3B59" w:rsidRPr="00B15C35">
        <w:t>a</w:t>
      </w:r>
      <w:r w:rsidR="0039404B" w:rsidRPr="00B15C35">
        <w:t>n employee</w:t>
      </w:r>
      <w:r w:rsidR="003E127C" w:rsidRPr="00B15C35">
        <w:t xml:space="preserve"> can become </w:t>
      </w:r>
      <w:r w:rsidR="00E01F23" w:rsidRPr="00B15C35">
        <w:t>disengaged</w:t>
      </w:r>
      <w:r w:rsidR="004D3B59" w:rsidRPr="00B15C35">
        <w:t xml:space="preserve"> </w:t>
      </w:r>
      <w:r w:rsidR="003E127C" w:rsidRPr="00B15C35">
        <w:t>(</w:t>
      </w:r>
      <w:r w:rsidR="00E01F23" w:rsidRPr="00B15C35">
        <w:t>D</w:t>
      </w:r>
      <w:r w:rsidR="003E127C" w:rsidRPr="00B15C35">
        <w:t>emerouti et al</w:t>
      </w:r>
      <w:r w:rsidR="00E01F23" w:rsidRPr="00B15C35">
        <w:t>.,</w:t>
      </w:r>
      <w:r w:rsidR="003E127C" w:rsidRPr="00B15C35">
        <w:t xml:space="preserve"> 2001). </w:t>
      </w:r>
      <w:r w:rsidR="004D3B59" w:rsidRPr="00B15C35">
        <w:t>This</w:t>
      </w:r>
      <w:r w:rsidR="002A2F6E" w:rsidRPr="00B15C35">
        <w:t xml:space="preserve"> can </w:t>
      </w:r>
      <w:r w:rsidR="008D5041" w:rsidRPr="00B15C35">
        <w:t>pervade</w:t>
      </w:r>
      <w:r w:rsidR="002A2F6E" w:rsidRPr="00B15C35">
        <w:t xml:space="preserve"> the whole team, </w:t>
      </w:r>
      <w:r w:rsidR="004D3B59" w:rsidRPr="00B15C35">
        <w:t xml:space="preserve">although a well-resourced individual’s positive </w:t>
      </w:r>
      <w:r w:rsidR="00DB6C8F" w:rsidRPr="00B15C35">
        <w:t>response is more influential</w:t>
      </w:r>
      <w:r w:rsidR="002A2F6E" w:rsidRPr="00B15C35">
        <w:t xml:space="preserve"> (</w:t>
      </w:r>
      <w:r w:rsidR="00BC6929" w:rsidRPr="00B15C35">
        <w:t>Chen et al</w:t>
      </w:r>
      <w:r w:rsidR="0055754F" w:rsidRPr="00B15C35">
        <w:t>.,</w:t>
      </w:r>
      <w:r w:rsidR="00BC6929" w:rsidRPr="00B15C35">
        <w:t xml:space="preserve"> 2015</w:t>
      </w:r>
      <w:r w:rsidR="002A2F6E" w:rsidRPr="00B15C35">
        <w:t>)</w:t>
      </w:r>
      <w:r w:rsidR="00BC6929" w:rsidRPr="00B15C35">
        <w:t>.</w:t>
      </w:r>
      <w:r w:rsidR="002A2F6E" w:rsidRPr="00B15C35">
        <w:t xml:space="preserve"> </w:t>
      </w:r>
      <w:r w:rsidR="007A5A8D" w:rsidRPr="00B15C35">
        <w:t xml:space="preserve">When workload is high, having some control </w:t>
      </w:r>
      <w:r w:rsidR="006C6253" w:rsidRPr="00B15C35">
        <w:t xml:space="preserve">over its management </w:t>
      </w:r>
      <w:r w:rsidR="007A5A8D" w:rsidRPr="00B15C35">
        <w:t>can help and may</w:t>
      </w:r>
      <w:r w:rsidR="003E127C" w:rsidRPr="00B15C35">
        <w:t xml:space="preserve"> lead to </w:t>
      </w:r>
      <w:r w:rsidR="007A5A8D" w:rsidRPr="00B15C35">
        <w:t>an enriched sense</w:t>
      </w:r>
      <w:r w:rsidR="003E127C" w:rsidRPr="00B15C35">
        <w:t xml:space="preserve"> of accomplishment (Fernet et al., 2004). </w:t>
      </w:r>
      <w:r w:rsidR="001C505A" w:rsidRPr="00B15C35">
        <w:t>In one study, y</w:t>
      </w:r>
      <w:r w:rsidR="00BC6929" w:rsidRPr="00B15C35">
        <w:t>oung workers tend</w:t>
      </w:r>
      <w:r w:rsidR="0039404B" w:rsidRPr="00B15C35">
        <w:t>ed</w:t>
      </w:r>
      <w:r w:rsidR="00BC6929" w:rsidRPr="00B15C35">
        <w:t xml:space="preserve"> to use avoidance tactics </w:t>
      </w:r>
      <w:r w:rsidR="007A5A8D" w:rsidRPr="00B15C35">
        <w:t xml:space="preserve">to cope, </w:t>
      </w:r>
      <w:r w:rsidR="00BC6929" w:rsidRPr="00B15C35">
        <w:t xml:space="preserve">whereas older </w:t>
      </w:r>
      <w:r w:rsidR="006C6253" w:rsidRPr="00B15C35">
        <w:t xml:space="preserve">workers </w:t>
      </w:r>
      <w:r w:rsidR="00BC6929" w:rsidRPr="00B15C35">
        <w:t>actively problem solve</w:t>
      </w:r>
      <w:r w:rsidR="0039404B" w:rsidRPr="00B15C35">
        <w:t>d</w:t>
      </w:r>
      <w:r w:rsidR="006C6253" w:rsidRPr="00B15C35">
        <w:t>, leading to better</w:t>
      </w:r>
      <w:r w:rsidR="00BC6929" w:rsidRPr="00B15C35">
        <w:t xml:space="preserve"> adapt</w:t>
      </w:r>
      <w:r w:rsidR="006C6253" w:rsidRPr="00B15C35">
        <w:t>ation</w:t>
      </w:r>
      <w:r w:rsidR="00BC6929" w:rsidRPr="00B15C35">
        <w:t xml:space="preserve"> to </w:t>
      </w:r>
      <w:r w:rsidR="00DB6C8F" w:rsidRPr="00B15C35">
        <w:t xml:space="preserve">workplace </w:t>
      </w:r>
      <w:r w:rsidR="00BC6929" w:rsidRPr="00B15C35">
        <w:t>stress (</w:t>
      </w:r>
      <w:r w:rsidR="007A5A8D" w:rsidRPr="00B15C35">
        <w:t>H</w:t>
      </w:r>
      <w:r w:rsidR="00BC6929" w:rsidRPr="00B15C35">
        <w:t>ertel at al</w:t>
      </w:r>
      <w:r w:rsidR="007A5A8D" w:rsidRPr="00B15C35">
        <w:t>.,</w:t>
      </w:r>
      <w:r w:rsidR="00BC6929" w:rsidRPr="00B15C35">
        <w:t xml:space="preserve"> 2015)</w:t>
      </w:r>
      <w:r w:rsidR="003E127C" w:rsidRPr="00B15C35">
        <w:t>. This suggests</w:t>
      </w:r>
      <w:r w:rsidR="007D5489" w:rsidRPr="00B15C35">
        <w:t xml:space="preserve"> focused</w:t>
      </w:r>
      <w:r w:rsidR="003E127C" w:rsidRPr="00B15C35">
        <w:t xml:space="preserve"> </w:t>
      </w:r>
      <w:r w:rsidR="007A5A8D" w:rsidRPr="00B15C35">
        <w:t>mentoring may be</w:t>
      </w:r>
      <w:r w:rsidR="007D5489" w:rsidRPr="00B15C35">
        <w:t xml:space="preserve"> a</w:t>
      </w:r>
      <w:r w:rsidR="007A5A8D" w:rsidRPr="00B15C35">
        <w:t xml:space="preserve"> beneficial</w:t>
      </w:r>
      <w:r w:rsidR="007D5489" w:rsidRPr="00B15C35">
        <w:t xml:space="preserve"> intervention</w:t>
      </w:r>
      <w:r w:rsidR="003E127C" w:rsidRPr="00B15C35">
        <w:t>.</w:t>
      </w:r>
    </w:p>
    <w:p w14:paraId="6A4C1A03" w14:textId="77777777" w:rsidR="001E1306" w:rsidRPr="00B15C35" w:rsidRDefault="001E1306" w:rsidP="006113D6">
      <w:pPr>
        <w:pStyle w:val="Newparagraph"/>
        <w:ind w:firstLine="0"/>
        <w:jc w:val="both"/>
      </w:pPr>
    </w:p>
    <w:p w14:paraId="6AC91F77" w14:textId="05DAA70E" w:rsidR="006530AE" w:rsidRPr="00B15C35" w:rsidRDefault="006530AE" w:rsidP="006113D6">
      <w:pPr>
        <w:pStyle w:val="Paragraph"/>
        <w:spacing w:before="0"/>
        <w:jc w:val="both"/>
        <w:rPr>
          <w:i/>
          <w:iCs/>
        </w:rPr>
      </w:pPr>
      <w:r w:rsidRPr="00B15C35">
        <w:rPr>
          <w:i/>
          <w:iCs/>
        </w:rPr>
        <w:t>Recommendations</w:t>
      </w:r>
    </w:p>
    <w:p w14:paraId="09608F0C" w14:textId="34B07D9A" w:rsidR="00FE204F" w:rsidRPr="00B15C35" w:rsidRDefault="0055754F" w:rsidP="006113D6">
      <w:pPr>
        <w:pStyle w:val="Newparagraph"/>
        <w:ind w:firstLine="0"/>
        <w:jc w:val="both"/>
      </w:pPr>
      <w:r w:rsidRPr="00B15C35">
        <w:t xml:space="preserve">The </w:t>
      </w:r>
      <w:r w:rsidR="00FE204F" w:rsidRPr="00B15C35">
        <w:t>employer has</w:t>
      </w:r>
      <w:r w:rsidR="007D5489" w:rsidRPr="00B15C35">
        <w:t xml:space="preserve"> a</w:t>
      </w:r>
      <w:r w:rsidR="00FE204F" w:rsidRPr="00B15C35">
        <w:t xml:space="preserve"> </w:t>
      </w:r>
      <w:r w:rsidR="002F138E" w:rsidRPr="00B15C35">
        <w:t xml:space="preserve">legal obligation to address </w:t>
      </w:r>
      <w:r w:rsidRPr="00B15C35">
        <w:t>workplace stress</w:t>
      </w:r>
      <w:r w:rsidR="002F138E" w:rsidRPr="00B15C35">
        <w:t xml:space="preserve"> (</w:t>
      </w:r>
      <w:r w:rsidR="005F1655" w:rsidRPr="00B15C35">
        <w:t xml:space="preserve">Health and Safety at Work </w:t>
      </w:r>
      <w:r w:rsidR="00F21ABF" w:rsidRPr="00B15C35">
        <w:t xml:space="preserve">etc </w:t>
      </w:r>
      <w:r w:rsidR="005F1655" w:rsidRPr="00B15C35">
        <w:t>Act,</w:t>
      </w:r>
      <w:r w:rsidR="002F138E" w:rsidRPr="00B15C35">
        <w:t xml:space="preserve"> 1974</w:t>
      </w:r>
      <w:r w:rsidRPr="00B15C35">
        <w:t>;</w:t>
      </w:r>
      <w:r w:rsidR="002F138E" w:rsidRPr="00B15C35">
        <w:t xml:space="preserve"> </w:t>
      </w:r>
      <w:r w:rsidR="005F1655" w:rsidRPr="00B15C35">
        <w:t>The Management of Health and Safety at Work Regulations,</w:t>
      </w:r>
      <w:r w:rsidR="002F138E" w:rsidRPr="00B15C35">
        <w:t xml:space="preserve"> 1999)</w:t>
      </w:r>
      <w:r w:rsidRPr="00B15C35">
        <w:t xml:space="preserve"> and </w:t>
      </w:r>
      <w:r w:rsidR="00DD0813" w:rsidRPr="00B15C35">
        <w:t xml:space="preserve">State </w:t>
      </w:r>
      <w:r w:rsidR="0059244E" w:rsidRPr="00B15C35">
        <w:t>Registered</w:t>
      </w:r>
      <w:r w:rsidRPr="00B15C35">
        <w:t xml:space="preserve"> </w:t>
      </w:r>
      <w:r w:rsidR="0059244E" w:rsidRPr="00B15C35">
        <w:t>C</w:t>
      </w:r>
      <w:r w:rsidRPr="00B15C35">
        <w:t xml:space="preserve">linical </w:t>
      </w:r>
      <w:r w:rsidR="0059244E" w:rsidRPr="00B15C35">
        <w:t>S</w:t>
      </w:r>
      <w:r w:rsidRPr="00B15C35">
        <w:t>cientist</w:t>
      </w:r>
      <w:r w:rsidR="0059244E" w:rsidRPr="00B15C35">
        <w:t>s must</w:t>
      </w:r>
      <w:r w:rsidRPr="00B15C35">
        <w:t xml:space="preserve"> </w:t>
      </w:r>
      <w:r w:rsidR="006832A2" w:rsidRPr="00B15C35">
        <w:t>make adjustments</w:t>
      </w:r>
      <w:r w:rsidR="00FE204F" w:rsidRPr="00B15C35">
        <w:t xml:space="preserve"> </w:t>
      </w:r>
      <w:r w:rsidR="006832A2" w:rsidRPr="00B15C35">
        <w:t>if</w:t>
      </w:r>
      <w:r w:rsidR="00FE204F" w:rsidRPr="00B15C35">
        <w:t xml:space="preserve"> their health affect</w:t>
      </w:r>
      <w:r w:rsidR="001F1148" w:rsidRPr="00B15C35">
        <w:t>s</w:t>
      </w:r>
      <w:r w:rsidR="00FE204F" w:rsidRPr="00B15C35">
        <w:t xml:space="preserve"> their </w:t>
      </w:r>
      <w:r w:rsidR="00FE204F" w:rsidRPr="00B15C35">
        <w:lastRenderedPageBreak/>
        <w:t>competence (HCPC</w:t>
      </w:r>
      <w:r w:rsidRPr="00B15C35">
        <w:t>,</w:t>
      </w:r>
      <w:r w:rsidR="00FE204F" w:rsidRPr="00B15C35">
        <w:t xml:space="preserve"> 2014)</w:t>
      </w:r>
      <w:r w:rsidRPr="00B15C35">
        <w:t xml:space="preserve">. </w:t>
      </w:r>
      <w:r w:rsidR="004757A6" w:rsidRPr="00B15C35">
        <w:t xml:space="preserve">Since </w:t>
      </w:r>
      <w:r w:rsidR="003E302D" w:rsidRPr="00B15C35">
        <w:t xml:space="preserve">our data and that of López-Lería et al. (2014) shows </w:t>
      </w:r>
      <w:r w:rsidR="004757A6" w:rsidRPr="00B15C35">
        <w:t>stress</w:t>
      </w:r>
      <w:r w:rsidR="001F1148" w:rsidRPr="00B15C35">
        <w:t>/</w:t>
      </w:r>
      <w:r w:rsidR="004757A6" w:rsidRPr="00B15C35">
        <w:t xml:space="preserve">mental health problems are a significant issue for embryologists, employers should take a proactive approach. </w:t>
      </w:r>
      <w:r w:rsidRPr="00B15C35">
        <w:t>The W</w:t>
      </w:r>
      <w:r w:rsidR="0039404B" w:rsidRPr="00B15C35">
        <w:t xml:space="preserve">orld </w:t>
      </w:r>
      <w:r w:rsidRPr="00B15C35">
        <w:t>H</w:t>
      </w:r>
      <w:r w:rsidR="0039404B" w:rsidRPr="00B15C35">
        <w:t xml:space="preserve">ealth </w:t>
      </w:r>
      <w:r w:rsidRPr="00B15C35">
        <w:t>O</w:t>
      </w:r>
      <w:r w:rsidR="0039404B" w:rsidRPr="00B15C35">
        <w:t>rganisation (WHO)</w:t>
      </w:r>
      <w:r w:rsidRPr="00B15C35">
        <w:t xml:space="preserve"> has developed strategies</w:t>
      </w:r>
      <w:r w:rsidR="006832A2" w:rsidRPr="00B15C35">
        <w:t xml:space="preserve"> involv</w:t>
      </w:r>
      <w:r w:rsidR="008A6AF0" w:rsidRPr="00B15C35">
        <w:t xml:space="preserve">ing </w:t>
      </w:r>
      <w:r w:rsidR="00821D63" w:rsidRPr="00B15C35">
        <w:t>awareness raising, risk assessment and control, and the treatment and</w:t>
      </w:r>
      <w:r w:rsidR="007D5489" w:rsidRPr="00B15C35">
        <w:t xml:space="preserve"> phased</w:t>
      </w:r>
      <w:r w:rsidR="00821D63" w:rsidRPr="00B15C35">
        <w:t xml:space="preserve"> </w:t>
      </w:r>
      <w:r w:rsidR="003E302D" w:rsidRPr="00B15C35">
        <w:t xml:space="preserve">workplace </w:t>
      </w:r>
      <w:r w:rsidR="00821D63" w:rsidRPr="00B15C35">
        <w:t>re</w:t>
      </w:r>
      <w:r w:rsidR="007D5489" w:rsidRPr="00B15C35">
        <w:t>-</w:t>
      </w:r>
      <w:r w:rsidR="00821D63" w:rsidRPr="00B15C35">
        <w:t>integration of affected individuals</w:t>
      </w:r>
      <w:r w:rsidR="0039404B" w:rsidRPr="00B15C35">
        <w:t xml:space="preserve"> (WHO, 2005)</w:t>
      </w:r>
      <w:r w:rsidR="00821D63" w:rsidRPr="00B15C35">
        <w:t>.</w:t>
      </w:r>
    </w:p>
    <w:p w14:paraId="7AF09A61" w14:textId="18166559" w:rsidR="00D03211" w:rsidRPr="00B15C35" w:rsidRDefault="00846DA9" w:rsidP="006113D6">
      <w:pPr>
        <w:pStyle w:val="Newparagraph"/>
        <w:jc w:val="both"/>
      </w:pPr>
      <w:r w:rsidRPr="00B15C35">
        <w:t>Raising awareness</w:t>
      </w:r>
      <w:r w:rsidR="007D5489" w:rsidRPr="00B15C35">
        <w:t xml:space="preserve"> of</w:t>
      </w:r>
      <w:r w:rsidRPr="00B15C35">
        <w:t xml:space="preserve"> workplace </w:t>
      </w:r>
      <w:r w:rsidR="00821D63" w:rsidRPr="00B15C35">
        <w:t xml:space="preserve">stress </w:t>
      </w:r>
      <w:r w:rsidRPr="00B15C35">
        <w:t xml:space="preserve">can be achieved </w:t>
      </w:r>
      <w:r w:rsidR="00821D63" w:rsidRPr="00B15C35">
        <w:t xml:space="preserve">during education and continued professional development </w:t>
      </w:r>
      <w:r w:rsidR="008A6AF0" w:rsidRPr="00B15C35">
        <w:t>of</w:t>
      </w:r>
      <w:r w:rsidR="007D5489" w:rsidRPr="00B15C35">
        <w:t xml:space="preserve"> </w:t>
      </w:r>
      <w:r w:rsidR="00821D63" w:rsidRPr="00B15C35">
        <w:t>reproductive scientists. Additionally, treatment centres can raise</w:t>
      </w:r>
      <w:r w:rsidR="007D5489" w:rsidRPr="00B15C35">
        <w:t xml:space="preserve"> </w:t>
      </w:r>
      <w:r w:rsidR="001F1148" w:rsidRPr="00B15C35">
        <w:t>multidisciplinary</w:t>
      </w:r>
      <w:r w:rsidR="00821D63" w:rsidRPr="00B15C35">
        <w:t xml:space="preserve"> awareness, </w:t>
      </w:r>
      <w:r w:rsidR="007D5489" w:rsidRPr="00B15C35">
        <w:t>advocating</w:t>
      </w:r>
      <w:r w:rsidR="00821D63" w:rsidRPr="00B15C35">
        <w:t xml:space="preserve"> a culture of interdisciplinary care.</w:t>
      </w:r>
      <w:r w:rsidR="00D03211" w:rsidRPr="00B15C35">
        <w:t xml:space="preserve"> </w:t>
      </w:r>
      <w:r w:rsidR="0039404B" w:rsidRPr="00B15C35">
        <w:t>Validated</w:t>
      </w:r>
      <w:r w:rsidR="001F1148" w:rsidRPr="00B15C35">
        <w:t>,</w:t>
      </w:r>
      <w:r w:rsidR="0039404B" w:rsidRPr="00B15C35">
        <w:t xml:space="preserve"> q</w:t>
      </w:r>
      <w:r w:rsidR="00821D63" w:rsidRPr="00B15C35">
        <w:t xml:space="preserve">uestionnaire-based </w:t>
      </w:r>
      <w:r w:rsidR="0039404B" w:rsidRPr="00B15C35">
        <w:t xml:space="preserve">assessment </w:t>
      </w:r>
      <w:r w:rsidR="00821D63" w:rsidRPr="00B15C35">
        <w:t xml:space="preserve">tools are available (HSE, n.d.-c; Maslach &amp; Jackson, 1984) to </w:t>
      </w:r>
      <w:r w:rsidR="007D5489" w:rsidRPr="00B15C35">
        <w:t xml:space="preserve">objectively </w:t>
      </w:r>
      <w:r w:rsidR="00821D63" w:rsidRPr="00B15C35">
        <w:t xml:space="preserve">assess the workplace for stress </w:t>
      </w:r>
      <w:r w:rsidR="007D5489" w:rsidRPr="00B15C35">
        <w:t>‘</w:t>
      </w:r>
      <w:r w:rsidR="00821D63" w:rsidRPr="00B15C35">
        <w:t>hotspots</w:t>
      </w:r>
      <w:r w:rsidR="007D5489" w:rsidRPr="00B15C35">
        <w:t>’</w:t>
      </w:r>
      <w:r w:rsidRPr="00B15C35">
        <w:t xml:space="preserve">. </w:t>
      </w:r>
      <w:r w:rsidR="00821D63" w:rsidRPr="00B15C35">
        <w:t>Risks</w:t>
      </w:r>
      <w:r w:rsidRPr="00B15C35">
        <w:t xml:space="preserve"> identified can</w:t>
      </w:r>
      <w:r w:rsidR="007D5489" w:rsidRPr="00B15C35">
        <w:t xml:space="preserve"> </w:t>
      </w:r>
      <w:r w:rsidRPr="00B15C35">
        <w:t>inform a strategy of workplace change</w:t>
      </w:r>
      <w:r w:rsidR="00D03211" w:rsidRPr="00B15C35">
        <w:t>, compensated by increased productivity (HSE n.d.-d)</w:t>
      </w:r>
      <w:r w:rsidR="007101E7" w:rsidRPr="00B15C35">
        <w:t>.</w:t>
      </w:r>
    </w:p>
    <w:p w14:paraId="1524D087" w14:textId="50E67335" w:rsidR="0059244E" w:rsidRPr="00B15C35" w:rsidRDefault="00C846F2" w:rsidP="006113D6">
      <w:pPr>
        <w:pStyle w:val="Newparagraph"/>
        <w:jc w:val="both"/>
      </w:pPr>
      <w:r w:rsidRPr="00B15C35">
        <w:t>Quality Management System</w:t>
      </w:r>
      <w:r w:rsidR="007101E7" w:rsidRPr="00B15C35">
        <w:t>s</w:t>
      </w:r>
      <w:r w:rsidRPr="00B15C35">
        <w:t xml:space="preserve"> can be </w:t>
      </w:r>
      <w:r w:rsidR="007D5489" w:rsidRPr="00B15C35">
        <w:t xml:space="preserve">modernised </w:t>
      </w:r>
      <w:r w:rsidRPr="00B15C35">
        <w:t xml:space="preserve">to ensure </w:t>
      </w:r>
      <w:r w:rsidR="00420D9F" w:rsidRPr="00B15C35">
        <w:t xml:space="preserve">balanced </w:t>
      </w:r>
      <w:r w:rsidRPr="00B15C35">
        <w:t>feedback</w:t>
      </w:r>
      <w:r w:rsidR="00420D9F" w:rsidRPr="00B15C35">
        <w:t xml:space="preserve"> </w:t>
      </w:r>
      <w:r w:rsidR="007101E7" w:rsidRPr="00B15C35">
        <w:t>(</w:t>
      </w:r>
      <w:r w:rsidR="001F1148" w:rsidRPr="00B15C35">
        <w:t>including praise</w:t>
      </w:r>
      <w:r w:rsidR="007101E7" w:rsidRPr="00B15C35">
        <w:t>)</w:t>
      </w:r>
      <w:r w:rsidRPr="00B15C35">
        <w:t xml:space="preserve">, and </w:t>
      </w:r>
      <w:r w:rsidR="0059244E" w:rsidRPr="00B15C35">
        <w:t>that</w:t>
      </w:r>
      <w:r w:rsidRPr="00B15C35">
        <w:t xml:space="preserve"> non-conformance</w:t>
      </w:r>
      <w:r w:rsidR="0059244E" w:rsidRPr="00B15C35">
        <w:t xml:space="preserve"> </w:t>
      </w:r>
      <w:r w:rsidR="00CC04DE" w:rsidRPr="00B15C35">
        <w:t>reporting systems</w:t>
      </w:r>
      <w:r w:rsidRPr="00B15C35">
        <w:t xml:space="preserve"> result in </w:t>
      </w:r>
      <w:r w:rsidR="008A3409" w:rsidRPr="00B15C35">
        <w:t>improvements</w:t>
      </w:r>
      <w:r w:rsidRPr="00B15C35">
        <w:t xml:space="preserve"> without</w:t>
      </w:r>
      <w:r w:rsidR="007D5489" w:rsidRPr="00B15C35">
        <w:t xml:space="preserve"> </w:t>
      </w:r>
      <w:r w:rsidR="00D03211" w:rsidRPr="00B15C35">
        <w:t xml:space="preserve">disproportionately </w:t>
      </w:r>
      <w:r w:rsidRPr="00B15C35">
        <w:t>punitive measures. Working conditions should be examined, providing adequate rest facilities and a comfortable working environment</w:t>
      </w:r>
      <w:r w:rsidR="003E302D" w:rsidRPr="00B15C35">
        <w:t>,</w:t>
      </w:r>
      <w:r w:rsidRPr="00B15C35">
        <w:t xml:space="preserve"> </w:t>
      </w:r>
      <w:r w:rsidR="003E302D" w:rsidRPr="00B15C35">
        <w:t>including</w:t>
      </w:r>
      <w:r w:rsidR="007D5489" w:rsidRPr="00B15C35">
        <w:t xml:space="preserve"> </w:t>
      </w:r>
      <w:r w:rsidR="007101E7" w:rsidRPr="00B15C35">
        <w:t>access to</w:t>
      </w:r>
      <w:r w:rsidR="007D5489" w:rsidRPr="00B15C35">
        <w:t xml:space="preserve"> daylight</w:t>
      </w:r>
      <w:r w:rsidRPr="00B15C35">
        <w:t xml:space="preserve"> </w:t>
      </w:r>
      <w:r w:rsidR="00D03211" w:rsidRPr="00B15C35">
        <w:t>(</w:t>
      </w:r>
      <w:r w:rsidRPr="00B15C35">
        <w:t>HFEA, 2019</w:t>
      </w:r>
      <w:r w:rsidR="00D03211" w:rsidRPr="00B15C35">
        <w:t xml:space="preserve">; </w:t>
      </w:r>
      <w:r w:rsidRPr="00B15C35">
        <w:t>Hughes, 2012).</w:t>
      </w:r>
    </w:p>
    <w:p w14:paraId="7BB3D59D" w14:textId="79F6BDD1" w:rsidR="007101E7" w:rsidRPr="00B15C35" w:rsidRDefault="00C846F2" w:rsidP="006113D6">
      <w:pPr>
        <w:pStyle w:val="Newparagraph"/>
        <w:jc w:val="both"/>
      </w:pPr>
      <w:r w:rsidRPr="00B15C35">
        <w:t>Workload</w:t>
      </w:r>
      <w:r w:rsidR="002C3FB1">
        <w:t>s</w:t>
      </w:r>
      <w:r w:rsidRPr="00B15C35">
        <w:t xml:space="preserve"> should be addressed through </w:t>
      </w:r>
      <w:r w:rsidR="005665F8" w:rsidRPr="00B15C35">
        <w:t xml:space="preserve">attention to </w:t>
      </w:r>
      <w:r w:rsidRPr="00B15C35">
        <w:t>staffing levels and/or cycle numbers</w:t>
      </w:r>
      <w:r w:rsidR="005665F8" w:rsidRPr="00B15C35">
        <w:t>, as required by HFEA Licence Condition T12 (HFEA, n.d.)</w:t>
      </w:r>
      <w:r w:rsidR="00D03211" w:rsidRPr="00B15C35">
        <w:t>, and professional guidelines</w:t>
      </w:r>
      <w:r w:rsidR="005665F8" w:rsidRPr="00B15C35">
        <w:t xml:space="preserve"> (</w:t>
      </w:r>
      <w:r w:rsidR="00F21ABF" w:rsidRPr="00B15C35">
        <w:t xml:space="preserve">Alikani et al., 2014; </w:t>
      </w:r>
      <w:r w:rsidR="005665F8" w:rsidRPr="00B15C35">
        <w:t xml:space="preserve">Hughes, 2012). Registered Clinical Scientists are required to </w:t>
      </w:r>
      <w:r w:rsidR="005339C7" w:rsidRPr="00B15C35">
        <w:t xml:space="preserve">“manage their own workload and resources effectively” </w:t>
      </w:r>
      <w:r w:rsidR="005665F8" w:rsidRPr="00B15C35">
        <w:t>(HCPC, 2014)</w:t>
      </w:r>
      <w:r w:rsidR="002F604F" w:rsidRPr="00B15C35">
        <w:t>.</w:t>
      </w:r>
      <w:r w:rsidR="007101E7" w:rsidRPr="00B15C35">
        <w:t xml:space="preserve"> </w:t>
      </w:r>
      <w:r w:rsidR="00CA342F" w:rsidRPr="00B15C35">
        <w:t>Concerns about workload can be reported</w:t>
      </w:r>
      <w:r w:rsidR="007101E7" w:rsidRPr="00B15C35">
        <w:t xml:space="preserve"> to line manager</w:t>
      </w:r>
      <w:r w:rsidR="008A3409" w:rsidRPr="00B15C35">
        <w:t>s</w:t>
      </w:r>
      <w:r w:rsidR="007101E7" w:rsidRPr="00B15C35">
        <w:t xml:space="preserve">, the Person Responsible for the centre; or ultimately to </w:t>
      </w:r>
      <w:r w:rsidR="002C3FB1">
        <w:t xml:space="preserve">the </w:t>
      </w:r>
      <w:r w:rsidR="007101E7" w:rsidRPr="00B15C35">
        <w:t>HFEA</w:t>
      </w:r>
      <w:r w:rsidR="0095501A" w:rsidRPr="00B15C35">
        <w:t>.</w:t>
      </w:r>
    </w:p>
    <w:p w14:paraId="20DFEDB6" w14:textId="6311F075" w:rsidR="006711A3" w:rsidRPr="00B15C35" w:rsidRDefault="0059244E" w:rsidP="006113D6">
      <w:pPr>
        <w:pStyle w:val="Newparagraph"/>
        <w:jc w:val="both"/>
      </w:pPr>
      <w:r w:rsidRPr="00B15C35">
        <w:t xml:space="preserve">To facilitate the </w:t>
      </w:r>
      <w:r w:rsidR="00D03211" w:rsidRPr="00B15C35">
        <w:t>necessary level of focus</w:t>
      </w:r>
      <w:r w:rsidRPr="00B15C35">
        <w:t xml:space="preserve">, </w:t>
      </w:r>
      <w:r w:rsidR="00AB3A63" w:rsidRPr="00B15C35">
        <w:t>work</w:t>
      </w:r>
      <w:r w:rsidR="00453891" w:rsidRPr="00B15C35">
        <w:t>-</w:t>
      </w:r>
      <w:r w:rsidR="00AB3A63" w:rsidRPr="00B15C35">
        <w:t xml:space="preserve">pace is </w:t>
      </w:r>
      <w:r w:rsidR="007D5489" w:rsidRPr="00B15C35">
        <w:t xml:space="preserve">another </w:t>
      </w:r>
      <w:r w:rsidR="00AB3A63" w:rsidRPr="00B15C35">
        <w:t>important</w:t>
      </w:r>
      <w:r w:rsidR="007D5489" w:rsidRPr="00B15C35">
        <w:t xml:space="preserve"> consideration</w:t>
      </w:r>
      <w:r w:rsidR="00AB3A63" w:rsidRPr="00B15C35">
        <w:t xml:space="preserve">. </w:t>
      </w:r>
      <w:r w:rsidR="008A3409" w:rsidRPr="00B15C35">
        <w:t>To protect concentration, m</w:t>
      </w:r>
      <w:r w:rsidRPr="00B15C35">
        <w:t xml:space="preserve">ultitasking should be </w:t>
      </w:r>
      <w:r w:rsidR="008A3409" w:rsidRPr="00B15C35">
        <w:t>minimised,</w:t>
      </w:r>
      <w:r w:rsidRPr="00B15C35">
        <w:t xml:space="preserve"> disturbances</w:t>
      </w:r>
      <w:r w:rsidR="007D5489" w:rsidRPr="00B15C35">
        <w:t xml:space="preserve"> </w:t>
      </w:r>
      <w:r w:rsidR="008A3409" w:rsidRPr="00B15C35">
        <w:lastRenderedPageBreak/>
        <w:t xml:space="preserve">limited </w:t>
      </w:r>
      <w:r w:rsidRPr="00B15C35">
        <w:t>(HFEA, 2019)</w:t>
      </w:r>
      <w:r w:rsidR="008A3409" w:rsidRPr="00B15C35">
        <w:t>,</w:t>
      </w:r>
      <w:r w:rsidRPr="00B15C35">
        <w:t xml:space="preserve"> and regular breaks </w:t>
      </w:r>
      <w:r w:rsidR="00671652" w:rsidRPr="00B15C35">
        <w:t>scheduled</w:t>
      </w:r>
      <w:r w:rsidRPr="00B15C35">
        <w:t xml:space="preserve">. </w:t>
      </w:r>
      <w:r w:rsidR="00AB3A63" w:rsidRPr="00B15C35">
        <w:t>A good work</w:t>
      </w:r>
      <w:r w:rsidR="00453891" w:rsidRPr="00B15C35">
        <w:t>-</w:t>
      </w:r>
      <w:r w:rsidR="00AB3A63" w:rsidRPr="00B15C35">
        <w:t>pace</w:t>
      </w:r>
      <w:r w:rsidR="00D03211" w:rsidRPr="00B15C35">
        <w:t xml:space="preserve"> for a given workload can be achieved when </w:t>
      </w:r>
      <w:r w:rsidRPr="00B15C35">
        <w:t xml:space="preserve">reproductive scientists </w:t>
      </w:r>
      <w:r w:rsidR="00D03211" w:rsidRPr="00B15C35">
        <w:t xml:space="preserve">are included </w:t>
      </w:r>
      <w:r w:rsidRPr="00B15C35">
        <w:t xml:space="preserve">in </w:t>
      </w:r>
      <w:r w:rsidR="00AB3A63" w:rsidRPr="00B15C35">
        <w:t>theatre list planning</w:t>
      </w:r>
      <w:r w:rsidR="00527EEB" w:rsidRPr="00B15C35">
        <w:t xml:space="preserve">. This inclusion also </w:t>
      </w:r>
      <w:r w:rsidR="00AB3A63" w:rsidRPr="00B15C35">
        <w:t>mitigate</w:t>
      </w:r>
      <w:r w:rsidR="008A3409" w:rsidRPr="00B15C35">
        <w:t>s</w:t>
      </w:r>
      <w:r w:rsidR="00527EEB" w:rsidRPr="00B15C35">
        <w:t xml:space="preserve"> burnout by </w:t>
      </w:r>
      <w:r w:rsidR="00AB3A63" w:rsidRPr="00B15C35">
        <w:t xml:space="preserve">affording </w:t>
      </w:r>
      <w:r w:rsidR="00527EEB" w:rsidRPr="00B15C35">
        <w:t>reproductive scientists</w:t>
      </w:r>
      <w:r w:rsidRPr="00B15C35">
        <w:t xml:space="preserve"> autonomy</w:t>
      </w:r>
      <w:r w:rsidR="00671652" w:rsidRPr="00B15C35">
        <w:t xml:space="preserve"> over their workplace contributions</w:t>
      </w:r>
      <w:r w:rsidRPr="00B15C35">
        <w:t>.</w:t>
      </w:r>
    </w:p>
    <w:p w14:paraId="6DFFFC11" w14:textId="40050F07" w:rsidR="005D0C1E" w:rsidRDefault="003C1A92" w:rsidP="006113D6">
      <w:pPr>
        <w:pStyle w:val="Newparagraph"/>
        <w:jc w:val="both"/>
      </w:pPr>
      <w:r w:rsidRPr="00B15C35">
        <w:t>Support</w:t>
      </w:r>
      <w:r w:rsidR="00282D4A" w:rsidRPr="00B15C35">
        <w:t xml:space="preserve"> and mentoring</w:t>
      </w:r>
      <w:r w:rsidRPr="00B15C35">
        <w:t xml:space="preserve"> should be available to </w:t>
      </w:r>
      <w:r w:rsidR="00671652" w:rsidRPr="00B15C35">
        <w:t xml:space="preserve">those personnel </w:t>
      </w:r>
      <w:r w:rsidR="00420D9F" w:rsidRPr="00B15C35">
        <w:t xml:space="preserve">identified </w:t>
      </w:r>
      <w:r w:rsidR="008A3409" w:rsidRPr="00B15C35">
        <w:t xml:space="preserve">as vulnerable </w:t>
      </w:r>
      <w:r w:rsidR="00420D9F" w:rsidRPr="00B15C35">
        <w:t xml:space="preserve">during </w:t>
      </w:r>
      <w:r w:rsidR="008A3409" w:rsidRPr="00B15C35">
        <w:t xml:space="preserve">workplace stress </w:t>
      </w:r>
      <w:r w:rsidR="00420D9F" w:rsidRPr="00B15C35">
        <w:t>risk assessment</w:t>
      </w:r>
      <w:r w:rsidR="00453891" w:rsidRPr="00B15C35">
        <w:t>.</w:t>
      </w:r>
      <w:r w:rsidRPr="00B15C35">
        <w:t xml:space="preserve"> </w:t>
      </w:r>
      <w:r w:rsidR="00453891" w:rsidRPr="00B15C35">
        <w:t>I</w:t>
      </w:r>
      <w:r w:rsidR="00280449" w:rsidRPr="00B15C35">
        <w:t>n</w:t>
      </w:r>
      <w:r w:rsidR="00BA6D3E" w:rsidRPr="00B15C35">
        <w:t xml:space="preserve"> </w:t>
      </w:r>
      <w:r w:rsidR="00280449" w:rsidRPr="00B15C35">
        <w:t>house occupational health</w:t>
      </w:r>
      <w:r w:rsidR="008A3409" w:rsidRPr="00B15C35">
        <w:t xml:space="preserve"> or </w:t>
      </w:r>
      <w:r w:rsidR="00280449" w:rsidRPr="00B15C35">
        <w:t>counselling</w:t>
      </w:r>
      <w:r w:rsidR="008A3409" w:rsidRPr="00B15C35">
        <w:t xml:space="preserve"> services,</w:t>
      </w:r>
      <w:r w:rsidR="00280449" w:rsidRPr="00B15C35">
        <w:t xml:space="preserve"> or </w:t>
      </w:r>
      <w:r w:rsidR="00671652" w:rsidRPr="00B15C35">
        <w:t xml:space="preserve">a designated </w:t>
      </w:r>
      <w:r w:rsidR="00280449" w:rsidRPr="00B15C35">
        <w:t>Employee Assistance Program</w:t>
      </w:r>
      <w:r w:rsidR="00453891" w:rsidRPr="00B15C35">
        <w:t xml:space="preserve"> should be available, or </w:t>
      </w:r>
      <w:r w:rsidR="00DD0813" w:rsidRPr="00B15C35">
        <w:t>leave</w:t>
      </w:r>
      <w:r w:rsidR="00453891" w:rsidRPr="00B15C35">
        <w:t xml:space="preserve"> </w:t>
      </w:r>
      <w:r w:rsidR="007C12F6" w:rsidRPr="00B15C35">
        <w:t>for</w:t>
      </w:r>
      <w:r w:rsidR="00280449" w:rsidRPr="00B15C35">
        <w:t xml:space="preserve"> appointments </w:t>
      </w:r>
      <w:r w:rsidR="00DD0813" w:rsidRPr="00B15C35">
        <w:t>offsite</w:t>
      </w:r>
      <w:r w:rsidR="00280449" w:rsidRPr="00B15C35">
        <w:t xml:space="preserve">. If an employee </w:t>
      </w:r>
      <w:r w:rsidR="008A3409" w:rsidRPr="00B15C35">
        <w:t>experiences</w:t>
      </w:r>
      <w:r w:rsidR="00280449" w:rsidRPr="00B15C35">
        <w:t xml:space="preserve"> a mental health </w:t>
      </w:r>
      <w:r w:rsidR="00DD0813" w:rsidRPr="00B15C35">
        <w:t>condition</w:t>
      </w:r>
      <w:r w:rsidR="00280449" w:rsidRPr="00B15C35">
        <w:t>, they should be encouraged to access primary care</w:t>
      </w:r>
      <w:r w:rsidR="00671652" w:rsidRPr="00B15C35">
        <w:t xml:space="preserve"> intervention</w:t>
      </w:r>
      <w:r w:rsidR="00280449" w:rsidRPr="00B15C35">
        <w:t xml:space="preserve">. If they </w:t>
      </w:r>
      <w:r w:rsidR="00DD0813" w:rsidRPr="00B15C35">
        <w:t>become</w:t>
      </w:r>
      <w:r w:rsidR="00280449" w:rsidRPr="00B15C35">
        <w:t xml:space="preserve"> absent from work, </w:t>
      </w:r>
      <w:r w:rsidR="000A52A7" w:rsidRPr="00B15C35">
        <w:t>or undertak</w:t>
      </w:r>
      <w:r w:rsidR="00DD0813" w:rsidRPr="00B15C35">
        <w:t>e</w:t>
      </w:r>
      <w:r w:rsidR="000A52A7" w:rsidRPr="00B15C35">
        <w:t xml:space="preserve"> reduced duties, </w:t>
      </w:r>
      <w:r w:rsidR="00280449" w:rsidRPr="00B15C35">
        <w:t xml:space="preserve">their </w:t>
      </w:r>
      <w:r w:rsidR="00671652" w:rsidRPr="00B15C35">
        <w:t xml:space="preserve">phased </w:t>
      </w:r>
      <w:r w:rsidR="000A52A7" w:rsidRPr="00B15C35">
        <w:t>re</w:t>
      </w:r>
      <w:r w:rsidR="003E302D" w:rsidRPr="00B15C35">
        <w:t>-</w:t>
      </w:r>
      <w:r w:rsidR="000A52A7" w:rsidRPr="00B15C35">
        <w:t>integration</w:t>
      </w:r>
      <w:r w:rsidR="00671652" w:rsidRPr="00B15C35">
        <w:t xml:space="preserve"> to the workplace</w:t>
      </w:r>
      <w:r w:rsidR="00280449" w:rsidRPr="00B15C35">
        <w:t xml:space="preserve"> should be managed gradual</w:t>
      </w:r>
      <w:r w:rsidR="000A52A7" w:rsidRPr="00B15C35">
        <w:t>ly</w:t>
      </w:r>
      <w:r w:rsidR="00280449" w:rsidRPr="00B15C35">
        <w:t xml:space="preserve">, with </w:t>
      </w:r>
      <w:r w:rsidR="00453891" w:rsidRPr="00B15C35">
        <w:t>additional support to re</w:t>
      </w:r>
      <w:r w:rsidR="00D523B6" w:rsidRPr="00B15C35">
        <w:t>-</w:t>
      </w:r>
      <w:r w:rsidR="00453891" w:rsidRPr="00B15C35">
        <w:t>establish</w:t>
      </w:r>
      <w:r w:rsidR="00280449" w:rsidRPr="00B15C35">
        <w:t xml:space="preserve"> competency.</w:t>
      </w:r>
    </w:p>
    <w:p w14:paraId="1D1E5F9A" w14:textId="77777777" w:rsidR="00A531BC" w:rsidRPr="00A531BC" w:rsidRDefault="00A531BC" w:rsidP="0042120E">
      <w:pPr>
        <w:pStyle w:val="Newparagraph"/>
        <w:ind w:firstLine="0"/>
        <w:jc w:val="both"/>
      </w:pPr>
    </w:p>
    <w:p w14:paraId="7859951A" w14:textId="34CC7AB3" w:rsidR="00F15E36" w:rsidRPr="00542B34" w:rsidRDefault="00671652" w:rsidP="0042120E">
      <w:pPr>
        <w:jc w:val="both"/>
        <w:rPr>
          <w:i/>
          <w:iCs/>
        </w:rPr>
      </w:pPr>
      <w:r w:rsidRPr="0042120E">
        <w:rPr>
          <w:i/>
          <w:iCs/>
        </w:rPr>
        <w:t xml:space="preserve">Ocular </w:t>
      </w:r>
      <w:r w:rsidR="002C3FB1">
        <w:rPr>
          <w:i/>
          <w:iCs/>
        </w:rPr>
        <w:t>p</w:t>
      </w:r>
      <w:r w:rsidR="00F15E36" w:rsidRPr="00A531BC">
        <w:rPr>
          <w:i/>
          <w:iCs/>
        </w:rPr>
        <w:t xml:space="preserve">roblems </w:t>
      </w:r>
    </w:p>
    <w:p w14:paraId="25436CCF" w14:textId="11160AC7" w:rsidR="00361D1D" w:rsidRPr="00B15C35" w:rsidRDefault="003E302D" w:rsidP="0042120E">
      <w:pPr>
        <w:pStyle w:val="Newparagraph"/>
        <w:ind w:firstLine="0"/>
        <w:jc w:val="both"/>
      </w:pPr>
      <w:r w:rsidRPr="00B15C35">
        <w:t>Ocular issues</w:t>
      </w:r>
      <w:r w:rsidR="00430546" w:rsidRPr="00B15C35">
        <w:t xml:space="preserve"> were reported by</w:t>
      </w:r>
      <w:r w:rsidR="008F2FA9" w:rsidRPr="00B15C35">
        <w:t xml:space="preserve"> </w:t>
      </w:r>
      <w:r w:rsidR="00FE5C4B" w:rsidRPr="00B15C35">
        <w:t>27</w:t>
      </w:r>
      <w:r w:rsidR="00430546" w:rsidRPr="00B15C35">
        <w:t xml:space="preserve"> respondents</w:t>
      </w:r>
      <w:r w:rsidR="00FE5C4B" w:rsidRPr="00B15C35">
        <w:t xml:space="preserve"> </w:t>
      </w:r>
      <w:r w:rsidR="00430546" w:rsidRPr="00B15C35">
        <w:t>(</w:t>
      </w:r>
      <w:r w:rsidR="00FE5C4B" w:rsidRPr="00B15C35">
        <w:t>12.1%</w:t>
      </w:r>
      <w:r w:rsidR="00430546" w:rsidRPr="00B15C35">
        <w:t>). This included dry eye, changes in visual acuity, uveitis</w:t>
      </w:r>
      <w:r w:rsidR="00877BF9" w:rsidRPr="00B15C35">
        <w:t xml:space="preserve"> </w:t>
      </w:r>
      <w:r w:rsidR="00B05D9F" w:rsidRPr="00B15C35">
        <w:t>(</w:t>
      </w:r>
      <w:r w:rsidR="00877BF9" w:rsidRPr="00B15C35">
        <w:t>inflammation of the uvea</w:t>
      </w:r>
      <w:r w:rsidR="00430546" w:rsidRPr="00B15C35">
        <w:t xml:space="preserve">) and eye fatigue. Contributing factors reported were dim lighting, prolonged </w:t>
      </w:r>
      <w:r w:rsidR="00257019" w:rsidRPr="00B15C35">
        <w:t>near-work</w:t>
      </w:r>
      <w:r w:rsidR="00361D1D" w:rsidRPr="00B15C35">
        <w:t xml:space="preserve"> and/or </w:t>
      </w:r>
      <w:r w:rsidR="00430546" w:rsidRPr="00B15C35">
        <w:t>microscope work</w:t>
      </w:r>
      <w:r w:rsidR="00361D1D" w:rsidRPr="00B15C35">
        <w:t xml:space="preserve"> and air conditioning. </w:t>
      </w:r>
    </w:p>
    <w:p w14:paraId="51511F99" w14:textId="2314D434" w:rsidR="00C6518E" w:rsidRDefault="00361D1D">
      <w:pPr>
        <w:pStyle w:val="Newparagraph"/>
        <w:jc w:val="both"/>
      </w:pPr>
      <w:r w:rsidRPr="00B15C35">
        <w:t xml:space="preserve">The use of </w:t>
      </w:r>
      <w:r w:rsidR="00877BF9" w:rsidRPr="00B15C35">
        <w:t>Display Screen Equipment (</w:t>
      </w:r>
      <w:r w:rsidRPr="00B15C35">
        <w:t>DSE</w:t>
      </w:r>
      <w:r w:rsidR="00877BF9" w:rsidRPr="00B15C35">
        <w:t>)</w:t>
      </w:r>
      <w:r w:rsidRPr="00B15C35">
        <w:t xml:space="preserve"> is associated with eye fatigue but </w:t>
      </w:r>
      <w:r w:rsidR="00671652" w:rsidRPr="00B15C35">
        <w:t xml:space="preserve">evidence to date </w:t>
      </w:r>
      <w:r w:rsidR="00D523B6" w:rsidRPr="00B15C35">
        <w:t>suggests</w:t>
      </w:r>
      <w:r w:rsidR="00671652" w:rsidRPr="00B15C35">
        <w:t xml:space="preserve"> it does not impact </w:t>
      </w:r>
      <w:r w:rsidRPr="00B15C35">
        <w:t>visual acuity (Larese Filon et al., 2019). Dry eye and eye fatigue are experienced by microscope workers in clean room facilities</w:t>
      </w:r>
      <w:r w:rsidR="00877BF9" w:rsidRPr="00B15C35">
        <w:t xml:space="preserve"> </w:t>
      </w:r>
      <w:r w:rsidRPr="00B15C35">
        <w:t xml:space="preserve">(Lin et al., 2019). Uveitis is not generally associated with occupational hazards other than traumatic eye injury, although since the aetiology of this condition is not fully understood, occupational </w:t>
      </w:r>
      <w:r w:rsidR="008E321A" w:rsidRPr="00B15C35">
        <w:t>fact</w:t>
      </w:r>
      <w:r w:rsidR="007C3873" w:rsidRPr="00B15C35">
        <w:t>ors</w:t>
      </w:r>
      <w:r w:rsidRPr="00B15C35">
        <w:t xml:space="preserve"> cannot be ruled out (Choi et al., 2019). </w:t>
      </w:r>
      <w:r w:rsidR="00AB3A63" w:rsidRPr="00B15C35">
        <w:t>M</w:t>
      </w:r>
      <w:r w:rsidRPr="00B15C35">
        <w:t xml:space="preserve">yopia </w:t>
      </w:r>
      <w:r w:rsidR="00B05D9F" w:rsidRPr="00B15C35">
        <w:t xml:space="preserve">(short-sightedness) </w:t>
      </w:r>
      <w:r w:rsidRPr="00B15C35">
        <w:t xml:space="preserve">is linked with </w:t>
      </w:r>
      <w:r w:rsidR="00257019" w:rsidRPr="00B15C35">
        <w:t>near</w:t>
      </w:r>
      <w:r w:rsidR="002C3FB1">
        <w:t>-</w:t>
      </w:r>
      <w:r w:rsidR="00257019" w:rsidRPr="00B15C35">
        <w:t>work</w:t>
      </w:r>
      <w:r w:rsidRPr="00B15C35">
        <w:t xml:space="preserve"> </w:t>
      </w:r>
      <w:r w:rsidR="00257019" w:rsidRPr="00B15C35">
        <w:t>(Ciuffreda &amp; Vasudevan, 2008)</w:t>
      </w:r>
      <w:r w:rsidR="00877BF9" w:rsidRPr="00B15C35">
        <w:t xml:space="preserve">. </w:t>
      </w:r>
      <w:r w:rsidR="00257019" w:rsidRPr="00B15C35">
        <w:t xml:space="preserve">Presbyopia </w:t>
      </w:r>
      <w:r w:rsidR="00B05D9F" w:rsidRPr="00B15C35">
        <w:t xml:space="preserve">(long-sightedness) </w:t>
      </w:r>
      <w:r w:rsidR="00257019" w:rsidRPr="00B15C35">
        <w:lastRenderedPageBreak/>
        <w:t xml:space="preserve">is viewed as a problem of </w:t>
      </w:r>
      <w:r w:rsidR="007714F0" w:rsidRPr="00B15C35">
        <w:t>age</w:t>
      </w:r>
      <w:r w:rsidR="00D523B6" w:rsidRPr="00B15C35">
        <w:t xml:space="preserve"> </w:t>
      </w:r>
      <w:r w:rsidR="00257019" w:rsidRPr="00B15C35">
        <w:t xml:space="preserve">rather than environment (Gilmartin, 1995), </w:t>
      </w:r>
      <w:r w:rsidR="007C3873" w:rsidRPr="00B15C35">
        <w:t>and it is possible that pre-existing conditions may be</w:t>
      </w:r>
      <w:r w:rsidR="008E321A" w:rsidRPr="00B15C35">
        <w:t>come</w:t>
      </w:r>
      <w:r w:rsidR="00D523B6" w:rsidRPr="00B15C35">
        <w:t xml:space="preserve"> obvious during near-work</w:t>
      </w:r>
      <w:r w:rsidR="007C3873" w:rsidRPr="00B15C35">
        <w:t>.</w:t>
      </w:r>
    </w:p>
    <w:p w14:paraId="5692BC6D" w14:textId="77777777" w:rsidR="002C3FB1" w:rsidRPr="00B15C35" w:rsidRDefault="002C3FB1" w:rsidP="0042120E">
      <w:pPr>
        <w:pStyle w:val="Newparagraph"/>
        <w:ind w:firstLine="0"/>
        <w:jc w:val="both"/>
      </w:pPr>
    </w:p>
    <w:p w14:paraId="0A7AED15" w14:textId="303621CD" w:rsidR="006530AE" w:rsidRPr="00B15C35" w:rsidRDefault="006530AE" w:rsidP="0042120E">
      <w:pPr>
        <w:pStyle w:val="Paragraph"/>
        <w:spacing w:before="0"/>
        <w:ind w:left="720" w:hanging="720"/>
        <w:jc w:val="both"/>
        <w:rPr>
          <w:i/>
          <w:iCs/>
        </w:rPr>
      </w:pPr>
      <w:r w:rsidRPr="00B15C35">
        <w:rPr>
          <w:i/>
          <w:iCs/>
        </w:rPr>
        <w:t>Recommendations</w:t>
      </w:r>
    </w:p>
    <w:p w14:paraId="5E6B8C2D" w14:textId="524234A1" w:rsidR="0001497D" w:rsidRDefault="003A56B5" w:rsidP="0042120E">
      <w:pPr>
        <w:pStyle w:val="Newparagraph"/>
        <w:ind w:firstLine="0"/>
        <w:jc w:val="both"/>
      </w:pPr>
      <w:r w:rsidRPr="00B15C35">
        <w:t>Evidence suggests that eye problems can be minimised by improv</w:t>
      </w:r>
      <w:r w:rsidR="008E321A" w:rsidRPr="00B15C35">
        <w:t>ed</w:t>
      </w:r>
      <w:r w:rsidRPr="00B15C35">
        <w:t xml:space="preserve"> lighting</w:t>
      </w:r>
      <w:r w:rsidR="00877BF9" w:rsidRPr="00B15C35">
        <w:t xml:space="preserve"> (Hua et al., 2015) and</w:t>
      </w:r>
      <w:r w:rsidRPr="00B15C35">
        <w:t xml:space="preserve"> allowing breaks in microscope or near-work</w:t>
      </w:r>
      <w:r w:rsidR="00877BF9" w:rsidRPr="00B15C35">
        <w:t xml:space="preserve"> (Lin et al</w:t>
      </w:r>
      <w:r w:rsidR="00F21ABF" w:rsidRPr="00B15C35">
        <w:t>.,</w:t>
      </w:r>
      <w:r w:rsidR="00877BF9" w:rsidRPr="00B15C35">
        <w:t xml:space="preserve"> 2019). Breaks</w:t>
      </w:r>
      <w:r w:rsidRPr="00B15C35">
        <w:t xml:space="preserve"> allow a change in environment and </w:t>
      </w:r>
      <w:r w:rsidR="00877BF9" w:rsidRPr="00B15C35">
        <w:t>for</w:t>
      </w:r>
      <w:r w:rsidRPr="00B15C35">
        <w:t xml:space="preserve"> the eyes to </w:t>
      </w:r>
      <w:r w:rsidR="00877BF9" w:rsidRPr="00B15C35">
        <w:t>adjust</w:t>
      </w:r>
      <w:r w:rsidRPr="00B15C35">
        <w:t xml:space="preserve"> to distan</w:t>
      </w:r>
      <w:r w:rsidR="00877BF9" w:rsidRPr="00B15C35">
        <w:t xml:space="preserve">t </w:t>
      </w:r>
      <w:r w:rsidR="00D24EA1" w:rsidRPr="00B15C35">
        <w:t>focus</w:t>
      </w:r>
      <w:r w:rsidR="00877BF9" w:rsidRPr="00B15C35">
        <w:t xml:space="preserve"> (Wu et al., 2013). </w:t>
      </w:r>
      <w:r w:rsidRPr="00B15C35">
        <w:t xml:space="preserve">Employers should </w:t>
      </w:r>
      <w:r w:rsidR="008E321A" w:rsidRPr="00B15C35">
        <w:t>note</w:t>
      </w:r>
      <w:r w:rsidRPr="00B15C35">
        <w:t xml:space="preserve"> The Health and Safety (</w:t>
      </w:r>
      <w:r w:rsidR="00877BF9" w:rsidRPr="00B15C35">
        <w:t>DSE</w:t>
      </w:r>
      <w:r w:rsidRPr="00B15C35">
        <w:t xml:space="preserve">) Regulations (1992) and offer regular sight tests </w:t>
      </w:r>
      <w:r w:rsidR="002607B7" w:rsidRPr="00B15C35">
        <w:t xml:space="preserve">to </w:t>
      </w:r>
      <w:r w:rsidRPr="00B15C35">
        <w:t xml:space="preserve">users and </w:t>
      </w:r>
      <w:r w:rsidR="008E321A" w:rsidRPr="00B15C35">
        <w:t>employees</w:t>
      </w:r>
      <w:r w:rsidRPr="00B15C35">
        <w:t xml:space="preserve"> experiencing</w:t>
      </w:r>
      <w:r w:rsidR="007714F0" w:rsidRPr="00B15C35">
        <w:t xml:space="preserve"> the onset of</w:t>
      </w:r>
      <w:r w:rsidRPr="00B15C35">
        <w:t xml:space="preserve"> visual difficulties.</w:t>
      </w:r>
    </w:p>
    <w:p w14:paraId="759869BE" w14:textId="77777777" w:rsidR="00A531BC" w:rsidRPr="00A531BC" w:rsidRDefault="00A531BC" w:rsidP="0042120E">
      <w:pPr>
        <w:pStyle w:val="Newparagraph"/>
        <w:ind w:firstLine="0"/>
        <w:jc w:val="both"/>
      </w:pPr>
    </w:p>
    <w:p w14:paraId="33B684B7" w14:textId="523E78B3" w:rsidR="00F15E36" w:rsidRPr="00542B34" w:rsidRDefault="007714F0" w:rsidP="0042120E">
      <w:pPr>
        <w:jc w:val="both"/>
        <w:rPr>
          <w:i/>
          <w:iCs/>
        </w:rPr>
      </w:pPr>
      <w:r w:rsidRPr="00A531BC">
        <w:rPr>
          <w:i/>
          <w:iCs/>
        </w:rPr>
        <w:t xml:space="preserve">Auditory </w:t>
      </w:r>
      <w:r w:rsidR="002C3FB1">
        <w:rPr>
          <w:i/>
          <w:iCs/>
        </w:rPr>
        <w:t>p</w:t>
      </w:r>
      <w:r w:rsidR="00F15E36" w:rsidRPr="00542B34">
        <w:rPr>
          <w:i/>
          <w:iCs/>
        </w:rPr>
        <w:t>roblems</w:t>
      </w:r>
    </w:p>
    <w:p w14:paraId="11A5B8EE" w14:textId="19987CD0" w:rsidR="0001497D" w:rsidRPr="00B15C35" w:rsidRDefault="00D523B6" w:rsidP="0042120E">
      <w:pPr>
        <w:jc w:val="both"/>
      </w:pPr>
      <w:r w:rsidRPr="00B15C35">
        <w:t>E</w:t>
      </w:r>
      <w:r w:rsidR="006B06E8" w:rsidRPr="00B15C35">
        <w:t xml:space="preserve">ight </w:t>
      </w:r>
      <w:r w:rsidRPr="00B15C35">
        <w:t xml:space="preserve">survey </w:t>
      </w:r>
      <w:r w:rsidR="006B06E8" w:rsidRPr="00B15C35">
        <w:t xml:space="preserve">respondents reported </w:t>
      </w:r>
      <w:r w:rsidR="007714F0" w:rsidRPr="00B15C35">
        <w:t xml:space="preserve">auditory </w:t>
      </w:r>
      <w:r w:rsidR="006B06E8" w:rsidRPr="00B15C35">
        <w:t>problems (</w:t>
      </w:r>
      <w:r w:rsidR="00F27934" w:rsidRPr="00B15C35">
        <w:t>3.6%</w:t>
      </w:r>
      <w:r w:rsidR="006B06E8" w:rsidRPr="00B15C35">
        <w:t>) and most attributed this to noise from</w:t>
      </w:r>
      <w:r w:rsidR="00F27934" w:rsidRPr="00B15C35">
        <w:t xml:space="preserve"> flow hood</w:t>
      </w:r>
      <w:r w:rsidR="006B06E8" w:rsidRPr="00B15C35">
        <w:t>s</w:t>
      </w:r>
      <w:r w:rsidR="00E34226" w:rsidRPr="00B15C35">
        <w:t>.</w:t>
      </w:r>
      <w:r w:rsidR="008A1ADD" w:rsidRPr="00B15C35">
        <w:t xml:space="preserve"> </w:t>
      </w:r>
      <w:r w:rsidR="00524C26" w:rsidRPr="00B15C35">
        <w:t xml:space="preserve">In the UK working population 2% experienced tinnitus and/or hearing loss. The incidence was </w:t>
      </w:r>
      <w:r w:rsidR="002607B7" w:rsidRPr="00B15C35">
        <w:t xml:space="preserve">greater </w:t>
      </w:r>
      <w:r w:rsidR="00524C26" w:rsidRPr="00B15C35">
        <w:t>with age</w:t>
      </w:r>
      <w:r w:rsidRPr="00B15C35">
        <w:t xml:space="preserve"> </w:t>
      </w:r>
      <w:r w:rsidR="002607B7" w:rsidRPr="00B15C35">
        <w:t xml:space="preserve">and </w:t>
      </w:r>
      <w:r w:rsidR="00524C26" w:rsidRPr="00B15C35">
        <w:t xml:space="preserve">exposure to high levels of noise (Palmer et al., 2002). </w:t>
      </w:r>
      <w:r w:rsidRPr="00B15C35">
        <w:t>S</w:t>
      </w:r>
      <w:r w:rsidR="00524C26" w:rsidRPr="00B15C35">
        <w:t xml:space="preserve">tudies </w:t>
      </w:r>
      <w:r w:rsidR="00E62EDF" w:rsidRPr="00B15C35">
        <w:t>demonstrate</w:t>
      </w:r>
      <w:r w:rsidR="00524C26" w:rsidRPr="00B15C35">
        <w:t xml:space="preserve"> noise-induced hearing loss </w:t>
      </w:r>
      <w:r w:rsidR="00E62EDF" w:rsidRPr="00B15C35">
        <w:t xml:space="preserve">(NIHL) </w:t>
      </w:r>
      <w:r w:rsidR="00524C26" w:rsidRPr="00B15C35">
        <w:t xml:space="preserve">in </w:t>
      </w:r>
      <w:r w:rsidR="00AB3A63" w:rsidRPr="00B15C35">
        <w:t>industrial</w:t>
      </w:r>
      <w:r w:rsidR="00524C26" w:rsidRPr="00B15C35">
        <w:t xml:space="preserve"> settings (Pelegrin et al., 2015), but limited research </w:t>
      </w:r>
      <w:r w:rsidRPr="00B15C35">
        <w:t>explores</w:t>
      </w:r>
      <w:r w:rsidR="00524C26" w:rsidRPr="00B15C35">
        <w:t xml:space="preserve"> comparable environments.</w:t>
      </w:r>
      <w:r w:rsidR="00E62EDF" w:rsidRPr="00B15C35">
        <w:t xml:space="preserve"> One study </w:t>
      </w:r>
      <w:r w:rsidR="00AB3A63" w:rsidRPr="00B15C35">
        <w:t>in</w:t>
      </w:r>
      <w:r w:rsidR="00E62EDF" w:rsidRPr="00B15C35">
        <w:t xml:space="preserve"> obstetrics (Fredriksson et al., 2015) found noise levels were high and</w:t>
      </w:r>
      <w:r w:rsidR="007714F0" w:rsidRPr="00B15C35">
        <w:t xml:space="preserve"> </w:t>
      </w:r>
      <w:r w:rsidR="00E62EDF" w:rsidRPr="00B15C35">
        <w:t>associated with</w:t>
      </w:r>
      <w:r w:rsidR="007714F0" w:rsidRPr="00B15C35">
        <w:t xml:space="preserve"> </w:t>
      </w:r>
      <w:r w:rsidR="00E62EDF" w:rsidRPr="00B15C35">
        <w:t>tinnitus and auditory fatigue</w:t>
      </w:r>
      <w:r w:rsidRPr="00B15C35">
        <w:t xml:space="preserve"> symptoms</w:t>
      </w:r>
      <w:r w:rsidR="00E62EDF" w:rsidRPr="00B15C35">
        <w:t>.</w:t>
      </w:r>
    </w:p>
    <w:p w14:paraId="1DB441ED" w14:textId="731D8B57" w:rsidR="0001497D" w:rsidRDefault="00E62EDF" w:rsidP="0042120E">
      <w:pPr>
        <w:pStyle w:val="Newparagraph"/>
        <w:jc w:val="both"/>
      </w:pPr>
      <w:r w:rsidRPr="00B15C35">
        <w:t>In addition to NIHL</w:t>
      </w:r>
      <w:r w:rsidR="00B53123" w:rsidRPr="00B15C35">
        <w:t xml:space="preserve"> and tinnitus</w:t>
      </w:r>
      <w:r w:rsidR="0070077F" w:rsidRPr="00B15C35">
        <w:t xml:space="preserve">, noise can have an impact on </w:t>
      </w:r>
      <w:r w:rsidR="00B53123" w:rsidRPr="00B15C35">
        <w:t xml:space="preserve">workplace </w:t>
      </w:r>
      <w:r w:rsidR="0070077F" w:rsidRPr="00B15C35">
        <w:t>stress</w:t>
      </w:r>
      <w:r w:rsidR="00343A8F" w:rsidRPr="00B15C35">
        <w:t xml:space="preserve"> </w:t>
      </w:r>
      <w:r w:rsidR="00B53123" w:rsidRPr="00B15C35">
        <w:t xml:space="preserve">since noise levels </w:t>
      </w:r>
      <w:r w:rsidR="00AB3A63" w:rsidRPr="00B15C35">
        <w:t>and</w:t>
      </w:r>
      <w:r w:rsidR="00B53123" w:rsidRPr="00B15C35">
        <w:t xml:space="preserve"> stress</w:t>
      </w:r>
      <w:r w:rsidR="00AB3A63" w:rsidRPr="00B15C35">
        <w:t xml:space="preserve"> are </w:t>
      </w:r>
      <w:r w:rsidR="002607B7" w:rsidRPr="00B15C35">
        <w:t>linked</w:t>
      </w:r>
      <w:r w:rsidR="00B53123" w:rsidRPr="00B15C35">
        <w:t xml:space="preserve"> </w:t>
      </w:r>
      <w:r w:rsidR="00343A8F" w:rsidRPr="00B15C35">
        <w:t>(Thach et al., 2020)</w:t>
      </w:r>
      <w:r w:rsidR="00B53123" w:rsidRPr="00B15C35">
        <w:t xml:space="preserve">. </w:t>
      </w:r>
      <w:r w:rsidR="002607B7" w:rsidRPr="00B15C35">
        <w:t>T</w:t>
      </w:r>
      <w:r w:rsidR="00B53123" w:rsidRPr="00B15C35">
        <w:t xml:space="preserve">here will be individual variability </w:t>
      </w:r>
      <w:r w:rsidR="002607B7" w:rsidRPr="00B15C35">
        <w:t>in</w:t>
      </w:r>
      <w:r w:rsidR="007714F0" w:rsidRPr="00B15C35">
        <w:t xml:space="preserve"> </w:t>
      </w:r>
      <w:r w:rsidR="00D523B6" w:rsidRPr="00B15C35">
        <w:t>thresholds of comfort</w:t>
      </w:r>
      <w:r w:rsidR="00B53123" w:rsidRPr="00B15C35">
        <w:t xml:space="preserve">, particularly for </w:t>
      </w:r>
      <w:r w:rsidR="00A918CD" w:rsidRPr="00B15C35">
        <w:t xml:space="preserve">those reproductive scientists who are </w:t>
      </w:r>
      <w:r w:rsidR="007C3873" w:rsidRPr="00B15C35">
        <w:t xml:space="preserve">neurodivergent </w:t>
      </w:r>
      <w:r w:rsidR="00B53123" w:rsidRPr="00B15C35">
        <w:t>(</w:t>
      </w:r>
      <w:r w:rsidR="00D67A1E" w:rsidRPr="00B15C35">
        <w:t>Khalfa</w:t>
      </w:r>
      <w:r w:rsidR="00F21ABF" w:rsidRPr="00B15C35">
        <w:t xml:space="preserve"> et al.</w:t>
      </w:r>
      <w:r w:rsidR="00D67A1E" w:rsidRPr="00B15C35">
        <w:t>, 2004</w:t>
      </w:r>
      <w:r w:rsidR="00B53123" w:rsidRPr="00B15C35">
        <w:t>).</w:t>
      </w:r>
    </w:p>
    <w:p w14:paraId="4F778968" w14:textId="77777777" w:rsidR="00A531BC" w:rsidRPr="00A531BC" w:rsidRDefault="00A531BC" w:rsidP="0042120E">
      <w:pPr>
        <w:pStyle w:val="Newparagraph"/>
        <w:ind w:firstLine="0"/>
        <w:jc w:val="both"/>
      </w:pPr>
    </w:p>
    <w:p w14:paraId="722BA8EA" w14:textId="77777777" w:rsidR="00D67A1E" w:rsidRPr="00A531BC" w:rsidRDefault="0001497D" w:rsidP="0042120E">
      <w:pPr>
        <w:pStyle w:val="Paragraph"/>
        <w:spacing w:before="0"/>
        <w:jc w:val="both"/>
        <w:rPr>
          <w:i/>
          <w:iCs/>
        </w:rPr>
      </w:pPr>
      <w:r w:rsidRPr="00A531BC">
        <w:rPr>
          <w:i/>
          <w:iCs/>
        </w:rPr>
        <w:t>Recommendations</w:t>
      </w:r>
    </w:p>
    <w:p w14:paraId="600B0D7B" w14:textId="0CACA584" w:rsidR="00E34226" w:rsidRDefault="00F11BAC" w:rsidP="0042120E">
      <w:pPr>
        <w:pStyle w:val="Paragraph"/>
        <w:spacing w:before="0" w:afterLines="60" w:after="144"/>
        <w:jc w:val="both"/>
      </w:pPr>
      <w:r w:rsidRPr="00A531BC">
        <w:t>The Control of Noise at Work Regulations (2005)</w:t>
      </w:r>
      <w:r w:rsidR="001F0D9A" w:rsidRPr="00A531BC">
        <w:t xml:space="preserve"> </w:t>
      </w:r>
      <w:r w:rsidR="00D67A1E" w:rsidRPr="00A531BC">
        <w:t xml:space="preserve">requires hearing protection if </w:t>
      </w:r>
      <w:r w:rsidR="001F0D9A" w:rsidRPr="00B15C35">
        <w:t xml:space="preserve">average </w:t>
      </w:r>
      <w:r w:rsidR="00D67A1E" w:rsidRPr="00B15C35">
        <w:lastRenderedPageBreak/>
        <w:t xml:space="preserve">noise </w:t>
      </w:r>
      <w:r w:rsidR="001F0D9A" w:rsidRPr="00B15C35">
        <w:t xml:space="preserve">exposure </w:t>
      </w:r>
      <w:r w:rsidR="00D67A1E" w:rsidRPr="00B15C35">
        <w:t>reaches</w:t>
      </w:r>
      <w:r w:rsidR="001F0D9A" w:rsidRPr="00B15C35">
        <w:t xml:space="preserve"> 80dB, </w:t>
      </w:r>
      <w:r w:rsidR="00D67A1E" w:rsidRPr="00B15C35">
        <w:t xml:space="preserve">or if noise level </w:t>
      </w:r>
      <w:r w:rsidR="001F0D9A" w:rsidRPr="00B15C35">
        <w:t>peak</w:t>
      </w:r>
      <w:r w:rsidR="00D67A1E" w:rsidRPr="00B15C35">
        <w:t>s reach</w:t>
      </w:r>
      <w:r w:rsidR="001F0D9A" w:rsidRPr="00B15C35">
        <w:t xml:space="preserve"> 135dB.</w:t>
      </w:r>
      <w:r w:rsidR="00D67A1E" w:rsidRPr="00B15C35">
        <w:t xml:space="preserve"> </w:t>
      </w:r>
      <w:r w:rsidR="009528A8" w:rsidRPr="00B15C35">
        <w:t>Hearing</w:t>
      </w:r>
      <w:r w:rsidR="00E22473" w:rsidRPr="00B15C35">
        <w:t xml:space="preserve"> protection </w:t>
      </w:r>
      <w:r w:rsidR="002607B7" w:rsidRPr="00B15C35">
        <w:t xml:space="preserve">(ear plugs or muffs) </w:t>
      </w:r>
      <w:r w:rsidR="006E372F" w:rsidRPr="00B15C35">
        <w:t>may</w:t>
      </w:r>
      <w:r w:rsidR="00E22473" w:rsidRPr="00B15C35">
        <w:t xml:space="preserve"> help</w:t>
      </w:r>
      <w:r w:rsidR="00D67A1E" w:rsidRPr="00B15C35">
        <w:t xml:space="preserve"> prevent NIHL</w:t>
      </w:r>
      <w:r w:rsidR="00E22473" w:rsidRPr="00B15C35">
        <w:t xml:space="preserve">, </w:t>
      </w:r>
      <w:r w:rsidR="002607B7" w:rsidRPr="00B15C35">
        <w:t>when used</w:t>
      </w:r>
      <w:r w:rsidR="00E22473" w:rsidRPr="00B15C35">
        <w:t xml:space="preserve"> effectively (</w:t>
      </w:r>
      <w:r w:rsidR="00D67A1E" w:rsidRPr="00B15C35">
        <w:t>T</w:t>
      </w:r>
      <w:r w:rsidR="006E372F" w:rsidRPr="00B15C35">
        <w:t>ikka et al</w:t>
      </w:r>
      <w:r w:rsidR="00D67A1E" w:rsidRPr="00B15C35">
        <w:t>.,</w:t>
      </w:r>
      <w:r w:rsidR="006E372F" w:rsidRPr="00B15C35">
        <w:t xml:space="preserve"> 20</w:t>
      </w:r>
      <w:r w:rsidR="002E3A04">
        <w:t>20</w:t>
      </w:r>
      <w:r w:rsidR="00E22473" w:rsidRPr="00B15C35">
        <w:t>)</w:t>
      </w:r>
      <w:r w:rsidR="002607B7" w:rsidRPr="00B15C35">
        <w:t xml:space="preserve"> but should</w:t>
      </w:r>
      <w:r w:rsidR="00D24EA1" w:rsidRPr="00941502">
        <w:t xml:space="preserve"> </w:t>
      </w:r>
      <w:r w:rsidR="002607B7" w:rsidRPr="00941502">
        <w:t>follow</w:t>
      </w:r>
      <w:r w:rsidR="00D24EA1" w:rsidRPr="00941502">
        <w:t xml:space="preserve"> risk</w:t>
      </w:r>
      <w:r w:rsidR="002607B7" w:rsidRPr="00A531BC">
        <w:t xml:space="preserve"> assessment of</w:t>
      </w:r>
      <w:r w:rsidR="00D24EA1" w:rsidRPr="00A531BC">
        <w:t xml:space="preserve"> reduced hearing in the laboratory</w:t>
      </w:r>
      <w:r w:rsidR="00D67A1E" w:rsidRPr="00A531BC">
        <w:t xml:space="preserve">. </w:t>
      </w:r>
      <w:r w:rsidR="00D24EA1" w:rsidRPr="00A531BC">
        <w:t xml:space="preserve">Where possible, consideration </w:t>
      </w:r>
      <w:r w:rsidR="002607B7" w:rsidRPr="00B15C35">
        <w:t>of</w:t>
      </w:r>
      <w:r w:rsidR="00D24EA1" w:rsidRPr="00B15C35">
        <w:t xml:space="preserve"> noise should be made </w:t>
      </w:r>
      <w:r w:rsidR="002607B7" w:rsidRPr="00B15C35">
        <w:t>in</w:t>
      </w:r>
      <w:r w:rsidR="00D24EA1" w:rsidRPr="00B15C35">
        <w:t xml:space="preserve"> equipment </w:t>
      </w:r>
      <w:r w:rsidR="002607B7" w:rsidRPr="00B15C35">
        <w:t>and</w:t>
      </w:r>
      <w:r w:rsidR="00D24EA1" w:rsidRPr="00B15C35">
        <w:t xml:space="preserve"> laboratory </w:t>
      </w:r>
      <w:r w:rsidR="002607B7" w:rsidRPr="00B15C35">
        <w:t>design</w:t>
      </w:r>
      <w:r w:rsidR="00D24EA1" w:rsidRPr="00B15C35">
        <w:t xml:space="preserve">. </w:t>
      </w:r>
      <w:r w:rsidR="00D67A1E" w:rsidRPr="00B15C35">
        <w:t xml:space="preserve">Centres should ideally measure noise levels, and </w:t>
      </w:r>
      <w:r w:rsidR="00AB3A63" w:rsidRPr="00B15C35">
        <w:t>honour</w:t>
      </w:r>
      <w:r w:rsidR="00D67A1E" w:rsidRPr="00B15C35">
        <w:t xml:space="preserve"> requests for ear protection, especially </w:t>
      </w:r>
      <w:r w:rsidR="009528A8" w:rsidRPr="00B15C35">
        <w:t>given</w:t>
      </w:r>
      <w:r w:rsidR="00D67A1E" w:rsidRPr="00B15C35">
        <w:t xml:space="preserve"> noise </w:t>
      </w:r>
      <w:r w:rsidR="002607B7" w:rsidRPr="00B15C35">
        <w:t>is</w:t>
      </w:r>
      <w:r w:rsidR="00D67A1E" w:rsidRPr="00B15C35">
        <w:t xml:space="preserve"> a</w:t>
      </w:r>
      <w:r w:rsidR="007714F0" w:rsidRPr="00B15C35">
        <w:t xml:space="preserve"> </w:t>
      </w:r>
      <w:r w:rsidR="00D67A1E" w:rsidRPr="00B15C35">
        <w:t xml:space="preserve">contributor to workplace stress, and comfort </w:t>
      </w:r>
      <w:r w:rsidR="000C3F06" w:rsidRPr="00B15C35">
        <w:t>thresholds are</w:t>
      </w:r>
      <w:r w:rsidR="00D67A1E" w:rsidRPr="00B15C35">
        <w:t xml:space="preserve"> </w:t>
      </w:r>
      <w:r w:rsidR="00AB3A63" w:rsidRPr="00B15C35">
        <w:t>subjective</w:t>
      </w:r>
      <w:r w:rsidR="00D67A1E" w:rsidRPr="00B15C35">
        <w:t>.</w:t>
      </w:r>
    </w:p>
    <w:p w14:paraId="0A56F967" w14:textId="77777777" w:rsidR="00A531BC" w:rsidRPr="002E3A04" w:rsidRDefault="00A531BC" w:rsidP="002E3A04">
      <w:pPr>
        <w:jc w:val="both"/>
        <w:rPr>
          <w:i/>
          <w:iCs/>
        </w:rPr>
      </w:pPr>
    </w:p>
    <w:p w14:paraId="72CA40A9" w14:textId="1668B8B2" w:rsidR="00F15E36" w:rsidRPr="00542B34" w:rsidRDefault="00F15E36" w:rsidP="002E3A04">
      <w:pPr>
        <w:jc w:val="both"/>
        <w:rPr>
          <w:i/>
          <w:iCs/>
        </w:rPr>
      </w:pPr>
      <w:r w:rsidRPr="00A531BC">
        <w:rPr>
          <w:i/>
          <w:iCs/>
        </w:rPr>
        <w:t xml:space="preserve">Problems arising from </w:t>
      </w:r>
      <w:r w:rsidR="002C3FB1">
        <w:rPr>
          <w:i/>
          <w:iCs/>
        </w:rPr>
        <w:t>n</w:t>
      </w:r>
      <w:r w:rsidRPr="00A531BC">
        <w:rPr>
          <w:i/>
          <w:iCs/>
        </w:rPr>
        <w:t xml:space="preserve">eedlestick </w:t>
      </w:r>
      <w:r w:rsidR="002C3FB1">
        <w:rPr>
          <w:i/>
          <w:iCs/>
        </w:rPr>
        <w:t>i</w:t>
      </w:r>
      <w:r w:rsidRPr="00A531BC">
        <w:rPr>
          <w:i/>
          <w:iCs/>
        </w:rPr>
        <w:t>njur</w:t>
      </w:r>
      <w:r w:rsidR="002C3FB1">
        <w:rPr>
          <w:i/>
          <w:iCs/>
        </w:rPr>
        <w:t>y (NSI)</w:t>
      </w:r>
    </w:p>
    <w:p w14:paraId="6FF860DB" w14:textId="4D8B12CA" w:rsidR="00EF53F5" w:rsidRDefault="00A818B0">
      <w:pPr>
        <w:pStyle w:val="Newparagraph"/>
        <w:ind w:firstLine="0"/>
        <w:jc w:val="both"/>
      </w:pPr>
      <w:r w:rsidRPr="00B15C35">
        <w:t xml:space="preserve">NSI </w:t>
      </w:r>
      <w:r w:rsidR="00854C81" w:rsidRPr="00B15C35">
        <w:t>w</w:t>
      </w:r>
      <w:r w:rsidR="002C3FB1">
        <w:t>as</w:t>
      </w:r>
      <w:r w:rsidRPr="00B15C35">
        <w:t xml:space="preserve"> problematic for</w:t>
      </w:r>
      <w:r w:rsidR="00C46435" w:rsidRPr="00B15C35">
        <w:t xml:space="preserve"> 3.1%</w:t>
      </w:r>
      <w:r w:rsidRPr="00B15C35">
        <w:t xml:space="preserve"> of respondents. </w:t>
      </w:r>
      <w:r w:rsidR="00EF53F5" w:rsidRPr="00B15C35">
        <w:t xml:space="preserve">In a meta-analysis of healthcare workers </w:t>
      </w:r>
      <w:bookmarkStart w:id="2" w:name="_Hlk42702045"/>
      <w:r w:rsidR="00EF53F5" w:rsidRPr="00B15C35">
        <w:t>(Cooke &amp; Stephens, 2017)</w:t>
      </w:r>
      <w:r w:rsidR="002C3FB1">
        <w:t>,</w:t>
      </w:r>
      <w:r w:rsidR="00EF53F5" w:rsidRPr="00B15C35">
        <w:t xml:space="preserve"> </w:t>
      </w:r>
      <w:bookmarkEnd w:id="2"/>
      <w:r w:rsidRPr="00B15C35">
        <w:t>14.9%-64.9%</w:t>
      </w:r>
      <w:r w:rsidR="00EF53F5" w:rsidRPr="00B15C35">
        <w:t xml:space="preserve"> were affected</w:t>
      </w:r>
      <w:r w:rsidRPr="00B15C35">
        <w:t xml:space="preserve">. </w:t>
      </w:r>
      <w:r w:rsidR="00EF53F5" w:rsidRPr="00B15C35">
        <w:t xml:space="preserve">NSI can transmit blood borne viruses and </w:t>
      </w:r>
      <w:r w:rsidR="007714F0" w:rsidRPr="00B15C35">
        <w:t xml:space="preserve">can </w:t>
      </w:r>
      <w:r w:rsidR="00EF53F5" w:rsidRPr="00B15C35">
        <w:t xml:space="preserve">be associated with anxiety and depression. </w:t>
      </w:r>
      <w:r w:rsidR="003F411A" w:rsidRPr="00B15C35">
        <w:t xml:space="preserve">Limited research </w:t>
      </w:r>
      <w:r w:rsidR="004354A6" w:rsidRPr="00B15C35">
        <w:t>into</w:t>
      </w:r>
      <w:r w:rsidR="003F411A" w:rsidRPr="00B15C35">
        <w:t xml:space="preserve"> NSI outside a </w:t>
      </w:r>
      <w:r w:rsidR="004354A6" w:rsidRPr="00B15C35">
        <w:t xml:space="preserve">medical </w:t>
      </w:r>
      <w:r w:rsidR="003F411A" w:rsidRPr="00B15C35">
        <w:t>setting shows laboratory staff</w:t>
      </w:r>
      <w:r w:rsidR="004354A6" w:rsidRPr="00B15C35">
        <w:t xml:space="preserve"> are vulnerable</w:t>
      </w:r>
      <w:r w:rsidR="003F411A" w:rsidRPr="00B15C35">
        <w:t xml:space="preserve"> </w:t>
      </w:r>
      <w:r w:rsidR="002361F9" w:rsidRPr="00B15C35">
        <w:t xml:space="preserve">(Al-Abhar et al., 2020; </w:t>
      </w:r>
      <w:r w:rsidR="003F411A" w:rsidRPr="00B15C35">
        <w:t>De Carli</w:t>
      </w:r>
      <w:r w:rsidR="002361F9" w:rsidRPr="00B15C35">
        <w:t xml:space="preserve"> et al., 2014</w:t>
      </w:r>
      <w:r w:rsidR="003F411A" w:rsidRPr="00B15C35">
        <w:t xml:space="preserve">). </w:t>
      </w:r>
      <w:r w:rsidR="00EF53F5" w:rsidRPr="00B15C35">
        <w:t xml:space="preserve">Risks </w:t>
      </w:r>
      <w:r w:rsidR="003F411A" w:rsidRPr="00B15C35">
        <w:t xml:space="preserve">associated with NSI </w:t>
      </w:r>
      <w:r w:rsidR="00EF53F5" w:rsidRPr="00B15C35">
        <w:t>are reduced by using safety devices, improving procedures and reducing workplace stress</w:t>
      </w:r>
      <w:r w:rsidR="003F411A" w:rsidRPr="00B15C35">
        <w:t xml:space="preserve"> (Cooke &amp; Stephens, 2017)</w:t>
      </w:r>
      <w:r w:rsidR="00EF53F5" w:rsidRPr="00B15C35">
        <w:t>.</w:t>
      </w:r>
    </w:p>
    <w:p w14:paraId="054747E2" w14:textId="77777777" w:rsidR="002C3FB1" w:rsidRPr="00B15C35" w:rsidRDefault="002C3FB1" w:rsidP="002E3A04">
      <w:pPr>
        <w:pStyle w:val="Newparagraph"/>
        <w:ind w:firstLine="0"/>
        <w:jc w:val="both"/>
      </w:pPr>
    </w:p>
    <w:p w14:paraId="267027AF" w14:textId="0F02F12F" w:rsidR="0001497D" w:rsidRPr="00B15C35" w:rsidRDefault="0001497D" w:rsidP="002E3A04">
      <w:pPr>
        <w:pStyle w:val="Paragraph"/>
        <w:spacing w:before="0"/>
        <w:jc w:val="both"/>
        <w:rPr>
          <w:i/>
          <w:iCs/>
        </w:rPr>
      </w:pPr>
      <w:r w:rsidRPr="00B15C35">
        <w:rPr>
          <w:i/>
          <w:iCs/>
        </w:rPr>
        <w:t>Recommendations</w:t>
      </w:r>
    </w:p>
    <w:p w14:paraId="18C4A9B5" w14:textId="129CA7D0" w:rsidR="00431230" w:rsidRPr="00B15C35" w:rsidRDefault="00D4629F" w:rsidP="002E3A04">
      <w:pPr>
        <w:pStyle w:val="Newparagraph"/>
        <w:ind w:firstLine="0"/>
        <w:jc w:val="both"/>
      </w:pPr>
      <w:r w:rsidRPr="00B15C35">
        <w:t xml:space="preserve">Whilst rates of NSI for reproductive scientists </w:t>
      </w:r>
      <w:r w:rsidR="005A01FF" w:rsidRPr="00B15C35">
        <w:t>are</w:t>
      </w:r>
      <w:r w:rsidRPr="00B15C35">
        <w:t xml:space="preserve"> low, it is still a priority to minimise risk </w:t>
      </w:r>
      <w:r w:rsidR="00854C81" w:rsidRPr="00B15C35">
        <w:t>due to the potential for transmission of</w:t>
      </w:r>
      <w:r w:rsidRPr="00B15C35">
        <w:t xml:space="preserve"> infection.</w:t>
      </w:r>
      <w:bookmarkStart w:id="3" w:name="_Hlk41828178"/>
      <w:r w:rsidRPr="00B15C35">
        <w:t xml:space="preserve"> </w:t>
      </w:r>
      <w:r w:rsidR="00854C81" w:rsidRPr="00B15C35">
        <w:t>Where possible</w:t>
      </w:r>
      <w:r w:rsidR="003F411A" w:rsidRPr="00B15C35">
        <w:t>,</w:t>
      </w:r>
      <w:r w:rsidR="00854C81" w:rsidRPr="00B15C35">
        <w:t xml:space="preserve"> safer alternatives should be used</w:t>
      </w:r>
      <w:r w:rsidR="003F411A" w:rsidRPr="00B15C35">
        <w:t xml:space="preserve"> and</w:t>
      </w:r>
      <w:r w:rsidR="00854C81" w:rsidRPr="00B15C35">
        <w:t xml:space="preserve"> all essential</w:t>
      </w:r>
      <w:r w:rsidR="00431230" w:rsidRPr="00B15C35">
        <w:t xml:space="preserve"> uses of glass pipettes/micropipettes, hypodermic syringes or scalpels/blades risk</w:t>
      </w:r>
      <w:r w:rsidR="002C3FB1">
        <w:t xml:space="preserve"> </w:t>
      </w:r>
      <w:r w:rsidR="00431230" w:rsidRPr="00B15C35">
        <w:t>assessed</w:t>
      </w:r>
      <w:r w:rsidR="00C2059C" w:rsidRPr="00B15C35">
        <w:t>.</w:t>
      </w:r>
      <w:r w:rsidR="00431230" w:rsidRPr="00B15C35">
        <w:t xml:space="preserve"> </w:t>
      </w:r>
      <w:r w:rsidR="00854C81" w:rsidRPr="00B15C35">
        <w:t>There</w:t>
      </w:r>
      <w:r w:rsidR="00C2059C" w:rsidRPr="00B15C35">
        <w:t xml:space="preserve"> must be </w:t>
      </w:r>
      <w:r w:rsidR="00854C81" w:rsidRPr="00B15C35">
        <w:t>adequate</w:t>
      </w:r>
      <w:r w:rsidR="00C2059C" w:rsidRPr="00B15C35">
        <w:t xml:space="preserve"> disposal </w:t>
      </w:r>
      <w:r w:rsidR="00854C81" w:rsidRPr="00B15C35">
        <w:t>facilities</w:t>
      </w:r>
      <w:r w:rsidR="00D24EA1" w:rsidRPr="00B15C35">
        <w:t>.</w:t>
      </w:r>
      <w:r w:rsidR="00C2059C" w:rsidRPr="00B15C35">
        <w:t xml:space="preserve"> </w:t>
      </w:r>
      <w:r w:rsidR="00D24EA1" w:rsidRPr="00B15C35">
        <w:t>W</w:t>
      </w:r>
      <w:r w:rsidR="00A3234A" w:rsidRPr="00B15C35">
        <w:t>ork</w:t>
      </w:r>
      <w:r w:rsidR="004354A6" w:rsidRPr="00B15C35">
        <w:t>-</w:t>
      </w:r>
      <w:r w:rsidR="00854C81" w:rsidRPr="00B15C35">
        <w:t>pace</w:t>
      </w:r>
      <w:r w:rsidR="00A3234A" w:rsidRPr="00B15C35">
        <w:t xml:space="preserve"> should be managed </w:t>
      </w:r>
      <w:r w:rsidR="00D24EA1" w:rsidRPr="00B15C35">
        <w:t xml:space="preserve">and distractions minimised </w:t>
      </w:r>
      <w:r w:rsidR="00A3234A" w:rsidRPr="00B15C35">
        <w:t xml:space="preserve">to </w:t>
      </w:r>
      <w:r w:rsidR="00854C81" w:rsidRPr="00B15C35">
        <w:t>allow</w:t>
      </w:r>
      <w:r w:rsidR="00A3234A" w:rsidRPr="00B15C35">
        <w:t xml:space="preserve"> due care and attention</w:t>
      </w:r>
      <w:r w:rsidR="005A01FF" w:rsidRPr="00B15C35">
        <w:t xml:space="preserve"> during all procedures</w:t>
      </w:r>
      <w:r w:rsidR="00C2059C" w:rsidRPr="00B15C35">
        <w:t>.</w:t>
      </w:r>
    </w:p>
    <w:p w14:paraId="59670776" w14:textId="20F6AF4D" w:rsidR="00085605" w:rsidRDefault="004354A6" w:rsidP="002E3A04">
      <w:pPr>
        <w:pStyle w:val="Newparagraph"/>
        <w:jc w:val="both"/>
      </w:pPr>
      <w:r w:rsidRPr="00B15C35">
        <w:t>Under T</w:t>
      </w:r>
      <w:r w:rsidR="00D4629F" w:rsidRPr="00B15C35">
        <w:t>he Health and Safety (Sharp Instruments in Healthcare) Regulations (2013)</w:t>
      </w:r>
      <w:bookmarkEnd w:id="3"/>
      <w:r w:rsidRPr="00B15C35">
        <w:t>,</w:t>
      </w:r>
      <w:r w:rsidR="00D4629F" w:rsidRPr="00B15C35">
        <w:t xml:space="preserve"> </w:t>
      </w:r>
      <w:r w:rsidRPr="00B15C35">
        <w:t>c</w:t>
      </w:r>
      <w:r w:rsidR="00854C81" w:rsidRPr="00B15C35">
        <w:t>linics have</w:t>
      </w:r>
      <w:r w:rsidR="00D4629F" w:rsidRPr="00B15C35">
        <w:t xml:space="preserve"> an obligation to provide training and safety equipment and to only use a sharp where there is no alternative. Employees must report NSI to their employer, </w:t>
      </w:r>
      <w:r w:rsidR="00D4629F" w:rsidRPr="00B15C35">
        <w:lastRenderedPageBreak/>
        <w:t xml:space="preserve">who must document and investigate </w:t>
      </w:r>
      <w:r w:rsidR="00431230" w:rsidRPr="00B15C35">
        <w:t xml:space="preserve">the incident; </w:t>
      </w:r>
      <w:r w:rsidR="00D4629F" w:rsidRPr="00B15C35">
        <w:t xml:space="preserve">and where relevant </w:t>
      </w:r>
      <w:r w:rsidR="00431230" w:rsidRPr="00B15C35">
        <w:t>o</w:t>
      </w:r>
      <w:r w:rsidR="00D4629F" w:rsidRPr="00B15C35">
        <w:t xml:space="preserve">ffer medical advice, prophylaxis and counselling. </w:t>
      </w:r>
      <w:r w:rsidR="00431230" w:rsidRPr="00B15C35">
        <w:t xml:space="preserve">The Control of Substances Hazardous to Health Regulations (2002) dictate that </w:t>
      </w:r>
      <w:r w:rsidRPr="00B15C35">
        <w:t xml:space="preserve">employers should offer vaccination </w:t>
      </w:r>
      <w:r w:rsidR="00431230" w:rsidRPr="00B15C35">
        <w:t>where a vaccine exists</w:t>
      </w:r>
      <w:r w:rsidRPr="00B15C35">
        <w:t xml:space="preserve"> and there is risk of occupational </w:t>
      </w:r>
      <w:r w:rsidR="00D4629F" w:rsidRPr="00B15C35">
        <w:t xml:space="preserve">exposure to </w:t>
      </w:r>
      <w:r w:rsidRPr="00B15C35">
        <w:t>the corresponding</w:t>
      </w:r>
      <w:r w:rsidR="00D4629F" w:rsidRPr="00B15C35">
        <w:t xml:space="preserve"> biological agent. </w:t>
      </w:r>
      <w:bookmarkStart w:id="4" w:name="_Hlk41828084"/>
      <w:r w:rsidR="00431230" w:rsidRPr="00B15C35">
        <w:t>HCPC registered Clinical Scientists are obliged to be aware of immunisation requirements (HCPC, 2014)</w:t>
      </w:r>
      <w:r w:rsidR="00A531BC">
        <w:t>.</w:t>
      </w:r>
      <w:bookmarkEnd w:id="4"/>
    </w:p>
    <w:p w14:paraId="0D028F44" w14:textId="77777777" w:rsidR="00A531BC" w:rsidRPr="00A531BC" w:rsidRDefault="00A531BC" w:rsidP="002E3A04">
      <w:pPr>
        <w:pStyle w:val="Newparagraph"/>
        <w:ind w:firstLine="0"/>
        <w:jc w:val="both"/>
      </w:pPr>
    </w:p>
    <w:p w14:paraId="484FE6CF" w14:textId="3EF40270" w:rsidR="00F15E36" w:rsidRPr="00542B34" w:rsidRDefault="00F15E36" w:rsidP="002E3A04">
      <w:pPr>
        <w:jc w:val="both"/>
        <w:rPr>
          <w:i/>
          <w:iCs/>
        </w:rPr>
      </w:pPr>
      <w:r w:rsidRPr="00D64AA2">
        <w:rPr>
          <w:i/>
          <w:iCs/>
        </w:rPr>
        <w:t>Injury as</w:t>
      </w:r>
      <w:r w:rsidRPr="00542B34">
        <w:rPr>
          <w:i/>
          <w:iCs/>
        </w:rPr>
        <w:t xml:space="preserve">sociated with </w:t>
      </w:r>
      <w:r w:rsidR="002C3FB1">
        <w:rPr>
          <w:i/>
          <w:iCs/>
        </w:rPr>
        <w:t>l</w:t>
      </w:r>
      <w:r w:rsidRPr="00542B34">
        <w:rPr>
          <w:i/>
          <w:iCs/>
        </w:rPr>
        <w:t xml:space="preserve">iquid </w:t>
      </w:r>
      <w:r w:rsidR="002C3FB1">
        <w:rPr>
          <w:i/>
          <w:iCs/>
        </w:rPr>
        <w:t>n</w:t>
      </w:r>
      <w:r w:rsidRPr="00542B34">
        <w:rPr>
          <w:i/>
          <w:iCs/>
        </w:rPr>
        <w:t xml:space="preserve">itrogen </w:t>
      </w:r>
    </w:p>
    <w:p w14:paraId="6FF0F777" w14:textId="4631A18D" w:rsidR="007237BC" w:rsidRPr="00B15C35" w:rsidRDefault="00A4173E" w:rsidP="002E3A04">
      <w:pPr>
        <w:pStyle w:val="Paragraph"/>
        <w:spacing w:before="0"/>
        <w:jc w:val="both"/>
      </w:pPr>
      <w:r w:rsidRPr="00B15C35">
        <w:t>Liquid nitrogen is a serious hazard and has caused death by asphyxiation of workers whilst decanting (Kim &amp; Lee, 2008) or transporting (Lo Faro et al., 2019).</w:t>
      </w:r>
      <w:r w:rsidR="00B14236" w:rsidRPr="00B15C35">
        <w:t xml:space="preserve"> It can also cause serious </w:t>
      </w:r>
      <w:r w:rsidR="00515485" w:rsidRPr="00B15C35">
        <w:t>cryo-</w:t>
      </w:r>
      <w:r w:rsidR="007237BC" w:rsidRPr="00B15C35">
        <w:t>trauma</w:t>
      </w:r>
      <w:r w:rsidR="00515485" w:rsidRPr="00B15C35">
        <w:t xml:space="preserve"> </w:t>
      </w:r>
      <w:r w:rsidR="00B14236" w:rsidRPr="00B15C35">
        <w:t>leading to amputation</w:t>
      </w:r>
      <w:r w:rsidR="002B41D3" w:rsidRPr="00B15C35">
        <w:t>s</w:t>
      </w:r>
      <w:r w:rsidR="00B14236" w:rsidRPr="00B15C35">
        <w:t xml:space="preserve"> (</w:t>
      </w:r>
      <w:r w:rsidR="00515485" w:rsidRPr="00B15C35">
        <w:t>Leu &amp; Clodius, 1989</w:t>
      </w:r>
      <w:r w:rsidR="00B14236" w:rsidRPr="00B15C35">
        <w:t>).</w:t>
      </w:r>
    </w:p>
    <w:p w14:paraId="72A37F76" w14:textId="5745AC8C" w:rsidR="00F92629" w:rsidRDefault="00F92629">
      <w:pPr>
        <w:pStyle w:val="Paragraph"/>
        <w:spacing w:before="0"/>
        <w:ind w:firstLine="720"/>
        <w:jc w:val="both"/>
      </w:pPr>
      <w:r w:rsidRPr="00B15C35">
        <w:t>Frostbite, dry</w:t>
      </w:r>
      <w:r w:rsidR="002B41D3" w:rsidRPr="00B15C35">
        <w:t>/</w:t>
      </w:r>
      <w:r w:rsidRPr="00B15C35">
        <w:t>sore skin and loss of</w:t>
      </w:r>
      <w:r w:rsidR="002B41D3" w:rsidRPr="00B15C35">
        <w:t xml:space="preserve"> fingertip</w:t>
      </w:r>
      <w:r w:rsidRPr="00B15C35">
        <w:t xml:space="preserve"> were reported by respondents, with 3.1% affected by incidents related to</w:t>
      </w:r>
      <w:r w:rsidR="005A01FF" w:rsidRPr="00B15C35">
        <w:t xml:space="preserve"> the use of</w:t>
      </w:r>
      <w:r w:rsidRPr="00B15C35">
        <w:t xml:space="preserve"> liquid nitrogen. These involved </w:t>
      </w:r>
      <w:r w:rsidR="002B41D3" w:rsidRPr="00B15C35">
        <w:t xml:space="preserve">direct exposure, </w:t>
      </w:r>
      <w:r w:rsidRPr="00B15C35">
        <w:t>touching cooled items</w:t>
      </w:r>
      <w:r w:rsidR="002B41D3" w:rsidRPr="00B15C35">
        <w:t>,</w:t>
      </w:r>
      <w:r w:rsidRPr="00B15C35">
        <w:t xml:space="preserve"> or exploding cryodevices.</w:t>
      </w:r>
    </w:p>
    <w:p w14:paraId="26F95FD6" w14:textId="77777777" w:rsidR="00F64850" w:rsidRPr="00F64850" w:rsidRDefault="00F64850" w:rsidP="002E3A04">
      <w:pPr>
        <w:pStyle w:val="Newparagraph"/>
        <w:ind w:firstLine="0"/>
      </w:pPr>
    </w:p>
    <w:p w14:paraId="798221B6" w14:textId="77777777" w:rsidR="0001497D" w:rsidRPr="00B15C35" w:rsidRDefault="0001497D" w:rsidP="002E3A04">
      <w:pPr>
        <w:pStyle w:val="Paragraph"/>
        <w:spacing w:before="0"/>
        <w:jc w:val="both"/>
        <w:rPr>
          <w:i/>
          <w:iCs/>
        </w:rPr>
      </w:pPr>
      <w:r w:rsidRPr="00B15C35">
        <w:rPr>
          <w:i/>
          <w:iCs/>
        </w:rPr>
        <w:t>Recommendations</w:t>
      </w:r>
    </w:p>
    <w:p w14:paraId="7905B9B6" w14:textId="5EE8919F" w:rsidR="0070647C" w:rsidRDefault="00DF589B" w:rsidP="002E3A04">
      <w:pPr>
        <w:pStyle w:val="Newparagraph"/>
        <w:ind w:firstLine="0"/>
        <w:jc w:val="both"/>
      </w:pPr>
      <w:r w:rsidRPr="00B15C35">
        <w:t xml:space="preserve">UK legislation </w:t>
      </w:r>
      <w:r w:rsidR="005471FC" w:rsidRPr="00B15C35">
        <w:t>requires</w:t>
      </w:r>
      <w:r w:rsidRPr="00B15C35">
        <w:t xml:space="preserve"> the risks associated with the use of liquid nitrogen are assessed and controlled (</w:t>
      </w:r>
      <w:r w:rsidR="005471FC" w:rsidRPr="00B15C35">
        <w:t>The Control of Substances Hazardous to Health Regulations, 2002</w:t>
      </w:r>
      <w:r w:rsidRPr="00B15C35">
        <w:t xml:space="preserve">) and that suitable </w:t>
      </w:r>
      <w:r w:rsidR="007237BC" w:rsidRPr="00B15C35">
        <w:t>Personal Protective Equipment (</w:t>
      </w:r>
      <w:r w:rsidRPr="00B15C35">
        <w:t>PPE</w:t>
      </w:r>
      <w:r w:rsidR="007237BC" w:rsidRPr="00B15C35">
        <w:t>)</w:t>
      </w:r>
      <w:r w:rsidRPr="00B15C35">
        <w:t xml:space="preserve"> is provided, maintained and used (</w:t>
      </w:r>
      <w:r w:rsidR="005471FC" w:rsidRPr="00B15C35">
        <w:t xml:space="preserve">The </w:t>
      </w:r>
      <w:r w:rsidR="002361F9" w:rsidRPr="00B15C35">
        <w:t>Personal Protective Equipment</w:t>
      </w:r>
      <w:r w:rsidR="005471FC" w:rsidRPr="00B15C35">
        <w:t xml:space="preserve"> at Work Regulations, 1992</w:t>
      </w:r>
      <w:r w:rsidRPr="00B15C35">
        <w:t>).</w:t>
      </w:r>
      <w:r w:rsidR="005471FC" w:rsidRPr="00B15C35">
        <w:t xml:space="preserve"> Detailed recommendations were given by ACE (Hughes, 2012) stating that a separate, well ventilated, secure cryo</w:t>
      </w:r>
      <w:r w:rsidR="000424D4" w:rsidRPr="00B15C35">
        <w:t>-</w:t>
      </w:r>
      <w:r w:rsidR="005471FC" w:rsidRPr="00B15C35">
        <w:t xml:space="preserve">facility is required, with safe delivery of liquid nitrogen and </w:t>
      </w:r>
      <w:r w:rsidR="000424D4" w:rsidRPr="00B15C35">
        <w:t xml:space="preserve">a </w:t>
      </w:r>
      <w:r w:rsidR="005471FC" w:rsidRPr="00B15C35">
        <w:t xml:space="preserve">low oxygen detection system. The recommendations also </w:t>
      </w:r>
      <w:r w:rsidR="005A01FF" w:rsidRPr="00B15C35">
        <w:t xml:space="preserve">reinforce </w:t>
      </w:r>
      <w:r w:rsidR="005471FC" w:rsidRPr="00B15C35">
        <w:t>the importance of training and PPE.</w:t>
      </w:r>
    </w:p>
    <w:p w14:paraId="1B277354" w14:textId="77777777" w:rsidR="00D64AA2" w:rsidRPr="00D64AA2" w:rsidRDefault="00D64AA2" w:rsidP="002E3A04">
      <w:pPr>
        <w:pStyle w:val="Newparagraph"/>
        <w:ind w:firstLine="0"/>
        <w:jc w:val="both"/>
      </w:pPr>
    </w:p>
    <w:p w14:paraId="6AC931BC" w14:textId="77777777" w:rsidR="001A2FC6" w:rsidRPr="00D64AA2" w:rsidRDefault="001A2FC6" w:rsidP="002E3A04">
      <w:pPr>
        <w:jc w:val="both"/>
        <w:rPr>
          <w:i/>
          <w:iCs/>
        </w:rPr>
      </w:pPr>
      <w:r w:rsidRPr="00D64AA2">
        <w:rPr>
          <w:i/>
          <w:iCs/>
        </w:rPr>
        <w:t>Study Limitations</w:t>
      </w:r>
    </w:p>
    <w:p w14:paraId="4385F6CD" w14:textId="100FEAD4" w:rsidR="001A2FC6" w:rsidRDefault="001A2FC6" w:rsidP="002E3A04">
      <w:pPr>
        <w:pStyle w:val="Paragraph"/>
        <w:spacing w:before="0"/>
        <w:jc w:val="both"/>
      </w:pPr>
      <w:r w:rsidRPr="00D64AA2">
        <w:lastRenderedPageBreak/>
        <w:t xml:space="preserve">Occupational health data was obtained by </w:t>
      </w:r>
      <w:r w:rsidR="002B41D3" w:rsidRPr="00D64AA2">
        <w:t xml:space="preserve">a </w:t>
      </w:r>
      <w:r w:rsidRPr="00D64AA2">
        <w:t xml:space="preserve">cross-sectional survey sent to all ACE members (most UK embryologists), </w:t>
      </w:r>
      <w:r w:rsidR="002B41D3" w:rsidRPr="00B15C35">
        <w:t xml:space="preserve">effectively reducing </w:t>
      </w:r>
      <w:r w:rsidRPr="00B15C35">
        <w:t>selection</w:t>
      </w:r>
      <w:r w:rsidR="00225276">
        <w:t xml:space="preserve"> bias</w:t>
      </w:r>
      <w:r w:rsidRPr="00B15C35">
        <w:t xml:space="preserve">. </w:t>
      </w:r>
      <w:r w:rsidR="002B41D3" w:rsidRPr="00B15C35">
        <w:t>N</w:t>
      </w:r>
      <w:r w:rsidRPr="00B15C35">
        <w:t xml:space="preserve">on-response bias was anticipated since individuals with occupational health issues were potentially more likely to reply. Information bias may have </w:t>
      </w:r>
      <w:r w:rsidR="000424D4" w:rsidRPr="00B15C35">
        <w:t>occurred</w:t>
      </w:r>
      <w:r w:rsidRPr="00B15C35">
        <w:t xml:space="preserve"> since self-reporting of </w:t>
      </w:r>
      <w:r w:rsidR="000424D4" w:rsidRPr="00B15C35">
        <w:t>conditions is</w:t>
      </w:r>
      <w:r w:rsidRPr="00B15C35">
        <w:t xml:space="preserve"> used rather than formal clinical diagnosis.</w:t>
      </w:r>
    </w:p>
    <w:p w14:paraId="7748E1B4" w14:textId="77777777" w:rsidR="00D64AA2" w:rsidRPr="00D64AA2" w:rsidRDefault="00D64AA2" w:rsidP="002E3A04">
      <w:pPr>
        <w:pStyle w:val="Newparagraph"/>
        <w:ind w:firstLine="0"/>
        <w:jc w:val="both"/>
      </w:pPr>
    </w:p>
    <w:p w14:paraId="3151C230" w14:textId="2A7CCFFE" w:rsidR="00C54CC4" w:rsidRPr="00542B34" w:rsidRDefault="00C54CC4" w:rsidP="002E3A04">
      <w:pPr>
        <w:jc w:val="both"/>
      </w:pPr>
      <w:r w:rsidRPr="002E3A04">
        <w:rPr>
          <w:b/>
          <w:bCs/>
        </w:rPr>
        <w:t>Conclusions</w:t>
      </w:r>
    </w:p>
    <w:p w14:paraId="21DDB5C7" w14:textId="4B6B3580" w:rsidR="005507D4" w:rsidRPr="00B15C35" w:rsidRDefault="00796658" w:rsidP="002E3A04">
      <w:pPr>
        <w:pStyle w:val="Newparagraph"/>
        <w:ind w:firstLine="0"/>
        <w:jc w:val="both"/>
      </w:pPr>
      <w:r w:rsidRPr="00B15C35">
        <w:t xml:space="preserve">Our survey demonstrated that a number of occupational health issues were experienced by UK embryologists. </w:t>
      </w:r>
      <w:r w:rsidR="005507D4" w:rsidRPr="00B15C35">
        <w:t>The most acute hazards faced are NSI and exposure to liquid nitrogen, both with potentially fatal consequences. It is reassuring that the current culture of risk assessment and management has limited the incidence of these issues to approximately 3% respectively.</w:t>
      </w:r>
    </w:p>
    <w:p w14:paraId="1E47108F" w14:textId="07DF145D" w:rsidR="005507D4" w:rsidRPr="00B15C35" w:rsidRDefault="00B93320" w:rsidP="002E3A04">
      <w:pPr>
        <w:pStyle w:val="Paragraph"/>
        <w:spacing w:before="0"/>
        <w:ind w:firstLine="720"/>
        <w:jc w:val="both"/>
      </w:pPr>
      <w:r w:rsidRPr="00B15C35">
        <w:t>M</w:t>
      </w:r>
      <w:r w:rsidR="005513F5" w:rsidRPr="00B15C35">
        <w:t xml:space="preserve">ost frequently encountered </w:t>
      </w:r>
      <w:r w:rsidR="005507D4" w:rsidRPr="00B15C35">
        <w:t xml:space="preserve">issues </w:t>
      </w:r>
      <w:r w:rsidR="005513F5" w:rsidRPr="00B15C35">
        <w:t>were MSD and stress</w:t>
      </w:r>
      <w:r w:rsidR="00FF2A6A" w:rsidRPr="00B15C35">
        <w:t>/</w:t>
      </w:r>
      <w:r w:rsidR="005513F5" w:rsidRPr="00B15C35">
        <w:t>mental health problems</w:t>
      </w:r>
      <w:r w:rsidRPr="00B15C35">
        <w:t xml:space="preserve">, </w:t>
      </w:r>
      <w:r w:rsidR="005A01FF" w:rsidRPr="00B15C35">
        <w:t xml:space="preserve">which consolidates evidence from a </w:t>
      </w:r>
      <w:r w:rsidRPr="00B15C35">
        <w:t>study</w:t>
      </w:r>
      <w:r w:rsidR="005513F5" w:rsidRPr="00B15C35">
        <w:t xml:space="preserve"> of Spanish embryologists (</w:t>
      </w:r>
      <w:r w:rsidR="00C81D2D" w:rsidRPr="00B15C35">
        <w:t>López-Lería</w:t>
      </w:r>
      <w:r w:rsidR="002361F9" w:rsidRPr="00B15C35">
        <w:t xml:space="preserve"> et al.</w:t>
      </w:r>
      <w:r w:rsidR="00C81D2D" w:rsidRPr="00B15C35">
        <w:t>, 2014</w:t>
      </w:r>
      <w:r w:rsidR="005513F5" w:rsidRPr="00B15C35">
        <w:t>).</w:t>
      </w:r>
      <w:r w:rsidR="00DC71E2" w:rsidRPr="00B15C35">
        <w:t xml:space="preserve"> Our data shows an association between length </w:t>
      </w:r>
      <w:r w:rsidR="005A01FF" w:rsidRPr="00B15C35">
        <w:t xml:space="preserve">of time </w:t>
      </w:r>
      <w:r w:rsidR="00DC71E2" w:rsidRPr="00B15C35">
        <w:t xml:space="preserve">in service and </w:t>
      </w:r>
      <w:r w:rsidR="005A01FF" w:rsidRPr="00B15C35">
        <w:t xml:space="preserve">the incidence of </w:t>
      </w:r>
      <w:r w:rsidR="00DC71E2" w:rsidRPr="00B15C35">
        <w:t>shoulder pain/injury. Cross-sectional surveys are not adequate to establish causal links, but this association warrants further investigation, especially as WRULD are linked to</w:t>
      </w:r>
      <w:r w:rsidR="000424D4" w:rsidRPr="00B15C35">
        <w:t xml:space="preserve"> musculoskeletal</w:t>
      </w:r>
      <w:r w:rsidR="00DC71E2" w:rsidRPr="00B15C35">
        <w:t xml:space="preserve"> activities performed by embryologists</w:t>
      </w:r>
      <w:r w:rsidR="007237BC" w:rsidRPr="00B15C35">
        <w:t xml:space="preserve"> and</w:t>
      </w:r>
      <w:r w:rsidR="008363A5" w:rsidRPr="00B15C35">
        <w:t xml:space="preserve"> the most affected group </w:t>
      </w:r>
      <w:r w:rsidR="007237BC" w:rsidRPr="00B15C35">
        <w:t>(</w:t>
      </w:r>
      <w:r w:rsidR="008363A5" w:rsidRPr="00B15C35">
        <w:t>5-10 years’ experience</w:t>
      </w:r>
      <w:r w:rsidR="007237BC" w:rsidRPr="00B15C35">
        <w:t>)</w:t>
      </w:r>
      <w:r w:rsidR="008363A5" w:rsidRPr="00B15C35">
        <w:t xml:space="preserve"> </w:t>
      </w:r>
      <w:r w:rsidR="00DF5957" w:rsidRPr="00B15C35">
        <w:t>include</w:t>
      </w:r>
      <w:r w:rsidR="00A76263" w:rsidRPr="00B15C35">
        <w:t xml:space="preserve"> those likely to spend the greatest time in the laboratory</w:t>
      </w:r>
      <w:r w:rsidR="00DC71E2" w:rsidRPr="00B15C35">
        <w:t>.</w:t>
      </w:r>
      <w:r w:rsidR="005507D4" w:rsidRPr="00B15C35">
        <w:t xml:space="preserve"> </w:t>
      </w:r>
      <w:r w:rsidR="00E34F82" w:rsidRPr="00B15C35">
        <w:t>A less</w:t>
      </w:r>
      <w:r w:rsidRPr="00B15C35">
        <w:t xml:space="preserve"> obvious </w:t>
      </w:r>
      <w:r w:rsidR="00B95594" w:rsidRPr="00B15C35">
        <w:t xml:space="preserve">relationship </w:t>
      </w:r>
      <w:r w:rsidR="00E34F82" w:rsidRPr="00B15C35">
        <w:t>exists for</w:t>
      </w:r>
      <w:r w:rsidRPr="00B15C35">
        <w:t xml:space="preserve"> workplace stress in</w:t>
      </w:r>
      <w:r w:rsidR="00E34F82" w:rsidRPr="00B15C35">
        <w:t xml:space="preserve"> the</w:t>
      </w:r>
      <w:r w:rsidRPr="00B15C35">
        <w:t xml:space="preserve"> develop</w:t>
      </w:r>
      <w:r w:rsidR="00E34F82" w:rsidRPr="00B15C35">
        <w:t>ment of</w:t>
      </w:r>
      <w:r w:rsidRPr="00B15C35">
        <w:t xml:space="preserve"> MSDs, whether due to added tension in the </w:t>
      </w:r>
      <w:r w:rsidR="005A01FF" w:rsidRPr="00B15C35">
        <w:t xml:space="preserve">musculoskeletal system </w:t>
      </w:r>
      <w:r w:rsidRPr="00B15C35">
        <w:t>or other factors coincident with stress.</w:t>
      </w:r>
    </w:p>
    <w:p w14:paraId="1CB3539F" w14:textId="4CA573D6" w:rsidR="00BA275F" w:rsidRPr="00B15C35" w:rsidRDefault="00E34F82" w:rsidP="002E3A04">
      <w:pPr>
        <w:pStyle w:val="Paragraph"/>
        <w:spacing w:before="0"/>
        <w:ind w:firstLine="720"/>
        <w:jc w:val="both"/>
      </w:pPr>
      <w:r w:rsidRPr="00B15C35">
        <w:t>Work related stress not only impacts the reproductive scientist but has the potential to affect their</w:t>
      </w:r>
      <w:r w:rsidR="005A01FF" w:rsidRPr="00B15C35">
        <w:t xml:space="preserve"> </w:t>
      </w:r>
      <w:r w:rsidRPr="00B15C35">
        <w:t xml:space="preserve">clinical effectiveness. It is important to proactively address </w:t>
      </w:r>
      <w:r w:rsidR="00DB7D0D" w:rsidRPr="00B15C35">
        <w:t>potential causes</w:t>
      </w:r>
      <w:r w:rsidRPr="00B15C35">
        <w:t>, using</w:t>
      </w:r>
      <w:r w:rsidR="005A01FF" w:rsidRPr="00B15C35">
        <w:t xml:space="preserve"> validated</w:t>
      </w:r>
      <w:r w:rsidRPr="00B15C35">
        <w:t xml:space="preserve"> tools to assess stress in the workplace </w:t>
      </w:r>
      <w:r w:rsidR="000424D4" w:rsidRPr="00B15C35">
        <w:t xml:space="preserve">and </w:t>
      </w:r>
      <w:r w:rsidRPr="00B15C35">
        <w:t xml:space="preserve">consider ways to </w:t>
      </w:r>
      <w:r w:rsidR="00BA275F" w:rsidRPr="00B15C35">
        <w:t>ameliorate</w:t>
      </w:r>
      <w:r w:rsidRPr="00B15C35">
        <w:t xml:space="preserve"> </w:t>
      </w:r>
      <w:r w:rsidR="00DB7D0D" w:rsidRPr="00B15C35">
        <w:t xml:space="preserve">locally prevalent </w:t>
      </w:r>
      <w:r w:rsidRPr="00B15C35">
        <w:t>factors</w:t>
      </w:r>
      <w:r w:rsidR="00DB7D0D" w:rsidRPr="00B15C35">
        <w:t>.</w:t>
      </w:r>
      <w:r w:rsidRPr="00B15C35">
        <w:t xml:space="preserve"> </w:t>
      </w:r>
      <w:r w:rsidR="005507D4" w:rsidRPr="00B15C35">
        <w:t>In this study r</w:t>
      </w:r>
      <w:r w:rsidR="00FF2A6A" w:rsidRPr="00B15C35">
        <w:t>epeated t</w:t>
      </w:r>
      <w:r w:rsidR="0025024E" w:rsidRPr="00B15C35">
        <w:t xml:space="preserve">hemes </w:t>
      </w:r>
      <w:r w:rsidR="00FF2A6A" w:rsidRPr="00B15C35">
        <w:t xml:space="preserve">exist of </w:t>
      </w:r>
      <w:r w:rsidR="0025024E" w:rsidRPr="00B15C35">
        <w:t xml:space="preserve">workplace </w:t>
      </w:r>
      <w:r w:rsidR="0025024E" w:rsidRPr="00B15C35">
        <w:lastRenderedPageBreak/>
        <w:t xml:space="preserve">stress, </w:t>
      </w:r>
      <w:r w:rsidR="00FF2A6A" w:rsidRPr="00B15C35">
        <w:t xml:space="preserve">irregular </w:t>
      </w:r>
      <w:r w:rsidR="0025024E" w:rsidRPr="00B15C35">
        <w:t xml:space="preserve">breaks, </w:t>
      </w:r>
      <w:r w:rsidR="00FF2A6A" w:rsidRPr="00B15C35">
        <w:t xml:space="preserve">and lack of </w:t>
      </w:r>
      <w:r w:rsidR="0025024E" w:rsidRPr="00B15C35">
        <w:t>control</w:t>
      </w:r>
      <w:r w:rsidR="00FF2A6A" w:rsidRPr="00B15C35">
        <w:t xml:space="preserve"> of work</w:t>
      </w:r>
      <w:r w:rsidR="00BA275F" w:rsidRPr="00B15C35">
        <w:t>flow</w:t>
      </w:r>
      <w:r w:rsidR="0025024E" w:rsidRPr="00B15C35">
        <w:t xml:space="preserve">. </w:t>
      </w:r>
      <w:r w:rsidR="00ED5C34" w:rsidRPr="00B15C35">
        <w:t xml:space="preserve">Enabling reproductive scientists to have </w:t>
      </w:r>
      <w:r w:rsidR="00FF2A6A" w:rsidRPr="00B15C35">
        <w:t xml:space="preserve">meaningful </w:t>
      </w:r>
      <w:r w:rsidR="00ED5C34" w:rsidRPr="00B15C35">
        <w:t xml:space="preserve">input into the daily </w:t>
      </w:r>
      <w:r w:rsidR="00FF2A6A" w:rsidRPr="00B15C35">
        <w:t>schedule</w:t>
      </w:r>
      <w:r w:rsidR="00ED5C34" w:rsidRPr="00B15C35">
        <w:t xml:space="preserve"> would </w:t>
      </w:r>
      <w:r w:rsidR="00FF2A6A" w:rsidRPr="00B15C35">
        <w:t>allow a</w:t>
      </w:r>
      <w:r w:rsidR="00ED5C34" w:rsidRPr="00B15C35">
        <w:t xml:space="preserve"> </w:t>
      </w:r>
      <w:r w:rsidR="00E10A69" w:rsidRPr="00B15C35">
        <w:t xml:space="preserve">manageable </w:t>
      </w:r>
      <w:r w:rsidR="00ED5C34" w:rsidRPr="00B15C35">
        <w:t>work</w:t>
      </w:r>
      <w:r w:rsidR="00E10A69" w:rsidRPr="00B15C35">
        <w:t>-</w:t>
      </w:r>
      <w:r w:rsidR="00ED5C34" w:rsidRPr="00B15C35">
        <w:t xml:space="preserve">pace </w:t>
      </w:r>
      <w:r w:rsidR="00FF2A6A" w:rsidRPr="00B15C35">
        <w:t>which</w:t>
      </w:r>
      <w:r w:rsidR="00ED5C34" w:rsidRPr="00B15C35">
        <w:t xml:space="preserve"> </w:t>
      </w:r>
      <w:r w:rsidR="00FF2A6A" w:rsidRPr="00B15C35">
        <w:t>facilitates</w:t>
      </w:r>
      <w:r w:rsidR="00ED5C34" w:rsidRPr="00B15C35">
        <w:t xml:space="preserve"> regular pauses. Th</w:t>
      </w:r>
      <w:r w:rsidR="00FF2A6A" w:rsidRPr="00B15C35">
        <w:t xml:space="preserve">ere is evidence this </w:t>
      </w:r>
      <w:r w:rsidR="00ED5C34" w:rsidRPr="00B15C35">
        <w:t xml:space="preserve">would </w:t>
      </w:r>
      <w:r w:rsidR="00B95594" w:rsidRPr="00B15C35">
        <w:t>reduce</w:t>
      </w:r>
      <w:r w:rsidR="00ED5C34" w:rsidRPr="00B15C35">
        <w:t xml:space="preserve"> not only stress and mental health problems, but also</w:t>
      </w:r>
      <w:r w:rsidR="00FF2A6A" w:rsidRPr="00B15C35">
        <w:t xml:space="preserve"> </w:t>
      </w:r>
      <w:r w:rsidR="00ED5C34" w:rsidRPr="00B15C35">
        <w:t xml:space="preserve">the </w:t>
      </w:r>
      <w:r w:rsidR="00FF2A6A" w:rsidRPr="00B15C35">
        <w:t>development</w:t>
      </w:r>
      <w:r w:rsidR="00ED5C34" w:rsidRPr="00B15C35">
        <w:t xml:space="preserve"> of MSD</w:t>
      </w:r>
      <w:r w:rsidR="00FF2A6A" w:rsidRPr="00B15C35">
        <w:t>s</w:t>
      </w:r>
      <w:r w:rsidR="00ED5C34" w:rsidRPr="00B15C35">
        <w:t>, eye problems</w:t>
      </w:r>
      <w:r w:rsidR="00FF2A6A" w:rsidRPr="00B15C35">
        <w:t xml:space="preserve">, </w:t>
      </w:r>
      <w:r w:rsidR="00ED5C34" w:rsidRPr="00B15C35">
        <w:t xml:space="preserve">and </w:t>
      </w:r>
      <w:r w:rsidR="00FF2A6A" w:rsidRPr="00B15C35">
        <w:t xml:space="preserve">the </w:t>
      </w:r>
      <w:r w:rsidR="00ED5C34" w:rsidRPr="00B15C35">
        <w:t>risk of error whilst handling sharps</w:t>
      </w:r>
      <w:r w:rsidR="00FF2A6A" w:rsidRPr="00B15C35">
        <w:t>.</w:t>
      </w:r>
      <w:r w:rsidR="007447CF" w:rsidRPr="00B15C35">
        <w:t xml:space="preserve"> </w:t>
      </w:r>
    </w:p>
    <w:p w14:paraId="49866D08" w14:textId="4B8AAA96" w:rsidR="0025024E" w:rsidRDefault="007447CF" w:rsidP="002E3A04">
      <w:pPr>
        <w:pStyle w:val="Newparagraph"/>
        <w:jc w:val="both"/>
      </w:pPr>
      <w:r w:rsidRPr="00B15C35">
        <w:t xml:space="preserve">It should always </w:t>
      </w:r>
      <w:r w:rsidR="00AA2F78" w:rsidRPr="00B15C35">
        <w:t xml:space="preserve">be </w:t>
      </w:r>
      <w:r w:rsidRPr="00B15C35">
        <w:t xml:space="preserve">remembered that the reproductive scientist </w:t>
      </w:r>
      <w:r w:rsidR="00BA275F" w:rsidRPr="00B15C35">
        <w:t xml:space="preserve">bears the weight of the viability of the potential child, the hopes and investment of the potential parent, and the reputation of themselves and the clinic, with the knowledge that a micron or a moment in the wrong direction can spell disaster. They </w:t>
      </w:r>
      <w:r w:rsidRPr="00B15C35">
        <w:t>should be a</w:t>
      </w:r>
      <w:r w:rsidR="005D535F" w:rsidRPr="00B15C35">
        <w:t>ff</w:t>
      </w:r>
      <w:r w:rsidRPr="00B15C35">
        <w:t xml:space="preserve">orded the </w:t>
      </w:r>
      <w:r w:rsidR="00AA2F78" w:rsidRPr="00B15C35">
        <w:t xml:space="preserve">working culture and </w:t>
      </w:r>
      <w:r w:rsidRPr="00B15C35">
        <w:t>environment to allow them to fulfil this responsibility</w:t>
      </w:r>
      <w:r w:rsidR="00341CBC" w:rsidRPr="00B15C35">
        <w:t xml:space="preserve"> with due care</w:t>
      </w:r>
      <w:r w:rsidR="005D535F" w:rsidRPr="00B15C35">
        <w:t>, whilst safeguarding their health and wellbeing.</w:t>
      </w:r>
    </w:p>
    <w:p w14:paraId="3C7EDC58" w14:textId="77777777" w:rsidR="00D64AA2" w:rsidRPr="00B15C35" w:rsidRDefault="00D64AA2" w:rsidP="002E3A04">
      <w:pPr>
        <w:pStyle w:val="Newparagraph"/>
        <w:ind w:firstLine="0"/>
      </w:pPr>
    </w:p>
    <w:p w14:paraId="5F29D225" w14:textId="201882B1" w:rsidR="00C54CC4" w:rsidRPr="00542B34" w:rsidRDefault="00C54CC4" w:rsidP="002E3A04">
      <w:r w:rsidRPr="002E3A04">
        <w:rPr>
          <w:b/>
          <w:bCs/>
        </w:rPr>
        <w:t>Acknowledgements</w:t>
      </w:r>
    </w:p>
    <w:p w14:paraId="3B2A41C4" w14:textId="69D7EC71" w:rsidR="00C54CC4" w:rsidRDefault="00334BF3" w:rsidP="002E3A04">
      <w:pPr>
        <w:pStyle w:val="Paragraph"/>
        <w:spacing w:before="0"/>
        <w:jc w:val="both"/>
      </w:pPr>
      <w:r w:rsidRPr="002E3A04">
        <w:t xml:space="preserve">This project was funded by </w:t>
      </w:r>
      <w:r w:rsidR="007442AC" w:rsidRPr="002E3A04">
        <w:t>ACE</w:t>
      </w:r>
      <w:r w:rsidRPr="002E3A04">
        <w:t xml:space="preserve">. The </w:t>
      </w:r>
      <w:r w:rsidR="008454D3" w:rsidRPr="002E3A04">
        <w:t>authors</w:t>
      </w:r>
      <w:r w:rsidRPr="002E3A04">
        <w:t xml:space="preserve"> wish to thank members of </w:t>
      </w:r>
      <w:r w:rsidR="007442AC" w:rsidRPr="002E3A04">
        <w:t>ACE</w:t>
      </w:r>
      <w:r w:rsidRPr="002E3A04">
        <w:t xml:space="preserve"> for </w:t>
      </w:r>
      <w:r w:rsidR="005A4F6B" w:rsidRPr="002E3A04">
        <w:t>survey responses</w:t>
      </w:r>
      <w:r w:rsidR="007442AC" w:rsidRPr="002E3A04">
        <w:t>,</w:t>
      </w:r>
      <w:r w:rsidR="005A4F6B" w:rsidRPr="002E3A04">
        <w:t xml:space="preserve"> </w:t>
      </w:r>
      <w:r w:rsidRPr="002E3A04">
        <w:t xml:space="preserve">and the </w:t>
      </w:r>
      <w:r w:rsidR="007442AC" w:rsidRPr="002E3A04">
        <w:t xml:space="preserve">ARCS </w:t>
      </w:r>
      <w:r w:rsidR="00936FA4" w:rsidRPr="002E3A04">
        <w:t>E</w:t>
      </w:r>
      <w:r w:rsidRPr="002E3A04">
        <w:t xml:space="preserve">xecutive </w:t>
      </w:r>
      <w:r w:rsidR="00936FA4" w:rsidRPr="002E3A04">
        <w:t>C</w:t>
      </w:r>
      <w:r w:rsidRPr="002E3A04">
        <w:t>ommittee</w:t>
      </w:r>
      <w:r w:rsidR="007442AC" w:rsidRPr="002E3A04">
        <w:t xml:space="preserve"> </w:t>
      </w:r>
      <w:r w:rsidRPr="002E3A04">
        <w:t>for their review of this article.</w:t>
      </w:r>
      <w:r w:rsidR="00936FA4" w:rsidRPr="002E3A04">
        <w:t xml:space="preserve"> </w:t>
      </w:r>
      <w:r w:rsidRPr="002E3A04">
        <w:t xml:space="preserve">The researchers would also like to acknowledge Masoud Mansouri for </w:t>
      </w:r>
      <w:r w:rsidR="00A95C1C" w:rsidRPr="002E3A04">
        <w:t>initial discussions</w:t>
      </w:r>
      <w:r w:rsidRPr="002E3A04">
        <w:t xml:space="preserve"> in</w:t>
      </w:r>
      <w:r w:rsidR="00936FA4" w:rsidRPr="002E3A04">
        <w:t xml:space="preserve"> relation to the study.</w:t>
      </w:r>
    </w:p>
    <w:p w14:paraId="1B96880A" w14:textId="77777777" w:rsidR="00D64AA2" w:rsidRPr="002E3A04" w:rsidRDefault="00D64AA2" w:rsidP="002E3A04">
      <w:pPr>
        <w:pStyle w:val="Newparagraph"/>
        <w:ind w:firstLine="0"/>
      </w:pPr>
    </w:p>
    <w:p w14:paraId="16AD5F72" w14:textId="4DBC10F0" w:rsidR="00C54CC4" w:rsidRPr="00542B34" w:rsidRDefault="00C54CC4" w:rsidP="002E3A04">
      <w:r w:rsidRPr="002E3A04">
        <w:rPr>
          <w:b/>
          <w:bCs/>
        </w:rPr>
        <w:t>D</w:t>
      </w:r>
      <w:r w:rsidR="00334BF3" w:rsidRPr="002E3A04">
        <w:rPr>
          <w:b/>
          <w:bCs/>
        </w:rPr>
        <w:t>isclosure</w:t>
      </w:r>
      <w:r w:rsidRPr="002E3A04">
        <w:rPr>
          <w:b/>
          <w:bCs/>
        </w:rPr>
        <w:t xml:space="preserve"> of Interest</w:t>
      </w:r>
    </w:p>
    <w:p w14:paraId="18127208" w14:textId="52750515" w:rsidR="00C54CC4" w:rsidRPr="00A531BC" w:rsidRDefault="00334BF3" w:rsidP="002E3A04">
      <w:pPr>
        <w:pStyle w:val="Paragraph"/>
        <w:spacing w:before="0"/>
      </w:pPr>
      <w:r w:rsidRPr="00941502">
        <w:t xml:space="preserve">The authors report no conflict of </w:t>
      </w:r>
      <w:r w:rsidRPr="00A531BC">
        <w:t>interest.</w:t>
      </w:r>
    </w:p>
    <w:p w14:paraId="6BC85E0C" w14:textId="77777777" w:rsidR="006701B1" w:rsidRPr="002E3A04" w:rsidRDefault="006701B1" w:rsidP="002E3A04">
      <w:pPr>
        <w:pStyle w:val="Paragraph"/>
      </w:pPr>
    </w:p>
    <w:p w14:paraId="68ADC2A4" w14:textId="413EB2E7" w:rsidR="00273293" w:rsidRPr="00542B34" w:rsidRDefault="00C54CC4" w:rsidP="002E3A04">
      <w:pPr>
        <w:pStyle w:val="Heading1"/>
        <w:spacing w:before="0" w:after="0" w:line="480" w:lineRule="auto"/>
        <w:rPr>
          <w:rFonts w:cs="Times New Roman"/>
          <w:szCs w:val="24"/>
        </w:rPr>
      </w:pPr>
      <w:r w:rsidRPr="00542B34">
        <w:rPr>
          <w:rFonts w:cs="Times New Roman"/>
          <w:szCs w:val="24"/>
        </w:rPr>
        <w:t>References</w:t>
      </w:r>
    </w:p>
    <w:p w14:paraId="1D6224D5" w14:textId="318328AF" w:rsidR="001F0D9A" w:rsidRPr="00B15C35" w:rsidRDefault="00E60167" w:rsidP="002E3A04">
      <w:pPr>
        <w:pStyle w:val="Paragraph"/>
        <w:spacing w:before="0"/>
        <w:ind w:left="720" w:hanging="720"/>
        <w:jc w:val="both"/>
      </w:pPr>
      <w:r w:rsidRPr="00B15C35">
        <w:t xml:space="preserve">Al-Abhar, N., Moghram, G. S., Al-Gunaid, E. A., Al Serouri, A., &amp; Khader, Y. (2020). Occupational Exposure to Needle Stick Injuries and Hepatitis B Vaccination Coverage Among Clinical Laboratory Staff in Sana'a, Yemen: Cross-Sectional </w:t>
      </w:r>
      <w:r w:rsidRPr="00B15C35">
        <w:lastRenderedPageBreak/>
        <w:t xml:space="preserve">Study. </w:t>
      </w:r>
      <w:r w:rsidRPr="00B15C35">
        <w:rPr>
          <w:i/>
          <w:iCs/>
        </w:rPr>
        <w:t>JMIR Public Health and Surveillance</w:t>
      </w:r>
      <w:r w:rsidRPr="00B15C35">
        <w:t xml:space="preserve">, </w:t>
      </w:r>
      <w:r w:rsidRPr="00B15C35">
        <w:rPr>
          <w:i/>
        </w:rPr>
        <w:t>6</w:t>
      </w:r>
      <w:r w:rsidRPr="00B15C35">
        <w:t>(1), e15812.</w:t>
      </w:r>
      <w:r w:rsidR="003814DD" w:rsidRPr="00B15C35">
        <w:t xml:space="preserve"> https://doi.org/10.2196/15812</w:t>
      </w:r>
    </w:p>
    <w:p w14:paraId="7AD76708" w14:textId="24D7AC22" w:rsidR="008E0946" w:rsidRPr="00B15C35" w:rsidRDefault="00CE0A64" w:rsidP="002E3A04">
      <w:pPr>
        <w:ind w:left="720" w:hanging="720"/>
        <w:jc w:val="both"/>
      </w:pPr>
      <w:bookmarkStart w:id="5" w:name="_Hlk41308896"/>
      <w:r w:rsidRPr="00B15C35">
        <w:t>Alikani, M., Go, K. J., McCaffrey, C.</w:t>
      </w:r>
      <w:r w:rsidR="003814DD" w:rsidRPr="00B15C35">
        <w:t xml:space="preserve">, </w:t>
      </w:r>
      <w:r w:rsidRPr="00B15C35">
        <w:t xml:space="preserve">&amp; McCulloh, D. H. (2014). Comprehensive evaluation </w:t>
      </w:r>
      <w:bookmarkEnd w:id="5"/>
      <w:r w:rsidRPr="00B15C35">
        <w:t xml:space="preserve">of contemporary assisted reproduction technology laboratory operations to determine staffing levels that promote patient safety and quality care. </w:t>
      </w:r>
      <w:r w:rsidRPr="00B15C35">
        <w:rPr>
          <w:i/>
          <w:iCs/>
        </w:rPr>
        <w:t>Fertil</w:t>
      </w:r>
      <w:r w:rsidR="003814DD" w:rsidRPr="00B15C35">
        <w:rPr>
          <w:i/>
          <w:iCs/>
        </w:rPr>
        <w:t>ity and</w:t>
      </w:r>
      <w:r w:rsidRPr="00B15C35">
        <w:rPr>
          <w:i/>
          <w:iCs/>
        </w:rPr>
        <w:t xml:space="preserve"> Steril</w:t>
      </w:r>
      <w:r w:rsidR="003814DD" w:rsidRPr="00B15C35">
        <w:rPr>
          <w:i/>
          <w:iCs/>
        </w:rPr>
        <w:t>ity</w:t>
      </w:r>
      <w:r w:rsidR="003814DD" w:rsidRPr="00B15C35">
        <w:rPr>
          <w:iCs/>
        </w:rPr>
        <w:t xml:space="preserve">, </w:t>
      </w:r>
      <w:r w:rsidRPr="00B15C35">
        <w:rPr>
          <w:i/>
        </w:rPr>
        <w:t>102</w:t>
      </w:r>
      <w:r w:rsidRPr="00B15C35">
        <w:t>(5)</w:t>
      </w:r>
      <w:r w:rsidR="003814DD" w:rsidRPr="00B15C35">
        <w:t xml:space="preserve">, </w:t>
      </w:r>
      <w:r w:rsidRPr="00B15C35">
        <w:t xml:space="preserve">1350-1356. </w:t>
      </w:r>
      <w:r w:rsidR="003814DD" w:rsidRPr="00B15C35">
        <w:t>https://doi.org/10.1016/j.fertnstert.2014.07.1246</w:t>
      </w:r>
    </w:p>
    <w:p w14:paraId="1EAE6A62" w14:textId="3339C9F8" w:rsidR="00DF6AFE" w:rsidRPr="00B15C35" w:rsidRDefault="00DF6AFE" w:rsidP="002E3A04">
      <w:pPr>
        <w:ind w:left="720" w:hanging="720"/>
        <w:jc w:val="both"/>
      </w:pPr>
      <w:r w:rsidRPr="00B15C35">
        <w:t>Andersen, J. H., Haahr, J. P.</w:t>
      </w:r>
      <w:r w:rsidR="003814DD" w:rsidRPr="00B15C35">
        <w:t>,</w:t>
      </w:r>
      <w:r w:rsidRPr="00B15C35">
        <w:t xml:space="preserve"> &amp; Frost, P. (2007). Risk factors for more severe regional musculoskeletal symptoms: a two-year prospective study of a general working population. </w:t>
      </w:r>
      <w:r w:rsidR="0030584B" w:rsidRPr="00B15C35">
        <w:rPr>
          <w:i/>
          <w:iCs/>
        </w:rPr>
        <w:t xml:space="preserve">Arthritis and Rheumatism, </w:t>
      </w:r>
      <w:r w:rsidRPr="00B15C35">
        <w:rPr>
          <w:i/>
        </w:rPr>
        <w:t>56</w:t>
      </w:r>
      <w:r w:rsidRPr="00B15C35">
        <w:t>(4), 1355-1364.</w:t>
      </w:r>
      <w:r w:rsidR="003814DD" w:rsidRPr="00B15C35">
        <w:t xml:space="preserve"> https://doi.org/10.1002/art.22513</w:t>
      </w:r>
    </w:p>
    <w:p w14:paraId="6878256B" w14:textId="77777777" w:rsidR="004252C0" w:rsidRPr="00B15C35" w:rsidRDefault="00EC2317" w:rsidP="002E3A04">
      <w:pPr>
        <w:ind w:left="720" w:hanging="720"/>
        <w:jc w:val="both"/>
      </w:pPr>
      <w:r w:rsidRPr="00B15C35">
        <w:t xml:space="preserve">ARCS. (2019). </w:t>
      </w:r>
      <w:r w:rsidRPr="00B15C35">
        <w:rPr>
          <w:i/>
          <w:iCs/>
        </w:rPr>
        <w:t>Code of professional conduct for members: First edition, October 2019.</w:t>
      </w:r>
      <w:r w:rsidRPr="00B15C35">
        <w:t xml:space="preserve">  https://www.arcscientists.org/wp-content/uploads/ARCS-code-of-conduct.pdf</w:t>
      </w:r>
    </w:p>
    <w:p w14:paraId="6384DE67" w14:textId="01E8566F" w:rsidR="00AB7FA0" w:rsidRPr="00B15C35" w:rsidRDefault="00AB7FA0" w:rsidP="002E3A04">
      <w:pPr>
        <w:ind w:left="720" w:hanging="720"/>
        <w:jc w:val="both"/>
      </w:pPr>
      <w:r w:rsidRPr="00B15C35">
        <w:t xml:space="preserve">Aronsson, G., Theorell, T., Grape, T., Hammarström, A., Hogstedt, C., Marteinsdottir, I., Skoog, I., Träskman-Bendz, L., &amp; Hall, C. (2017). A systematic review including meta-analysis of work environment and burnout symptoms. </w:t>
      </w:r>
      <w:r w:rsidRPr="00B15C35">
        <w:rPr>
          <w:i/>
          <w:iCs/>
        </w:rPr>
        <w:t xml:space="preserve">BMC </w:t>
      </w:r>
      <w:r w:rsidR="004252C0" w:rsidRPr="00B15C35">
        <w:rPr>
          <w:i/>
          <w:iCs/>
        </w:rPr>
        <w:t>P</w:t>
      </w:r>
      <w:r w:rsidRPr="00B15C35">
        <w:rPr>
          <w:i/>
          <w:iCs/>
        </w:rPr>
        <w:t xml:space="preserve">ublic </w:t>
      </w:r>
      <w:r w:rsidR="004252C0" w:rsidRPr="00B15C35">
        <w:rPr>
          <w:i/>
          <w:iCs/>
        </w:rPr>
        <w:t>H</w:t>
      </w:r>
      <w:r w:rsidRPr="00B15C35">
        <w:rPr>
          <w:i/>
          <w:iCs/>
        </w:rPr>
        <w:t>ealth,</w:t>
      </w:r>
      <w:r w:rsidRPr="00B15C35">
        <w:t xml:space="preserve"> </w:t>
      </w:r>
      <w:r w:rsidRPr="00B15C35">
        <w:rPr>
          <w:i/>
        </w:rPr>
        <w:t>17</w:t>
      </w:r>
      <w:r w:rsidRPr="00B15C35">
        <w:t>(1), 264</w:t>
      </w:r>
      <w:r w:rsidR="004252C0" w:rsidRPr="00B15C35">
        <w:t>.</w:t>
      </w:r>
      <w:r w:rsidR="0030584B" w:rsidRPr="00B15C35">
        <w:t xml:space="preserve"> https://doi.org/10.1186/s12889-017-4153-7</w:t>
      </w:r>
    </w:p>
    <w:p w14:paraId="42DE4D0B" w14:textId="01783B5B" w:rsidR="00DF6AFE" w:rsidRPr="00B15C35" w:rsidRDefault="005A4F6B" w:rsidP="002E3A04">
      <w:pPr>
        <w:ind w:left="720" w:hanging="720"/>
        <w:jc w:val="both"/>
      </w:pPr>
      <w:r w:rsidRPr="00B15C35">
        <w:t>Bartholomew, A. J., Houk, A. K., Pulcrano, M., Shara, N.M., Kwagyan J., Jackson P. G.</w:t>
      </w:r>
      <w:r w:rsidR="0030584B" w:rsidRPr="00B15C35">
        <w:t>,</w:t>
      </w:r>
      <w:r w:rsidRPr="00B15C35">
        <w:t xml:space="preserve"> &amp; Sosin, M. (2018)</w:t>
      </w:r>
      <w:r w:rsidR="0030584B" w:rsidRPr="00B15C35">
        <w:t>.</w:t>
      </w:r>
      <w:r w:rsidRPr="00B15C35">
        <w:t xml:space="preserve"> Meta-Analysis of Surgeon Burnout Syndrome and Specialty Differences. </w:t>
      </w:r>
      <w:r w:rsidR="0030584B" w:rsidRPr="00B15C35">
        <w:rPr>
          <w:i/>
          <w:iCs/>
        </w:rPr>
        <w:t>Journal of Surgical Education, 75</w:t>
      </w:r>
      <w:r w:rsidR="0030584B" w:rsidRPr="00B15C35">
        <w:rPr>
          <w:iCs/>
        </w:rPr>
        <w:t>(5), 1256–1263. https://doi.org/10.1016/j.jsurg.2018.02.003</w:t>
      </w:r>
      <w:r w:rsidR="00DF6AFE" w:rsidRPr="00B15C35">
        <w:t xml:space="preserve"> </w:t>
      </w:r>
    </w:p>
    <w:p w14:paraId="365D96DC" w14:textId="06C868C0" w:rsidR="0030584B" w:rsidRPr="00B15C35" w:rsidRDefault="00AB7FA0" w:rsidP="002E3A04">
      <w:pPr>
        <w:ind w:left="720" w:hanging="720"/>
        <w:jc w:val="both"/>
      </w:pPr>
      <w:r w:rsidRPr="00B15C35">
        <w:t>Chen</w:t>
      </w:r>
      <w:r w:rsidR="004252C0" w:rsidRPr="00B15C35">
        <w:t>,</w:t>
      </w:r>
      <w:r w:rsidRPr="00B15C35">
        <w:t xml:space="preserve"> S</w:t>
      </w:r>
      <w:r w:rsidR="004252C0" w:rsidRPr="00B15C35">
        <w:t>.</w:t>
      </w:r>
      <w:r w:rsidRPr="00B15C35">
        <w:t>, Westman</w:t>
      </w:r>
      <w:r w:rsidR="004252C0" w:rsidRPr="00B15C35">
        <w:t>,</w:t>
      </w:r>
      <w:r w:rsidRPr="00B15C35">
        <w:t xml:space="preserve"> M</w:t>
      </w:r>
      <w:r w:rsidR="004252C0" w:rsidRPr="00B15C35">
        <w:t>.</w:t>
      </w:r>
      <w:r w:rsidR="0030584B" w:rsidRPr="00B15C35">
        <w:t>,</w:t>
      </w:r>
      <w:r w:rsidR="004252C0" w:rsidRPr="00B15C35">
        <w:t xml:space="preserve"> &amp;</w:t>
      </w:r>
      <w:r w:rsidRPr="00B15C35">
        <w:t xml:space="preserve"> Hobfoll</w:t>
      </w:r>
      <w:r w:rsidR="004252C0" w:rsidRPr="00B15C35">
        <w:t>,</w:t>
      </w:r>
      <w:r w:rsidRPr="00B15C35">
        <w:t xml:space="preserve"> S</w:t>
      </w:r>
      <w:r w:rsidR="004252C0" w:rsidRPr="00B15C35">
        <w:t xml:space="preserve">. </w:t>
      </w:r>
      <w:r w:rsidRPr="00B15C35">
        <w:t xml:space="preserve">E. </w:t>
      </w:r>
      <w:r w:rsidR="004252C0" w:rsidRPr="00B15C35">
        <w:t>(</w:t>
      </w:r>
      <w:r w:rsidR="0055754F" w:rsidRPr="00B15C35">
        <w:t>2015</w:t>
      </w:r>
      <w:r w:rsidR="004252C0" w:rsidRPr="00B15C35">
        <w:t>)</w:t>
      </w:r>
      <w:r w:rsidR="0055754F" w:rsidRPr="00B15C35">
        <w:t>.</w:t>
      </w:r>
      <w:r w:rsidR="004252C0" w:rsidRPr="00B15C35">
        <w:t xml:space="preserve"> </w:t>
      </w:r>
      <w:r w:rsidRPr="00B15C35">
        <w:t xml:space="preserve">The commerce and crossover of resources: resource conservation in the service of resilience. </w:t>
      </w:r>
      <w:bookmarkStart w:id="6" w:name="_Hlk41238042"/>
      <w:r w:rsidR="0030584B" w:rsidRPr="00B15C35">
        <w:rPr>
          <w:i/>
          <w:iCs/>
        </w:rPr>
        <w:t>Stress and Health: journal of the International Society for the Investigation of Stress, 31</w:t>
      </w:r>
      <w:r w:rsidR="0030584B" w:rsidRPr="00B15C35">
        <w:rPr>
          <w:iCs/>
        </w:rPr>
        <w:t>(2), 95–105. https://doi.org/10.1002/smi.2574</w:t>
      </w:r>
    </w:p>
    <w:p w14:paraId="239CD3C0" w14:textId="4060FA95" w:rsidR="003566F2" w:rsidRPr="00B15C35" w:rsidRDefault="003566F2" w:rsidP="002E3A04">
      <w:pPr>
        <w:ind w:left="720" w:hanging="720"/>
        <w:jc w:val="both"/>
      </w:pPr>
      <w:r w:rsidRPr="00B15C35">
        <w:lastRenderedPageBreak/>
        <w:t>Choi, R. Y., Rivera-Grana, E.</w:t>
      </w:r>
      <w:r w:rsidR="0030584B" w:rsidRPr="00B15C35">
        <w:t>,</w:t>
      </w:r>
      <w:r w:rsidRPr="00B15C35">
        <w:t xml:space="preserve"> &amp; Rosenbaum, J. T. (2019). Reclassifying Idiopathic Uveitis: Lessons From a Tertiary Uveitis Center. </w:t>
      </w:r>
      <w:r w:rsidRPr="00B15C35">
        <w:rPr>
          <w:i/>
          <w:iCs/>
        </w:rPr>
        <w:t>American Journal of Ophthalmology</w:t>
      </w:r>
      <w:r w:rsidRPr="00B15C35">
        <w:t xml:space="preserve">, </w:t>
      </w:r>
      <w:r w:rsidRPr="00B15C35">
        <w:rPr>
          <w:i/>
        </w:rPr>
        <w:t>198</w:t>
      </w:r>
      <w:r w:rsidRPr="00B15C35">
        <w:t>, 193–199.</w:t>
      </w:r>
      <w:r w:rsidR="0030584B" w:rsidRPr="00B15C35">
        <w:t xml:space="preserve"> https://doi.org/10.1016/j.ajo.2018.10.018</w:t>
      </w:r>
    </w:p>
    <w:p w14:paraId="04B34E8B" w14:textId="46B9CE04" w:rsidR="003566F2" w:rsidRPr="00B15C35" w:rsidRDefault="003566F2" w:rsidP="002E3A04">
      <w:pPr>
        <w:pStyle w:val="Newparagraph"/>
        <w:ind w:left="720" w:hanging="720"/>
        <w:jc w:val="both"/>
      </w:pPr>
      <w:r w:rsidRPr="00B15C35">
        <w:t>Ciuffreda, K. J.</w:t>
      </w:r>
      <w:r w:rsidR="0030584B" w:rsidRPr="00B15C35">
        <w:t>,</w:t>
      </w:r>
      <w:r w:rsidRPr="00B15C35">
        <w:t xml:space="preserve"> &amp; Vasudevan, B. (2008). Nearwork-induced transient myopia (NITM) and permanent myopia--is there a link? </w:t>
      </w:r>
      <w:r w:rsidR="0030584B" w:rsidRPr="00B15C35">
        <w:rPr>
          <w:i/>
          <w:iCs/>
        </w:rPr>
        <w:t>Ophthalmic &amp; Physiological Optics: the journal of the British College of Ophthalmic Opticians (Optometrists), 28(</w:t>
      </w:r>
      <w:r w:rsidR="0030584B" w:rsidRPr="00B15C35">
        <w:rPr>
          <w:iCs/>
        </w:rPr>
        <w:t>2), 103–114. https://doi.org/10.1111/j.1475-1313.2008.00550.x</w:t>
      </w:r>
    </w:p>
    <w:p w14:paraId="25EA2D75" w14:textId="777F8E93" w:rsidR="00F87070" w:rsidRPr="00B15C35" w:rsidRDefault="008E0946" w:rsidP="002E3A04">
      <w:pPr>
        <w:ind w:left="720" w:hanging="720"/>
        <w:jc w:val="both"/>
      </w:pPr>
      <w:r w:rsidRPr="00B15C35">
        <w:t xml:space="preserve">Colombini, D., &amp; Occhipinti, E. (2006). </w:t>
      </w:r>
      <w:bookmarkEnd w:id="6"/>
      <w:r w:rsidRPr="00B15C35">
        <w:t xml:space="preserve">Preventing upper limb work-related musculoskeletal disorders (UL-WMSDS): new approaches in job (re)design and current trends in standardization. </w:t>
      </w:r>
      <w:r w:rsidRPr="00B15C35">
        <w:rPr>
          <w:i/>
          <w:iCs/>
        </w:rPr>
        <w:t>Applied Ergonomics</w:t>
      </w:r>
      <w:r w:rsidRPr="00B15C35">
        <w:t xml:space="preserve">, </w:t>
      </w:r>
      <w:r w:rsidRPr="00B15C35">
        <w:rPr>
          <w:i/>
        </w:rPr>
        <w:t>37</w:t>
      </w:r>
      <w:r w:rsidRPr="00B15C35">
        <w:t xml:space="preserve">(4), 441–450. </w:t>
      </w:r>
      <w:r w:rsidR="0030584B" w:rsidRPr="00B15C35">
        <w:t>https://doi.org/10.1016/j.apergo.2006.04.008</w:t>
      </w:r>
    </w:p>
    <w:p w14:paraId="546C787A" w14:textId="0A2E46F7" w:rsidR="00E60167" w:rsidRPr="00B15C35" w:rsidRDefault="00E60167" w:rsidP="002E3A04">
      <w:pPr>
        <w:ind w:left="720" w:hanging="720"/>
        <w:jc w:val="both"/>
      </w:pPr>
      <w:r w:rsidRPr="00B15C35">
        <w:t>Cooke, C. E.</w:t>
      </w:r>
      <w:r w:rsidR="0030584B" w:rsidRPr="00B15C35">
        <w:t>,</w:t>
      </w:r>
      <w:r w:rsidRPr="00B15C35">
        <w:t xml:space="preserve"> &amp; Stephens, J. M. (2017). Clinical, economic, and humanistic burden of needlestick injuries in healthcare workers. </w:t>
      </w:r>
      <w:r w:rsidR="0030584B" w:rsidRPr="00B15C35">
        <w:rPr>
          <w:i/>
          <w:iCs/>
        </w:rPr>
        <w:t xml:space="preserve">Medical devices (Auckland, N.Z.), 10, </w:t>
      </w:r>
      <w:r w:rsidR="0030584B" w:rsidRPr="00B15C35">
        <w:rPr>
          <w:iCs/>
        </w:rPr>
        <w:t>225–235. https://doi.org/10.2147/MDER.S140846</w:t>
      </w:r>
    </w:p>
    <w:p w14:paraId="42480DD5" w14:textId="189A3546" w:rsidR="00F87070" w:rsidRPr="00B15C35" w:rsidRDefault="00F87070" w:rsidP="002E3A04">
      <w:pPr>
        <w:ind w:left="720" w:hanging="720"/>
        <w:jc w:val="both"/>
      </w:pPr>
      <w:r w:rsidRPr="00B15C35">
        <w:t xml:space="preserve">David, G., &amp; Buckle, P. (1997). A questionnaire survey of the ergonomic problems associated with pipettes and their usage with specific reference to work-related upper limb disorders. </w:t>
      </w:r>
      <w:r w:rsidRPr="00B15C35">
        <w:rPr>
          <w:i/>
          <w:iCs/>
        </w:rPr>
        <w:t>Applied Ergonomics</w:t>
      </w:r>
      <w:r w:rsidRPr="00B15C35">
        <w:t xml:space="preserve">, </w:t>
      </w:r>
      <w:r w:rsidRPr="00B15C35">
        <w:rPr>
          <w:i/>
        </w:rPr>
        <w:t>28</w:t>
      </w:r>
      <w:r w:rsidRPr="00B15C35">
        <w:t xml:space="preserve">(4), 257–262. </w:t>
      </w:r>
      <w:r w:rsidR="0030584B" w:rsidRPr="00B15C35">
        <w:t>https://doi.org/10.1016/s0003-6870(97)00002-1</w:t>
      </w:r>
    </w:p>
    <w:p w14:paraId="45592271" w14:textId="631B5B2E" w:rsidR="00E60167" w:rsidRPr="00B15C35" w:rsidRDefault="00E60167" w:rsidP="002E3A04">
      <w:pPr>
        <w:ind w:left="720" w:hanging="720"/>
        <w:jc w:val="both"/>
      </w:pPr>
      <w:r w:rsidRPr="00B15C35">
        <w:t xml:space="preserve">De Carli, G., Abiteboul, D., &amp; Puro, V. (2014). The importance of implementing safe sharps practices in the laboratory setting in Europe. </w:t>
      </w:r>
      <w:r w:rsidRPr="00B15C35">
        <w:rPr>
          <w:i/>
          <w:iCs/>
        </w:rPr>
        <w:t>Biochemia Medica</w:t>
      </w:r>
      <w:r w:rsidRPr="00B15C35">
        <w:t xml:space="preserve">, </w:t>
      </w:r>
      <w:r w:rsidRPr="00B15C35">
        <w:rPr>
          <w:i/>
        </w:rPr>
        <w:t>24</w:t>
      </w:r>
      <w:r w:rsidRPr="00B15C35">
        <w:t xml:space="preserve">(1), 45–56. </w:t>
      </w:r>
      <w:r w:rsidR="000733A4" w:rsidRPr="00B15C35">
        <w:t>https://doi.org/10.11613/BM.2014.007</w:t>
      </w:r>
    </w:p>
    <w:p w14:paraId="5B5163F0" w14:textId="20AE9607" w:rsidR="008E0946" w:rsidRPr="00B15C35" w:rsidRDefault="00AB7FA0" w:rsidP="002E3A04">
      <w:pPr>
        <w:ind w:left="720" w:hanging="720"/>
        <w:jc w:val="both"/>
      </w:pPr>
      <w:r w:rsidRPr="00B15C35">
        <w:t xml:space="preserve">Demerouti, E., Bakker, A. B., Nachreiner, F., &amp; Schaufeli, W. B. (2001). The job demands-resources model of burnout. </w:t>
      </w:r>
      <w:r w:rsidRPr="00B15C35">
        <w:rPr>
          <w:i/>
          <w:iCs/>
        </w:rPr>
        <w:t xml:space="preserve">Journal of </w:t>
      </w:r>
      <w:r w:rsidR="004252C0" w:rsidRPr="00B15C35">
        <w:rPr>
          <w:i/>
          <w:iCs/>
        </w:rPr>
        <w:t>A</w:t>
      </w:r>
      <w:r w:rsidRPr="00B15C35">
        <w:rPr>
          <w:i/>
          <w:iCs/>
        </w:rPr>
        <w:t xml:space="preserve">pplied </w:t>
      </w:r>
      <w:r w:rsidR="004252C0" w:rsidRPr="00B15C35">
        <w:rPr>
          <w:i/>
          <w:iCs/>
        </w:rPr>
        <w:t>P</w:t>
      </w:r>
      <w:r w:rsidRPr="00B15C35">
        <w:rPr>
          <w:i/>
          <w:iCs/>
        </w:rPr>
        <w:t>sychology</w:t>
      </w:r>
      <w:r w:rsidRPr="00B15C35">
        <w:t xml:space="preserve">, </w:t>
      </w:r>
      <w:r w:rsidRPr="00B15C35">
        <w:rPr>
          <w:i/>
        </w:rPr>
        <w:t>86</w:t>
      </w:r>
      <w:r w:rsidRPr="00B15C35">
        <w:t>(3), 499–512.</w:t>
      </w:r>
      <w:r w:rsidR="000733A4" w:rsidRPr="00B15C35">
        <w:t xml:space="preserve"> https://doi.org/10.1037/0021-9010.86.3.499</w:t>
      </w:r>
    </w:p>
    <w:p w14:paraId="41164BE2" w14:textId="304B4576" w:rsidR="008E0946" w:rsidRPr="00B15C35" w:rsidRDefault="008E0946" w:rsidP="002E3A04">
      <w:pPr>
        <w:ind w:left="720" w:hanging="720"/>
        <w:jc w:val="both"/>
      </w:pPr>
      <w:r w:rsidRPr="002E3A04">
        <w:lastRenderedPageBreak/>
        <w:t>Devereux, J., Buckle, P.</w:t>
      </w:r>
      <w:r w:rsidR="000733A4" w:rsidRPr="002E3A04">
        <w:t>,</w:t>
      </w:r>
      <w:r w:rsidRPr="002E3A04">
        <w:t xml:space="preserve"> &amp; Vlachonokilis, I. (1999). Interactions between physical and psychosocial risk factors at work increase the risk of back disorders: an epidemiological approach. </w:t>
      </w:r>
      <w:r w:rsidR="000733A4" w:rsidRPr="002E3A04">
        <w:rPr>
          <w:i/>
          <w:iCs/>
        </w:rPr>
        <w:t>Occupational and Environmental Medicine, 56</w:t>
      </w:r>
      <w:r w:rsidR="000733A4" w:rsidRPr="002E3A04">
        <w:rPr>
          <w:iCs/>
        </w:rPr>
        <w:t>(5), 343–353. https://doi.org/10.1136/oem.56.5.343</w:t>
      </w:r>
    </w:p>
    <w:p w14:paraId="2EE375AC" w14:textId="088F6E9E" w:rsidR="008C779D" w:rsidRPr="00B15C35" w:rsidRDefault="00AB7FA0" w:rsidP="002E3A04">
      <w:pPr>
        <w:ind w:left="720" w:hanging="720"/>
        <w:jc w:val="both"/>
      </w:pPr>
      <w:r w:rsidRPr="00B15C35">
        <w:t>Fernet, C., Guay, F.</w:t>
      </w:r>
      <w:r w:rsidR="000733A4" w:rsidRPr="00941502">
        <w:t>,</w:t>
      </w:r>
      <w:r w:rsidRPr="00D64AA2">
        <w:t xml:space="preserve"> &amp; Senécal, C. (2004). Adjusting to job demands: The role of work self-determination and job control in predicting burnout. </w:t>
      </w:r>
      <w:r w:rsidRPr="00B15C35">
        <w:rPr>
          <w:i/>
          <w:iCs/>
        </w:rPr>
        <w:t>Journal of Vocational Behavior</w:t>
      </w:r>
      <w:r w:rsidRPr="00B15C35">
        <w:t xml:space="preserve">, </w:t>
      </w:r>
      <w:r w:rsidRPr="00B15C35">
        <w:rPr>
          <w:i/>
        </w:rPr>
        <w:t>65</w:t>
      </w:r>
      <w:r w:rsidRPr="00B15C35">
        <w:t>(1), 39–56.</w:t>
      </w:r>
      <w:r w:rsidR="000733A4" w:rsidRPr="00B15C35">
        <w:t xml:space="preserve"> https://doi.org/10.1016/S0001-8791(03)00098-8</w:t>
      </w:r>
    </w:p>
    <w:p w14:paraId="638CFCFE" w14:textId="625E69FD" w:rsidR="00CB0877" w:rsidRPr="00B15C35" w:rsidRDefault="00CB0877" w:rsidP="002E3A04">
      <w:pPr>
        <w:pStyle w:val="Newparagraph"/>
        <w:ind w:left="720" w:hanging="720"/>
        <w:jc w:val="both"/>
      </w:pPr>
      <w:r w:rsidRPr="00B15C35">
        <w:t>Fredriksson, S., Hammar, O., Torén, K., Tenenbaum, A.</w:t>
      </w:r>
      <w:r w:rsidR="000733A4" w:rsidRPr="00B15C35">
        <w:t>,</w:t>
      </w:r>
      <w:r w:rsidRPr="00B15C35">
        <w:t xml:space="preserve"> &amp; Waye, K. P. (2015). The effect of occupational noise exposure on tinnitus and sound-induced auditory fatigue among obstetrics personnel: a cross-sectional study. </w:t>
      </w:r>
      <w:r w:rsidRPr="00B15C35">
        <w:rPr>
          <w:i/>
          <w:iCs/>
        </w:rPr>
        <w:t>BMJ Open</w:t>
      </w:r>
      <w:r w:rsidRPr="00B15C35">
        <w:t xml:space="preserve">, </w:t>
      </w:r>
      <w:r w:rsidRPr="00B15C35">
        <w:rPr>
          <w:i/>
        </w:rPr>
        <w:t>5</w:t>
      </w:r>
      <w:r w:rsidRPr="00B15C35">
        <w:t>(3), e005793</w:t>
      </w:r>
      <w:r w:rsidR="000733A4" w:rsidRPr="00B15C35">
        <w:t>. https://doi.org/10.1136/bmjopen-2014-005793</w:t>
      </w:r>
    </w:p>
    <w:p w14:paraId="7A087E53" w14:textId="46A8997F" w:rsidR="003566F2" w:rsidRPr="00B15C35" w:rsidRDefault="003566F2" w:rsidP="002E3A04">
      <w:pPr>
        <w:pStyle w:val="Newparagraph"/>
        <w:ind w:left="720" w:hanging="720"/>
        <w:jc w:val="both"/>
      </w:pPr>
      <w:r w:rsidRPr="00B15C35">
        <w:t>Gilmartin</w:t>
      </w:r>
      <w:r w:rsidR="000733A4" w:rsidRPr="00B15C35">
        <w:t>,</w:t>
      </w:r>
      <w:r w:rsidRPr="00B15C35">
        <w:t xml:space="preserve"> B. (1995). The aetiology of presbyopia: a summary of the role of lenticular and extralenticular structures. </w:t>
      </w:r>
      <w:r w:rsidR="000733A4" w:rsidRPr="00B15C35">
        <w:rPr>
          <w:i/>
          <w:iCs/>
        </w:rPr>
        <w:t>Ophthalmic &amp; Physiological Optics: the journal of the British College of Ophthalmic Opticians (Optometrists), 15</w:t>
      </w:r>
      <w:r w:rsidR="000733A4" w:rsidRPr="00B15C35">
        <w:rPr>
          <w:iCs/>
        </w:rPr>
        <w:t>(5), 431–437.</w:t>
      </w:r>
      <w:r w:rsidR="009257BA" w:rsidRPr="00B15C35">
        <w:t xml:space="preserve"> </w:t>
      </w:r>
      <w:r w:rsidR="009257BA" w:rsidRPr="00B15C35">
        <w:rPr>
          <w:iCs/>
        </w:rPr>
        <w:t>https://doi.org/10.1016/0275-5408(95)00095-U</w:t>
      </w:r>
    </w:p>
    <w:p w14:paraId="60F26086" w14:textId="6CEC3DD4" w:rsidR="008C779D" w:rsidRPr="00B15C35" w:rsidRDefault="008C779D" w:rsidP="002E3A04">
      <w:pPr>
        <w:ind w:left="720" w:hanging="720"/>
        <w:jc w:val="both"/>
      </w:pPr>
      <w:r w:rsidRPr="00B15C35">
        <w:t xml:space="preserve">Grant, K., Vo, T., &amp; Tiong, L. U. (2020). The painful truth: work-related musculoskeletal disorders in Australian surgeons. </w:t>
      </w:r>
      <w:r w:rsidR="009257BA" w:rsidRPr="00B15C35">
        <w:rPr>
          <w:i/>
          <w:iCs/>
        </w:rPr>
        <w:t>Occupational Medicine (Oxford, England), 70</w:t>
      </w:r>
      <w:r w:rsidR="009257BA" w:rsidRPr="00B15C35">
        <w:rPr>
          <w:iCs/>
        </w:rPr>
        <w:t>(1), 60–63. https://doi.org/10.1093/occmed/kqz155</w:t>
      </w:r>
    </w:p>
    <w:p w14:paraId="5F9BAD87" w14:textId="6A37097A" w:rsidR="00F87070" w:rsidRPr="00B15C35" w:rsidRDefault="009257BA" w:rsidP="002E3A04">
      <w:pPr>
        <w:ind w:left="720" w:hanging="720"/>
        <w:jc w:val="both"/>
      </w:pPr>
      <w:r w:rsidRPr="00B15C35">
        <w:t xml:space="preserve">Guyatt, G. H., Oxman, A. D., Vist, G. E., Kunz, R., Falck-Ytter, Y., Alonso-Coello, P., Schünemann, H. J., &amp; GRADE Working Group (2008). GRADE: an emerging consensus on rating quality of evidence and strength of recommendations. </w:t>
      </w:r>
      <w:r w:rsidRPr="00B15C35">
        <w:rPr>
          <w:i/>
        </w:rPr>
        <w:t>BMJ (Clinical Research ed.), 336</w:t>
      </w:r>
      <w:r w:rsidRPr="00B15C35">
        <w:t>(7650), 924–926. https://doi.org/10.1136/bmj.39489.470347.AD</w:t>
      </w:r>
      <w:r w:rsidR="002372F6" w:rsidRPr="00B15C35">
        <w:t>.</w:t>
      </w:r>
    </w:p>
    <w:p w14:paraId="328F5319" w14:textId="26858C5E" w:rsidR="00F87070" w:rsidRPr="00B15C35" w:rsidRDefault="00F87070" w:rsidP="002E3A04">
      <w:pPr>
        <w:ind w:left="720" w:hanging="720"/>
        <w:jc w:val="both"/>
      </w:pPr>
      <w:r w:rsidRPr="00B15C35">
        <w:lastRenderedPageBreak/>
        <w:t>Hagberg, M., &amp; Wegman, D. H. (1987). P</w:t>
      </w:r>
      <w:bookmarkStart w:id="7" w:name="_Hlk42698907"/>
      <w:r w:rsidRPr="00B15C35">
        <w:t xml:space="preserve">revalence rates and odds ratios of shoulder-neck diseases in different occupational groups. </w:t>
      </w:r>
      <w:r w:rsidRPr="00B15C35">
        <w:rPr>
          <w:i/>
          <w:iCs/>
        </w:rPr>
        <w:t>British Journal of Industrial Medicine</w:t>
      </w:r>
      <w:r w:rsidRPr="00B15C35">
        <w:t xml:space="preserve">, </w:t>
      </w:r>
      <w:bookmarkEnd w:id="7"/>
      <w:r w:rsidRPr="00B15C35">
        <w:rPr>
          <w:i/>
        </w:rPr>
        <w:t>44</w:t>
      </w:r>
      <w:r w:rsidRPr="00B15C35">
        <w:t xml:space="preserve">(9), 602–610. </w:t>
      </w:r>
      <w:r w:rsidR="009257BA" w:rsidRPr="00B15C35">
        <w:t>https://doi.org/10.1136/oem.44.9.602</w:t>
      </w:r>
    </w:p>
    <w:p w14:paraId="012050E5" w14:textId="4B747735" w:rsidR="007911D0" w:rsidRPr="00B15C35" w:rsidRDefault="007911D0" w:rsidP="002E3A04">
      <w:pPr>
        <w:ind w:left="720" w:hanging="720"/>
        <w:jc w:val="both"/>
      </w:pPr>
      <w:r w:rsidRPr="00B15C35">
        <w:t xml:space="preserve">HCPC. (2014). </w:t>
      </w:r>
      <w:r w:rsidRPr="00B15C35">
        <w:rPr>
          <w:i/>
          <w:iCs/>
        </w:rPr>
        <w:t xml:space="preserve">The standards of proficiency for clinical scientists. </w:t>
      </w:r>
      <w:r w:rsidRPr="00B15C35">
        <w:t>https://www.hcpc-uk.org/standards/standards-of-proficiency/clinical-scientists</w:t>
      </w:r>
    </w:p>
    <w:p w14:paraId="02CF8817" w14:textId="6632CC08" w:rsidR="00AB7FA0" w:rsidRPr="00B15C35" w:rsidRDefault="00AB7FA0" w:rsidP="002E3A04">
      <w:pPr>
        <w:ind w:left="720" w:hanging="720"/>
        <w:jc w:val="both"/>
      </w:pPr>
      <w:r w:rsidRPr="00B15C35">
        <w:t>Hertel, G., Rauschenbach, C., Thielgen, M. M., &amp; Krumm, S. (2015). Are older workers more active copers? Longitudinal effects of age</w:t>
      </w:r>
      <w:r w:rsidR="009257BA" w:rsidRPr="00B15C35">
        <w:t>-</w:t>
      </w:r>
      <w:r w:rsidRPr="00B15C35">
        <w:t xml:space="preserve">contingent coping on strain at work. </w:t>
      </w:r>
      <w:r w:rsidRPr="00B15C35">
        <w:rPr>
          <w:i/>
        </w:rPr>
        <w:t>Journal of Organizational Behavior, 36</w:t>
      </w:r>
      <w:r w:rsidRPr="00B15C35">
        <w:t>(4), 514–537.</w:t>
      </w:r>
      <w:r w:rsidR="009257BA" w:rsidRPr="00B15C35">
        <w:t xml:space="preserve"> https://doi.org/10.1002/job.1995</w:t>
      </w:r>
    </w:p>
    <w:p w14:paraId="3C693F96" w14:textId="4E0E03B2" w:rsidR="005A4B89" w:rsidRPr="00B15C35" w:rsidRDefault="005A4B89" w:rsidP="002E3A04">
      <w:pPr>
        <w:ind w:left="720" w:hanging="720"/>
        <w:jc w:val="both"/>
      </w:pPr>
      <w:r w:rsidRPr="00B15C35">
        <w:t xml:space="preserve">HFEA. (n.d.). </w:t>
      </w:r>
      <w:r w:rsidRPr="00B15C35">
        <w:rPr>
          <w:i/>
          <w:iCs/>
        </w:rPr>
        <w:t>Licence conditions (treatment and storage).</w:t>
      </w:r>
      <w:r w:rsidRPr="00B15C35">
        <w:t xml:space="preserve"> https://portal.hfea.gov.uk/knowledge-base/licence-conditions/licence-conditions-treatment-and-storage</w:t>
      </w:r>
    </w:p>
    <w:p w14:paraId="3873D016" w14:textId="77777777" w:rsidR="004252C0" w:rsidRPr="00B15C35" w:rsidRDefault="00B06168" w:rsidP="002E3A04">
      <w:pPr>
        <w:ind w:left="720" w:hanging="720"/>
        <w:jc w:val="both"/>
      </w:pPr>
      <w:r w:rsidRPr="00B15C35">
        <w:t xml:space="preserve">HFEA. (2019). </w:t>
      </w:r>
      <w:r w:rsidRPr="00B15C35">
        <w:rPr>
          <w:i/>
          <w:iCs/>
        </w:rPr>
        <w:t>Code of Practice</w:t>
      </w:r>
      <w:r w:rsidR="007911D0" w:rsidRPr="00B15C35">
        <w:rPr>
          <w:i/>
          <w:iCs/>
        </w:rPr>
        <w:t>:</w:t>
      </w:r>
      <w:r w:rsidRPr="00B15C35">
        <w:rPr>
          <w:i/>
          <w:iCs/>
        </w:rPr>
        <w:t xml:space="preserve"> </w:t>
      </w:r>
      <w:r w:rsidR="007911D0" w:rsidRPr="00B15C35">
        <w:rPr>
          <w:i/>
          <w:iCs/>
        </w:rPr>
        <w:t>9</w:t>
      </w:r>
      <w:r w:rsidR="007911D0" w:rsidRPr="00B15C35">
        <w:rPr>
          <w:i/>
          <w:iCs/>
          <w:vertAlign w:val="superscript"/>
        </w:rPr>
        <w:t>th</w:t>
      </w:r>
      <w:r w:rsidR="007911D0" w:rsidRPr="00B15C35">
        <w:rPr>
          <w:i/>
          <w:iCs/>
        </w:rPr>
        <w:t xml:space="preserve"> </w:t>
      </w:r>
      <w:r w:rsidRPr="00B15C35">
        <w:rPr>
          <w:i/>
          <w:iCs/>
        </w:rPr>
        <w:t>Edition.</w:t>
      </w:r>
      <w:r w:rsidRPr="00B15C35">
        <w:t xml:space="preserve"> </w:t>
      </w:r>
      <w:r w:rsidR="007911D0" w:rsidRPr="00B15C35">
        <w:t>https://portal.hfea.gov.uk/media/1527/2019-12-16-code-of-practice-9th-edition-december-2019.pdf</w:t>
      </w:r>
    </w:p>
    <w:p w14:paraId="548770C3" w14:textId="7A34CD2A" w:rsidR="004252C0" w:rsidRPr="00B15C35" w:rsidRDefault="00AB7FA0" w:rsidP="002E3A04">
      <w:pPr>
        <w:ind w:left="720" w:hanging="720"/>
        <w:jc w:val="both"/>
      </w:pPr>
      <w:r w:rsidRPr="00B15C35">
        <w:t>Hobfoll</w:t>
      </w:r>
      <w:r w:rsidR="00182FC4" w:rsidRPr="00B15C35">
        <w:t>,</w:t>
      </w:r>
      <w:r w:rsidRPr="00B15C35">
        <w:t xml:space="preserve"> S. E. (1989). Conservation of resources. A new attempt at conceptualizing stress. </w:t>
      </w:r>
      <w:r w:rsidR="00182FC4" w:rsidRPr="00B15C35">
        <w:rPr>
          <w:i/>
        </w:rPr>
        <w:t>The American Psychologist, 44</w:t>
      </w:r>
      <w:r w:rsidR="00182FC4" w:rsidRPr="00B15C35">
        <w:t>(3), 513–524. https://doi.org/10.1037//0003-066x.44.3.513</w:t>
      </w:r>
      <w:r w:rsidRPr="00B15C35">
        <w:t xml:space="preserve">. </w:t>
      </w:r>
    </w:p>
    <w:p w14:paraId="5097A38F" w14:textId="77777777" w:rsidR="008E0946" w:rsidRPr="00B15C35" w:rsidRDefault="008E0946" w:rsidP="002E3A04">
      <w:pPr>
        <w:ind w:left="720" w:hanging="720"/>
        <w:jc w:val="both"/>
      </w:pPr>
      <w:r w:rsidRPr="002E3A04">
        <w:t xml:space="preserve">HSE (n.d.-a) </w:t>
      </w:r>
      <w:r w:rsidRPr="002E3A04">
        <w:rPr>
          <w:i/>
          <w:iCs/>
        </w:rPr>
        <w:t>Toolkit for MSDs</w:t>
      </w:r>
      <w:r w:rsidRPr="002E3A04">
        <w:t>. https://www.hse.gov.uk/msd/toolkit.htm</w:t>
      </w:r>
    </w:p>
    <w:p w14:paraId="32692B32" w14:textId="77777777" w:rsidR="008E0946" w:rsidRPr="00B15C35" w:rsidRDefault="008E0946" w:rsidP="002E3A04">
      <w:pPr>
        <w:ind w:left="720" w:hanging="720"/>
        <w:jc w:val="both"/>
      </w:pPr>
      <w:r w:rsidRPr="002E3A04">
        <w:t xml:space="preserve">HSE (n.d.-b) </w:t>
      </w:r>
      <w:r w:rsidRPr="002E3A04">
        <w:rPr>
          <w:i/>
          <w:iCs/>
        </w:rPr>
        <w:t>Managing upper limb disorders in the workplace: A brief guide.</w:t>
      </w:r>
      <w:r w:rsidRPr="00B15C35">
        <w:t xml:space="preserve"> </w:t>
      </w:r>
      <w:r w:rsidRPr="002E3A04">
        <w:t>https://www.hse.gov.uk/pubns/indg171.pdf</w:t>
      </w:r>
    </w:p>
    <w:p w14:paraId="7790E6A9" w14:textId="642D2173" w:rsidR="004252C0" w:rsidRPr="00B15C35" w:rsidRDefault="004252C0" w:rsidP="002E3A04">
      <w:pPr>
        <w:ind w:left="720" w:hanging="720"/>
        <w:jc w:val="both"/>
      </w:pPr>
      <w:r w:rsidRPr="00B15C35">
        <w:t>HSE (n.d.</w:t>
      </w:r>
      <w:r w:rsidR="003418F2" w:rsidRPr="00941502">
        <w:t>-c</w:t>
      </w:r>
      <w:r w:rsidRPr="00D64AA2">
        <w:t xml:space="preserve">). </w:t>
      </w:r>
      <w:r w:rsidRPr="00B15C35">
        <w:rPr>
          <w:i/>
          <w:iCs/>
        </w:rPr>
        <w:t>Stress Indicator Tool (SIT)</w:t>
      </w:r>
      <w:r w:rsidRPr="00B15C35">
        <w:t xml:space="preserve"> https://books.hse.gov.uk/Stress-Indicator-Tool</w:t>
      </w:r>
    </w:p>
    <w:p w14:paraId="68043764" w14:textId="23CC78DF" w:rsidR="00273117" w:rsidRPr="00B15C35" w:rsidRDefault="004252C0" w:rsidP="002E3A04">
      <w:pPr>
        <w:ind w:left="720" w:hanging="720"/>
        <w:jc w:val="both"/>
      </w:pPr>
      <w:r w:rsidRPr="00B15C35">
        <w:t>HSE (n. d.</w:t>
      </w:r>
      <w:r w:rsidR="003418F2" w:rsidRPr="00B15C35">
        <w:t>-d</w:t>
      </w:r>
      <w:r w:rsidRPr="00B15C35">
        <w:t xml:space="preserve">). </w:t>
      </w:r>
      <w:r w:rsidRPr="00B15C35">
        <w:rPr>
          <w:i/>
          <w:iCs/>
        </w:rPr>
        <w:t>Case Study: Management Standards for Stress</w:t>
      </w:r>
      <w:r w:rsidRPr="00B15C35">
        <w:t xml:space="preserve"> https://books.hse.gov.uk/gempdf/Stress_Case_Study.pdf</w:t>
      </w:r>
    </w:p>
    <w:p w14:paraId="07458A45" w14:textId="4954993C" w:rsidR="00F01173" w:rsidRPr="00B15C35" w:rsidRDefault="00100FB1" w:rsidP="002E3A04">
      <w:pPr>
        <w:ind w:left="720" w:hanging="720"/>
        <w:jc w:val="both"/>
      </w:pPr>
      <w:r w:rsidRPr="00B15C35">
        <w:lastRenderedPageBreak/>
        <w:t xml:space="preserve">HSE (2019). </w:t>
      </w:r>
      <w:r w:rsidRPr="00B15C35">
        <w:rPr>
          <w:i/>
          <w:iCs/>
        </w:rPr>
        <w:t>Health and safety at work</w:t>
      </w:r>
      <w:r w:rsidR="00430CB6" w:rsidRPr="00B15C35">
        <w:rPr>
          <w:i/>
          <w:iCs/>
        </w:rPr>
        <w:t>.</w:t>
      </w:r>
      <w:r w:rsidRPr="00B15C35">
        <w:rPr>
          <w:i/>
          <w:iCs/>
        </w:rPr>
        <w:t xml:space="preserve"> Summary statistics for Great Britain</w:t>
      </w:r>
      <w:r w:rsidR="00430CB6" w:rsidRPr="00B15C35">
        <w:rPr>
          <w:i/>
          <w:iCs/>
        </w:rPr>
        <w:t>,</w:t>
      </w:r>
      <w:r w:rsidRPr="00B15C35">
        <w:rPr>
          <w:i/>
          <w:iCs/>
        </w:rPr>
        <w:t xml:space="preserve"> 2019.</w:t>
      </w:r>
      <w:r w:rsidRPr="00B15C35">
        <w:t xml:space="preserve"> </w:t>
      </w:r>
      <w:r w:rsidR="00C054B7" w:rsidRPr="00B15C35">
        <w:t>https://www.hse.gov.uk/statistics/overall/hssh1819.pdf</w:t>
      </w:r>
    </w:p>
    <w:p w14:paraId="4D8769F0" w14:textId="019CE212" w:rsidR="008D57DB" w:rsidRPr="00B15C35" w:rsidRDefault="008D57DB" w:rsidP="002E3A04">
      <w:pPr>
        <w:ind w:left="720" w:hanging="720"/>
        <w:jc w:val="both"/>
      </w:pPr>
      <w:r w:rsidRPr="00B15C35">
        <w:t>Hu, H., Kang, C., Hou,</w:t>
      </w:r>
      <w:r w:rsidR="00182FC4" w:rsidRPr="00B15C35">
        <w:t xml:space="preserve"> X., Zhang, Q., Meng, Q., Jiang</w:t>
      </w:r>
      <w:r w:rsidRPr="00B15C35">
        <w:t>, J.</w:t>
      </w:r>
      <w:r w:rsidR="00182FC4" w:rsidRPr="00B15C35">
        <w:t>,</w:t>
      </w:r>
      <w:r w:rsidRPr="00B15C35">
        <w:t xml:space="preserve"> &amp; Hao, W. (2020)</w:t>
      </w:r>
      <w:r w:rsidR="00182FC4" w:rsidRPr="00B15C35">
        <w:t>.</w:t>
      </w:r>
      <w:r w:rsidRPr="00B15C35">
        <w:t xml:space="preserve"> Blue Light Deprivation Produces Depression-Like Responses in Mongolian Gerbils. </w:t>
      </w:r>
      <w:r w:rsidR="00182FC4" w:rsidRPr="00B15C35">
        <w:rPr>
          <w:i/>
        </w:rPr>
        <w:t>Frontiers in Psychiatry, 11</w:t>
      </w:r>
      <w:r w:rsidR="00182FC4" w:rsidRPr="00B15C35">
        <w:t>, 233. https://doi.org/10.3389/fpsyt.2020.00233</w:t>
      </w:r>
      <w:r w:rsidRPr="00B15C35">
        <w:t>.</w:t>
      </w:r>
    </w:p>
    <w:p w14:paraId="233E65A5" w14:textId="2428DCBF" w:rsidR="003566F2" w:rsidRPr="00B15C35" w:rsidRDefault="003566F2" w:rsidP="002E3A04">
      <w:pPr>
        <w:pStyle w:val="Newparagraph"/>
        <w:ind w:left="720" w:hanging="720"/>
        <w:jc w:val="both"/>
      </w:pPr>
      <w:r w:rsidRPr="00B15C35">
        <w:t>Hua, W. J., Jin, J. X., Wu, X. Y., Yang, J. W., Jiang, X., Gao, G. P.</w:t>
      </w:r>
      <w:r w:rsidR="00182FC4" w:rsidRPr="00B15C35">
        <w:t>,</w:t>
      </w:r>
      <w:r w:rsidRPr="00B15C35">
        <w:t xml:space="preserve"> &amp; Tao, F. B. (2015). Elevated light levels in schools have a protective effect on myopia. </w:t>
      </w:r>
      <w:r w:rsidR="00182FC4" w:rsidRPr="00B15C35">
        <w:rPr>
          <w:i/>
          <w:iCs/>
        </w:rPr>
        <w:t>Ophthalmic &amp; Physiological Optics: the journal of the British College of Ophthalmic Opticians (Optometrists), 35</w:t>
      </w:r>
      <w:r w:rsidR="00182FC4" w:rsidRPr="00B15C35">
        <w:rPr>
          <w:iCs/>
        </w:rPr>
        <w:t>(3), 252–262. https://doi.org/10.1111/opo.12207</w:t>
      </w:r>
    </w:p>
    <w:p w14:paraId="73CE918D" w14:textId="2F7D86F2" w:rsidR="00454907" w:rsidRPr="00B15C35" w:rsidRDefault="00DD01A5" w:rsidP="002E3A04">
      <w:pPr>
        <w:ind w:left="720" w:hanging="720"/>
        <w:jc w:val="both"/>
      </w:pPr>
      <w:r w:rsidRPr="00B15C35">
        <w:t xml:space="preserve">Hughes, C. (2012). Association of clinical embryologists - guidelines on good practice in clinical embryology laboratories 2012. </w:t>
      </w:r>
      <w:r w:rsidRPr="00B15C35">
        <w:rPr>
          <w:i/>
          <w:iCs/>
        </w:rPr>
        <w:t>Human Fertility</w:t>
      </w:r>
      <w:r w:rsidRPr="00B15C35">
        <w:t xml:space="preserve">, </w:t>
      </w:r>
      <w:r w:rsidRPr="00B15C35">
        <w:rPr>
          <w:i/>
        </w:rPr>
        <w:t>15</w:t>
      </w:r>
      <w:r w:rsidRPr="00B15C35">
        <w:t>(4), 174-189.</w:t>
      </w:r>
      <w:r w:rsidR="00261AFB" w:rsidRPr="00B15C35">
        <w:t xml:space="preserve"> https://doi.org/10.3109/14647273.2012.747891</w:t>
      </w:r>
    </w:p>
    <w:p w14:paraId="58177B30" w14:textId="2012297E" w:rsidR="008E0946" w:rsidRPr="00B15C35" w:rsidRDefault="008E0946" w:rsidP="002E3A04">
      <w:pPr>
        <w:ind w:left="720" w:hanging="720"/>
        <w:jc w:val="both"/>
      </w:pPr>
      <w:r w:rsidRPr="002E3A04">
        <w:t xml:space="preserve">Jay, K., Brandt, M., Hansen, K., Sundstrup, E., Jakobsen, M. D., Schraefel, M. C., Sjogaard, G., &amp; Andersen, L. L. (2015). Effect of Individually Tailored Biopsychosocial Workplace Interventions on Chronic Musculoskeletal Pain and Stress Among Laboratory Technicians: Randomized Controlled Trial. </w:t>
      </w:r>
      <w:r w:rsidRPr="002E3A04">
        <w:rPr>
          <w:i/>
          <w:iCs/>
        </w:rPr>
        <w:t>Pain Physician</w:t>
      </w:r>
      <w:r w:rsidRPr="002E3A04">
        <w:t xml:space="preserve">, </w:t>
      </w:r>
      <w:r w:rsidRPr="002E3A04">
        <w:rPr>
          <w:i/>
        </w:rPr>
        <w:t>18</w:t>
      </w:r>
      <w:r w:rsidRPr="002E3A04">
        <w:t>(5), 459–471.</w:t>
      </w:r>
    </w:p>
    <w:p w14:paraId="00A94122" w14:textId="44B43511" w:rsidR="00F81F53" w:rsidRDefault="00F81F53" w:rsidP="002E3A04">
      <w:pPr>
        <w:pStyle w:val="Newparagraph"/>
        <w:ind w:left="720" w:hanging="720"/>
        <w:jc w:val="both"/>
      </w:pPr>
      <w:r w:rsidRPr="00F81F53">
        <w:rPr>
          <w:highlight w:val="yellow"/>
        </w:rPr>
        <w:t xml:space="preserve">Kasraie, J., Lewis, S., &amp; Sanders D. (2020). All aboard the ARCS. </w:t>
      </w:r>
      <w:r w:rsidRPr="00F81F53">
        <w:rPr>
          <w:i/>
          <w:iCs/>
          <w:highlight w:val="yellow"/>
        </w:rPr>
        <w:t>Human Fertility, 23</w:t>
      </w:r>
      <w:r w:rsidRPr="00F81F53">
        <w:rPr>
          <w:highlight w:val="yellow"/>
        </w:rPr>
        <w:t>(1), 2-3.</w:t>
      </w:r>
    </w:p>
    <w:p w14:paraId="6AF362A4" w14:textId="272CE711" w:rsidR="00CB0877" w:rsidRPr="00B15C35" w:rsidRDefault="00CB0877" w:rsidP="002E3A04">
      <w:pPr>
        <w:pStyle w:val="Newparagraph"/>
        <w:ind w:left="720" w:hanging="720"/>
        <w:jc w:val="both"/>
      </w:pPr>
      <w:r w:rsidRPr="00B15C35">
        <w:t>Khalfa, S., Bruneau, N., Rogé, B., Georgieff, N., Veuillet, E., Adrien, J. L., Barthélémy, C.</w:t>
      </w:r>
      <w:r w:rsidR="0026263C" w:rsidRPr="00941502">
        <w:t>,</w:t>
      </w:r>
      <w:r w:rsidRPr="00D64AA2">
        <w:t xml:space="preserve"> &amp; Collet, L. (2004). Increased perception of loudness in autism. </w:t>
      </w:r>
      <w:r w:rsidRPr="00B15C35">
        <w:rPr>
          <w:i/>
          <w:iCs/>
        </w:rPr>
        <w:t>Hearing Research</w:t>
      </w:r>
      <w:r w:rsidRPr="00B15C35">
        <w:t xml:space="preserve">, </w:t>
      </w:r>
      <w:r w:rsidRPr="00B15C35">
        <w:rPr>
          <w:i/>
        </w:rPr>
        <w:t>198</w:t>
      </w:r>
      <w:r w:rsidRPr="00B15C35">
        <w:t xml:space="preserve">(1-2), 87–92. </w:t>
      </w:r>
      <w:r w:rsidR="009F3F9A" w:rsidRPr="00B15C35">
        <w:t>https://doi.org/10.1016/j.heares.2004.07.006</w:t>
      </w:r>
    </w:p>
    <w:p w14:paraId="00C7FB47" w14:textId="7998C9F9" w:rsidR="00956544" w:rsidRPr="00B15C35" w:rsidRDefault="00956544" w:rsidP="002E3A04">
      <w:pPr>
        <w:pStyle w:val="Newparagraph"/>
        <w:ind w:left="720" w:hanging="720"/>
        <w:jc w:val="both"/>
      </w:pPr>
      <w:r w:rsidRPr="00B15C35">
        <w:t xml:space="preserve">Kim, D. H., &amp; Lee, H. J. (2008). Evaporated liquid nitrogen-induced asphyxia: a case report. </w:t>
      </w:r>
      <w:r w:rsidRPr="00B15C35">
        <w:rPr>
          <w:i/>
          <w:iCs/>
        </w:rPr>
        <w:t>Journal of Korean Medical Science</w:t>
      </w:r>
      <w:r w:rsidRPr="00B15C35">
        <w:t xml:space="preserve">, </w:t>
      </w:r>
      <w:r w:rsidRPr="00B15C35">
        <w:rPr>
          <w:i/>
        </w:rPr>
        <w:t>23</w:t>
      </w:r>
      <w:r w:rsidRPr="00B15C35">
        <w:t>(1), 163–165.</w:t>
      </w:r>
      <w:r w:rsidR="001102F3" w:rsidRPr="00B15C35">
        <w:t xml:space="preserve"> https://doi.org/10.3346/jkms.2008.23.1.163</w:t>
      </w:r>
    </w:p>
    <w:p w14:paraId="4E7017D9" w14:textId="77069908" w:rsidR="003566F2" w:rsidRPr="00B15C35" w:rsidRDefault="003566F2" w:rsidP="002E3A04">
      <w:pPr>
        <w:pStyle w:val="Newparagraph"/>
        <w:ind w:left="720" w:hanging="720"/>
        <w:jc w:val="both"/>
      </w:pPr>
      <w:r w:rsidRPr="00B15C35">
        <w:lastRenderedPageBreak/>
        <w:t>Larese Filon, F., Drusian, A., Ronchese, F.</w:t>
      </w:r>
      <w:r w:rsidR="001102F3" w:rsidRPr="00B15C35">
        <w:t>,</w:t>
      </w:r>
      <w:r w:rsidRPr="00B15C35">
        <w:t xml:space="preserve"> &amp; Negro, C. (2019). Video Display Operator Complaints: A 10-Year Follow-Up of Visual Fatigue and Refractive Disorders. </w:t>
      </w:r>
      <w:r w:rsidRPr="00B15C35">
        <w:rPr>
          <w:i/>
          <w:iCs/>
        </w:rPr>
        <w:t>International Journal of Environmental Research and Public Health</w:t>
      </w:r>
      <w:r w:rsidRPr="00B15C35">
        <w:t xml:space="preserve">, </w:t>
      </w:r>
      <w:r w:rsidRPr="00B15C35">
        <w:rPr>
          <w:i/>
        </w:rPr>
        <w:t>16</w:t>
      </w:r>
      <w:r w:rsidRPr="00B15C35">
        <w:t>(14), 2501.</w:t>
      </w:r>
      <w:r w:rsidR="001102F3" w:rsidRPr="00B15C35">
        <w:t xml:space="preserve"> https://doi.org/10.3390/ijerph16142501</w:t>
      </w:r>
    </w:p>
    <w:p w14:paraId="0493B596" w14:textId="27AC1176" w:rsidR="00D67FD8" w:rsidRPr="00B15C35" w:rsidRDefault="001102F3" w:rsidP="002E3A04">
      <w:pPr>
        <w:pStyle w:val="Newparagraph"/>
        <w:ind w:left="720" w:hanging="720"/>
        <w:jc w:val="both"/>
      </w:pPr>
      <w:r w:rsidRPr="00B15C35">
        <w:t xml:space="preserve">Leu, H. J., &amp; Clodius, L. (1989). Eine seltene Ursache der Gangrän: die Erfrierung durch flüssigen Stickstoff [An unusual cause of gangrene: cold injury caused by liquid nitrogen]. </w:t>
      </w:r>
      <w:r w:rsidRPr="00B15C35">
        <w:rPr>
          <w:i/>
        </w:rPr>
        <w:t>Schweizerische medizinische Wochenschrift, 119</w:t>
      </w:r>
      <w:r w:rsidRPr="00B15C35">
        <w:t>(6), 192–195.</w:t>
      </w:r>
    </w:p>
    <w:p w14:paraId="1D971EDD" w14:textId="3CF42D30" w:rsidR="003566F2" w:rsidRPr="00B15C35" w:rsidRDefault="003566F2" w:rsidP="002E3A04">
      <w:pPr>
        <w:pStyle w:val="Newparagraph"/>
        <w:ind w:left="720" w:hanging="720"/>
        <w:jc w:val="both"/>
      </w:pPr>
      <w:r w:rsidRPr="00B15C35">
        <w:t>Lin, K. H., Su, C. C., Chen, Y. Y.</w:t>
      </w:r>
      <w:r w:rsidR="001102F3" w:rsidRPr="00B15C35">
        <w:t>,</w:t>
      </w:r>
      <w:r w:rsidRPr="00B15C35">
        <w:t xml:space="preserve"> &amp; Chu, P. C. (2019). The Effects of Lighting Problems on Eye Symptoms among Cleanroom Microscope Workers. </w:t>
      </w:r>
      <w:r w:rsidRPr="00B15C35">
        <w:rPr>
          <w:i/>
          <w:iCs/>
        </w:rPr>
        <w:t>International Journal of Environmental Research and Public Health,</w:t>
      </w:r>
      <w:r w:rsidRPr="00B15C35">
        <w:t xml:space="preserve"> </w:t>
      </w:r>
      <w:r w:rsidRPr="00B15C35">
        <w:rPr>
          <w:i/>
        </w:rPr>
        <w:t>16</w:t>
      </w:r>
      <w:r w:rsidRPr="00B15C35">
        <w:t>(1), 101.</w:t>
      </w:r>
      <w:r w:rsidR="001102F3" w:rsidRPr="00B15C35">
        <w:t xml:space="preserve"> https://doi.org/10.3390/ijerph16010101</w:t>
      </w:r>
    </w:p>
    <w:p w14:paraId="1BEC7BC2" w14:textId="4F276FE6" w:rsidR="004A30D2" w:rsidRPr="00B15C35" w:rsidRDefault="004A30D2" w:rsidP="002E3A04">
      <w:pPr>
        <w:ind w:left="720" w:hanging="720"/>
        <w:jc w:val="both"/>
      </w:pPr>
      <w:r w:rsidRPr="00B15C35">
        <w:t xml:space="preserve">Lo Faro, A. F., Pirani, F., Paratore, A., Tagliabracci, A., &amp; Busardò, F. P. (2019). Fatal inhalation of nitrogen inside a closed environment: Toxicological issues about the cause of death. </w:t>
      </w:r>
      <w:r w:rsidRPr="00B15C35">
        <w:rPr>
          <w:i/>
          <w:iCs/>
        </w:rPr>
        <w:t>Forensic Science International</w:t>
      </w:r>
      <w:r w:rsidRPr="00B15C35">
        <w:t xml:space="preserve">, </w:t>
      </w:r>
      <w:r w:rsidRPr="00B15C35">
        <w:rPr>
          <w:i/>
        </w:rPr>
        <w:t>302</w:t>
      </w:r>
      <w:r w:rsidRPr="00B15C35">
        <w:t xml:space="preserve">, 109871. </w:t>
      </w:r>
      <w:r w:rsidR="00B159C7" w:rsidRPr="00B15C35">
        <w:t>https://doi.org/10.1016/j.forsciint.2019.06.029</w:t>
      </w:r>
    </w:p>
    <w:p w14:paraId="4E572446" w14:textId="6D34F356" w:rsidR="00994685" w:rsidRPr="00B15C35" w:rsidRDefault="005A4F6B" w:rsidP="002E3A04">
      <w:pPr>
        <w:ind w:left="720" w:hanging="720"/>
        <w:jc w:val="both"/>
      </w:pPr>
      <w:r w:rsidRPr="00B15C35">
        <w:t>López-Lería</w:t>
      </w:r>
      <w:r w:rsidR="00F01173" w:rsidRPr="00B15C35">
        <w:t>,</w:t>
      </w:r>
      <w:r w:rsidRPr="00B15C35">
        <w:t xml:space="preserve"> B</w:t>
      </w:r>
      <w:r w:rsidR="00F01173" w:rsidRPr="00B15C35">
        <w:t>.</w:t>
      </w:r>
      <w:r w:rsidRPr="00B15C35">
        <w:t>, Jimena</w:t>
      </w:r>
      <w:r w:rsidR="00F01173" w:rsidRPr="00B15C35">
        <w:t>,</w:t>
      </w:r>
      <w:r w:rsidRPr="00B15C35">
        <w:t xml:space="preserve"> P</w:t>
      </w:r>
      <w:r w:rsidR="00F01173" w:rsidRPr="00B15C35">
        <w:t>.</w:t>
      </w:r>
      <w:r w:rsidRPr="00B15C35">
        <w:t>, Clavero</w:t>
      </w:r>
      <w:r w:rsidR="00F01173" w:rsidRPr="00B15C35">
        <w:t>,</w:t>
      </w:r>
      <w:r w:rsidRPr="00B15C35">
        <w:t xml:space="preserve"> A</w:t>
      </w:r>
      <w:r w:rsidR="00F01173" w:rsidRPr="00B15C35">
        <w:t>.</w:t>
      </w:r>
      <w:r w:rsidRPr="00B15C35">
        <w:t>, Gonzalvo</w:t>
      </w:r>
      <w:r w:rsidR="00F01173" w:rsidRPr="00B15C35">
        <w:t>,</w:t>
      </w:r>
      <w:r w:rsidRPr="00B15C35">
        <w:t xml:space="preserve"> M</w:t>
      </w:r>
      <w:r w:rsidR="00F01173" w:rsidRPr="00B15C35">
        <w:t xml:space="preserve">. </w:t>
      </w:r>
      <w:r w:rsidRPr="00B15C35">
        <w:t>C</w:t>
      </w:r>
      <w:r w:rsidR="00F01173" w:rsidRPr="00B15C35">
        <w:t>.</w:t>
      </w:r>
      <w:r w:rsidRPr="00B15C35">
        <w:t>, Carrillo</w:t>
      </w:r>
      <w:r w:rsidR="00F01173" w:rsidRPr="00B15C35">
        <w:t>,</w:t>
      </w:r>
      <w:r w:rsidRPr="00B15C35">
        <w:t xml:space="preserve"> S</w:t>
      </w:r>
      <w:r w:rsidR="00F01173" w:rsidRPr="00B15C35">
        <w:t>.</w:t>
      </w:r>
      <w:r w:rsidRPr="00B15C35">
        <w:t>, Serrano</w:t>
      </w:r>
      <w:r w:rsidR="00F01173" w:rsidRPr="00B15C35">
        <w:t>,</w:t>
      </w:r>
      <w:r w:rsidRPr="00B15C35">
        <w:t xml:space="preserve"> M</w:t>
      </w:r>
      <w:r w:rsidR="00F01173" w:rsidRPr="00B15C35">
        <w:t>.</w:t>
      </w:r>
      <w:r w:rsidRPr="00B15C35">
        <w:t>, López-Regalado</w:t>
      </w:r>
      <w:r w:rsidR="00F01173" w:rsidRPr="00B15C35">
        <w:t>,</w:t>
      </w:r>
      <w:r w:rsidRPr="00B15C35">
        <w:t xml:space="preserve"> M</w:t>
      </w:r>
      <w:r w:rsidR="00F01173" w:rsidRPr="00B15C35">
        <w:t xml:space="preserve">. </w:t>
      </w:r>
      <w:r w:rsidRPr="00B15C35">
        <w:t>L</w:t>
      </w:r>
      <w:r w:rsidR="00F01173" w:rsidRPr="00B15C35">
        <w:t>.</w:t>
      </w:r>
      <w:r w:rsidRPr="00B15C35">
        <w:t>, Olvera</w:t>
      </w:r>
      <w:r w:rsidR="00F01173" w:rsidRPr="00B15C35">
        <w:t>,</w:t>
      </w:r>
      <w:r w:rsidRPr="00B15C35">
        <w:t xml:space="preserve"> C</w:t>
      </w:r>
      <w:r w:rsidR="00F01173" w:rsidRPr="00B15C35">
        <w:t>.</w:t>
      </w:r>
      <w:r w:rsidRPr="00B15C35">
        <w:t>, Martínez</w:t>
      </w:r>
      <w:r w:rsidR="00F01173" w:rsidRPr="00B15C35">
        <w:t>,</w:t>
      </w:r>
      <w:r w:rsidRPr="00B15C35">
        <w:t xml:space="preserve"> L</w:t>
      </w:r>
      <w:r w:rsidR="00F01173" w:rsidRPr="00B15C35">
        <w:t>.</w:t>
      </w:r>
      <w:r w:rsidR="0026263C" w:rsidRPr="00B15C35">
        <w:t>,</w:t>
      </w:r>
      <w:r w:rsidR="00F01173" w:rsidRPr="00B15C35">
        <w:t xml:space="preserve"> &amp;</w:t>
      </w:r>
      <w:r w:rsidRPr="00B15C35">
        <w:t xml:space="preserve"> Castilla</w:t>
      </w:r>
      <w:r w:rsidR="00F01173" w:rsidRPr="00B15C35">
        <w:t>,</w:t>
      </w:r>
      <w:r w:rsidRPr="00B15C35">
        <w:t xml:space="preserve"> J</w:t>
      </w:r>
      <w:r w:rsidR="00F01173" w:rsidRPr="00B15C35">
        <w:t xml:space="preserve">. </w:t>
      </w:r>
      <w:r w:rsidRPr="00B15C35">
        <w:t xml:space="preserve">A. </w:t>
      </w:r>
      <w:r w:rsidR="00F01173" w:rsidRPr="00B15C35">
        <w:t>(</w:t>
      </w:r>
      <w:r w:rsidRPr="00B15C35">
        <w:t>2014</w:t>
      </w:r>
      <w:r w:rsidR="00F01173" w:rsidRPr="00B15C35">
        <w:t>).</w:t>
      </w:r>
      <w:r w:rsidRPr="00B15C35">
        <w:t xml:space="preserve"> Embryologists' health: a nationwide online questionnaire.</w:t>
      </w:r>
      <w:r w:rsidR="00F01173" w:rsidRPr="00B15C35">
        <w:t xml:space="preserve"> </w:t>
      </w:r>
      <w:r w:rsidR="00B159C7" w:rsidRPr="00B15C35">
        <w:rPr>
          <w:i/>
          <w:iCs/>
        </w:rPr>
        <w:t>Journal of Assisted Reproduction and Genetics, 31</w:t>
      </w:r>
      <w:r w:rsidR="00B159C7" w:rsidRPr="00B15C35">
        <w:rPr>
          <w:iCs/>
        </w:rPr>
        <w:t>(12), 1587–1597. https://doi.org/10.1007/s10815-014-0352-7</w:t>
      </w:r>
      <w:r w:rsidRPr="00B15C35">
        <w:t>.</w:t>
      </w:r>
      <w:r w:rsidR="008D57DB" w:rsidRPr="00B15C35">
        <w:t xml:space="preserve"> </w:t>
      </w:r>
    </w:p>
    <w:p w14:paraId="4853D6B0" w14:textId="5F985F7C" w:rsidR="00273117" w:rsidRPr="00B15C35" w:rsidRDefault="008D57DB" w:rsidP="002E3A04">
      <w:pPr>
        <w:ind w:left="720" w:hanging="720"/>
        <w:jc w:val="both"/>
      </w:pPr>
      <w:r w:rsidRPr="00B15C35">
        <w:t xml:space="preserve">Magnusson, A. (2000). An Overview of Epidemiological Studies on Seasonal Affective Disorder. </w:t>
      </w:r>
      <w:r w:rsidRPr="00B15C35">
        <w:rPr>
          <w:i/>
        </w:rPr>
        <w:t>Acta Psychiatr</w:t>
      </w:r>
      <w:r w:rsidR="00B159C7" w:rsidRPr="00B15C35">
        <w:rPr>
          <w:i/>
        </w:rPr>
        <w:t>ica</w:t>
      </w:r>
      <w:r w:rsidRPr="00B15C35">
        <w:rPr>
          <w:i/>
        </w:rPr>
        <w:t xml:space="preserve"> Scand</w:t>
      </w:r>
      <w:r w:rsidR="00B159C7" w:rsidRPr="00B15C35">
        <w:rPr>
          <w:i/>
        </w:rPr>
        <w:t>inavica,</w:t>
      </w:r>
      <w:r w:rsidRPr="00B15C35">
        <w:rPr>
          <w:i/>
        </w:rPr>
        <w:t xml:space="preserve"> 101</w:t>
      </w:r>
      <w:r w:rsidRPr="00B15C35">
        <w:t>(3), 176-184.</w:t>
      </w:r>
      <w:r w:rsidR="00B159C7" w:rsidRPr="00B15C35">
        <w:t xml:space="preserve"> https://doi.org/10.1034/j.1600-0447.2000.101003176.x</w:t>
      </w:r>
    </w:p>
    <w:p w14:paraId="4B239543" w14:textId="3E0D5B90" w:rsidR="00F87070" w:rsidRPr="00B15C35" w:rsidRDefault="00AB7FA0" w:rsidP="002E3A04">
      <w:pPr>
        <w:ind w:left="720" w:hanging="720"/>
        <w:jc w:val="both"/>
      </w:pPr>
      <w:r w:rsidRPr="00B15C35">
        <w:lastRenderedPageBreak/>
        <w:t xml:space="preserve">Maslach, C., &amp; Jackson, S. E. (1984). Burnout in organizational settings. </w:t>
      </w:r>
      <w:r w:rsidR="000E61FF" w:rsidRPr="00B15C35">
        <w:t>In: S. Oskamp (Ed.)</w:t>
      </w:r>
      <w:r w:rsidR="000E61FF" w:rsidRPr="00B15C35">
        <w:rPr>
          <w:i/>
          <w:iCs/>
        </w:rPr>
        <w:t xml:space="preserve"> </w:t>
      </w:r>
      <w:r w:rsidRPr="00B15C35">
        <w:rPr>
          <w:i/>
          <w:iCs/>
        </w:rPr>
        <w:t>Applied Social Psychology Annual</w:t>
      </w:r>
      <w:r w:rsidR="000E61FF" w:rsidRPr="00B15C35">
        <w:t xml:space="preserve"> </w:t>
      </w:r>
      <w:r w:rsidR="000E61FF" w:rsidRPr="00B15C35">
        <w:rPr>
          <w:i/>
          <w:iCs/>
        </w:rPr>
        <w:t>l: Applications in Organizational Settings</w:t>
      </w:r>
      <w:r w:rsidRPr="00B15C35">
        <w:t xml:space="preserve">, </w:t>
      </w:r>
      <w:r w:rsidR="000E61FF" w:rsidRPr="00B15C35">
        <w:t xml:space="preserve">(vol </w:t>
      </w:r>
      <w:r w:rsidRPr="00B15C35">
        <w:t xml:space="preserve">5, </w:t>
      </w:r>
      <w:r w:rsidR="000E61FF" w:rsidRPr="00B15C35">
        <w:t>pp</w:t>
      </w:r>
      <w:r w:rsidRPr="00B15C35">
        <w:t>133–153</w:t>
      </w:r>
      <w:r w:rsidR="000E61FF" w:rsidRPr="00B15C35">
        <w:t>)</w:t>
      </w:r>
      <w:r w:rsidRPr="00B15C35">
        <w:t>.</w:t>
      </w:r>
      <w:r w:rsidR="00B159C7" w:rsidRPr="00B15C35">
        <w:t xml:space="preserve"> </w:t>
      </w:r>
      <w:r w:rsidR="000E61FF" w:rsidRPr="00B15C35">
        <w:t>Sage</w:t>
      </w:r>
    </w:p>
    <w:p w14:paraId="5B871338" w14:textId="01BDE633" w:rsidR="00CB0877" w:rsidRPr="00B15C35" w:rsidRDefault="00CB0877" w:rsidP="002E3A04">
      <w:pPr>
        <w:pStyle w:val="Newparagraph"/>
        <w:ind w:left="720" w:hanging="720"/>
        <w:jc w:val="both"/>
      </w:pPr>
      <w:r w:rsidRPr="00B15C35">
        <w:t>Palmer, K. T., Griffin, M. J., Syddall, H. E., Davis, A., Pannett, B.</w:t>
      </w:r>
      <w:r w:rsidR="0026263C" w:rsidRPr="00B15C35">
        <w:t>,</w:t>
      </w:r>
      <w:r w:rsidRPr="00B15C35">
        <w:t xml:space="preserve"> &amp; Coggon, D. (2002). Occupational exposure to noise and the attributable burden of hearing difficulties in Great Britain. </w:t>
      </w:r>
      <w:r w:rsidRPr="00B15C35">
        <w:rPr>
          <w:i/>
          <w:iCs/>
        </w:rPr>
        <w:t>Occupational and Environmental Medicine</w:t>
      </w:r>
      <w:r w:rsidRPr="00B15C35">
        <w:t xml:space="preserve">, </w:t>
      </w:r>
      <w:r w:rsidRPr="00B15C35">
        <w:rPr>
          <w:i/>
        </w:rPr>
        <w:t>59</w:t>
      </w:r>
      <w:r w:rsidRPr="00B15C35">
        <w:t xml:space="preserve">(9), 634–639. </w:t>
      </w:r>
      <w:r w:rsidR="000E61FF" w:rsidRPr="00B15C35">
        <w:t>https://doi.org/10.1136/oem.59.9.634</w:t>
      </w:r>
    </w:p>
    <w:p w14:paraId="1D4894C0" w14:textId="13F61B58" w:rsidR="00454907" w:rsidRPr="00B15C35" w:rsidRDefault="005A4F6B" w:rsidP="002E3A04">
      <w:pPr>
        <w:ind w:left="720" w:hanging="720"/>
        <w:jc w:val="both"/>
      </w:pPr>
      <w:r w:rsidRPr="00B15C35">
        <w:t>Panagioti</w:t>
      </w:r>
      <w:r w:rsidR="00F01173" w:rsidRPr="00B15C35">
        <w:t>,</w:t>
      </w:r>
      <w:r w:rsidRPr="00B15C35">
        <w:t xml:space="preserve"> M</w:t>
      </w:r>
      <w:r w:rsidR="00F01173" w:rsidRPr="00B15C35">
        <w:t>.</w:t>
      </w:r>
      <w:r w:rsidRPr="00B15C35">
        <w:t>, Geraghty</w:t>
      </w:r>
      <w:r w:rsidR="00F01173" w:rsidRPr="00B15C35">
        <w:t>,</w:t>
      </w:r>
      <w:r w:rsidRPr="00B15C35">
        <w:t xml:space="preserve"> K</w:t>
      </w:r>
      <w:r w:rsidR="00F01173" w:rsidRPr="00B15C35">
        <w:t>.</w:t>
      </w:r>
      <w:r w:rsidRPr="00B15C35">
        <w:t>, Johnson</w:t>
      </w:r>
      <w:r w:rsidR="00F01173" w:rsidRPr="00B15C35">
        <w:t>,</w:t>
      </w:r>
      <w:r w:rsidRPr="00B15C35">
        <w:t xml:space="preserve"> J</w:t>
      </w:r>
      <w:r w:rsidR="00F01173" w:rsidRPr="00B15C35">
        <w:t>.</w:t>
      </w:r>
      <w:r w:rsidRPr="00B15C35">
        <w:t>, Zhou</w:t>
      </w:r>
      <w:r w:rsidR="00F01173" w:rsidRPr="00B15C35">
        <w:t>,</w:t>
      </w:r>
      <w:r w:rsidRPr="00B15C35">
        <w:t xml:space="preserve"> A</w:t>
      </w:r>
      <w:r w:rsidR="00F01173" w:rsidRPr="00B15C35">
        <w:t>.</w:t>
      </w:r>
      <w:r w:rsidRPr="00B15C35">
        <w:t>, Panagopoulou</w:t>
      </w:r>
      <w:r w:rsidR="00F01173" w:rsidRPr="00B15C35">
        <w:t>,</w:t>
      </w:r>
      <w:r w:rsidRPr="00B15C35">
        <w:t xml:space="preserve"> E</w:t>
      </w:r>
      <w:r w:rsidR="00F01173" w:rsidRPr="00B15C35">
        <w:t>.</w:t>
      </w:r>
      <w:r w:rsidRPr="00B15C35">
        <w:t>, Chew-Graham</w:t>
      </w:r>
      <w:r w:rsidR="00F01173" w:rsidRPr="00B15C35">
        <w:t>,</w:t>
      </w:r>
      <w:r w:rsidRPr="00B15C35">
        <w:t xml:space="preserve"> C</w:t>
      </w:r>
      <w:r w:rsidR="00F01173" w:rsidRPr="00B15C35">
        <w:t>.</w:t>
      </w:r>
      <w:r w:rsidRPr="00B15C35">
        <w:t>, Peters</w:t>
      </w:r>
      <w:r w:rsidR="00F01173" w:rsidRPr="00B15C35">
        <w:t>,</w:t>
      </w:r>
      <w:r w:rsidRPr="00B15C35">
        <w:t xml:space="preserve"> D</w:t>
      </w:r>
      <w:r w:rsidR="00F01173" w:rsidRPr="00B15C35">
        <w:t>.</w:t>
      </w:r>
      <w:r w:rsidRPr="00B15C35">
        <w:t>, Hodkinson</w:t>
      </w:r>
      <w:r w:rsidR="00F01173" w:rsidRPr="00B15C35">
        <w:t>,</w:t>
      </w:r>
      <w:r w:rsidRPr="00B15C35">
        <w:t xml:space="preserve"> A</w:t>
      </w:r>
      <w:r w:rsidR="00F01173" w:rsidRPr="00B15C35">
        <w:t>.</w:t>
      </w:r>
      <w:r w:rsidRPr="00B15C35">
        <w:t>, Riley</w:t>
      </w:r>
      <w:r w:rsidR="00F01173" w:rsidRPr="00B15C35">
        <w:t>,</w:t>
      </w:r>
      <w:r w:rsidRPr="00B15C35">
        <w:t xml:space="preserve"> R</w:t>
      </w:r>
      <w:r w:rsidR="00F01173" w:rsidRPr="00B15C35">
        <w:t>.</w:t>
      </w:r>
      <w:r w:rsidR="0026263C" w:rsidRPr="00B15C35">
        <w:t>,</w:t>
      </w:r>
      <w:r w:rsidR="00F01173" w:rsidRPr="00B15C35">
        <w:t xml:space="preserve"> &amp;</w:t>
      </w:r>
      <w:r w:rsidRPr="00B15C35">
        <w:t xml:space="preserve"> Esmail</w:t>
      </w:r>
      <w:r w:rsidR="00F01173" w:rsidRPr="00B15C35">
        <w:t>,</w:t>
      </w:r>
      <w:r w:rsidRPr="00B15C35">
        <w:t xml:space="preserve"> A. </w:t>
      </w:r>
      <w:r w:rsidR="00F01173" w:rsidRPr="00B15C35">
        <w:t>(</w:t>
      </w:r>
      <w:r w:rsidRPr="00B15C35">
        <w:t>2018</w:t>
      </w:r>
      <w:r w:rsidR="00F01173" w:rsidRPr="00B15C35">
        <w:t>)</w:t>
      </w:r>
      <w:r w:rsidR="00B67726" w:rsidRPr="00B15C35">
        <w:t>.</w:t>
      </w:r>
      <w:r w:rsidRPr="00B15C35">
        <w:t xml:space="preserve"> Association Between Physician Burnout and Patient Safety, Professionalism, and Patient Satisfaction: A Systematic Review and Meta-analysis. </w:t>
      </w:r>
      <w:r w:rsidRPr="00B15C35">
        <w:rPr>
          <w:i/>
          <w:iCs/>
        </w:rPr>
        <w:t>JAMA Intern</w:t>
      </w:r>
      <w:r w:rsidR="000E61FF" w:rsidRPr="00B15C35">
        <w:rPr>
          <w:i/>
          <w:iCs/>
        </w:rPr>
        <w:t>al</w:t>
      </w:r>
      <w:r w:rsidRPr="00B15C35">
        <w:rPr>
          <w:i/>
          <w:iCs/>
        </w:rPr>
        <w:t xml:space="preserve"> Med</w:t>
      </w:r>
      <w:r w:rsidR="000E61FF" w:rsidRPr="00B15C35">
        <w:rPr>
          <w:i/>
          <w:iCs/>
        </w:rPr>
        <w:t>icine,</w:t>
      </w:r>
      <w:r w:rsidRPr="00B15C35">
        <w:t xml:space="preserve"> </w:t>
      </w:r>
      <w:r w:rsidRPr="00B15C35">
        <w:rPr>
          <w:i/>
        </w:rPr>
        <w:t>178</w:t>
      </w:r>
      <w:r w:rsidRPr="00B15C35">
        <w:t>(10)</w:t>
      </w:r>
      <w:r w:rsidR="00F01173" w:rsidRPr="00B15C35">
        <w:t xml:space="preserve">, </w:t>
      </w:r>
      <w:r w:rsidRPr="00B15C35">
        <w:t>1317-1330.</w:t>
      </w:r>
      <w:r w:rsidR="008D57DB" w:rsidRPr="00B15C35">
        <w:t xml:space="preserve"> </w:t>
      </w:r>
      <w:r w:rsidR="000E61FF" w:rsidRPr="00B15C35">
        <w:t xml:space="preserve">https://doi.org/10.1001/jamainternmed.2018.3713 (Retraction published </w:t>
      </w:r>
      <w:r w:rsidR="000E61FF" w:rsidRPr="00B15C35">
        <w:rPr>
          <w:i/>
        </w:rPr>
        <w:t>JAMA Internal Medicine</w:t>
      </w:r>
      <w:r w:rsidR="000E61FF" w:rsidRPr="00B15C35">
        <w:t>, 2020 Jul 1;</w:t>
      </w:r>
      <w:r w:rsidR="000E61FF" w:rsidRPr="00B15C35">
        <w:rPr>
          <w:i/>
        </w:rPr>
        <w:t>18</w:t>
      </w:r>
      <w:r w:rsidR="000E61FF" w:rsidRPr="00B15C35">
        <w:t>0(7):931)</w:t>
      </w:r>
    </w:p>
    <w:p w14:paraId="692E0DB4" w14:textId="6975D28E" w:rsidR="00F87070" w:rsidRPr="00B15C35" w:rsidRDefault="008E0946" w:rsidP="002E3A04">
      <w:pPr>
        <w:ind w:left="720" w:hanging="720"/>
        <w:jc w:val="both"/>
      </w:pPr>
      <w:r w:rsidRPr="00B15C35">
        <w:t xml:space="preserve">Park, A. E., Zahiri, H. R., Hallbeck, M. S., Augenstein, V., Sutton, E., Yu, D., Lowndes, B. R., &amp; Bingener, J. (2017). Intraoperative "Micro Breaks" With Targeted Stretching Enhance Surgeon Physical Function and Mental Focus: A Multicenter Cohort Study. </w:t>
      </w:r>
      <w:r w:rsidRPr="00B15C35">
        <w:rPr>
          <w:i/>
          <w:iCs/>
        </w:rPr>
        <w:t>Annals of Surgery</w:t>
      </w:r>
      <w:r w:rsidRPr="00B15C35">
        <w:t xml:space="preserve">, </w:t>
      </w:r>
      <w:r w:rsidRPr="00B15C35">
        <w:rPr>
          <w:i/>
        </w:rPr>
        <w:t>26</w:t>
      </w:r>
      <w:r w:rsidRPr="00B15C35">
        <w:t xml:space="preserve">5(2), 340–346. </w:t>
      </w:r>
      <w:r w:rsidR="0026263C" w:rsidRPr="00B15C35">
        <w:t>https://doi.org/10.1097/SLA.0000000000001665</w:t>
      </w:r>
    </w:p>
    <w:p w14:paraId="7A6A125D" w14:textId="3FA436B3" w:rsidR="00CB0877" w:rsidRPr="00B15C35" w:rsidRDefault="00CB0877" w:rsidP="002E3A04">
      <w:pPr>
        <w:pStyle w:val="Newparagraph"/>
        <w:ind w:left="720" w:hanging="720"/>
        <w:jc w:val="both"/>
      </w:pPr>
      <w:r w:rsidRPr="00B15C35">
        <w:t>Pelegrin, A. C., Canuet, L., Rodríguez, Á. A.</w:t>
      </w:r>
      <w:r w:rsidR="0026263C" w:rsidRPr="00B15C35">
        <w:t>,</w:t>
      </w:r>
      <w:r w:rsidRPr="00B15C35">
        <w:t xml:space="preserve"> &amp; Morales, M. P. (2015). Predictive factors of occupational noise-induced hearing loss in Spanish workers: A prospective study. </w:t>
      </w:r>
      <w:r w:rsidRPr="00B15C35">
        <w:rPr>
          <w:i/>
          <w:iCs/>
        </w:rPr>
        <w:t>Noise &amp; Health</w:t>
      </w:r>
      <w:r w:rsidRPr="00B15C35">
        <w:t xml:space="preserve">, </w:t>
      </w:r>
      <w:r w:rsidRPr="00B15C35">
        <w:rPr>
          <w:i/>
        </w:rPr>
        <w:t>17</w:t>
      </w:r>
      <w:r w:rsidRPr="00B15C35">
        <w:t>(78), 343–349.</w:t>
      </w:r>
      <w:r w:rsidR="0026263C" w:rsidRPr="00B15C35">
        <w:t xml:space="preserve"> https://doi.org/10.4103/1463-1741.165064</w:t>
      </w:r>
    </w:p>
    <w:p w14:paraId="1EB8B576" w14:textId="64C95F9E" w:rsidR="00D67A1E" w:rsidRPr="00B15C35" w:rsidRDefault="00D67A1E" w:rsidP="002E3A04">
      <w:pPr>
        <w:ind w:left="720" w:hanging="720"/>
        <w:jc w:val="both"/>
      </w:pPr>
      <w:r w:rsidRPr="00B15C35">
        <w:t>Thach, T. Q., Mahirah, D., Sauter, C., Roberts, A. C., Dunleavy, G., Nazeha, N., Rykov, Y., Zhang, Y., Christopoulos, G. I., Soh, C. K</w:t>
      </w:r>
      <w:r w:rsidR="0026263C" w:rsidRPr="00B15C35">
        <w:t>.</w:t>
      </w:r>
      <w:r w:rsidRPr="00B15C35">
        <w:t xml:space="preserve">, &amp; Car, J. (2020). Associations of </w:t>
      </w:r>
      <w:r w:rsidRPr="00B15C35">
        <w:lastRenderedPageBreak/>
        <w:t xml:space="preserve">perceived indoor environmental quality with stress in the workplace. </w:t>
      </w:r>
      <w:r w:rsidRPr="00B15C35">
        <w:rPr>
          <w:i/>
          <w:iCs/>
        </w:rPr>
        <w:t>Indoor Air</w:t>
      </w:r>
      <w:r w:rsidRPr="00B15C35">
        <w:t xml:space="preserve">, </w:t>
      </w:r>
      <w:r w:rsidR="0026263C" w:rsidRPr="00B15C35">
        <w:rPr>
          <w:i/>
        </w:rPr>
        <w:t>30</w:t>
      </w:r>
      <w:r w:rsidR="0026263C" w:rsidRPr="00B15C35">
        <w:t>(6), 1166–1177. https://doi.org/10.1111/ina.12696</w:t>
      </w:r>
    </w:p>
    <w:p w14:paraId="7FA5900E" w14:textId="7856383F" w:rsidR="00F11BAC" w:rsidRPr="00B15C35" w:rsidRDefault="00F11BAC" w:rsidP="002E3A04">
      <w:pPr>
        <w:ind w:left="720" w:hanging="720"/>
        <w:jc w:val="both"/>
      </w:pPr>
      <w:r w:rsidRPr="00B15C35">
        <w:t>The Control of Noise at Work Regulations, c. 1643, (2005). (UK). http://www.legislation.gov.uk/uksi/2005/1643/made</w:t>
      </w:r>
    </w:p>
    <w:p w14:paraId="1B9EE2EA" w14:textId="43EEE29D" w:rsidR="00E60167" w:rsidRPr="00B15C35" w:rsidRDefault="00E60167" w:rsidP="002E3A04">
      <w:pPr>
        <w:pStyle w:val="Newparagraph"/>
        <w:ind w:left="720" w:hanging="720"/>
        <w:jc w:val="both"/>
      </w:pPr>
      <w:r w:rsidRPr="00B15C35">
        <w:t>The Control of Substances Hazardous to Health Regulations, c. 2677, (2002). (UK). http://www.legislation.gov.uk/uksi/2002/2677/regulation/7/made</w:t>
      </w:r>
    </w:p>
    <w:p w14:paraId="59A62109" w14:textId="6650CBA3" w:rsidR="00CC69CA" w:rsidRPr="00B15C35" w:rsidRDefault="00CC69CA" w:rsidP="002E3A04">
      <w:pPr>
        <w:ind w:left="720" w:hanging="720"/>
        <w:jc w:val="both"/>
      </w:pPr>
      <w:r w:rsidRPr="00B15C35">
        <w:t>The Health and Safety (Display Screen Equipment) Regulations, c. 2792, (1992). (UK). http://www.legislation.gov.uk/uksi/1992/2792/made</w:t>
      </w:r>
    </w:p>
    <w:p w14:paraId="44A1297F" w14:textId="4E9E14A9" w:rsidR="00E60167" w:rsidRPr="00B15C35" w:rsidRDefault="00E60167" w:rsidP="002E3A04">
      <w:pPr>
        <w:ind w:left="720" w:hanging="720"/>
        <w:jc w:val="both"/>
      </w:pPr>
      <w:r w:rsidRPr="00B15C35">
        <w:t>The Health and Safety (Sharp Instruments in Healthcare) Regulations, c. 645, (2013). (UK). http://www.legislation.gov.uk/uksi/2013/645/contents/made</w:t>
      </w:r>
    </w:p>
    <w:p w14:paraId="22A911C6" w14:textId="19291F65" w:rsidR="00454907" w:rsidRPr="00B15C35" w:rsidRDefault="005F1655" w:rsidP="002E3A04">
      <w:pPr>
        <w:ind w:left="720" w:hanging="720"/>
        <w:jc w:val="both"/>
      </w:pPr>
      <w:r w:rsidRPr="00B15C35">
        <w:t>The Management of Health and Safety at Work Regulations, c. 3242, (1999). (UK). http://www.legislation.gov.uk/uksi/1999/3242/made</w:t>
      </w:r>
    </w:p>
    <w:p w14:paraId="38426FDC" w14:textId="4A4A4636" w:rsidR="00CC69CA" w:rsidRPr="00B15C35" w:rsidRDefault="00CC69CA" w:rsidP="002E3A04">
      <w:pPr>
        <w:ind w:left="720" w:hanging="720"/>
        <w:jc w:val="both"/>
      </w:pPr>
      <w:r w:rsidRPr="00B15C35">
        <w:t>The Manual Handling Operations Regulations, c. 2793, (1992). (UK). http://www.legislation.gov.uk/uksi/1992/2793/made</w:t>
      </w:r>
    </w:p>
    <w:p w14:paraId="4A57508F" w14:textId="77777777" w:rsidR="00B72E88" w:rsidRPr="00B15C35" w:rsidRDefault="00B72E88" w:rsidP="002E3A04">
      <w:pPr>
        <w:ind w:left="720" w:hanging="720"/>
        <w:jc w:val="both"/>
      </w:pPr>
      <w:r w:rsidRPr="00B15C35">
        <w:t>The Personal Protective Equipment at Work Regulations, c. 2966, (1992). (UK). http://www.legislation.gov.uk/uksi/1992/2966/contents/made</w:t>
      </w:r>
    </w:p>
    <w:p w14:paraId="0C0F5B93" w14:textId="67087402" w:rsidR="00CC69CA" w:rsidRPr="00B15C35" w:rsidRDefault="00CC69CA" w:rsidP="002E3A04">
      <w:pPr>
        <w:ind w:left="720" w:hanging="720"/>
        <w:jc w:val="both"/>
      </w:pPr>
      <w:r w:rsidRPr="00B15C35">
        <w:t>The Provision and</w:t>
      </w:r>
      <w:r w:rsidR="00B72E88" w:rsidRPr="00B15C35">
        <w:t xml:space="preserve"> </w:t>
      </w:r>
      <w:r w:rsidRPr="00B15C35">
        <w:t>Use of Work Equipment Regulations, c. 2306, (1998). (UK). http://www.legislation.gov.uk/uksi/1998/2306/made</w:t>
      </w:r>
    </w:p>
    <w:p w14:paraId="5681B7D5" w14:textId="7C28E90D" w:rsidR="008E0946" w:rsidRPr="00B15C35" w:rsidRDefault="008E0946" w:rsidP="002E3A04">
      <w:pPr>
        <w:ind w:left="720" w:hanging="720"/>
        <w:jc w:val="both"/>
      </w:pPr>
      <w:r w:rsidRPr="002E3A04">
        <w:t xml:space="preserve">Thompson, S. K., Mason, E., &amp; Dukes, S. (2003). Ergonomics and cytotechnologists: reported musculoskeletal discomfort. </w:t>
      </w:r>
      <w:r w:rsidRPr="002E3A04">
        <w:rPr>
          <w:i/>
          <w:iCs/>
        </w:rPr>
        <w:t>Diagnostic Cytopathology</w:t>
      </w:r>
      <w:r w:rsidRPr="002E3A04">
        <w:t xml:space="preserve">, </w:t>
      </w:r>
      <w:r w:rsidRPr="002E3A04">
        <w:rPr>
          <w:i/>
        </w:rPr>
        <w:t>29</w:t>
      </w:r>
      <w:r w:rsidRPr="002E3A04">
        <w:t xml:space="preserve">(6), 364–367. </w:t>
      </w:r>
      <w:r w:rsidR="00C746BA" w:rsidRPr="002E3A04">
        <w:t>https://doi.org/10.1002/dc.10377</w:t>
      </w:r>
    </w:p>
    <w:p w14:paraId="185FFCE6" w14:textId="525A1DF6" w:rsidR="00CB0877" w:rsidRPr="00B15C35" w:rsidRDefault="00CB0877" w:rsidP="002E3A04">
      <w:pPr>
        <w:ind w:left="720" w:hanging="720"/>
        <w:jc w:val="both"/>
      </w:pPr>
      <w:r w:rsidRPr="00B15C35">
        <w:t>Tikka, C., Verbeek, J., Kateman, E., Morata, T. C., Dreschler, W.</w:t>
      </w:r>
      <w:r w:rsidR="00C746BA" w:rsidRPr="00941502">
        <w:t>,</w:t>
      </w:r>
      <w:r w:rsidRPr="00D64AA2">
        <w:t xml:space="preserve"> &amp; Ferrite, S. (2020). Cochrane method for</w:t>
      </w:r>
      <w:r w:rsidRPr="00B15C35">
        <w:t xml:space="preserve"> systematic review and meta-analysis of interventions to prevent occupational noise-induced hearing loss - abridged. </w:t>
      </w:r>
      <w:r w:rsidRPr="00B15C35">
        <w:rPr>
          <w:i/>
          <w:iCs/>
        </w:rPr>
        <w:t>CoDAS</w:t>
      </w:r>
      <w:r w:rsidRPr="00B15C35">
        <w:t xml:space="preserve">, </w:t>
      </w:r>
      <w:r w:rsidRPr="00B15C35">
        <w:rPr>
          <w:i/>
        </w:rPr>
        <w:t>32</w:t>
      </w:r>
      <w:r w:rsidRPr="00B15C35">
        <w:t>(2), e20190127.</w:t>
      </w:r>
      <w:r w:rsidR="00C746BA" w:rsidRPr="00B15C35">
        <w:t xml:space="preserve"> https://doi.org/10.1590/2317-1782/20192019127</w:t>
      </w:r>
    </w:p>
    <w:p w14:paraId="122282A1" w14:textId="77777777" w:rsidR="006F6E18" w:rsidRPr="00B15C35" w:rsidRDefault="006F6E18" w:rsidP="002E3A04">
      <w:pPr>
        <w:ind w:left="720" w:hanging="720"/>
        <w:jc w:val="both"/>
      </w:pPr>
      <w:r w:rsidRPr="00B15C35">
        <w:lastRenderedPageBreak/>
        <w:t>UK Health and Safety at Work etc Act, c. 37 (1974). (UK). http://www.legislation.gov.uk/ukpga/1974/37/contents</w:t>
      </w:r>
    </w:p>
    <w:p w14:paraId="4D3BB4E0" w14:textId="301C0711" w:rsidR="00182FC4" w:rsidRPr="00B15C35" w:rsidRDefault="00182FC4" w:rsidP="002E3A04">
      <w:pPr>
        <w:ind w:left="720" w:hanging="720"/>
        <w:jc w:val="both"/>
      </w:pPr>
      <w:r w:rsidRPr="00B15C35">
        <w:t xml:space="preserve">van Hooff, M. L., Geurts, S. A., Taris, T. W., Kompier, M. A., Dikkers, J. S., Houtman, I. L., &amp; van den Heuvel, F. M. (2005). Disentangling the causal relationships between work-home interference and employee health. </w:t>
      </w:r>
      <w:r w:rsidR="00C746BA" w:rsidRPr="00B15C35">
        <w:rPr>
          <w:i/>
        </w:rPr>
        <w:t>Scandinavian J</w:t>
      </w:r>
      <w:r w:rsidRPr="00B15C35">
        <w:rPr>
          <w:i/>
        </w:rPr>
        <w:t>ournal of Work, Environment &amp; Health, 31</w:t>
      </w:r>
      <w:r w:rsidRPr="00B15C35">
        <w:t>(1), 15–29. https://doi.org/10.5271/sjweh.844</w:t>
      </w:r>
    </w:p>
    <w:p w14:paraId="58E76F5A" w14:textId="7AD3A360" w:rsidR="00273117" w:rsidRPr="00B15C35" w:rsidRDefault="00C746BA" w:rsidP="002E3A04">
      <w:pPr>
        <w:ind w:left="720" w:hanging="720"/>
        <w:jc w:val="both"/>
      </w:pPr>
      <w:r w:rsidRPr="00B15C35">
        <w:t xml:space="preserve">Walker, W. H., 2nd, Walton, J. C., DeVries, A. C., &amp; Nelson, R. J. (2020). Circadian rhythm disruption and mental health. </w:t>
      </w:r>
      <w:r w:rsidRPr="00B15C35">
        <w:rPr>
          <w:i/>
        </w:rPr>
        <w:t>Translational Psychiatry</w:t>
      </w:r>
      <w:r w:rsidRPr="00B15C35">
        <w:t xml:space="preserve">, </w:t>
      </w:r>
      <w:r w:rsidRPr="00B15C35">
        <w:rPr>
          <w:i/>
        </w:rPr>
        <w:t>10</w:t>
      </w:r>
      <w:r w:rsidRPr="00B15C35">
        <w:t>(1), 28. https://doi.org/10.1038/s41398-020-0694-0</w:t>
      </w:r>
      <w:r w:rsidR="008D57DB" w:rsidRPr="00B15C35">
        <w:t>.</w:t>
      </w:r>
    </w:p>
    <w:p w14:paraId="3EBED85F" w14:textId="71CF4759" w:rsidR="004252C0" w:rsidRPr="00B15C35" w:rsidRDefault="004252C0" w:rsidP="002E3A04">
      <w:pPr>
        <w:ind w:left="720" w:hanging="720"/>
        <w:jc w:val="both"/>
      </w:pPr>
      <w:r w:rsidRPr="00B15C35">
        <w:t>WHO</w:t>
      </w:r>
      <w:r w:rsidR="00F21ABF" w:rsidRPr="00B15C35">
        <w:t>.</w:t>
      </w:r>
      <w:r w:rsidRPr="00B15C35">
        <w:t xml:space="preserve"> (2005). </w:t>
      </w:r>
      <w:r w:rsidRPr="00B15C35">
        <w:rPr>
          <w:i/>
          <w:iCs/>
        </w:rPr>
        <w:t>Mental health policy and service guidance package: Mental health policies and programmes in the workplace</w:t>
      </w:r>
      <w:r w:rsidRPr="00B15C35">
        <w:t>.</w:t>
      </w:r>
      <w:r w:rsidR="00273117" w:rsidRPr="00B15C35">
        <w:t xml:space="preserve"> </w:t>
      </w:r>
      <w:r w:rsidRPr="00B15C35">
        <w:t>https://apps.who.int/iris/bitstream/handle/10665/43337/9241546794_eng.pdf</w:t>
      </w:r>
    </w:p>
    <w:p w14:paraId="449C8F09" w14:textId="4CF6D868" w:rsidR="001F0D9A" w:rsidRPr="00B15C35" w:rsidRDefault="00257019" w:rsidP="002E3A04">
      <w:pPr>
        <w:pStyle w:val="Newparagraph"/>
        <w:ind w:left="720" w:hanging="720"/>
        <w:jc w:val="both"/>
      </w:pPr>
      <w:r w:rsidRPr="00B15C35">
        <w:t>Wu, P. C., Tsai, C. L., Wu, H. L., Yang, Y. H.</w:t>
      </w:r>
      <w:r w:rsidR="00C746BA" w:rsidRPr="00B15C35">
        <w:t>,</w:t>
      </w:r>
      <w:r w:rsidRPr="00B15C35">
        <w:t xml:space="preserve"> &amp; Kuo, H. K. (2013). Outdoor activity during class recess reduces myopia onset and progression in school children. </w:t>
      </w:r>
      <w:r w:rsidRPr="00B15C35">
        <w:rPr>
          <w:i/>
          <w:iCs/>
        </w:rPr>
        <w:t>Ophthalmology</w:t>
      </w:r>
      <w:r w:rsidRPr="00B15C35">
        <w:t xml:space="preserve">, </w:t>
      </w:r>
      <w:r w:rsidRPr="00B15C35">
        <w:rPr>
          <w:i/>
        </w:rPr>
        <w:t>120</w:t>
      </w:r>
      <w:r w:rsidRPr="00B15C35">
        <w:t>(5), 1080–1085.</w:t>
      </w:r>
      <w:r w:rsidR="00C746BA" w:rsidRPr="00B15C35">
        <w:t xml:space="preserve"> https://doi.org/10.1016/j.ophtha.2012.11.009</w:t>
      </w:r>
    </w:p>
    <w:p w14:paraId="5E34600E" w14:textId="77777777" w:rsidR="00F92629" w:rsidRPr="00B15C35" w:rsidRDefault="00F92629" w:rsidP="002E3A04">
      <w:r w:rsidRPr="00B15C35">
        <w:br w:type="page"/>
      </w:r>
    </w:p>
    <w:p w14:paraId="65B21B3E" w14:textId="0E7CA0E0" w:rsidR="00431D02" w:rsidRPr="00B15C35" w:rsidRDefault="00431D02" w:rsidP="00B15C35">
      <w:pPr>
        <w:pStyle w:val="Newparagraph"/>
        <w:ind w:left="720" w:hanging="720"/>
      </w:pPr>
      <w:r w:rsidRPr="00B15C35">
        <w:lastRenderedPageBreak/>
        <w:t xml:space="preserve">Table 1. Summary of the </w:t>
      </w:r>
      <w:r w:rsidR="00430CB6" w:rsidRPr="00B15C35">
        <w:t xml:space="preserve">adapted </w:t>
      </w:r>
      <w:r w:rsidRPr="00B15C35">
        <w:t>GRADE s</w:t>
      </w:r>
      <w:r w:rsidR="00430CB6" w:rsidRPr="00B15C35">
        <w:t>ystem</w:t>
      </w:r>
      <w:r w:rsidR="00BE13A1" w:rsidRPr="00B15C35">
        <w:t xml:space="preserve"> (adapted from Guyatt et al., 2008)</w:t>
      </w:r>
      <w:r w:rsidRPr="00B15C35">
        <w:t>.</w:t>
      </w:r>
    </w:p>
    <w:tbl>
      <w:tblPr>
        <w:tblStyle w:val="TableGrid"/>
        <w:tblW w:w="9067" w:type="dxa"/>
        <w:tblBorders>
          <w:top w:val="single" w:sz="18" w:space="0" w:color="auto"/>
        </w:tblBorders>
        <w:tblLook w:val="04A0" w:firstRow="1" w:lastRow="0" w:firstColumn="1" w:lastColumn="0" w:noHBand="0" w:noVBand="1"/>
      </w:tblPr>
      <w:tblGrid>
        <w:gridCol w:w="1271"/>
        <w:gridCol w:w="2693"/>
        <w:gridCol w:w="5103"/>
      </w:tblGrid>
      <w:tr w:rsidR="00430CB6" w:rsidRPr="00B15C35" w14:paraId="5F20E81A" w14:textId="77777777" w:rsidTr="00D1584E">
        <w:trPr>
          <w:trHeight w:val="454"/>
        </w:trPr>
        <w:tc>
          <w:tcPr>
            <w:tcW w:w="396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0DE2FBF" w14:textId="6C19509B" w:rsidR="004731D9" w:rsidRPr="00B15C35" w:rsidRDefault="00430CB6" w:rsidP="002E3A04">
            <w:pPr>
              <w:pStyle w:val="Newparagraph"/>
              <w:ind w:firstLine="0"/>
              <w:jc w:val="center"/>
              <w:rPr>
                <w:b/>
                <w:bCs/>
              </w:rPr>
            </w:pPr>
            <w:r w:rsidRPr="00B15C35">
              <w:rPr>
                <w:b/>
                <w:bCs/>
              </w:rPr>
              <w:t>Grading Quality of Evidence</w:t>
            </w:r>
          </w:p>
        </w:tc>
        <w:tc>
          <w:tcPr>
            <w:tcW w:w="510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A1CD4EB" w14:textId="4500ED57" w:rsidR="00430CB6" w:rsidRPr="00B15C35" w:rsidRDefault="00430CB6" w:rsidP="002E3A04">
            <w:pPr>
              <w:pStyle w:val="Newparagraph"/>
              <w:ind w:firstLine="0"/>
              <w:jc w:val="center"/>
              <w:rPr>
                <w:b/>
                <w:bCs/>
              </w:rPr>
            </w:pPr>
            <w:r w:rsidRPr="00B15C35">
              <w:rPr>
                <w:b/>
                <w:bCs/>
              </w:rPr>
              <w:t>Evaluating Strength of Recommendations</w:t>
            </w:r>
          </w:p>
        </w:tc>
      </w:tr>
      <w:tr w:rsidR="00046345" w:rsidRPr="00B15C35" w14:paraId="1ACB0153" w14:textId="77777777" w:rsidTr="00046345">
        <w:trPr>
          <w:trHeight w:val="1191"/>
        </w:trPr>
        <w:tc>
          <w:tcPr>
            <w:tcW w:w="1271" w:type="dxa"/>
            <w:tcBorders>
              <w:top w:val="single" w:sz="18" w:space="0" w:color="auto"/>
              <w:left w:val="single" w:sz="18" w:space="0" w:color="auto"/>
            </w:tcBorders>
            <w:vAlign w:val="center"/>
          </w:tcPr>
          <w:p w14:paraId="0C751826" w14:textId="16FD8E06" w:rsidR="00046345" w:rsidRPr="00B15C35" w:rsidRDefault="00046345" w:rsidP="002E3A04">
            <w:pPr>
              <w:pStyle w:val="Newparagraph"/>
              <w:ind w:firstLine="0"/>
            </w:pPr>
            <w:r w:rsidRPr="00B15C35">
              <w:t>High</w:t>
            </w:r>
          </w:p>
        </w:tc>
        <w:tc>
          <w:tcPr>
            <w:tcW w:w="2693" w:type="dxa"/>
            <w:tcBorders>
              <w:top w:val="single" w:sz="18" w:space="0" w:color="auto"/>
              <w:right w:val="single" w:sz="18" w:space="0" w:color="auto"/>
            </w:tcBorders>
            <w:vAlign w:val="center"/>
          </w:tcPr>
          <w:p w14:paraId="032C1019" w14:textId="4A9B3364" w:rsidR="00046345" w:rsidRPr="00B15C35" w:rsidRDefault="00046345" w:rsidP="002E3A04">
            <w:pPr>
              <w:pStyle w:val="Newparagraph"/>
              <w:ind w:firstLine="0"/>
            </w:pPr>
            <w:r w:rsidRPr="00B15C35">
              <w:t>More data is unlikely to strengthen confidence in findings</w:t>
            </w:r>
          </w:p>
        </w:tc>
        <w:tc>
          <w:tcPr>
            <w:tcW w:w="5103" w:type="dxa"/>
            <w:vMerge w:val="restart"/>
            <w:tcBorders>
              <w:top w:val="single" w:sz="18" w:space="0" w:color="auto"/>
              <w:left w:val="single" w:sz="18" w:space="0" w:color="auto"/>
              <w:right w:val="single" w:sz="18" w:space="0" w:color="auto"/>
            </w:tcBorders>
            <w:vAlign w:val="center"/>
          </w:tcPr>
          <w:p w14:paraId="1DA36680" w14:textId="13DCCC16" w:rsidR="00046345" w:rsidRPr="00B15C35" w:rsidRDefault="00046345" w:rsidP="002E3A04">
            <w:pPr>
              <w:pStyle w:val="Newparagraph"/>
              <w:ind w:firstLine="0"/>
            </w:pPr>
            <w:r w:rsidRPr="00B15C35">
              <w:t>Strong Recommendations are based on:</w:t>
            </w:r>
          </w:p>
          <w:p w14:paraId="188E1EB1" w14:textId="77777777" w:rsidR="00046345" w:rsidRPr="00B15C35" w:rsidRDefault="00046345" w:rsidP="002E3A04">
            <w:pPr>
              <w:pStyle w:val="Newparagraph"/>
              <w:ind w:firstLine="0"/>
            </w:pPr>
          </w:p>
          <w:p w14:paraId="20A00ED9" w14:textId="77777777" w:rsidR="00046345" w:rsidRPr="00B15C35" w:rsidRDefault="00046345" w:rsidP="002E3A04">
            <w:pPr>
              <w:pStyle w:val="Newparagraph"/>
              <w:numPr>
                <w:ilvl w:val="0"/>
                <w:numId w:val="31"/>
              </w:numPr>
              <w:ind w:left="284" w:hanging="284"/>
            </w:pPr>
            <w:r w:rsidRPr="00B15C35">
              <w:t xml:space="preserve">high quality evidence </w:t>
            </w:r>
          </w:p>
          <w:p w14:paraId="37666636" w14:textId="77777777" w:rsidR="00046345" w:rsidRPr="00B15C35" w:rsidRDefault="00046345" w:rsidP="002E3A04">
            <w:pPr>
              <w:pStyle w:val="Newparagraph"/>
              <w:numPr>
                <w:ilvl w:val="0"/>
                <w:numId w:val="31"/>
              </w:numPr>
              <w:ind w:left="284" w:hanging="284"/>
            </w:pPr>
            <w:r w:rsidRPr="00B15C35">
              <w:t>good balance of benefit verses adverse effect</w:t>
            </w:r>
          </w:p>
          <w:p w14:paraId="5564E5A6" w14:textId="5F7D4716" w:rsidR="00046345" w:rsidRPr="00B15C35" w:rsidRDefault="00046345" w:rsidP="002E3A04">
            <w:pPr>
              <w:pStyle w:val="Newparagraph"/>
              <w:numPr>
                <w:ilvl w:val="0"/>
                <w:numId w:val="31"/>
              </w:numPr>
              <w:ind w:left="284" w:hanging="284"/>
            </w:pPr>
            <w:r w:rsidRPr="00B15C35">
              <w:t>good balance of benefit verses resource</w:t>
            </w:r>
            <w:r w:rsidR="00E84BFA" w:rsidRPr="00B15C35">
              <w:t xml:space="preserve"> use</w:t>
            </w:r>
          </w:p>
        </w:tc>
      </w:tr>
      <w:tr w:rsidR="00046345" w:rsidRPr="00B15C35" w14:paraId="0C909876" w14:textId="77777777" w:rsidTr="00435766">
        <w:trPr>
          <w:trHeight w:val="1191"/>
        </w:trPr>
        <w:tc>
          <w:tcPr>
            <w:tcW w:w="1271" w:type="dxa"/>
            <w:tcBorders>
              <w:left w:val="single" w:sz="18" w:space="0" w:color="auto"/>
            </w:tcBorders>
            <w:vAlign w:val="center"/>
          </w:tcPr>
          <w:p w14:paraId="78FE95D4" w14:textId="0F375DC8" w:rsidR="00046345" w:rsidRPr="00B15C35" w:rsidRDefault="00046345" w:rsidP="002E3A04">
            <w:pPr>
              <w:pStyle w:val="Newparagraph"/>
              <w:ind w:firstLine="0"/>
            </w:pPr>
            <w:r w:rsidRPr="00B15C35">
              <w:t>Moderate</w:t>
            </w:r>
          </w:p>
        </w:tc>
        <w:tc>
          <w:tcPr>
            <w:tcW w:w="2693" w:type="dxa"/>
            <w:tcBorders>
              <w:right w:val="single" w:sz="18" w:space="0" w:color="auto"/>
            </w:tcBorders>
            <w:vAlign w:val="center"/>
          </w:tcPr>
          <w:p w14:paraId="59C6ED8F" w14:textId="03CB2AE2" w:rsidR="00046345" w:rsidRPr="00B15C35" w:rsidRDefault="00046345" w:rsidP="002E3A04">
            <w:pPr>
              <w:pStyle w:val="Newparagraph"/>
              <w:ind w:firstLine="0"/>
            </w:pPr>
            <w:r w:rsidRPr="00B15C35">
              <w:t>More data may increase the confidence in the findings, and may lead to a re-evaluation of them</w:t>
            </w:r>
          </w:p>
        </w:tc>
        <w:tc>
          <w:tcPr>
            <w:tcW w:w="5103" w:type="dxa"/>
            <w:vMerge/>
            <w:tcBorders>
              <w:top w:val="single" w:sz="4" w:space="0" w:color="auto"/>
              <w:left w:val="single" w:sz="18" w:space="0" w:color="auto"/>
              <w:bottom w:val="single" w:sz="4" w:space="0" w:color="auto"/>
              <w:right w:val="single" w:sz="18" w:space="0" w:color="auto"/>
            </w:tcBorders>
            <w:vAlign w:val="center"/>
          </w:tcPr>
          <w:p w14:paraId="3DB61000" w14:textId="765B0A34" w:rsidR="00046345" w:rsidRPr="00B15C35" w:rsidRDefault="00046345" w:rsidP="002E3A04">
            <w:pPr>
              <w:pStyle w:val="Newparagraph"/>
              <w:numPr>
                <w:ilvl w:val="0"/>
                <w:numId w:val="31"/>
              </w:numPr>
              <w:ind w:left="284" w:hanging="284"/>
            </w:pPr>
          </w:p>
        </w:tc>
      </w:tr>
      <w:tr w:rsidR="00046345" w:rsidRPr="00B15C35" w14:paraId="267872C1" w14:textId="77777777" w:rsidTr="00435766">
        <w:trPr>
          <w:trHeight w:val="1191"/>
        </w:trPr>
        <w:tc>
          <w:tcPr>
            <w:tcW w:w="1271" w:type="dxa"/>
            <w:tcBorders>
              <w:left w:val="single" w:sz="18" w:space="0" w:color="auto"/>
            </w:tcBorders>
            <w:vAlign w:val="center"/>
          </w:tcPr>
          <w:p w14:paraId="22358CC8" w14:textId="07A3A326" w:rsidR="00046345" w:rsidRPr="00B15C35" w:rsidRDefault="00046345" w:rsidP="002E3A04">
            <w:pPr>
              <w:pStyle w:val="Newparagraph"/>
              <w:ind w:firstLine="0"/>
            </w:pPr>
            <w:r w:rsidRPr="00B15C35">
              <w:t>Low</w:t>
            </w:r>
          </w:p>
        </w:tc>
        <w:tc>
          <w:tcPr>
            <w:tcW w:w="2693" w:type="dxa"/>
            <w:tcBorders>
              <w:right w:val="single" w:sz="18" w:space="0" w:color="auto"/>
            </w:tcBorders>
            <w:vAlign w:val="center"/>
          </w:tcPr>
          <w:p w14:paraId="7B66AB0C" w14:textId="7F85F191" w:rsidR="00046345" w:rsidRPr="00B15C35" w:rsidRDefault="00046345" w:rsidP="002E3A04">
            <w:pPr>
              <w:pStyle w:val="Newparagraph"/>
              <w:ind w:firstLine="0"/>
            </w:pPr>
            <w:r w:rsidRPr="00B15C35">
              <w:t>More data is likely to significantly adjust the findings, or confidence in them</w:t>
            </w:r>
          </w:p>
        </w:tc>
        <w:tc>
          <w:tcPr>
            <w:tcW w:w="5103" w:type="dxa"/>
            <w:vMerge w:val="restart"/>
            <w:tcBorders>
              <w:top w:val="single" w:sz="4" w:space="0" w:color="auto"/>
              <w:left w:val="single" w:sz="18" w:space="0" w:color="auto"/>
              <w:right w:val="single" w:sz="18" w:space="0" w:color="auto"/>
            </w:tcBorders>
            <w:vAlign w:val="center"/>
          </w:tcPr>
          <w:p w14:paraId="593525FA" w14:textId="678C257F" w:rsidR="00046345" w:rsidRPr="00B15C35" w:rsidRDefault="00046345" w:rsidP="002E3A04">
            <w:pPr>
              <w:pStyle w:val="Newparagraph"/>
              <w:ind w:firstLine="0"/>
            </w:pPr>
            <w:r w:rsidRPr="00B15C35">
              <w:t>Weak Recommendations are based on:</w:t>
            </w:r>
          </w:p>
          <w:p w14:paraId="0687693C" w14:textId="77777777" w:rsidR="00046345" w:rsidRPr="00B15C35" w:rsidRDefault="00046345" w:rsidP="002E3A04">
            <w:pPr>
              <w:pStyle w:val="Newparagraph"/>
              <w:ind w:firstLine="0"/>
            </w:pPr>
          </w:p>
          <w:p w14:paraId="66FEC87A" w14:textId="77777777" w:rsidR="00046345" w:rsidRPr="00B15C35" w:rsidRDefault="00046345" w:rsidP="002E3A04">
            <w:pPr>
              <w:pStyle w:val="Newparagraph"/>
              <w:numPr>
                <w:ilvl w:val="0"/>
                <w:numId w:val="31"/>
              </w:numPr>
              <w:ind w:left="284" w:hanging="284"/>
            </w:pPr>
            <w:r w:rsidRPr="00B15C35">
              <w:t xml:space="preserve">low quality evidence </w:t>
            </w:r>
          </w:p>
          <w:p w14:paraId="575DED4D" w14:textId="77777777" w:rsidR="00046345" w:rsidRPr="00B15C35" w:rsidRDefault="00046345" w:rsidP="002E3A04">
            <w:pPr>
              <w:pStyle w:val="Newparagraph"/>
              <w:numPr>
                <w:ilvl w:val="0"/>
                <w:numId w:val="31"/>
              </w:numPr>
              <w:ind w:left="284" w:hanging="284"/>
            </w:pPr>
            <w:r w:rsidRPr="00B15C35">
              <w:t>poor balance of benefit verses adverse effect</w:t>
            </w:r>
          </w:p>
          <w:p w14:paraId="63614A9E" w14:textId="49657BEA" w:rsidR="00046345" w:rsidRPr="00B15C35" w:rsidRDefault="00046345" w:rsidP="002E3A04">
            <w:pPr>
              <w:pStyle w:val="Newparagraph"/>
              <w:numPr>
                <w:ilvl w:val="0"/>
                <w:numId w:val="31"/>
              </w:numPr>
              <w:ind w:left="284" w:hanging="284"/>
            </w:pPr>
            <w:r w:rsidRPr="00B15C35">
              <w:t>poor balance of benefit verses resource use</w:t>
            </w:r>
          </w:p>
        </w:tc>
      </w:tr>
      <w:tr w:rsidR="00046345" w:rsidRPr="00B15C35" w14:paraId="574F5F98" w14:textId="77777777" w:rsidTr="00431FB7">
        <w:trPr>
          <w:trHeight w:val="1191"/>
        </w:trPr>
        <w:tc>
          <w:tcPr>
            <w:tcW w:w="1271" w:type="dxa"/>
            <w:tcBorders>
              <w:left w:val="single" w:sz="18" w:space="0" w:color="auto"/>
              <w:bottom w:val="single" w:sz="18" w:space="0" w:color="auto"/>
            </w:tcBorders>
            <w:vAlign w:val="center"/>
          </w:tcPr>
          <w:p w14:paraId="75D72A68" w14:textId="24CC41C6" w:rsidR="00046345" w:rsidRPr="00B15C35" w:rsidRDefault="00046345" w:rsidP="002E3A04">
            <w:pPr>
              <w:pStyle w:val="Newparagraph"/>
              <w:ind w:firstLine="0"/>
            </w:pPr>
            <w:r w:rsidRPr="00B15C35">
              <w:t>Very Low</w:t>
            </w:r>
          </w:p>
        </w:tc>
        <w:tc>
          <w:tcPr>
            <w:tcW w:w="2693" w:type="dxa"/>
            <w:tcBorders>
              <w:bottom w:val="single" w:sz="18" w:space="0" w:color="auto"/>
              <w:right w:val="single" w:sz="18" w:space="0" w:color="auto"/>
            </w:tcBorders>
            <w:vAlign w:val="center"/>
          </w:tcPr>
          <w:p w14:paraId="5A82BEE2" w14:textId="77BC0F3B" w:rsidR="00046345" w:rsidRPr="00B15C35" w:rsidRDefault="00046345" w:rsidP="002E3A04">
            <w:pPr>
              <w:pStyle w:val="Newparagraph"/>
              <w:ind w:firstLine="0"/>
            </w:pPr>
            <w:r w:rsidRPr="00B15C35">
              <w:t>Validity of findings is uncertain</w:t>
            </w:r>
          </w:p>
        </w:tc>
        <w:tc>
          <w:tcPr>
            <w:tcW w:w="5103" w:type="dxa"/>
            <w:vMerge/>
            <w:tcBorders>
              <w:left w:val="single" w:sz="18" w:space="0" w:color="auto"/>
              <w:bottom w:val="single" w:sz="18" w:space="0" w:color="auto"/>
              <w:right w:val="single" w:sz="18" w:space="0" w:color="auto"/>
            </w:tcBorders>
            <w:vAlign w:val="center"/>
          </w:tcPr>
          <w:p w14:paraId="42E49C5C" w14:textId="02D24F34" w:rsidR="00046345" w:rsidRPr="00B15C35" w:rsidRDefault="00046345" w:rsidP="002E3A04">
            <w:pPr>
              <w:pStyle w:val="Newparagraph"/>
              <w:numPr>
                <w:ilvl w:val="0"/>
                <w:numId w:val="31"/>
              </w:numPr>
              <w:ind w:left="284" w:hanging="284"/>
            </w:pPr>
          </w:p>
        </w:tc>
      </w:tr>
    </w:tbl>
    <w:p w14:paraId="212080D2" w14:textId="77777777" w:rsidR="00430CB6" w:rsidRPr="00B15C35" w:rsidRDefault="00430CB6" w:rsidP="00B15C35">
      <w:pPr>
        <w:pStyle w:val="Newparagraph"/>
        <w:rPr>
          <w:highlight w:val="yellow"/>
        </w:rPr>
      </w:pPr>
    </w:p>
    <w:p w14:paraId="31E43479" w14:textId="77777777" w:rsidR="00431D02" w:rsidRPr="00B15C35" w:rsidRDefault="00431D02" w:rsidP="002E3A04">
      <w:pPr>
        <w:rPr>
          <w:highlight w:val="yellow"/>
        </w:rPr>
      </w:pPr>
      <w:r w:rsidRPr="00B15C35">
        <w:rPr>
          <w:highlight w:val="yellow"/>
        </w:rPr>
        <w:br w:type="page"/>
      </w:r>
    </w:p>
    <w:p w14:paraId="2835E548" w14:textId="181185C0" w:rsidR="005B6666" w:rsidRPr="00B15C35" w:rsidRDefault="005B6666" w:rsidP="002E3A04">
      <w:pPr>
        <w:pStyle w:val="Paragraph"/>
        <w:spacing w:before="0"/>
      </w:pPr>
      <w:r w:rsidRPr="00B15C35">
        <w:lastRenderedPageBreak/>
        <w:t xml:space="preserve">Table 2. </w:t>
      </w:r>
      <w:r w:rsidR="00C74018" w:rsidRPr="00B15C35">
        <w:t>R</w:t>
      </w:r>
      <w:r w:rsidRPr="00B15C35">
        <w:t>espondents in ACE Occupational Health Survey</w:t>
      </w:r>
    </w:p>
    <w:tbl>
      <w:tblPr>
        <w:tblStyle w:val="TableGrid"/>
        <w:tblW w:w="0" w:type="auto"/>
        <w:tblLook w:val="04A0" w:firstRow="1" w:lastRow="0" w:firstColumn="1" w:lastColumn="0" w:noHBand="0" w:noVBand="1"/>
      </w:tblPr>
      <w:tblGrid>
        <w:gridCol w:w="3969"/>
        <w:gridCol w:w="1559"/>
        <w:gridCol w:w="1559"/>
      </w:tblGrid>
      <w:tr w:rsidR="005B6666" w:rsidRPr="00B15C35" w14:paraId="3243E40E" w14:textId="77777777" w:rsidTr="00A844EB">
        <w:trPr>
          <w:trHeight w:val="510"/>
        </w:trPr>
        <w:tc>
          <w:tcPr>
            <w:tcW w:w="39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AEE313" w14:textId="3FF72137" w:rsidR="00DB4787" w:rsidRPr="00B15C35" w:rsidRDefault="00DB4787" w:rsidP="002E3A04">
            <w:pPr>
              <w:pStyle w:val="Newparagraph"/>
              <w:rPr>
                <w:b/>
                <w:bCs/>
              </w:rPr>
            </w:pP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E639659" w14:textId="09ED63F1" w:rsidR="005B6666" w:rsidRPr="00B15C35" w:rsidRDefault="005B6666" w:rsidP="002E3A04">
            <w:pPr>
              <w:pStyle w:val="Paragraph"/>
              <w:spacing w:before="0"/>
              <w:jc w:val="center"/>
              <w:rPr>
                <w:b/>
                <w:bCs/>
              </w:rPr>
            </w:pPr>
            <w:r w:rsidRPr="00B15C35">
              <w:rPr>
                <w:b/>
                <w:bCs/>
              </w:rPr>
              <w:t>Number</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D8BABA0" w14:textId="6D96796D" w:rsidR="005B6666" w:rsidRPr="00B15C35" w:rsidRDefault="005B6666" w:rsidP="002E3A04">
            <w:pPr>
              <w:pStyle w:val="Paragraph"/>
              <w:spacing w:before="0"/>
              <w:jc w:val="center"/>
              <w:rPr>
                <w:b/>
                <w:bCs/>
              </w:rPr>
            </w:pPr>
            <w:r w:rsidRPr="00B15C35">
              <w:rPr>
                <w:b/>
                <w:bCs/>
              </w:rPr>
              <w:t>Percentage</w:t>
            </w:r>
          </w:p>
        </w:tc>
      </w:tr>
      <w:tr w:rsidR="005B6666" w:rsidRPr="00B15C35" w14:paraId="3CA21913" w14:textId="77777777" w:rsidTr="00A844EB">
        <w:trPr>
          <w:trHeight w:val="510"/>
        </w:trPr>
        <w:tc>
          <w:tcPr>
            <w:tcW w:w="3969" w:type="dxa"/>
            <w:tcBorders>
              <w:top w:val="single" w:sz="12" w:space="0" w:color="auto"/>
              <w:left w:val="single" w:sz="12" w:space="0" w:color="auto"/>
              <w:right w:val="single" w:sz="12" w:space="0" w:color="auto"/>
            </w:tcBorders>
            <w:vAlign w:val="center"/>
          </w:tcPr>
          <w:p w14:paraId="7190B923" w14:textId="044CF6F4" w:rsidR="005B6666" w:rsidRPr="00B15C35" w:rsidRDefault="005B6666" w:rsidP="002E3A04">
            <w:pPr>
              <w:pStyle w:val="Paragraph"/>
              <w:spacing w:before="0"/>
            </w:pPr>
            <w:r w:rsidRPr="00B15C35">
              <w:t>Survey invitations sent</w:t>
            </w:r>
          </w:p>
        </w:tc>
        <w:tc>
          <w:tcPr>
            <w:tcW w:w="1559" w:type="dxa"/>
            <w:tcBorders>
              <w:top w:val="single" w:sz="12" w:space="0" w:color="auto"/>
              <w:left w:val="single" w:sz="12" w:space="0" w:color="auto"/>
              <w:right w:val="single" w:sz="12" w:space="0" w:color="auto"/>
            </w:tcBorders>
            <w:vAlign w:val="center"/>
          </w:tcPr>
          <w:p w14:paraId="2C949A3A" w14:textId="72287BC3" w:rsidR="005B6666" w:rsidRPr="00B15C35" w:rsidRDefault="005B6666" w:rsidP="002E3A04">
            <w:pPr>
              <w:pStyle w:val="Paragraph"/>
              <w:spacing w:before="0"/>
              <w:jc w:val="center"/>
            </w:pPr>
            <w:r w:rsidRPr="00B15C35">
              <w:t>405</w:t>
            </w:r>
          </w:p>
        </w:tc>
        <w:tc>
          <w:tcPr>
            <w:tcW w:w="1559" w:type="dxa"/>
            <w:tcBorders>
              <w:top w:val="single" w:sz="12" w:space="0" w:color="auto"/>
              <w:left w:val="single" w:sz="12" w:space="0" w:color="auto"/>
              <w:right w:val="single" w:sz="12" w:space="0" w:color="auto"/>
            </w:tcBorders>
            <w:vAlign w:val="center"/>
          </w:tcPr>
          <w:p w14:paraId="5BED60A9" w14:textId="7CF4269E" w:rsidR="005B6666" w:rsidRPr="00B15C35" w:rsidRDefault="005B6666" w:rsidP="002E3A04">
            <w:pPr>
              <w:pStyle w:val="Paragraph"/>
              <w:spacing w:before="0"/>
              <w:jc w:val="center"/>
            </w:pPr>
            <w:r w:rsidRPr="00B15C35">
              <w:t>100%</w:t>
            </w:r>
          </w:p>
        </w:tc>
      </w:tr>
      <w:tr w:rsidR="005B6666" w:rsidRPr="00B15C35" w14:paraId="6AFF90C4" w14:textId="77777777" w:rsidTr="00A844EB">
        <w:trPr>
          <w:trHeight w:val="510"/>
        </w:trPr>
        <w:tc>
          <w:tcPr>
            <w:tcW w:w="3969" w:type="dxa"/>
            <w:tcBorders>
              <w:left w:val="single" w:sz="12" w:space="0" w:color="auto"/>
              <w:right w:val="single" w:sz="12" w:space="0" w:color="auto"/>
            </w:tcBorders>
            <w:vAlign w:val="center"/>
          </w:tcPr>
          <w:p w14:paraId="31A8B409" w14:textId="0A1405D4" w:rsidR="005B6666" w:rsidRPr="00B15C35" w:rsidRDefault="005B6666" w:rsidP="002E3A04">
            <w:pPr>
              <w:pStyle w:val="Paragraph"/>
              <w:spacing w:before="0"/>
            </w:pPr>
            <w:r w:rsidRPr="00B15C35">
              <w:t>Survey responses</w:t>
            </w:r>
          </w:p>
        </w:tc>
        <w:tc>
          <w:tcPr>
            <w:tcW w:w="1559" w:type="dxa"/>
            <w:tcBorders>
              <w:left w:val="single" w:sz="12" w:space="0" w:color="auto"/>
              <w:right w:val="single" w:sz="12" w:space="0" w:color="auto"/>
            </w:tcBorders>
            <w:vAlign w:val="center"/>
          </w:tcPr>
          <w:p w14:paraId="613BDDCF" w14:textId="7030D8CD" w:rsidR="005B6666" w:rsidRPr="00B15C35" w:rsidRDefault="005B6666" w:rsidP="002E3A04">
            <w:pPr>
              <w:pStyle w:val="Paragraph"/>
              <w:spacing w:before="0"/>
              <w:jc w:val="center"/>
            </w:pPr>
            <w:r w:rsidRPr="00B15C35">
              <w:t>252</w:t>
            </w:r>
          </w:p>
        </w:tc>
        <w:tc>
          <w:tcPr>
            <w:tcW w:w="1559" w:type="dxa"/>
            <w:tcBorders>
              <w:left w:val="single" w:sz="12" w:space="0" w:color="auto"/>
              <w:right w:val="single" w:sz="12" w:space="0" w:color="auto"/>
            </w:tcBorders>
            <w:vAlign w:val="center"/>
          </w:tcPr>
          <w:p w14:paraId="50B92CFC" w14:textId="2DCF8DAC" w:rsidR="005B6666" w:rsidRPr="00B15C35" w:rsidRDefault="005B6666" w:rsidP="002E3A04">
            <w:pPr>
              <w:pStyle w:val="Paragraph"/>
              <w:spacing w:before="0"/>
              <w:jc w:val="center"/>
            </w:pPr>
            <w:r w:rsidRPr="00B15C35">
              <w:t>62.2%</w:t>
            </w:r>
          </w:p>
        </w:tc>
      </w:tr>
      <w:tr w:rsidR="002B3154" w:rsidRPr="00B15C35" w14:paraId="5F74A08F" w14:textId="77777777" w:rsidTr="00A844EB">
        <w:trPr>
          <w:trHeight w:val="510"/>
        </w:trPr>
        <w:tc>
          <w:tcPr>
            <w:tcW w:w="3969" w:type="dxa"/>
            <w:tcBorders>
              <w:left w:val="single" w:sz="12" w:space="0" w:color="auto"/>
              <w:right w:val="single" w:sz="12" w:space="0" w:color="auto"/>
            </w:tcBorders>
            <w:vAlign w:val="center"/>
          </w:tcPr>
          <w:p w14:paraId="455BBF79" w14:textId="2248D4DA" w:rsidR="002B3154" w:rsidRPr="00B15C35" w:rsidRDefault="002B3154" w:rsidP="002E3A04">
            <w:pPr>
              <w:pStyle w:val="Paragraph"/>
              <w:spacing w:before="0"/>
            </w:pPr>
            <w:r w:rsidRPr="00B15C35">
              <w:t>Complete survey responses</w:t>
            </w:r>
          </w:p>
        </w:tc>
        <w:tc>
          <w:tcPr>
            <w:tcW w:w="1559" w:type="dxa"/>
            <w:tcBorders>
              <w:left w:val="single" w:sz="12" w:space="0" w:color="auto"/>
              <w:right w:val="single" w:sz="12" w:space="0" w:color="auto"/>
            </w:tcBorders>
            <w:vAlign w:val="center"/>
          </w:tcPr>
          <w:p w14:paraId="6BCD4D69" w14:textId="5938BC1B" w:rsidR="002B3154" w:rsidRPr="00B15C35" w:rsidRDefault="002B3154" w:rsidP="002E3A04">
            <w:pPr>
              <w:pStyle w:val="Paragraph"/>
              <w:spacing w:before="0"/>
              <w:jc w:val="center"/>
            </w:pPr>
            <w:r w:rsidRPr="00B15C35">
              <w:t>223</w:t>
            </w:r>
          </w:p>
        </w:tc>
        <w:tc>
          <w:tcPr>
            <w:tcW w:w="1559" w:type="dxa"/>
            <w:tcBorders>
              <w:left w:val="single" w:sz="12" w:space="0" w:color="auto"/>
              <w:right w:val="single" w:sz="12" w:space="0" w:color="auto"/>
            </w:tcBorders>
            <w:vAlign w:val="center"/>
          </w:tcPr>
          <w:p w14:paraId="3E1FA7C9" w14:textId="3E9A40F2" w:rsidR="002B3154" w:rsidRPr="00B15C35" w:rsidRDefault="002B3154" w:rsidP="002E3A04">
            <w:pPr>
              <w:pStyle w:val="Paragraph"/>
              <w:spacing w:before="0"/>
              <w:jc w:val="center"/>
            </w:pPr>
            <w:r w:rsidRPr="00B15C35">
              <w:t>55.1%</w:t>
            </w:r>
          </w:p>
        </w:tc>
      </w:tr>
      <w:tr w:rsidR="005B6666" w:rsidRPr="00B15C35" w14:paraId="62793153" w14:textId="77777777" w:rsidTr="00A844EB">
        <w:trPr>
          <w:trHeight w:val="510"/>
        </w:trPr>
        <w:tc>
          <w:tcPr>
            <w:tcW w:w="3969" w:type="dxa"/>
            <w:tcBorders>
              <w:left w:val="single" w:sz="12" w:space="0" w:color="auto"/>
              <w:right w:val="single" w:sz="12" w:space="0" w:color="auto"/>
            </w:tcBorders>
            <w:vAlign w:val="center"/>
          </w:tcPr>
          <w:p w14:paraId="7C63F70D" w14:textId="3C1AD31B" w:rsidR="005B6666" w:rsidRPr="00B15C35" w:rsidRDefault="008454D3" w:rsidP="002E3A04">
            <w:pPr>
              <w:pStyle w:val="Paragraph"/>
              <w:spacing w:before="0"/>
            </w:pPr>
            <w:r w:rsidRPr="00B15C35">
              <w:t xml:space="preserve">Respondents that </w:t>
            </w:r>
            <w:r w:rsidR="005B6666" w:rsidRPr="00B15C35">
              <w:t>were embryol</w:t>
            </w:r>
            <w:r w:rsidR="00DB4787" w:rsidRPr="00B15C35">
              <w:t>ogists</w:t>
            </w:r>
          </w:p>
        </w:tc>
        <w:tc>
          <w:tcPr>
            <w:tcW w:w="1559" w:type="dxa"/>
            <w:tcBorders>
              <w:left w:val="single" w:sz="12" w:space="0" w:color="auto"/>
              <w:right w:val="single" w:sz="12" w:space="0" w:color="auto"/>
            </w:tcBorders>
            <w:vAlign w:val="center"/>
          </w:tcPr>
          <w:p w14:paraId="2209B053" w14:textId="2CA2562B" w:rsidR="005B6666" w:rsidRPr="00B15C35" w:rsidRDefault="00DB4787" w:rsidP="002E3A04">
            <w:pPr>
              <w:pStyle w:val="Paragraph"/>
              <w:spacing w:before="0"/>
              <w:jc w:val="center"/>
            </w:pPr>
            <w:r w:rsidRPr="00B15C35">
              <w:t>2</w:t>
            </w:r>
            <w:r w:rsidR="002B3154" w:rsidRPr="00B15C35">
              <w:t>23</w:t>
            </w:r>
          </w:p>
        </w:tc>
        <w:tc>
          <w:tcPr>
            <w:tcW w:w="1559" w:type="dxa"/>
            <w:tcBorders>
              <w:left w:val="single" w:sz="12" w:space="0" w:color="auto"/>
              <w:right w:val="single" w:sz="12" w:space="0" w:color="auto"/>
            </w:tcBorders>
            <w:vAlign w:val="center"/>
          </w:tcPr>
          <w:p w14:paraId="68BE2AB4" w14:textId="09552B03" w:rsidR="005B6666" w:rsidRPr="00B15C35" w:rsidRDefault="00DB4787" w:rsidP="002E3A04">
            <w:pPr>
              <w:pStyle w:val="Paragraph"/>
              <w:spacing w:before="0"/>
              <w:jc w:val="center"/>
            </w:pPr>
            <w:r w:rsidRPr="00B15C35">
              <w:t>100%</w:t>
            </w:r>
          </w:p>
        </w:tc>
      </w:tr>
      <w:tr w:rsidR="005B6666" w:rsidRPr="00B15C35" w14:paraId="0247EBA0" w14:textId="77777777" w:rsidTr="00A844EB">
        <w:trPr>
          <w:trHeight w:val="510"/>
        </w:trPr>
        <w:tc>
          <w:tcPr>
            <w:tcW w:w="3969" w:type="dxa"/>
            <w:tcBorders>
              <w:left w:val="single" w:sz="12" w:space="0" w:color="auto"/>
              <w:right w:val="single" w:sz="12" w:space="0" w:color="auto"/>
            </w:tcBorders>
            <w:vAlign w:val="center"/>
          </w:tcPr>
          <w:p w14:paraId="6961AB82" w14:textId="18E7C00E" w:rsidR="005B6666" w:rsidRPr="00B15C35" w:rsidRDefault="005B6666" w:rsidP="002E3A04">
            <w:pPr>
              <w:pStyle w:val="Paragraph"/>
              <w:spacing w:before="0"/>
            </w:pPr>
            <w:r w:rsidRPr="00B15C35">
              <w:t>UK licenced centres represented</w:t>
            </w:r>
          </w:p>
        </w:tc>
        <w:tc>
          <w:tcPr>
            <w:tcW w:w="1559" w:type="dxa"/>
            <w:tcBorders>
              <w:left w:val="single" w:sz="12" w:space="0" w:color="auto"/>
              <w:right w:val="single" w:sz="12" w:space="0" w:color="auto"/>
            </w:tcBorders>
            <w:vAlign w:val="center"/>
          </w:tcPr>
          <w:p w14:paraId="32546B16" w14:textId="77D9DC6B" w:rsidR="005B6666" w:rsidRPr="00B15C35" w:rsidRDefault="005B6666" w:rsidP="002E3A04">
            <w:pPr>
              <w:pStyle w:val="Paragraph"/>
              <w:spacing w:before="0"/>
              <w:jc w:val="center"/>
            </w:pPr>
            <w:r w:rsidRPr="00B15C35">
              <w:t>≥ 80</w:t>
            </w:r>
          </w:p>
        </w:tc>
        <w:tc>
          <w:tcPr>
            <w:tcW w:w="1559" w:type="dxa"/>
            <w:tcBorders>
              <w:left w:val="single" w:sz="12" w:space="0" w:color="auto"/>
              <w:right w:val="single" w:sz="12" w:space="0" w:color="auto"/>
            </w:tcBorders>
            <w:vAlign w:val="center"/>
          </w:tcPr>
          <w:p w14:paraId="6B9D07FA" w14:textId="5637A971" w:rsidR="005B6666" w:rsidRPr="00B15C35" w:rsidRDefault="006D5396" w:rsidP="002E3A04">
            <w:pPr>
              <w:pStyle w:val="Paragraph"/>
              <w:spacing w:before="0"/>
              <w:jc w:val="center"/>
            </w:pPr>
            <w:r w:rsidRPr="00B15C35">
              <w:t>n/a</w:t>
            </w:r>
          </w:p>
        </w:tc>
      </w:tr>
      <w:tr w:rsidR="00DB4787" w:rsidRPr="00B15C35" w14:paraId="163C4BE1" w14:textId="77777777" w:rsidTr="00A844EB">
        <w:trPr>
          <w:trHeight w:val="510"/>
        </w:trPr>
        <w:tc>
          <w:tcPr>
            <w:tcW w:w="3969" w:type="dxa"/>
            <w:tcBorders>
              <w:left w:val="single" w:sz="12" w:space="0" w:color="auto"/>
              <w:right w:val="single" w:sz="12" w:space="0" w:color="auto"/>
            </w:tcBorders>
            <w:vAlign w:val="center"/>
          </w:tcPr>
          <w:p w14:paraId="510E4E70" w14:textId="6257E127" w:rsidR="00DB4787" w:rsidRPr="00B15C35" w:rsidRDefault="00DB4787" w:rsidP="002E3A04">
            <w:pPr>
              <w:pStyle w:val="Paragraph"/>
              <w:spacing w:before="0"/>
            </w:pPr>
            <w:r w:rsidRPr="00B15C35">
              <w:t>0-5 years</w:t>
            </w:r>
            <w:r w:rsidR="00DF2438" w:rsidRPr="00B15C35">
              <w:t>’ experience</w:t>
            </w:r>
          </w:p>
        </w:tc>
        <w:tc>
          <w:tcPr>
            <w:tcW w:w="1559" w:type="dxa"/>
            <w:tcBorders>
              <w:left w:val="single" w:sz="12" w:space="0" w:color="auto"/>
              <w:right w:val="single" w:sz="12" w:space="0" w:color="auto"/>
            </w:tcBorders>
            <w:vAlign w:val="center"/>
          </w:tcPr>
          <w:p w14:paraId="2CE4021E" w14:textId="43462723" w:rsidR="00DB4787" w:rsidRPr="00B15C35" w:rsidRDefault="00DB4787" w:rsidP="002E3A04">
            <w:pPr>
              <w:pStyle w:val="Paragraph"/>
              <w:spacing w:before="0"/>
              <w:jc w:val="center"/>
            </w:pPr>
            <w:r w:rsidRPr="00B15C35">
              <w:t>40</w:t>
            </w:r>
          </w:p>
        </w:tc>
        <w:tc>
          <w:tcPr>
            <w:tcW w:w="1559" w:type="dxa"/>
            <w:tcBorders>
              <w:left w:val="single" w:sz="12" w:space="0" w:color="auto"/>
              <w:right w:val="single" w:sz="12" w:space="0" w:color="auto"/>
            </w:tcBorders>
            <w:vAlign w:val="center"/>
          </w:tcPr>
          <w:p w14:paraId="42321429" w14:textId="78D83980" w:rsidR="00DB4787" w:rsidRPr="00B15C35" w:rsidRDefault="002B3154" w:rsidP="002E3A04">
            <w:pPr>
              <w:pStyle w:val="Paragraph"/>
              <w:spacing w:before="0"/>
              <w:jc w:val="center"/>
            </w:pPr>
            <w:r w:rsidRPr="00B15C35">
              <w:t>17.9</w:t>
            </w:r>
            <w:r w:rsidR="00C74018" w:rsidRPr="00B15C35">
              <w:t>%</w:t>
            </w:r>
          </w:p>
        </w:tc>
      </w:tr>
      <w:tr w:rsidR="005B6666" w:rsidRPr="00B15C35" w14:paraId="0B87A4AE" w14:textId="77777777" w:rsidTr="00A844EB">
        <w:trPr>
          <w:trHeight w:val="510"/>
        </w:trPr>
        <w:tc>
          <w:tcPr>
            <w:tcW w:w="3969" w:type="dxa"/>
            <w:tcBorders>
              <w:left w:val="single" w:sz="12" w:space="0" w:color="auto"/>
              <w:right w:val="single" w:sz="12" w:space="0" w:color="auto"/>
            </w:tcBorders>
            <w:vAlign w:val="center"/>
          </w:tcPr>
          <w:p w14:paraId="55B56117" w14:textId="16763E04" w:rsidR="005B6666" w:rsidRPr="00B15C35" w:rsidRDefault="00DB4787" w:rsidP="002E3A04">
            <w:pPr>
              <w:pStyle w:val="Paragraph"/>
              <w:spacing w:before="0"/>
            </w:pPr>
            <w:r w:rsidRPr="00B15C35">
              <w:t xml:space="preserve">5-10 </w:t>
            </w:r>
            <w:r w:rsidR="00DF2438" w:rsidRPr="00B15C35">
              <w:t>years’ experience</w:t>
            </w:r>
          </w:p>
        </w:tc>
        <w:tc>
          <w:tcPr>
            <w:tcW w:w="1559" w:type="dxa"/>
            <w:tcBorders>
              <w:left w:val="single" w:sz="12" w:space="0" w:color="auto"/>
              <w:right w:val="single" w:sz="12" w:space="0" w:color="auto"/>
            </w:tcBorders>
            <w:vAlign w:val="center"/>
          </w:tcPr>
          <w:p w14:paraId="2A5A8407" w14:textId="427474FD" w:rsidR="005B6666" w:rsidRPr="00B15C35" w:rsidRDefault="00DB4787" w:rsidP="002E3A04">
            <w:pPr>
              <w:pStyle w:val="Paragraph"/>
              <w:spacing w:before="0"/>
              <w:jc w:val="center"/>
            </w:pPr>
            <w:r w:rsidRPr="00B15C35">
              <w:t>58</w:t>
            </w:r>
          </w:p>
        </w:tc>
        <w:tc>
          <w:tcPr>
            <w:tcW w:w="1559" w:type="dxa"/>
            <w:tcBorders>
              <w:left w:val="single" w:sz="12" w:space="0" w:color="auto"/>
              <w:right w:val="single" w:sz="12" w:space="0" w:color="auto"/>
            </w:tcBorders>
            <w:vAlign w:val="center"/>
          </w:tcPr>
          <w:p w14:paraId="6D87BDC2" w14:textId="2E92398E" w:rsidR="005B6666" w:rsidRPr="00B15C35" w:rsidRDefault="002B3154" w:rsidP="002E3A04">
            <w:pPr>
              <w:pStyle w:val="Paragraph"/>
              <w:spacing w:before="0"/>
              <w:jc w:val="center"/>
            </w:pPr>
            <w:r w:rsidRPr="00B15C35">
              <w:t>26.0</w:t>
            </w:r>
            <w:r w:rsidR="00C74018" w:rsidRPr="00B15C35">
              <w:t>%</w:t>
            </w:r>
          </w:p>
        </w:tc>
      </w:tr>
      <w:tr w:rsidR="005B6666" w:rsidRPr="00B15C35" w14:paraId="49FF67CF" w14:textId="77777777" w:rsidTr="00A844EB">
        <w:trPr>
          <w:trHeight w:val="510"/>
        </w:trPr>
        <w:tc>
          <w:tcPr>
            <w:tcW w:w="3969" w:type="dxa"/>
            <w:tcBorders>
              <w:left w:val="single" w:sz="12" w:space="0" w:color="auto"/>
              <w:right w:val="single" w:sz="12" w:space="0" w:color="auto"/>
            </w:tcBorders>
            <w:vAlign w:val="center"/>
          </w:tcPr>
          <w:p w14:paraId="508B0336" w14:textId="1AC130ED" w:rsidR="005B6666" w:rsidRPr="00B15C35" w:rsidRDefault="00DB4787" w:rsidP="002E3A04">
            <w:pPr>
              <w:pStyle w:val="Paragraph"/>
              <w:spacing w:before="0"/>
            </w:pPr>
            <w:r w:rsidRPr="00B15C35">
              <w:t xml:space="preserve">10-15 </w:t>
            </w:r>
            <w:r w:rsidR="00DF2438" w:rsidRPr="00B15C35">
              <w:t>years’ experience</w:t>
            </w:r>
          </w:p>
        </w:tc>
        <w:tc>
          <w:tcPr>
            <w:tcW w:w="1559" w:type="dxa"/>
            <w:tcBorders>
              <w:left w:val="single" w:sz="12" w:space="0" w:color="auto"/>
              <w:right w:val="single" w:sz="12" w:space="0" w:color="auto"/>
            </w:tcBorders>
            <w:vAlign w:val="center"/>
          </w:tcPr>
          <w:p w14:paraId="000714C0" w14:textId="29849502" w:rsidR="005B6666" w:rsidRPr="00B15C35" w:rsidRDefault="00DB4787" w:rsidP="002E3A04">
            <w:pPr>
              <w:pStyle w:val="Paragraph"/>
              <w:spacing w:before="0"/>
              <w:jc w:val="center"/>
            </w:pPr>
            <w:r w:rsidRPr="00B15C35">
              <w:t>36</w:t>
            </w:r>
          </w:p>
        </w:tc>
        <w:tc>
          <w:tcPr>
            <w:tcW w:w="1559" w:type="dxa"/>
            <w:tcBorders>
              <w:left w:val="single" w:sz="12" w:space="0" w:color="auto"/>
              <w:right w:val="single" w:sz="12" w:space="0" w:color="auto"/>
            </w:tcBorders>
            <w:vAlign w:val="center"/>
          </w:tcPr>
          <w:p w14:paraId="2AB3ACF8" w14:textId="1D4A1B03" w:rsidR="005B6666" w:rsidRPr="00B15C35" w:rsidRDefault="002B3154" w:rsidP="002E3A04">
            <w:pPr>
              <w:pStyle w:val="Paragraph"/>
              <w:spacing w:before="0"/>
              <w:jc w:val="center"/>
            </w:pPr>
            <w:r w:rsidRPr="00B15C35">
              <w:t>16.1</w:t>
            </w:r>
            <w:r w:rsidR="00C74018" w:rsidRPr="00B15C35">
              <w:t>%</w:t>
            </w:r>
          </w:p>
        </w:tc>
      </w:tr>
      <w:tr w:rsidR="005B6666" w:rsidRPr="00B15C35" w14:paraId="19E987E3" w14:textId="77777777" w:rsidTr="00A844EB">
        <w:trPr>
          <w:trHeight w:val="510"/>
        </w:trPr>
        <w:tc>
          <w:tcPr>
            <w:tcW w:w="3969" w:type="dxa"/>
            <w:tcBorders>
              <w:left w:val="single" w:sz="12" w:space="0" w:color="auto"/>
              <w:right w:val="single" w:sz="12" w:space="0" w:color="auto"/>
            </w:tcBorders>
            <w:vAlign w:val="center"/>
          </w:tcPr>
          <w:p w14:paraId="35B709E8" w14:textId="1811AB81" w:rsidR="005B6666" w:rsidRPr="00B15C35" w:rsidRDefault="00DB4787" w:rsidP="002E3A04">
            <w:pPr>
              <w:pStyle w:val="Paragraph"/>
              <w:spacing w:before="0"/>
            </w:pPr>
            <w:r w:rsidRPr="00B15C35">
              <w:t xml:space="preserve">15-20 </w:t>
            </w:r>
            <w:r w:rsidR="00DF2438" w:rsidRPr="00B15C35">
              <w:t>years’ experience</w:t>
            </w:r>
          </w:p>
        </w:tc>
        <w:tc>
          <w:tcPr>
            <w:tcW w:w="1559" w:type="dxa"/>
            <w:tcBorders>
              <w:left w:val="single" w:sz="12" w:space="0" w:color="auto"/>
              <w:right w:val="single" w:sz="12" w:space="0" w:color="auto"/>
            </w:tcBorders>
            <w:vAlign w:val="center"/>
          </w:tcPr>
          <w:p w14:paraId="4A03DE8D" w14:textId="3A419515" w:rsidR="005B6666" w:rsidRPr="00B15C35" w:rsidRDefault="00DB4787" w:rsidP="002E3A04">
            <w:pPr>
              <w:pStyle w:val="Paragraph"/>
              <w:spacing w:before="0"/>
              <w:jc w:val="center"/>
            </w:pPr>
            <w:r w:rsidRPr="00B15C35">
              <w:t>43</w:t>
            </w:r>
          </w:p>
        </w:tc>
        <w:tc>
          <w:tcPr>
            <w:tcW w:w="1559" w:type="dxa"/>
            <w:tcBorders>
              <w:left w:val="single" w:sz="12" w:space="0" w:color="auto"/>
              <w:right w:val="single" w:sz="12" w:space="0" w:color="auto"/>
            </w:tcBorders>
            <w:vAlign w:val="center"/>
          </w:tcPr>
          <w:p w14:paraId="117D95D3" w14:textId="656A5816" w:rsidR="005B6666" w:rsidRPr="00B15C35" w:rsidRDefault="002B3154" w:rsidP="002E3A04">
            <w:pPr>
              <w:pStyle w:val="Paragraph"/>
              <w:spacing w:before="0"/>
              <w:jc w:val="center"/>
            </w:pPr>
            <w:r w:rsidRPr="00B15C35">
              <w:t>19.3</w:t>
            </w:r>
            <w:r w:rsidR="00C74018" w:rsidRPr="00B15C35">
              <w:t>%</w:t>
            </w:r>
          </w:p>
        </w:tc>
      </w:tr>
      <w:tr w:rsidR="00DB4787" w:rsidRPr="00B15C35" w14:paraId="2B2F7F20" w14:textId="77777777" w:rsidTr="00A844EB">
        <w:trPr>
          <w:trHeight w:val="510"/>
        </w:trPr>
        <w:tc>
          <w:tcPr>
            <w:tcW w:w="3969" w:type="dxa"/>
            <w:tcBorders>
              <w:left w:val="single" w:sz="12" w:space="0" w:color="auto"/>
              <w:bottom w:val="single" w:sz="12" w:space="0" w:color="auto"/>
              <w:right w:val="single" w:sz="12" w:space="0" w:color="auto"/>
            </w:tcBorders>
            <w:vAlign w:val="center"/>
          </w:tcPr>
          <w:p w14:paraId="69ABCBC5" w14:textId="405DEB80" w:rsidR="00DB4787" w:rsidRPr="00B15C35" w:rsidRDefault="00DB4787" w:rsidP="002E3A04">
            <w:pPr>
              <w:pStyle w:val="Paragraph"/>
              <w:spacing w:before="0"/>
            </w:pPr>
            <w:r w:rsidRPr="00B15C35">
              <w:t xml:space="preserve">More than 20 </w:t>
            </w:r>
            <w:r w:rsidR="00DF2438" w:rsidRPr="00B15C35">
              <w:t>years’ experience</w:t>
            </w:r>
          </w:p>
        </w:tc>
        <w:tc>
          <w:tcPr>
            <w:tcW w:w="1559" w:type="dxa"/>
            <w:tcBorders>
              <w:left w:val="single" w:sz="12" w:space="0" w:color="auto"/>
              <w:bottom w:val="single" w:sz="12" w:space="0" w:color="auto"/>
              <w:right w:val="single" w:sz="12" w:space="0" w:color="auto"/>
            </w:tcBorders>
            <w:vAlign w:val="center"/>
          </w:tcPr>
          <w:p w14:paraId="7EB527B1" w14:textId="700BD6CA" w:rsidR="00DB4787" w:rsidRPr="00B15C35" w:rsidRDefault="00DB4787" w:rsidP="002E3A04">
            <w:pPr>
              <w:pStyle w:val="Paragraph"/>
              <w:spacing w:before="0"/>
              <w:jc w:val="center"/>
            </w:pPr>
            <w:r w:rsidRPr="00B15C35">
              <w:t>46</w:t>
            </w:r>
          </w:p>
        </w:tc>
        <w:tc>
          <w:tcPr>
            <w:tcW w:w="1559" w:type="dxa"/>
            <w:tcBorders>
              <w:left w:val="single" w:sz="12" w:space="0" w:color="auto"/>
              <w:bottom w:val="single" w:sz="12" w:space="0" w:color="auto"/>
              <w:right w:val="single" w:sz="12" w:space="0" w:color="auto"/>
            </w:tcBorders>
            <w:vAlign w:val="center"/>
          </w:tcPr>
          <w:p w14:paraId="06C0BD6C" w14:textId="26E01EE2" w:rsidR="00DB4787" w:rsidRPr="00B15C35" w:rsidRDefault="002B3154" w:rsidP="002E3A04">
            <w:pPr>
              <w:pStyle w:val="Paragraph"/>
              <w:spacing w:before="0"/>
              <w:jc w:val="center"/>
            </w:pPr>
            <w:r w:rsidRPr="00B15C35">
              <w:t>20.6</w:t>
            </w:r>
            <w:r w:rsidR="00643D18" w:rsidRPr="00B15C35">
              <w:t>%</w:t>
            </w:r>
          </w:p>
        </w:tc>
      </w:tr>
    </w:tbl>
    <w:p w14:paraId="518DACC6" w14:textId="12B0EB0C" w:rsidR="005B6666" w:rsidRPr="00B15C35" w:rsidRDefault="005B6666" w:rsidP="002E3A04">
      <w:pPr>
        <w:pStyle w:val="Paragraph"/>
        <w:spacing w:before="0"/>
      </w:pPr>
    </w:p>
    <w:p w14:paraId="406848C1" w14:textId="2175A622" w:rsidR="0057509E" w:rsidRPr="00B15C35" w:rsidRDefault="005B6666" w:rsidP="002E3A04">
      <w:pPr>
        <w:rPr>
          <w:highlight w:val="yellow"/>
        </w:rPr>
      </w:pPr>
      <w:r w:rsidRPr="00B15C35">
        <w:rPr>
          <w:highlight w:val="yellow"/>
        </w:rPr>
        <w:br w:type="page"/>
      </w:r>
    </w:p>
    <w:p w14:paraId="67B03B77" w14:textId="2D95D07C" w:rsidR="008C7799" w:rsidRPr="00B15C35" w:rsidRDefault="008C7799" w:rsidP="002E3A04"/>
    <w:p w14:paraId="071243E7" w14:textId="24ACBEF1" w:rsidR="00E94345" w:rsidRPr="00B15C35" w:rsidRDefault="008C7799" w:rsidP="002E3A04">
      <w:pPr>
        <w:pStyle w:val="Paragraph"/>
        <w:spacing w:before="0"/>
      </w:pPr>
      <w:r w:rsidRPr="00B15C35">
        <w:t xml:space="preserve">Table </w:t>
      </w:r>
      <w:r w:rsidR="00221A54" w:rsidRPr="00B15C35">
        <w:t>3</w:t>
      </w:r>
      <w:r w:rsidRPr="00B15C35">
        <w:t>. Summary of all ill health conditions self-reported by respondents.</w:t>
      </w:r>
    </w:p>
    <w:tbl>
      <w:tblPr>
        <w:tblStyle w:val="TableGrid"/>
        <w:tblW w:w="91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22"/>
        <w:gridCol w:w="1701"/>
        <w:gridCol w:w="1701"/>
      </w:tblGrid>
      <w:tr w:rsidR="008C7799" w:rsidRPr="00B15C35" w14:paraId="1578F293" w14:textId="77777777" w:rsidTr="00A844EB">
        <w:trPr>
          <w:trHeight w:val="340"/>
        </w:trPr>
        <w:tc>
          <w:tcPr>
            <w:tcW w:w="5722" w:type="dxa"/>
            <w:tcBorders>
              <w:top w:val="single" w:sz="12" w:space="0" w:color="auto"/>
              <w:bottom w:val="single" w:sz="12" w:space="0" w:color="auto"/>
              <w:right w:val="single" w:sz="12" w:space="0" w:color="auto"/>
            </w:tcBorders>
            <w:shd w:val="clear" w:color="auto" w:fill="D9D9D9" w:themeFill="background1" w:themeFillShade="D9"/>
            <w:vAlign w:val="center"/>
          </w:tcPr>
          <w:p w14:paraId="13B7A78E" w14:textId="77777777" w:rsidR="008C7799" w:rsidRPr="00B15C35" w:rsidRDefault="008C7799" w:rsidP="002E3A04">
            <w:pPr>
              <w:pStyle w:val="Paragraph"/>
              <w:spacing w:before="0"/>
              <w:jc w:val="center"/>
              <w:rPr>
                <w:b/>
                <w:bCs/>
              </w:rPr>
            </w:pPr>
            <w:r w:rsidRPr="00B15C35">
              <w:rPr>
                <w:b/>
                <w:bCs/>
              </w:rPr>
              <w:t>Issue described</w:t>
            </w:r>
          </w:p>
        </w:tc>
        <w:tc>
          <w:tcPr>
            <w:tcW w:w="17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7A3B9D9" w14:textId="77777777" w:rsidR="008C7799" w:rsidRPr="00B15C35" w:rsidRDefault="008C7799" w:rsidP="002E3A04">
            <w:pPr>
              <w:pStyle w:val="Paragraph"/>
              <w:spacing w:before="0"/>
              <w:jc w:val="center"/>
              <w:rPr>
                <w:b/>
                <w:bCs/>
              </w:rPr>
            </w:pPr>
            <w:r w:rsidRPr="00B15C35">
              <w:rPr>
                <w:b/>
                <w:bCs/>
              </w:rPr>
              <w:t>Frequency</w:t>
            </w:r>
          </w:p>
        </w:tc>
        <w:tc>
          <w:tcPr>
            <w:tcW w:w="1701" w:type="dxa"/>
            <w:tcBorders>
              <w:top w:val="single" w:sz="12" w:space="0" w:color="auto"/>
              <w:left w:val="single" w:sz="12" w:space="0" w:color="auto"/>
              <w:bottom w:val="single" w:sz="12" w:space="0" w:color="auto"/>
            </w:tcBorders>
            <w:shd w:val="clear" w:color="auto" w:fill="D9D9D9" w:themeFill="background1" w:themeFillShade="D9"/>
          </w:tcPr>
          <w:p w14:paraId="2F1D6358" w14:textId="77777777" w:rsidR="008C7799" w:rsidRPr="00B15C35" w:rsidRDefault="008C7799" w:rsidP="002E3A04">
            <w:pPr>
              <w:pStyle w:val="Paragraph"/>
              <w:spacing w:before="0"/>
              <w:jc w:val="center"/>
              <w:rPr>
                <w:b/>
                <w:bCs/>
              </w:rPr>
            </w:pPr>
            <w:r w:rsidRPr="00B15C35">
              <w:rPr>
                <w:b/>
                <w:bCs/>
              </w:rPr>
              <w:t>Percentage of respondents</w:t>
            </w:r>
          </w:p>
        </w:tc>
      </w:tr>
      <w:tr w:rsidR="008C7799" w:rsidRPr="00B15C35" w14:paraId="55716895" w14:textId="77777777" w:rsidTr="00A844EB">
        <w:trPr>
          <w:trHeight w:val="340"/>
        </w:trPr>
        <w:tc>
          <w:tcPr>
            <w:tcW w:w="5722" w:type="dxa"/>
            <w:tcBorders>
              <w:top w:val="single" w:sz="12" w:space="0" w:color="auto"/>
              <w:right w:val="single" w:sz="12" w:space="0" w:color="auto"/>
            </w:tcBorders>
            <w:vAlign w:val="center"/>
          </w:tcPr>
          <w:p w14:paraId="5BFEAF71" w14:textId="06ABA9BD" w:rsidR="008C7799" w:rsidRPr="00B15C35" w:rsidRDefault="008C7799" w:rsidP="002E3A04">
            <w:pPr>
              <w:pStyle w:val="Paragraph"/>
              <w:spacing w:before="0"/>
            </w:pPr>
            <w:r w:rsidRPr="00B15C35">
              <w:t>Back</w:t>
            </w:r>
            <w:r w:rsidR="006A654E" w:rsidRPr="00B15C35">
              <w:t xml:space="preserve"> pain/injury</w:t>
            </w:r>
          </w:p>
        </w:tc>
        <w:tc>
          <w:tcPr>
            <w:tcW w:w="1701" w:type="dxa"/>
            <w:tcBorders>
              <w:top w:val="single" w:sz="12" w:space="0" w:color="auto"/>
              <w:left w:val="single" w:sz="12" w:space="0" w:color="auto"/>
              <w:right w:val="single" w:sz="12" w:space="0" w:color="auto"/>
            </w:tcBorders>
            <w:vAlign w:val="center"/>
          </w:tcPr>
          <w:p w14:paraId="549D6B2D" w14:textId="13B8FA0D" w:rsidR="008C7799" w:rsidRPr="00B15C35" w:rsidRDefault="00D16FFA" w:rsidP="002E3A04">
            <w:pPr>
              <w:pStyle w:val="Paragraph"/>
              <w:spacing w:before="0"/>
              <w:jc w:val="center"/>
            </w:pPr>
            <w:r w:rsidRPr="00B15C35">
              <w:t>63</w:t>
            </w:r>
          </w:p>
        </w:tc>
        <w:tc>
          <w:tcPr>
            <w:tcW w:w="1701" w:type="dxa"/>
            <w:tcBorders>
              <w:top w:val="single" w:sz="12" w:space="0" w:color="auto"/>
              <w:left w:val="single" w:sz="12" w:space="0" w:color="auto"/>
            </w:tcBorders>
          </w:tcPr>
          <w:p w14:paraId="3625711E" w14:textId="7D46A74B" w:rsidR="008C7799" w:rsidRPr="00B15C35" w:rsidRDefault="00171718" w:rsidP="002E3A04">
            <w:pPr>
              <w:pStyle w:val="Paragraph"/>
              <w:spacing w:before="0"/>
              <w:jc w:val="center"/>
            </w:pPr>
            <w:r w:rsidRPr="00B15C35">
              <w:t>2</w:t>
            </w:r>
            <w:r w:rsidR="00D85B42" w:rsidRPr="00B15C35">
              <w:t>8.3</w:t>
            </w:r>
            <w:r w:rsidR="00D16FFA" w:rsidRPr="00B15C35">
              <w:t>%</w:t>
            </w:r>
          </w:p>
        </w:tc>
      </w:tr>
      <w:tr w:rsidR="008C7799" w:rsidRPr="00B15C35" w14:paraId="048D4E64" w14:textId="77777777" w:rsidTr="00A844EB">
        <w:trPr>
          <w:trHeight w:val="340"/>
        </w:trPr>
        <w:tc>
          <w:tcPr>
            <w:tcW w:w="5722" w:type="dxa"/>
            <w:tcBorders>
              <w:right w:val="single" w:sz="12" w:space="0" w:color="auto"/>
            </w:tcBorders>
            <w:vAlign w:val="center"/>
          </w:tcPr>
          <w:p w14:paraId="48CA7C0F" w14:textId="4E8671A5" w:rsidR="008C7799" w:rsidRPr="00B15C35" w:rsidRDefault="008C7799" w:rsidP="002E3A04">
            <w:pPr>
              <w:pStyle w:val="Paragraph"/>
              <w:spacing w:before="0"/>
            </w:pPr>
            <w:r w:rsidRPr="00B15C35">
              <w:t>Stress</w:t>
            </w:r>
            <w:r w:rsidR="00A62DEE" w:rsidRPr="00B15C35">
              <w:t>/mental health problems</w:t>
            </w:r>
          </w:p>
        </w:tc>
        <w:tc>
          <w:tcPr>
            <w:tcW w:w="1701" w:type="dxa"/>
            <w:tcBorders>
              <w:left w:val="single" w:sz="12" w:space="0" w:color="auto"/>
              <w:right w:val="single" w:sz="12" w:space="0" w:color="auto"/>
            </w:tcBorders>
            <w:vAlign w:val="center"/>
          </w:tcPr>
          <w:p w14:paraId="1B062D3C" w14:textId="449BAAF7" w:rsidR="008C7799" w:rsidRPr="00B15C35" w:rsidRDefault="00D16FFA" w:rsidP="002E3A04">
            <w:pPr>
              <w:pStyle w:val="Paragraph"/>
              <w:spacing w:before="0"/>
              <w:jc w:val="center"/>
            </w:pPr>
            <w:r w:rsidRPr="00B15C35">
              <w:t>62</w:t>
            </w:r>
          </w:p>
        </w:tc>
        <w:tc>
          <w:tcPr>
            <w:tcW w:w="1701" w:type="dxa"/>
            <w:tcBorders>
              <w:left w:val="single" w:sz="12" w:space="0" w:color="auto"/>
            </w:tcBorders>
          </w:tcPr>
          <w:p w14:paraId="57020BD8" w14:textId="011FBE7A" w:rsidR="008C7799" w:rsidRPr="00B15C35" w:rsidRDefault="00D85B42" w:rsidP="002E3A04">
            <w:pPr>
              <w:pStyle w:val="Paragraph"/>
              <w:spacing w:before="0"/>
              <w:jc w:val="center"/>
            </w:pPr>
            <w:r w:rsidRPr="00B15C35">
              <w:t>27.8</w:t>
            </w:r>
            <w:r w:rsidR="00D16FFA" w:rsidRPr="00B15C35">
              <w:t>%</w:t>
            </w:r>
          </w:p>
        </w:tc>
      </w:tr>
      <w:tr w:rsidR="008C7799" w:rsidRPr="00B15C35" w14:paraId="6E659C7F" w14:textId="77777777" w:rsidTr="00A844EB">
        <w:trPr>
          <w:trHeight w:val="340"/>
        </w:trPr>
        <w:tc>
          <w:tcPr>
            <w:tcW w:w="5722" w:type="dxa"/>
            <w:tcBorders>
              <w:right w:val="single" w:sz="12" w:space="0" w:color="auto"/>
            </w:tcBorders>
            <w:vAlign w:val="center"/>
          </w:tcPr>
          <w:p w14:paraId="1BC25CD9" w14:textId="548EEFC8" w:rsidR="008C7799" w:rsidRPr="00B15C35" w:rsidRDefault="008C7799" w:rsidP="002E3A04">
            <w:pPr>
              <w:pStyle w:val="Paragraph"/>
              <w:spacing w:before="0"/>
            </w:pPr>
            <w:r w:rsidRPr="00B15C35">
              <w:t>Shoulder</w:t>
            </w:r>
            <w:r w:rsidR="006A654E" w:rsidRPr="00B15C35">
              <w:t xml:space="preserve"> pain/injury</w:t>
            </w:r>
          </w:p>
        </w:tc>
        <w:tc>
          <w:tcPr>
            <w:tcW w:w="1701" w:type="dxa"/>
            <w:tcBorders>
              <w:left w:val="single" w:sz="12" w:space="0" w:color="auto"/>
              <w:right w:val="single" w:sz="12" w:space="0" w:color="auto"/>
            </w:tcBorders>
            <w:vAlign w:val="center"/>
          </w:tcPr>
          <w:p w14:paraId="0A70AC55" w14:textId="035E1A80" w:rsidR="008C7799" w:rsidRPr="00B15C35" w:rsidRDefault="00D16FFA" w:rsidP="002E3A04">
            <w:pPr>
              <w:pStyle w:val="Paragraph"/>
              <w:spacing w:before="0"/>
              <w:jc w:val="center"/>
            </w:pPr>
            <w:r w:rsidRPr="00B15C35">
              <w:t>62</w:t>
            </w:r>
          </w:p>
        </w:tc>
        <w:tc>
          <w:tcPr>
            <w:tcW w:w="1701" w:type="dxa"/>
            <w:tcBorders>
              <w:left w:val="single" w:sz="12" w:space="0" w:color="auto"/>
            </w:tcBorders>
          </w:tcPr>
          <w:p w14:paraId="1F8FE58A" w14:textId="68486095" w:rsidR="008C7799" w:rsidRPr="00B15C35" w:rsidRDefault="00D85B42" w:rsidP="002E3A04">
            <w:pPr>
              <w:pStyle w:val="Paragraph"/>
              <w:spacing w:before="0"/>
              <w:jc w:val="center"/>
            </w:pPr>
            <w:r w:rsidRPr="00B15C35">
              <w:t>27.8</w:t>
            </w:r>
            <w:r w:rsidR="00D16FFA" w:rsidRPr="00B15C35">
              <w:t>%</w:t>
            </w:r>
          </w:p>
        </w:tc>
      </w:tr>
      <w:tr w:rsidR="008C7799" w:rsidRPr="00B15C35" w14:paraId="4F6507DD" w14:textId="77777777" w:rsidTr="00A844EB">
        <w:trPr>
          <w:trHeight w:val="340"/>
        </w:trPr>
        <w:tc>
          <w:tcPr>
            <w:tcW w:w="5722" w:type="dxa"/>
            <w:tcBorders>
              <w:right w:val="single" w:sz="12" w:space="0" w:color="auto"/>
            </w:tcBorders>
            <w:vAlign w:val="center"/>
          </w:tcPr>
          <w:p w14:paraId="2839A48C" w14:textId="5C7D373E" w:rsidR="008C7799" w:rsidRPr="00B15C35" w:rsidRDefault="008C7799" w:rsidP="002E3A04">
            <w:pPr>
              <w:pStyle w:val="Paragraph"/>
              <w:spacing w:before="0"/>
            </w:pPr>
            <w:r w:rsidRPr="00B15C35">
              <w:t>Neck</w:t>
            </w:r>
            <w:r w:rsidR="006A654E" w:rsidRPr="00B15C35">
              <w:t xml:space="preserve"> pain/injury</w:t>
            </w:r>
          </w:p>
        </w:tc>
        <w:tc>
          <w:tcPr>
            <w:tcW w:w="1701" w:type="dxa"/>
            <w:tcBorders>
              <w:left w:val="single" w:sz="12" w:space="0" w:color="auto"/>
              <w:right w:val="single" w:sz="12" w:space="0" w:color="auto"/>
            </w:tcBorders>
            <w:vAlign w:val="center"/>
          </w:tcPr>
          <w:p w14:paraId="466A5F7B" w14:textId="6783C8A1" w:rsidR="008C7799" w:rsidRPr="00B15C35" w:rsidRDefault="00D16FFA" w:rsidP="002E3A04">
            <w:pPr>
              <w:pStyle w:val="Paragraph"/>
              <w:spacing w:before="0"/>
              <w:jc w:val="center"/>
            </w:pPr>
            <w:r w:rsidRPr="00B15C35">
              <w:t>57</w:t>
            </w:r>
          </w:p>
        </w:tc>
        <w:tc>
          <w:tcPr>
            <w:tcW w:w="1701" w:type="dxa"/>
            <w:tcBorders>
              <w:left w:val="single" w:sz="12" w:space="0" w:color="auto"/>
            </w:tcBorders>
          </w:tcPr>
          <w:p w14:paraId="79DDDC9A" w14:textId="589F93CE" w:rsidR="008C7799" w:rsidRPr="00B15C35" w:rsidRDefault="00D85B42" w:rsidP="002E3A04">
            <w:pPr>
              <w:pStyle w:val="Paragraph"/>
              <w:spacing w:before="0"/>
              <w:jc w:val="center"/>
            </w:pPr>
            <w:r w:rsidRPr="00B15C35">
              <w:t>25.6</w:t>
            </w:r>
            <w:r w:rsidR="00D16FFA" w:rsidRPr="00B15C35">
              <w:t>%</w:t>
            </w:r>
          </w:p>
        </w:tc>
      </w:tr>
      <w:tr w:rsidR="008C7799" w:rsidRPr="00B15C35" w14:paraId="6B50BC97" w14:textId="77777777" w:rsidTr="00A844EB">
        <w:trPr>
          <w:trHeight w:val="340"/>
        </w:trPr>
        <w:tc>
          <w:tcPr>
            <w:tcW w:w="5722" w:type="dxa"/>
            <w:tcBorders>
              <w:right w:val="single" w:sz="12" w:space="0" w:color="auto"/>
            </w:tcBorders>
            <w:vAlign w:val="center"/>
          </w:tcPr>
          <w:p w14:paraId="6DEDBEF2" w14:textId="32C43F1F" w:rsidR="008C7799" w:rsidRPr="00B15C35" w:rsidRDefault="008C7799" w:rsidP="002E3A04">
            <w:pPr>
              <w:pStyle w:val="Paragraph"/>
              <w:spacing w:before="0"/>
            </w:pPr>
            <w:r w:rsidRPr="00B15C35">
              <w:t>R</w:t>
            </w:r>
            <w:r w:rsidR="006A654E" w:rsidRPr="00B15C35">
              <w:t xml:space="preserve">epetitive </w:t>
            </w:r>
            <w:r w:rsidR="00A62DEE" w:rsidRPr="00B15C35">
              <w:t>s</w:t>
            </w:r>
            <w:r w:rsidR="006A654E" w:rsidRPr="00B15C35">
              <w:t xml:space="preserve">train </w:t>
            </w:r>
            <w:r w:rsidR="00A62DEE" w:rsidRPr="00B15C35">
              <w:t>i</w:t>
            </w:r>
            <w:r w:rsidR="006A654E" w:rsidRPr="00B15C35">
              <w:t>njury</w:t>
            </w:r>
            <w:r w:rsidR="00A62DEE" w:rsidRPr="00B15C35">
              <w:t xml:space="preserve"> (RSI)</w:t>
            </w:r>
          </w:p>
        </w:tc>
        <w:tc>
          <w:tcPr>
            <w:tcW w:w="1701" w:type="dxa"/>
            <w:tcBorders>
              <w:left w:val="single" w:sz="12" w:space="0" w:color="auto"/>
              <w:right w:val="single" w:sz="12" w:space="0" w:color="auto"/>
            </w:tcBorders>
            <w:vAlign w:val="center"/>
          </w:tcPr>
          <w:p w14:paraId="54C34DF0" w14:textId="3F650F70" w:rsidR="008C7799" w:rsidRPr="00B15C35" w:rsidRDefault="00D16FFA" w:rsidP="002E3A04">
            <w:pPr>
              <w:pStyle w:val="Paragraph"/>
              <w:spacing w:before="0"/>
              <w:jc w:val="center"/>
            </w:pPr>
            <w:r w:rsidRPr="00B15C35">
              <w:t>29</w:t>
            </w:r>
          </w:p>
        </w:tc>
        <w:tc>
          <w:tcPr>
            <w:tcW w:w="1701" w:type="dxa"/>
            <w:tcBorders>
              <w:left w:val="single" w:sz="12" w:space="0" w:color="auto"/>
            </w:tcBorders>
          </w:tcPr>
          <w:p w14:paraId="6391CC1F" w14:textId="23C2AE01" w:rsidR="008C7799" w:rsidRPr="00B15C35" w:rsidRDefault="00D85B42" w:rsidP="002E3A04">
            <w:pPr>
              <w:pStyle w:val="Paragraph"/>
              <w:spacing w:before="0"/>
              <w:jc w:val="center"/>
            </w:pPr>
            <w:r w:rsidRPr="00B15C35">
              <w:t>13</w:t>
            </w:r>
            <w:r w:rsidR="00171718" w:rsidRPr="00B15C35">
              <w:t>.</w:t>
            </w:r>
            <w:r w:rsidRPr="00B15C35">
              <w:t>0</w:t>
            </w:r>
            <w:r w:rsidR="00D16FFA" w:rsidRPr="00B15C35">
              <w:t>%</w:t>
            </w:r>
          </w:p>
        </w:tc>
      </w:tr>
      <w:tr w:rsidR="008C7799" w:rsidRPr="00B15C35" w14:paraId="172F2013" w14:textId="77777777" w:rsidTr="00A844EB">
        <w:trPr>
          <w:trHeight w:val="340"/>
        </w:trPr>
        <w:tc>
          <w:tcPr>
            <w:tcW w:w="5722" w:type="dxa"/>
            <w:tcBorders>
              <w:right w:val="single" w:sz="12" w:space="0" w:color="auto"/>
            </w:tcBorders>
            <w:vAlign w:val="center"/>
          </w:tcPr>
          <w:p w14:paraId="0CE8DCC2" w14:textId="2BFA8A7A" w:rsidR="008C7799" w:rsidRPr="00B15C35" w:rsidRDefault="008C7799" w:rsidP="002E3A04">
            <w:pPr>
              <w:pStyle w:val="Paragraph"/>
              <w:spacing w:before="0"/>
            </w:pPr>
            <w:r w:rsidRPr="00B15C35">
              <w:t>Eyesight</w:t>
            </w:r>
            <w:r w:rsidR="00A62DEE" w:rsidRPr="00B15C35">
              <w:t xml:space="preserve"> problems </w:t>
            </w:r>
          </w:p>
        </w:tc>
        <w:tc>
          <w:tcPr>
            <w:tcW w:w="1701" w:type="dxa"/>
            <w:tcBorders>
              <w:left w:val="single" w:sz="12" w:space="0" w:color="auto"/>
              <w:right w:val="single" w:sz="12" w:space="0" w:color="auto"/>
            </w:tcBorders>
            <w:vAlign w:val="center"/>
          </w:tcPr>
          <w:p w14:paraId="5C69C775" w14:textId="6AFB74A4" w:rsidR="008C7799" w:rsidRPr="00B15C35" w:rsidRDefault="00D16FFA" w:rsidP="002E3A04">
            <w:pPr>
              <w:pStyle w:val="Paragraph"/>
              <w:spacing w:before="0"/>
              <w:jc w:val="center"/>
            </w:pPr>
            <w:r w:rsidRPr="00B15C35">
              <w:t>27</w:t>
            </w:r>
          </w:p>
        </w:tc>
        <w:tc>
          <w:tcPr>
            <w:tcW w:w="1701" w:type="dxa"/>
            <w:tcBorders>
              <w:left w:val="single" w:sz="12" w:space="0" w:color="auto"/>
            </w:tcBorders>
          </w:tcPr>
          <w:p w14:paraId="6115AA32" w14:textId="5E73DC1B" w:rsidR="008C7799" w:rsidRPr="00B15C35" w:rsidRDefault="00D85B42" w:rsidP="002E3A04">
            <w:pPr>
              <w:pStyle w:val="Paragraph"/>
              <w:spacing w:before="0"/>
              <w:jc w:val="center"/>
            </w:pPr>
            <w:r w:rsidRPr="00B15C35">
              <w:t>12.1</w:t>
            </w:r>
            <w:r w:rsidR="00D16FFA" w:rsidRPr="00B15C35">
              <w:t>%</w:t>
            </w:r>
          </w:p>
        </w:tc>
      </w:tr>
      <w:tr w:rsidR="008C7799" w:rsidRPr="00B15C35" w14:paraId="334C3522" w14:textId="77777777" w:rsidTr="00A844EB">
        <w:trPr>
          <w:trHeight w:val="340"/>
        </w:trPr>
        <w:tc>
          <w:tcPr>
            <w:tcW w:w="5722" w:type="dxa"/>
            <w:tcBorders>
              <w:right w:val="single" w:sz="12" w:space="0" w:color="auto"/>
            </w:tcBorders>
            <w:vAlign w:val="center"/>
          </w:tcPr>
          <w:p w14:paraId="72C31566" w14:textId="57F11B74" w:rsidR="008C7799" w:rsidRPr="00B15C35" w:rsidRDefault="008C7799" w:rsidP="002E3A04">
            <w:pPr>
              <w:pStyle w:val="Paragraph"/>
              <w:spacing w:before="0"/>
            </w:pPr>
            <w:r w:rsidRPr="00B15C35">
              <w:t>Hearing</w:t>
            </w:r>
            <w:r w:rsidR="00A62DEE" w:rsidRPr="00B15C35">
              <w:t xml:space="preserve"> problems</w:t>
            </w:r>
          </w:p>
        </w:tc>
        <w:tc>
          <w:tcPr>
            <w:tcW w:w="1701" w:type="dxa"/>
            <w:tcBorders>
              <w:left w:val="single" w:sz="12" w:space="0" w:color="auto"/>
              <w:right w:val="single" w:sz="12" w:space="0" w:color="auto"/>
            </w:tcBorders>
            <w:vAlign w:val="center"/>
          </w:tcPr>
          <w:p w14:paraId="4118EF5A" w14:textId="4BB69DC8" w:rsidR="008C7799" w:rsidRPr="00B15C35" w:rsidRDefault="00D16FFA" w:rsidP="002E3A04">
            <w:pPr>
              <w:pStyle w:val="Paragraph"/>
              <w:spacing w:before="0"/>
              <w:jc w:val="center"/>
            </w:pPr>
            <w:r w:rsidRPr="00B15C35">
              <w:t>8</w:t>
            </w:r>
          </w:p>
        </w:tc>
        <w:tc>
          <w:tcPr>
            <w:tcW w:w="1701" w:type="dxa"/>
            <w:tcBorders>
              <w:left w:val="single" w:sz="12" w:space="0" w:color="auto"/>
            </w:tcBorders>
          </w:tcPr>
          <w:p w14:paraId="74A32EED" w14:textId="42F661DA" w:rsidR="008C7799" w:rsidRPr="00B15C35" w:rsidRDefault="00D85B42" w:rsidP="002E3A04">
            <w:pPr>
              <w:pStyle w:val="Paragraph"/>
              <w:spacing w:before="0"/>
              <w:jc w:val="center"/>
            </w:pPr>
            <w:r w:rsidRPr="00B15C35">
              <w:t>3.6</w:t>
            </w:r>
            <w:r w:rsidR="00D16FFA" w:rsidRPr="00B15C35">
              <w:t>%</w:t>
            </w:r>
          </w:p>
        </w:tc>
      </w:tr>
      <w:tr w:rsidR="008C7799" w:rsidRPr="00B15C35" w14:paraId="4B9E9D56" w14:textId="77777777" w:rsidTr="00A844EB">
        <w:trPr>
          <w:trHeight w:val="340"/>
        </w:trPr>
        <w:tc>
          <w:tcPr>
            <w:tcW w:w="5722" w:type="dxa"/>
            <w:tcBorders>
              <w:right w:val="single" w:sz="12" w:space="0" w:color="auto"/>
            </w:tcBorders>
            <w:vAlign w:val="center"/>
          </w:tcPr>
          <w:p w14:paraId="12637682" w14:textId="34F95097" w:rsidR="008C7799" w:rsidRPr="00B15C35" w:rsidRDefault="00A62DEE" w:rsidP="002E3A04">
            <w:pPr>
              <w:pStyle w:val="Paragraph"/>
              <w:spacing w:before="0"/>
            </w:pPr>
            <w:r w:rsidRPr="00B15C35">
              <w:t>Problems arising from n</w:t>
            </w:r>
            <w:r w:rsidR="008C7799" w:rsidRPr="00B15C35">
              <w:t>eedlestick</w:t>
            </w:r>
            <w:r w:rsidR="006A654E" w:rsidRPr="00B15C35">
              <w:t xml:space="preserve"> injuries</w:t>
            </w:r>
          </w:p>
        </w:tc>
        <w:tc>
          <w:tcPr>
            <w:tcW w:w="1701" w:type="dxa"/>
            <w:tcBorders>
              <w:left w:val="single" w:sz="12" w:space="0" w:color="auto"/>
              <w:right w:val="single" w:sz="12" w:space="0" w:color="auto"/>
            </w:tcBorders>
            <w:vAlign w:val="center"/>
          </w:tcPr>
          <w:p w14:paraId="0CC6207D" w14:textId="37CFD234" w:rsidR="008C7799" w:rsidRPr="00B15C35" w:rsidRDefault="00D16FFA" w:rsidP="002E3A04">
            <w:pPr>
              <w:pStyle w:val="Paragraph"/>
              <w:spacing w:before="0"/>
              <w:jc w:val="center"/>
            </w:pPr>
            <w:r w:rsidRPr="00B15C35">
              <w:t>7</w:t>
            </w:r>
          </w:p>
        </w:tc>
        <w:tc>
          <w:tcPr>
            <w:tcW w:w="1701" w:type="dxa"/>
            <w:tcBorders>
              <w:left w:val="single" w:sz="12" w:space="0" w:color="auto"/>
            </w:tcBorders>
          </w:tcPr>
          <w:p w14:paraId="27D904EC" w14:textId="2FFD8760" w:rsidR="008C7799" w:rsidRPr="00B15C35" w:rsidRDefault="00D85B42" w:rsidP="002E3A04">
            <w:pPr>
              <w:pStyle w:val="Paragraph"/>
              <w:spacing w:before="0"/>
              <w:jc w:val="center"/>
            </w:pPr>
            <w:r w:rsidRPr="00B15C35">
              <w:t>3.1</w:t>
            </w:r>
            <w:r w:rsidR="00D16FFA" w:rsidRPr="00B15C35">
              <w:t>%</w:t>
            </w:r>
          </w:p>
        </w:tc>
      </w:tr>
      <w:tr w:rsidR="00E94345" w:rsidRPr="00B15C35" w14:paraId="09AFD8B6" w14:textId="77777777" w:rsidTr="00A844EB">
        <w:trPr>
          <w:trHeight w:val="340"/>
        </w:trPr>
        <w:tc>
          <w:tcPr>
            <w:tcW w:w="5722" w:type="dxa"/>
            <w:tcBorders>
              <w:right w:val="single" w:sz="12" w:space="0" w:color="auto"/>
            </w:tcBorders>
            <w:vAlign w:val="center"/>
          </w:tcPr>
          <w:p w14:paraId="59E701D7" w14:textId="3F707A06" w:rsidR="00E94345" w:rsidRPr="00B15C35" w:rsidRDefault="00E94345" w:rsidP="002E3A04">
            <w:pPr>
              <w:pStyle w:val="Paragraph"/>
              <w:spacing w:before="0"/>
            </w:pPr>
            <w:r w:rsidRPr="00B15C35">
              <w:t>*Injury associated with liquid nitrogen</w:t>
            </w:r>
          </w:p>
        </w:tc>
        <w:tc>
          <w:tcPr>
            <w:tcW w:w="1701" w:type="dxa"/>
            <w:tcBorders>
              <w:left w:val="single" w:sz="12" w:space="0" w:color="auto"/>
              <w:right w:val="single" w:sz="12" w:space="0" w:color="auto"/>
            </w:tcBorders>
            <w:vAlign w:val="center"/>
          </w:tcPr>
          <w:p w14:paraId="0E3E6C53" w14:textId="590618E9" w:rsidR="00E94345" w:rsidRPr="00B15C35" w:rsidRDefault="00E94345" w:rsidP="002E3A04">
            <w:pPr>
              <w:pStyle w:val="Paragraph"/>
              <w:spacing w:before="0"/>
              <w:jc w:val="center"/>
            </w:pPr>
            <w:r w:rsidRPr="00B15C35">
              <w:t>7</w:t>
            </w:r>
          </w:p>
        </w:tc>
        <w:tc>
          <w:tcPr>
            <w:tcW w:w="1701" w:type="dxa"/>
            <w:tcBorders>
              <w:left w:val="single" w:sz="12" w:space="0" w:color="auto"/>
            </w:tcBorders>
          </w:tcPr>
          <w:p w14:paraId="0BCE701E" w14:textId="6BF2ACBC" w:rsidR="00E94345" w:rsidRPr="00B15C35" w:rsidRDefault="00D85B42" w:rsidP="002E3A04">
            <w:pPr>
              <w:pStyle w:val="Paragraph"/>
              <w:spacing w:before="0"/>
              <w:jc w:val="center"/>
            </w:pPr>
            <w:r w:rsidRPr="00B15C35">
              <w:t>3.1</w:t>
            </w:r>
            <w:r w:rsidR="00E94345" w:rsidRPr="00B15C35">
              <w:t>%</w:t>
            </w:r>
          </w:p>
        </w:tc>
      </w:tr>
      <w:tr w:rsidR="00E94345" w:rsidRPr="00B15C35" w14:paraId="23C44614" w14:textId="77777777" w:rsidTr="00A844EB">
        <w:trPr>
          <w:trHeight w:val="340"/>
        </w:trPr>
        <w:tc>
          <w:tcPr>
            <w:tcW w:w="5722" w:type="dxa"/>
            <w:tcBorders>
              <w:right w:val="single" w:sz="12" w:space="0" w:color="auto"/>
            </w:tcBorders>
            <w:vAlign w:val="center"/>
          </w:tcPr>
          <w:p w14:paraId="4C66AE9A" w14:textId="67DFC3C8" w:rsidR="00E94345" w:rsidRPr="00B15C35" w:rsidRDefault="00E94345" w:rsidP="002E3A04">
            <w:pPr>
              <w:pStyle w:val="Paragraph"/>
              <w:spacing w:before="0"/>
            </w:pPr>
            <w:r w:rsidRPr="00B15C35">
              <w:t>Nerve Damage</w:t>
            </w:r>
          </w:p>
        </w:tc>
        <w:tc>
          <w:tcPr>
            <w:tcW w:w="1701" w:type="dxa"/>
            <w:tcBorders>
              <w:left w:val="single" w:sz="12" w:space="0" w:color="auto"/>
              <w:right w:val="single" w:sz="12" w:space="0" w:color="auto"/>
            </w:tcBorders>
            <w:vAlign w:val="center"/>
          </w:tcPr>
          <w:p w14:paraId="1A4517E0" w14:textId="3ABFF8D8" w:rsidR="00E94345" w:rsidRPr="00B15C35" w:rsidRDefault="00E94345" w:rsidP="002E3A04">
            <w:pPr>
              <w:pStyle w:val="Paragraph"/>
              <w:spacing w:before="0"/>
              <w:jc w:val="center"/>
            </w:pPr>
            <w:r w:rsidRPr="00B15C35">
              <w:t>6</w:t>
            </w:r>
          </w:p>
        </w:tc>
        <w:tc>
          <w:tcPr>
            <w:tcW w:w="1701" w:type="dxa"/>
            <w:tcBorders>
              <w:left w:val="single" w:sz="12" w:space="0" w:color="auto"/>
            </w:tcBorders>
          </w:tcPr>
          <w:p w14:paraId="67B19C41" w14:textId="50F48CC5" w:rsidR="00E94345" w:rsidRPr="00B15C35" w:rsidRDefault="00171718" w:rsidP="002E3A04">
            <w:pPr>
              <w:pStyle w:val="Paragraph"/>
              <w:spacing w:before="0"/>
              <w:jc w:val="center"/>
            </w:pPr>
            <w:r w:rsidRPr="00B15C35">
              <w:t>2.</w:t>
            </w:r>
            <w:r w:rsidR="00D85B42" w:rsidRPr="00B15C35">
              <w:t>7</w:t>
            </w:r>
            <w:r w:rsidR="00E94345" w:rsidRPr="00B15C35">
              <w:t>%</w:t>
            </w:r>
          </w:p>
        </w:tc>
      </w:tr>
      <w:tr w:rsidR="00E94345" w:rsidRPr="00B15C35" w14:paraId="4BDA40E4" w14:textId="77777777" w:rsidTr="00A844EB">
        <w:trPr>
          <w:trHeight w:val="340"/>
        </w:trPr>
        <w:tc>
          <w:tcPr>
            <w:tcW w:w="5722" w:type="dxa"/>
            <w:tcBorders>
              <w:right w:val="single" w:sz="12" w:space="0" w:color="auto"/>
            </w:tcBorders>
            <w:vAlign w:val="center"/>
          </w:tcPr>
          <w:p w14:paraId="7AC6106A" w14:textId="14A6719F" w:rsidR="00E94345" w:rsidRPr="00B15C35" w:rsidRDefault="00E94345" w:rsidP="002E3A04">
            <w:pPr>
              <w:pStyle w:val="Paragraph"/>
              <w:spacing w:before="0"/>
            </w:pPr>
            <w:r w:rsidRPr="00B15C35">
              <w:t>*Dermatitis</w:t>
            </w:r>
          </w:p>
        </w:tc>
        <w:tc>
          <w:tcPr>
            <w:tcW w:w="1701" w:type="dxa"/>
            <w:tcBorders>
              <w:left w:val="single" w:sz="12" w:space="0" w:color="auto"/>
              <w:right w:val="single" w:sz="12" w:space="0" w:color="auto"/>
            </w:tcBorders>
            <w:vAlign w:val="center"/>
          </w:tcPr>
          <w:p w14:paraId="1B70AF1E" w14:textId="77777777" w:rsidR="00E94345" w:rsidRPr="00B15C35" w:rsidRDefault="00E94345" w:rsidP="002E3A04">
            <w:pPr>
              <w:pStyle w:val="Paragraph"/>
              <w:spacing w:before="0"/>
              <w:jc w:val="center"/>
            </w:pPr>
            <w:r w:rsidRPr="00B15C35">
              <w:t>5</w:t>
            </w:r>
          </w:p>
        </w:tc>
        <w:tc>
          <w:tcPr>
            <w:tcW w:w="1701" w:type="dxa"/>
            <w:tcBorders>
              <w:left w:val="single" w:sz="12" w:space="0" w:color="auto"/>
            </w:tcBorders>
          </w:tcPr>
          <w:p w14:paraId="4CFAC812" w14:textId="5534DCB7" w:rsidR="00E94345" w:rsidRPr="00B15C35" w:rsidRDefault="00171718" w:rsidP="002E3A04">
            <w:pPr>
              <w:pStyle w:val="Paragraph"/>
              <w:spacing w:before="0"/>
              <w:jc w:val="center"/>
            </w:pPr>
            <w:r w:rsidRPr="00B15C35">
              <w:t>2.</w:t>
            </w:r>
            <w:r w:rsidR="00D85B42" w:rsidRPr="00B15C35">
              <w:t>2</w:t>
            </w:r>
            <w:r w:rsidR="00E94345" w:rsidRPr="00B15C35">
              <w:t>%</w:t>
            </w:r>
          </w:p>
        </w:tc>
      </w:tr>
      <w:tr w:rsidR="00E94345" w:rsidRPr="00B15C35" w14:paraId="00189784" w14:textId="77777777" w:rsidTr="00A844EB">
        <w:trPr>
          <w:trHeight w:val="340"/>
        </w:trPr>
        <w:tc>
          <w:tcPr>
            <w:tcW w:w="5722" w:type="dxa"/>
            <w:tcBorders>
              <w:right w:val="single" w:sz="12" w:space="0" w:color="auto"/>
            </w:tcBorders>
            <w:vAlign w:val="center"/>
          </w:tcPr>
          <w:p w14:paraId="0EF84951" w14:textId="50619570" w:rsidR="00E94345" w:rsidRPr="00B15C35" w:rsidRDefault="00E94345" w:rsidP="002E3A04">
            <w:pPr>
              <w:pStyle w:val="Paragraph"/>
              <w:spacing w:before="0"/>
            </w:pPr>
            <w:r w:rsidRPr="00B15C35">
              <w:t>*Headaches</w:t>
            </w:r>
          </w:p>
        </w:tc>
        <w:tc>
          <w:tcPr>
            <w:tcW w:w="1701" w:type="dxa"/>
            <w:tcBorders>
              <w:left w:val="single" w:sz="12" w:space="0" w:color="auto"/>
              <w:right w:val="single" w:sz="12" w:space="0" w:color="auto"/>
            </w:tcBorders>
            <w:vAlign w:val="center"/>
          </w:tcPr>
          <w:p w14:paraId="66215DC6" w14:textId="77777777" w:rsidR="00E94345" w:rsidRPr="00B15C35" w:rsidRDefault="00E94345" w:rsidP="002E3A04">
            <w:pPr>
              <w:pStyle w:val="Paragraph"/>
              <w:spacing w:before="0"/>
              <w:jc w:val="center"/>
            </w:pPr>
            <w:r w:rsidRPr="00B15C35">
              <w:t>3</w:t>
            </w:r>
          </w:p>
        </w:tc>
        <w:tc>
          <w:tcPr>
            <w:tcW w:w="1701" w:type="dxa"/>
            <w:tcBorders>
              <w:left w:val="single" w:sz="12" w:space="0" w:color="auto"/>
            </w:tcBorders>
          </w:tcPr>
          <w:p w14:paraId="29175B5C" w14:textId="078EFCFC" w:rsidR="00E94345" w:rsidRPr="00B15C35" w:rsidRDefault="00171718" w:rsidP="002E3A04">
            <w:pPr>
              <w:pStyle w:val="Paragraph"/>
              <w:spacing w:before="0"/>
              <w:jc w:val="center"/>
            </w:pPr>
            <w:r w:rsidRPr="00B15C35">
              <w:t>1.</w:t>
            </w:r>
            <w:r w:rsidR="00D85B42" w:rsidRPr="00B15C35">
              <w:t>3</w:t>
            </w:r>
            <w:r w:rsidR="00E94345" w:rsidRPr="00B15C35">
              <w:t>%</w:t>
            </w:r>
          </w:p>
        </w:tc>
      </w:tr>
      <w:tr w:rsidR="00E94345" w:rsidRPr="00B15C35" w14:paraId="19D59E22" w14:textId="77777777" w:rsidTr="00A844EB">
        <w:trPr>
          <w:trHeight w:val="340"/>
        </w:trPr>
        <w:tc>
          <w:tcPr>
            <w:tcW w:w="5722" w:type="dxa"/>
            <w:tcBorders>
              <w:right w:val="single" w:sz="12" w:space="0" w:color="auto"/>
            </w:tcBorders>
            <w:vAlign w:val="center"/>
          </w:tcPr>
          <w:p w14:paraId="4A79542E" w14:textId="4AAEB7C3" w:rsidR="00E94345" w:rsidRPr="00B15C35" w:rsidRDefault="00E94345" w:rsidP="002E3A04">
            <w:pPr>
              <w:pStyle w:val="Paragraph"/>
              <w:spacing w:before="0"/>
            </w:pPr>
            <w:r w:rsidRPr="00B15C35">
              <w:t>*Allergies</w:t>
            </w:r>
          </w:p>
        </w:tc>
        <w:tc>
          <w:tcPr>
            <w:tcW w:w="1701" w:type="dxa"/>
            <w:tcBorders>
              <w:left w:val="single" w:sz="12" w:space="0" w:color="auto"/>
              <w:right w:val="single" w:sz="12" w:space="0" w:color="auto"/>
            </w:tcBorders>
            <w:vAlign w:val="center"/>
          </w:tcPr>
          <w:p w14:paraId="2B9F4F84" w14:textId="77777777" w:rsidR="00E94345" w:rsidRPr="00B15C35" w:rsidRDefault="00E94345" w:rsidP="002E3A04">
            <w:pPr>
              <w:pStyle w:val="Paragraph"/>
              <w:spacing w:before="0"/>
              <w:jc w:val="center"/>
            </w:pPr>
            <w:r w:rsidRPr="00B15C35">
              <w:t>2</w:t>
            </w:r>
          </w:p>
        </w:tc>
        <w:tc>
          <w:tcPr>
            <w:tcW w:w="1701" w:type="dxa"/>
            <w:tcBorders>
              <w:left w:val="single" w:sz="12" w:space="0" w:color="auto"/>
            </w:tcBorders>
          </w:tcPr>
          <w:p w14:paraId="19BA4429" w14:textId="7F7656AA" w:rsidR="00E94345" w:rsidRPr="00B15C35" w:rsidRDefault="00171718" w:rsidP="002E3A04">
            <w:pPr>
              <w:pStyle w:val="Paragraph"/>
              <w:spacing w:before="0"/>
              <w:jc w:val="center"/>
            </w:pPr>
            <w:r w:rsidRPr="00B15C35">
              <w:t>0.</w:t>
            </w:r>
            <w:r w:rsidR="00D85B42" w:rsidRPr="00B15C35">
              <w:t>9</w:t>
            </w:r>
            <w:r w:rsidR="00E94345" w:rsidRPr="00B15C35">
              <w:t>%</w:t>
            </w:r>
          </w:p>
        </w:tc>
      </w:tr>
      <w:tr w:rsidR="00E94345" w:rsidRPr="00B15C35" w14:paraId="696D83C8" w14:textId="77777777" w:rsidTr="00A844EB">
        <w:trPr>
          <w:trHeight w:val="340"/>
        </w:trPr>
        <w:tc>
          <w:tcPr>
            <w:tcW w:w="5722" w:type="dxa"/>
            <w:tcBorders>
              <w:right w:val="single" w:sz="12" w:space="0" w:color="auto"/>
            </w:tcBorders>
            <w:vAlign w:val="center"/>
          </w:tcPr>
          <w:p w14:paraId="33202B89" w14:textId="01E0AAD5" w:rsidR="00E94345" w:rsidRPr="00B15C35" w:rsidRDefault="00E94345" w:rsidP="002E3A04">
            <w:pPr>
              <w:pStyle w:val="Paragraph"/>
              <w:spacing w:before="0"/>
            </w:pPr>
            <w:r w:rsidRPr="00B15C35">
              <w:t>*Vascular issues (varicose veins &amp; a major life</w:t>
            </w:r>
            <w:r w:rsidR="00221A54" w:rsidRPr="00B15C35">
              <w:t>-</w:t>
            </w:r>
            <w:r w:rsidRPr="00B15C35">
              <w:t>threatening event)</w:t>
            </w:r>
          </w:p>
        </w:tc>
        <w:tc>
          <w:tcPr>
            <w:tcW w:w="1701" w:type="dxa"/>
            <w:tcBorders>
              <w:left w:val="single" w:sz="12" w:space="0" w:color="auto"/>
              <w:right w:val="single" w:sz="12" w:space="0" w:color="auto"/>
            </w:tcBorders>
            <w:vAlign w:val="center"/>
          </w:tcPr>
          <w:p w14:paraId="7432EE8C" w14:textId="77777777" w:rsidR="00E94345" w:rsidRPr="00B15C35" w:rsidRDefault="00E94345" w:rsidP="002E3A04">
            <w:pPr>
              <w:pStyle w:val="Paragraph"/>
              <w:spacing w:before="0"/>
              <w:jc w:val="center"/>
            </w:pPr>
            <w:r w:rsidRPr="00B15C35">
              <w:t>2</w:t>
            </w:r>
          </w:p>
        </w:tc>
        <w:tc>
          <w:tcPr>
            <w:tcW w:w="1701" w:type="dxa"/>
            <w:tcBorders>
              <w:left w:val="single" w:sz="12" w:space="0" w:color="auto"/>
            </w:tcBorders>
          </w:tcPr>
          <w:p w14:paraId="60F67182" w14:textId="48F690A2" w:rsidR="00E94345" w:rsidRPr="00B15C35" w:rsidRDefault="00171718" w:rsidP="002E3A04">
            <w:pPr>
              <w:pStyle w:val="Paragraph"/>
              <w:spacing w:before="0"/>
              <w:jc w:val="center"/>
            </w:pPr>
            <w:r w:rsidRPr="00B15C35">
              <w:t>0.</w:t>
            </w:r>
            <w:r w:rsidR="00D85B42" w:rsidRPr="00B15C35">
              <w:t>9</w:t>
            </w:r>
            <w:r w:rsidR="00E94345" w:rsidRPr="00B15C35">
              <w:t>%</w:t>
            </w:r>
          </w:p>
        </w:tc>
      </w:tr>
      <w:tr w:rsidR="00E94345" w:rsidRPr="00B15C35" w14:paraId="3E70C9A0" w14:textId="77777777" w:rsidTr="00A844EB">
        <w:trPr>
          <w:trHeight w:val="340"/>
        </w:trPr>
        <w:tc>
          <w:tcPr>
            <w:tcW w:w="5722" w:type="dxa"/>
            <w:tcBorders>
              <w:right w:val="single" w:sz="12" w:space="0" w:color="auto"/>
            </w:tcBorders>
            <w:vAlign w:val="center"/>
          </w:tcPr>
          <w:p w14:paraId="29657DA7" w14:textId="62F0CC09" w:rsidR="00E94345" w:rsidRPr="00B15C35" w:rsidRDefault="00E94345" w:rsidP="002E3A04">
            <w:pPr>
              <w:pStyle w:val="Paragraph"/>
              <w:spacing w:before="0"/>
            </w:pPr>
            <w:r w:rsidRPr="00B15C35">
              <w:t>*Respiratory problems</w:t>
            </w:r>
          </w:p>
        </w:tc>
        <w:tc>
          <w:tcPr>
            <w:tcW w:w="1701" w:type="dxa"/>
            <w:tcBorders>
              <w:left w:val="single" w:sz="12" w:space="0" w:color="auto"/>
              <w:right w:val="single" w:sz="12" w:space="0" w:color="auto"/>
            </w:tcBorders>
            <w:vAlign w:val="center"/>
          </w:tcPr>
          <w:p w14:paraId="35923C05" w14:textId="77777777" w:rsidR="00E94345" w:rsidRPr="00B15C35" w:rsidRDefault="00E94345" w:rsidP="002E3A04">
            <w:pPr>
              <w:pStyle w:val="Paragraph"/>
              <w:spacing w:before="0"/>
              <w:jc w:val="center"/>
            </w:pPr>
            <w:r w:rsidRPr="00B15C35">
              <w:t>1</w:t>
            </w:r>
          </w:p>
        </w:tc>
        <w:tc>
          <w:tcPr>
            <w:tcW w:w="1701" w:type="dxa"/>
            <w:tcBorders>
              <w:left w:val="single" w:sz="12" w:space="0" w:color="auto"/>
            </w:tcBorders>
          </w:tcPr>
          <w:p w14:paraId="4615692D" w14:textId="6EDABE09" w:rsidR="00E94345" w:rsidRPr="00B15C35" w:rsidRDefault="00E94345" w:rsidP="002E3A04">
            <w:pPr>
              <w:pStyle w:val="Paragraph"/>
              <w:spacing w:before="0"/>
              <w:jc w:val="center"/>
            </w:pPr>
            <w:r w:rsidRPr="00B15C35">
              <w:t>0.</w:t>
            </w:r>
            <w:r w:rsidR="00171718" w:rsidRPr="00B15C35">
              <w:t>4</w:t>
            </w:r>
            <w:r w:rsidRPr="00B15C35">
              <w:t>%</w:t>
            </w:r>
          </w:p>
        </w:tc>
      </w:tr>
      <w:tr w:rsidR="00E94345" w:rsidRPr="00B15C35" w14:paraId="00C8BA25" w14:textId="77777777" w:rsidTr="00A844EB">
        <w:trPr>
          <w:trHeight w:val="340"/>
        </w:trPr>
        <w:tc>
          <w:tcPr>
            <w:tcW w:w="5722" w:type="dxa"/>
            <w:tcBorders>
              <w:right w:val="single" w:sz="12" w:space="0" w:color="auto"/>
            </w:tcBorders>
            <w:vAlign w:val="center"/>
          </w:tcPr>
          <w:p w14:paraId="07F3D6A5" w14:textId="4AD05567" w:rsidR="00E94345" w:rsidRPr="00B15C35" w:rsidRDefault="00E94345" w:rsidP="002E3A04">
            <w:pPr>
              <w:pStyle w:val="Paragraph"/>
              <w:spacing w:before="0"/>
            </w:pPr>
            <w:r w:rsidRPr="00B15C35">
              <w:t>*Wrist/hand problems</w:t>
            </w:r>
          </w:p>
        </w:tc>
        <w:tc>
          <w:tcPr>
            <w:tcW w:w="1701" w:type="dxa"/>
            <w:tcBorders>
              <w:left w:val="single" w:sz="12" w:space="0" w:color="auto"/>
              <w:right w:val="single" w:sz="12" w:space="0" w:color="auto"/>
            </w:tcBorders>
            <w:vAlign w:val="center"/>
          </w:tcPr>
          <w:p w14:paraId="307E316A" w14:textId="77777777" w:rsidR="00E94345" w:rsidRPr="00B15C35" w:rsidRDefault="00E94345" w:rsidP="002E3A04">
            <w:pPr>
              <w:pStyle w:val="Paragraph"/>
              <w:spacing w:before="0"/>
              <w:jc w:val="center"/>
            </w:pPr>
            <w:r w:rsidRPr="00B15C35">
              <w:t>1</w:t>
            </w:r>
          </w:p>
        </w:tc>
        <w:tc>
          <w:tcPr>
            <w:tcW w:w="1701" w:type="dxa"/>
            <w:tcBorders>
              <w:left w:val="single" w:sz="12" w:space="0" w:color="auto"/>
            </w:tcBorders>
          </w:tcPr>
          <w:p w14:paraId="743A6F32" w14:textId="5AE6B2D3" w:rsidR="00E94345" w:rsidRPr="00B15C35" w:rsidRDefault="00E94345" w:rsidP="002E3A04">
            <w:pPr>
              <w:pStyle w:val="Paragraph"/>
              <w:spacing w:before="0"/>
              <w:jc w:val="center"/>
            </w:pPr>
            <w:r w:rsidRPr="00B15C35">
              <w:t>0.</w:t>
            </w:r>
            <w:r w:rsidR="00171718" w:rsidRPr="00B15C35">
              <w:t>4</w:t>
            </w:r>
            <w:r w:rsidRPr="00B15C35">
              <w:t>%</w:t>
            </w:r>
          </w:p>
        </w:tc>
      </w:tr>
      <w:tr w:rsidR="00E94345" w:rsidRPr="00B15C35" w14:paraId="3984CE71" w14:textId="77777777" w:rsidTr="00A844EB">
        <w:trPr>
          <w:trHeight w:val="340"/>
        </w:trPr>
        <w:tc>
          <w:tcPr>
            <w:tcW w:w="5722" w:type="dxa"/>
            <w:tcBorders>
              <w:right w:val="single" w:sz="12" w:space="0" w:color="auto"/>
            </w:tcBorders>
            <w:vAlign w:val="center"/>
          </w:tcPr>
          <w:p w14:paraId="2F99BCFD" w14:textId="1AD421A7" w:rsidR="00E94345" w:rsidRPr="00B15C35" w:rsidRDefault="00E94345" w:rsidP="002E3A04">
            <w:pPr>
              <w:pStyle w:val="Paragraph"/>
              <w:spacing w:before="0"/>
            </w:pPr>
            <w:r w:rsidRPr="00B15C35">
              <w:t>*Psychosomatic disturbance</w:t>
            </w:r>
          </w:p>
        </w:tc>
        <w:tc>
          <w:tcPr>
            <w:tcW w:w="1701" w:type="dxa"/>
            <w:tcBorders>
              <w:left w:val="single" w:sz="12" w:space="0" w:color="auto"/>
              <w:right w:val="single" w:sz="12" w:space="0" w:color="auto"/>
            </w:tcBorders>
            <w:vAlign w:val="center"/>
          </w:tcPr>
          <w:p w14:paraId="37F3FB72" w14:textId="77777777" w:rsidR="00E94345" w:rsidRPr="00B15C35" w:rsidRDefault="00E94345" w:rsidP="002E3A04">
            <w:pPr>
              <w:pStyle w:val="Paragraph"/>
              <w:spacing w:before="0"/>
              <w:jc w:val="center"/>
            </w:pPr>
            <w:r w:rsidRPr="00B15C35">
              <w:t>1</w:t>
            </w:r>
          </w:p>
        </w:tc>
        <w:tc>
          <w:tcPr>
            <w:tcW w:w="1701" w:type="dxa"/>
            <w:tcBorders>
              <w:left w:val="single" w:sz="12" w:space="0" w:color="auto"/>
            </w:tcBorders>
          </w:tcPr>
          <w:p w14:paraId="260218F9" w14:textId="125570F1" w:rsidR="00E94345" w:rsidRPr="00B15C35" w:rsidRDefault="00E94345" w:rsidP="002E3A04">
            <w:pPr>
              <w:pStyle w:val="Paragraph"/>
              <w:spacing w:before="0"/>
              <w:jc w:val="center"/>
            </w:pPr>
            <w:r w:rsidRPr="00B15C35">
              <w:t>0.</w:t>
            </w:r>
            <w:r w:rsidR="00171718" w:rsidRPr="00B15C35">
              <w:t>4</w:t>
            </w:r>
            <w:r w:rsidRPr="00B15C35">
              <w:t>%</w:t>
            </w:r>
          </w:p>
        </w:tc>
      </w:tr>
      <w:tr w:rsidR="00E94345" w:rsidRPr="00B15C35" w14:paraId="3FDEB1F6" w14:textId="77777777" w:rsidTr="00A844EB">
        <w:trPr>
          <w:trHeight w:val="340"/>
        </w:trPr>
        <w:tc>
          <w:tcPr>
            <w:tcW w:w="5722" w:type="dxa"/>
            <w:tcBorders>
              <w:right w:val="single" w:sz="12" w:space="0" w:color="auto"/>
            </w:tcBorders>
            <w:vAlign w:val="center"/>
          </w:tcPr>
          <w:p w14:paraId="36F0918E" w14:textId="571BD69D" w:rsidR="00E94345" w:rsidRPr="00B15C35" w:rsidRDefault="00E94345" w:rsidP="002E3A04">
            <w:pPr>
              <w:pStyle w:val="Paragraph"/>
              <w:spacing w:before="0"/>
            </w:pPr>
            <w:r w:rsidRPr="00B15C35">
              <w:t>*Dry eyes</w:t>
            </w:r>
          </w:p>
        </w:tc>
        <w:tc>
          <w:tcPr>
            <w:tcW w:w="1701" w:type="dxa"/>
            <w:tcBorders>
              <w:left w:val="single" w:sz="12" w:space="0" w:color="auto"/>
              <w:bottom w:val="single" w:sz="12" w:space="0" w:color="auto"/>
              <w:right w:val="single" w:sz="12" w:space="0" w:color="auto"/>
            </w:tcBorders>
            <w:vAlign w:val="center"/>
          </w:tcPr>
          <w:p w14:paraId="460CB985" w14:textId="77777777" w:rsidR="00E94345" w:rsidRPr="00B15C35" w:rsidRDefault="00E94345" w:rsidP="002E3A04">
            <w:pPr>
              <w:pStyle w:val="Paragraph"/>
              <w:spacing w:before="0"/>
              <w:jc w:val="center"/>
            </w:pPr>
            <w:r w:rsidRPr="00B15C35">
              <w:t>1</w:t>
            </w:r>
          </w:p>
        </w:tc>
        <w:tc>
          <w:tcPr>
            <w:tcW w:w="1701" w:type="dxa"/>
            <w:tcBorders>
              <w:left w:val="single" w:sz="12" w:space="0" w:color="auto"/>
            </w:tcBorders>
          </w:tcPr>
          <w:p w14:paraId="71360159" w14:textId="42F0E296" w:rsidR="00E94345" w:rsidRPr="00B15C35" w:rsidRDefault="00E94345" w:rsidP="002E3A04">
            <w:pPr>
              <w:pStyle w:val="Paragraph"/>
              <w:spacing w:before="0"/>
              <w:jc w:val="center"/>
            </w:pPr>
            <w:r w:rsidRPr="00B15C35">
              <w:t>0.</w:t>
            </w:r>
            <w:r w:rsidR="00171718" w:rsidRPr="00B15C35">
              <w:t>4</w:t>
            </w:r>
            <w:r w:rsidRPr="00B15C35">
              <w:t>%</w:t>
            </w:r>
          </w:p>
        </w:tc>
      </w:tr>
    </w:tbl>
    <w:p w14:paraId="629DA31A" w14:textId="77777777" w:rsidR="00DC2FDD" w:rsidRDefault="00DC2FDD" w:rsidP="00DC2FDD">
      <w:pPr>
        <w:pStyle w:val="Footer"/>
      </w:pPr>
      <w:r w:rsidRPr="00B15C35" w:rsidDel="006701B1">
        <w:t>* These conditions were self-reported in free text.</w:t>
      </w:r>
    </w:p>
    <w:p w14:paraId="26D75B41" w14:textId="5287402E" w:rsidR="00DC2FDD" w:rsidRDefault="00DC2FDD" w:rsidP="002E3A04"/>
    <w:p w14:paraId="3E04A052" w14:textId="67D539C1" w:rsidR="00DC2FDD" w:rsidRDefault="00DC2FDD" w:rsidP="002E3A04">
      <w:pPr>
        <w:sectPr w:rsidR="00DC2FDD" w:rsidSect="00074B81">
          <w:footerReference w:type="default" r:id="rId8"/>
          <w:pgSz w:w="11901" w:h="16840" w:code="9"/>
          <w:pgMar w:top="1418" w:right="1701" w:bottom="1418" w:left="1701" w:header="709" w:footer="709" w:gutter="0"/>
          <w:cols w:space="708"/>
          <w:docGrid w:linePitch="360"/>
        </w:sectPr>
      </w:pPr>
    </w:p>
    <w:p w14:paraId="340D8BDF" w14:textId="6A782955" w:rsidR="00C73C54" w:rsidRPr="002E3A04" w:rsidRDefault="00F15E36" w:rsidP="002E3A04">
      <w:pPr>
        <w:pStyle w:val="Paragraph"/>
        <w:spacing w:before="0"/>
      </w:pPr>
      <w:r w:rsidRPr="002E3A04">
        <w:lastRenderedPageBreak/>
        <w:t>Table 4. Summary of Evidence and Recommendations</w:t>
      </w:r>
    </w:p>
    <w:p w14:paraId="4012C49F" w14:textId="37F31F3F" w:rsidR="009022B2" w:rsidRPr="002E3A04" w:rsidRDefault="00C73C54" w:rsidP="002E3A04">
      <w:pPr>
        <w:pStyle w:val="Newparagraph"/>
        <w:ind w:firstLine="0"/>
      </w:pPr>
      <w:r w:rsidRPr="002E3A04">
        <w:t xml:space="preserve">The quality of evidence and strength of recommendations for each occupational health issue are assessed according an adapted GRADE system (see Table 1). </w:t>
      </w:r>
    </w:p>
    <w:p w14:paraId="050293B9" w14:textId="77777777" w:rsidR="00CD2174" w:rsidRPr="002E3A04" w:rsidRDefault="00CD2174" w:rsidP="002E3A04">
      <w:pPr>
        <w:pStyle w:val="Newparagraph"/>
        <w:ind w:firstLine="0"/>
      </w:pPr>
    </w:p>
    <w:tbl>
      <w:tblPr>
        <w:tblStyle w:val="TableGrid"/>
        <w:tblW w:w="15877"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4"/>
        <w:gridCol w:w="4819"/>
        <w:gridCol w:w="1276"/>
        <w:gridCol w:w="5953"/>
        <w:gridCol w:w="1985"/>
      </w:tblGrid>
      <w:tr w:rsidR="0002389F" w:rsidRPr="00B15C35" w14:paraId="5CE2847A" w14:textId="77777777" w:rsidTr="00105D28">
        <w:trPr>
          <w:trHeight w:val="510"/>
        </w:trPr>
        <w:tc>
          <w:tcPr>
            <w:tcW w:w="1844" w:type="dxa"/>
            <w:tcBorders>
              <w:top w:val="single" w:sz="12" w:space="0" w:color="auto"/>
              <w:bottom w:val="single" w:sz="12" w:space="0" w:color="auto"/>
              <w:right w:val="single" w:sz="12" w:space="0" w:color="auto"/>
            </w:tcBorders>
            <w:shd w:val="clear" w:color="auto" w:fill="BFBFBF" w:themeFill="background1" w:themeFillShade="BF"/>
            <w:vAlign w:val="center"/>
          </w:tcPr>
          <w:p w14:paraId="3DF26116" w14:textId="5FF1CF07" w:rsidR="00F15E36" w:rsidRPr="002E3A04" w:rsidRDefault="00F15E36" w:rsidP="002E3A04">
            <w:pPr>
              <w:pStyle w:val="Newparagraph"/>
              <w:ind w:firstLine="0"/>
              <w:rPr>
                <w:b/>
                <w:bCs/>
              </w:rPr>
            </w:pPr>
            <w:r w:rsidRPr="002E3A04">
              <w:rPr>
                <w:b/>
                <w:bCs/>
              </w:rPr>
              <w:t>Issue</w:t>
            </w:r>
          </w:p>
        </w:tc>
        <w:tc>
          <w:tcPr>
            <w:tcW w:w="481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6835AE4" w14:textId="154B8913" w:rsidR="00F15E36" w:rsidRPr="002E3A04" w:rsidRDefault="00F15E36" w:rsidP="002E3A04">
            <w:pPr>
              <w:pStyle w:val="Newparagraph"/>
              <w:ind w:firstLine="0"/>
              <w:rPr>
                <w:b/>
                <w:bCs/>
              </w:rPr>
            </w:pPr>
            <w:r w:rsidRPr="002E3A04">
              <w:rPr>
                <w:b/>
                <w:bCs/>
              </w:rPr>
              <w:t>Evidence</w:t>
            </w:r>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842A4C2" w14:textId="73BB2232" w:rsidR="00F15E36" w:rsidRPr="002E3A04" w:rsidRDefault="00F15E36" w:rsidP="002E3A04">
            <w:pPr>
              <w:pStyle w:val="Newparagraph"/>
              <w:ind w:firstLine="0"/>
              <w:rPr>
                <w:b/>
                <w:bCs/>
              </w:rPr>
            </w:pPr>
            <w:r w:rsidRPr="002E3A04">
              <w:rPr>
                <w:b/>
                <w:bCs/>
              </w:rPr>
              <w:t xml:space="preserve">Strength </w:t>
            </w:r>
          </w:p>
        </w:tc>
        <w:tc>
          <w:tcPr>
            <w:tcW w:w="595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FB78EB4" w14:textId="01F46DEB" w:rsidR="00F15E36" w:rsidRPr="002E3A04" w:rsidRDefault="00F15E36" w:rsidP="002E3A04">
            <w:pPr>
              <w:pStyle w:val="Newparagraph"/>
              <w:ind w:firstLine="0"/>
              <w:rPr>
                <w:b/>
                <w:bCs/>
              </w:rPr>
            </w:pPr>
            <w:r w:rsidRPr="002E3A04">
              <w:rPr>
                <w:b/>
                <w:bCs/>
              </w:rPr>
              <w:t>Recommendation</w:t>
            </w:r>
          </w:p>
        </w:tc>
        <w:tc>
          <w:tcPr>
            <w:tcW w:w="1985" w:type="dxa"/>
            <w:tcBorders>
              <w:top w:val="single" w:sz="12" w:space="0" w:color="auto"/>
              <w:left w:val="single" w:sz="12" w:space="0" w:color="auto"/>
              <w:bottom w:val="single" w:sz="12" w:space="0" w:color="auto"/>
            </w:tcBorders>
            <w:shd w:val="clear" w:color="auto" w:fill="BFBFBF" w:themeFill="background1" w:themeFillShade="BF"/>
            <w:vAlign w:val="center"/>
          </w:tcPr>
          <w:p w14:paraId="7FEA5C43" w14:textId="6E95611A" w:rsidR="00F15E36" w:rsidRPr="002E3A04" w:rsidRDefault="00F15E36" w:rsidP="002E3A04">
            <w:pPr>
              <w:pStyle w:val="Newparagraph"/>
              <w:ind w:firstLine="0"/>
              <w:rPr>
                <w:b/>
                <w:bCs/>
              </w:rPr>
            </w:pPr>
            <w:r w:rsidRPr="002E3A04">
              <w:rPr>
                <w:b/>
                <w:bCs/>
              </w:rPr>
              <w:t>Strength</w:t>
            </w:r>
          </w:p>
        </w:tc>
      </w:tr>
      <w:tr w:rsidR="00720CCB" w:rsidRPr="00B15C35" w14:paraId="5322CF71" w14:textId="77777777" w:rsidTr="00105D28">
        <w:tc>
          <w:tcPr>
            <w:tcW w:w="1844" w:type="dxa"/>
            <w:tcBorders>
              <w:top w:val="single" w:sz="12" w:space="0" w:color="auto"/>
              <w:right w:val="single" w:sz="12" w:space="0" w:color="auto"/>
            </w:tcBorders>
          </w:tcPr>
          <w:p w14:paraId="68112FA8" w14:textId="61F72019" w:rsidR="00F15E36" w:rsidRPr="002E3A04" w:rsidRDefault="00393DE5" w:rsidP="002E3A04">
            <w:pPr>
              <w:pStyle w:val="Newparagraph"/>
              <w:ind w:firstLine="0"/>
            </w:pPr>
            <w:r w:rsidRPr="002E3A04">
              <w:t xml:space="preserve">Musculoskeletal </w:t>
            </w:r>
            <w:r w:rsidR="00474085" w:rsidRPr="002E3A04">
              <w:t>d</w:t>
            </w:r>
            <w:r w:rsidRPr="002E3A04">
              <w:t>isorders</w:t>
            </w:r>
          </w:p>
        </w:tc>
        <w:tc>
          <w:tcPr>
            <w:tcW w:w="4819" w:type="dxa"/>
            <w:tcBorders>
              <w:top w:val="single" w:sz="12" w:space="0" w:color="auto"/>
              <w:left w:val="single" w:sz="12" w:space="0" w:color="auto"/>
              <w:right w:val="single" w:sz="12" w:space="0" w:color="auto"/>
            </w:tcBorders>
          </w:tcPr>
          <w:p w14:paraId="765E3D29" w14:textId="066AF3F7" w:rsidR="00F15E36" w:rsidRPr="002E3A04" w:rsidRDefault="005C3883" w:rsidP="002E3A04">
            <w:pPr>
              <w:pStyle w:val="Newparagraph"/>
              <w:ind w:firstLine="0"/>
            </w:pPr>
            <w:r w:rsidRPr="002E3A04">
              <w:t>43.5%</w:t>
            </w:r>
            <w:r w:rsidR="0089068E" w:rsidRPr="002E3A04">
              <w:t xml:space="preserve"> of respondents affected</w:t>
            </w:r>
            <w:r w:rsidR="00E404EF" w:rsidRPr="002E3A04">
              <w:t>: most significant issue.</w:t>
            </w:r>
            <w:r w:rsidR="0051594A" w:rsidRPr="002E3A04">
              <w:t xml:space="preserve"> </w:t>
            </w:r>
            <w:r w:rsidR="00E404EF" w:rsidRPr="002E3A04">
              <w:t xml:space="preserve">Consistent with findings for Spanish embryologists. </w:t>
            </w:r>
            <w:r w:rsidR="0051594A" w:rsidRPr="002E3A04">
              <w:t>Increase in shoulder problems with increased length of service.</w:t>
            </w:r>
            <w:r w:rsidR="000B66AC" w:rsidRPr="002E3A04">
              <w:t xml:space="preserve"> Evidence that </w:t>
            </w:r>
            <w:r w:rsidR="001470B5" w:rsidRPr="002E3A04">
              <w:t>repetitive tasks, static postures, working with raised arms or hands</w:t>
            </w:r>
            <w:r w:rsidR="000B66AC" w:rsidRPr="002E3A04">
              <w:t xml:space="preserve"> and workplace stress play a role in WRMD.</w:t>
            </w:r>
          </w:p>
        </w:tc>
        <w:tc>
          <w:tcPr>
            <w:tcW w:w="1276" w:type="dxa"/>
            <w:tcBorders>
              <w:top w:val="single" w:sz="12" w:space="0" w:color="auto"/>
              <w:left w:val="single" w:sz="12" w:space="0" w:color="auto"/>
              <w:right w:val="single" w:sz="12" w:space="0" w:color="auto"/>
            </w:tcBorders>
          </w:tcPr>
          <w:p w14:paraId="185D34C6" w14:textId="4B57DA65" w:rsidR="00F15E36" w:rsidRPr="002E3A04" w:rsidRDefault="0051594A" w:rsidP="002E3A04">
            <w:pPr>
              <w:pStyle w:val="Newparagraph"/>
              <w:ind w:firstLine="0"/>
            </w:pPr>
            <w:r w:rsidRPr="002E3A04">
              <w:t>High</w:t>
            </w:r>
          </w:p>
        </w:tc>
        <w:tc>
          <w:tcPr>
            <w:tcW w:w="5953" w:type="dxa"/>
            <w:tcBorders>
              <w:top w:val="single" w:sz="12" w:space="0" w:color="auto"/>
              <w:left w:val="single" w:sz="12" w:space="0" w:color="auto"/>
              <w:right w:val="single" w:sz="12" w:space="0" w:color="auto"/>
            </w:tcBorders>
          </w:tcPr>
          <w:p w14:paraId="4B3B4B31" w14:textId="77777777" w:rsidR="00D6316B" w:rsidRPr="002E3A04" w:rsidRDefault="00D6316B" w:rsidP="002E3A04">
            <w:pPr>
              <w:pStyle w:val="Newparagraph"/>
              <w:ind w:firstLine="0"/>
              <w:rPr>
                <w:b/>
                <w:bCs/>
              </w:rPr>
            </w:pPr>
            <w:r w:rsidRPr="002E3A04">
              <w:rPr>
                <w:b/>
                <w:bCs/>
              </w:rPr>
              <w:t xml:space="preserve">Proactive approach required. </w:t>
            </w:r>
          </w:p>
          <w:p w14:paraId="49842EC3" w14:textId="7139857B" w:rsidR="001470B5" w:rsidRPr="002E3A04" w:rsidRDefault="000B66AC" w:rsidP="002E3A04">
            <w:pPr>
              <w:pStyle w:val="Newparagraph"/>
              <w:ind w:firstLine="0"/>
            </w:pPr>
            <w:r w:rsidRPr="002E3A04">
              <w:t>Assess</w:t>
            </w:r>
            <w:r w:rsidR="001470B5" w:rsidRPr="002E3A04">
              <w:t xml:space="preserve"> risks</w:t>
            </w:r>
            <w:r w:rsidRPr="002E3A04">
              <w:t>, considering those</w:t>
            </w:r>
            <w:r w:rsidR="001470B5" w:rsidRPr="002E3A04">
              <w:t xml:space="preserve"> </w:t>
            </w:r>
            <w:r w:rsidRPr="002E3A04">
              <w:t>associated with</w:t>
            </w:r>
            <w:r w:rsidR="001470B5" w:rsidRPr="002E3A04">
              <w:t xml:space="preserve"> ULD as well as Manual Handling and DSE</w:t>
            </w:r>
            <w:r w:rsidRPr="002E3A04">
              <w:t xml:space="preserve"> associated risks</w:t>
            </w:r>
            <w:r w:rsidR="001470B5" w:rsidRPr="002E3A04">
              <w:t>.</w:t>
            </w:r>
          </w:p>
          <w:p w14:paraId="1004978B" w14:textId="6D81CC0D" w:rsidR="001470B5" w:rsidRPr="002E3A04" w:rsidRDefault="000B66AC" w:rsidP="002E3A04">
            <w:pPr>
              <w:pStyle w:val="Newparagraph"/>
              <w:ind w:firstLine="0"/>
            </w:pPr>
            <w:r w:rsidRPr="002E3A04">
              <w:t>U</w:t>
            </w:r>
            <w:r w:rsidR="001470B5" w:rsidRPr="002E3A04">
              <w:t>se of HSE ULD tool advised (HSE, n.d.-b)</w:t>
            </w:r>
            <w:r w:rsidRPr="002E3A04">
              <w:t>.</w:t>
            </w:r>
          </w:p>
          <w:p w14:paraId="631F022A" w14:textId="3BBB3A1A" w:rsidR="000B66AC" w:rsidRPr="002E3A04" w:rsidRDefault="001470B5" w:rsidP="002E3A04">
            <w:pPr>
              <w:pStyle w:val="Newparagraph"/>
              <w:ind w:firstLine="0"/>
            </w:pPr>
            <w:r w:rsidRPr="002E3A04">
              <w:t>Make changes to minimise risks</w:t>
            </w:r>
            <w:r w:rsidR="00DA6629" w:rsidRPr="002E3A04">
              <w:t xml:space="preserve"> if required</w:t>
            </w:r>
            <w:r w:rsidR="000B66AC" w:rsidRPr="002E3A04">
              <w:t>.</w:t>
            </w:r>
          </w:p>
          <w:p w14:paraId="48237BAB" w14:textId="5CCD526D" w:rsidR="001470B5" w:rsidRPr="002E3A04" w:rsidRDefault="000B66AC" w:rsidP="002E3A04">
            <w:pPr>
              <w:pStyle w:val="Newparagraph"/>
              <w:ind w:firstLine="0"/>
            </w:pPr>
            <w:r w:rsidRPr="002E3A04">
              <w:t>P</w:t>
            </w:r>
            <w:r w:rsidR="001470B5" w:rsidRPr="002E3A04">
              <w:t>rovide training</w:t>
            </w:r>
            <w:r w:rsidRPr="002E3A04">
              <w:t xml:space="preserve"> about the risks</w:t>
            </w:r>
            <w:r w:rsidR="001470B5" w:rsidRPr="002E3A04">
              <w:t>.</w:t>
            </w:r>
          </w:p>
          <w:p w14:paraId="4ABE528A" w14:textId="74CBE3A8" w:rsidR="001470B5" w:rsidRPr="002E3A04" w:rsidRDefault="001470B5" w:rsidP="002E3A04">
            <w:pPr>
              <w:pStyle w:val="Newparagraph"/>
              <w:ind w:firstLine="0"/>
            </w:pPr>
            <w:r w:rsidRPr="002E3A04">
              <w:t xml:space="preserve">Consider </w:t>
            </w:r>
            <w:r w:rsidR="000B66AC" w:rsidRPr="002E3A04">
              <w:t>ergonomics</w:t>
            </w:r>
            <w:r w:rsidRPr="002E3A04">
              <w:t xml:space="preserve"> </w:t>
            </w:r>
            <w:r w:rsidR="00105D28" w:rsidRPr="002E3A04">
              <w:t>in</w:t>
            </w:r>
            <w:r w:rsidRPr="002E3A04">
              <w:t xml:space="preserve"> laboratories and equipment</w:t>
            </w:r>
            <w:r w:rsidR="00105D28" w:rsidRPr="002E3A04">
              <w:t xml:space="preserve"> design</w:t>
            </w:r>
            <w:r w:rsidRPr="002E3A04">
              <w:t>.</w:t>
            </w:r>
          </w:p>
        </w:tc>
        <w:tc>
          <w:tcPr>
            <w:tcW w:w="1985" w:type="dxa"/>
            <w:tcBorders>
              <w:top w:val="single" w:sz="12" w:space="0" w:color="auto"/>
              <w:left w:val="single" w:sz="12" w:space="0" w:color="auto"/>
            </w:tcBorders>
          </w:tcPr>
          <w:p w14:paraId="7700804B" w14:textId="77777777" w:rsidR="00EC30E8" w:rsidRPr="002E3A04" w:rsidRDefault="00710A50" w:rsidP="002E3A04">
            <w:pPr>
              <w:pStyle w:val="Newparagraph"/>
              <w:ind w:firstLine="0"/>
            </w:pPr>
            <w:r w:rsidRPr="002E3A04">
              <w:rPr>
                <w:b/>
                <w:bCs/>
              </w:rPr>
              <w:t>Strong</w:t>
            </w:r>
            <w:r w:rsidR="003A56B5" w:rsidRPr="002E3A04">
              <w:rPr>
                <w:b/>
                <w:bCs/>
              </w:rPr>
              <w:t>.</w:t>
            </w:r>
            <w:r w:rsidR="00460A3E" w:rsidRPr="002E3A04">
              <w:t xml:space="preserve"> </w:t>
            </w:r>
          </w:p>
          <w:p w14:paraId="02716455" w14:textId="208DBCCB" w:rsidR="00F15E36" w:rsidRPr="002E3A04" w:rsidRDefault="00BC41A4" w:rsidP="002E3A04">
            <w:pPr>
              <w:pStyle w:val="Newparagraph"/>
              <w:ind w:firstLine="0"/>
            </w:pPr>
            <w:r w:rsidRPr="002E3A04">
              <w:t>Statutory</w:t>
            </w:r>
            <w:r w:rsidR="003A56B5" w:rsidRPr="002E3A04">
              <w:t xml:space="preserve"> obligations</w:t>
            </w:r>
            <w:r w:rsidR="00EC30E8" w:rsidRPr="002E3A04">
              <w:rPr>
                <w:vertAlign w:val="superscript"/>
              </w:rPr>
              <w:t>1,2,3,4,5</w:t>
            </w:r>
            <w:r w:rsidR="003A56B5" w:rsidRPr="002E3A04">
              <w:t>.</w:t>
            </w:r>
          </w:p>
        </w:tc>
      </w:tr>
      <w:tr w:rsidR="00720CCB" w:rsidRPr="00B15C35" w14:paraId="2BEA8246" w14:textId="77777777" w:rsidTr="00105D28">
        <w:tc>
          <w:tcPr>
            <w:tcW w:w="1844" w:type="dxa"/>
            <w:tcBorders>
              <w:right w:val="single" w:sz="12" w:space="0" w:color="auto"/>
            </w:tcBorders>
          </w:tcPr>
          <w:p w14:paraId="797D1597" w14:textId="0DDD9417" w:rsidR="00F15E36" w:rsidRPr="002E3A04" w:rsidRDefault="00393DE5" w:rsidP="002E3A04">
            <w:pPr>
              <w:pStyle w:val="Newparagraph"/>
              <w:ind w:firstLine="0"/>
            </w:pPr>
            <w:r w:rsidRPr="002E3A04">
              <w:t xml:space="preserve">Stress and </w:t>
            </w:r>
            <w:r w:rsidR="00474085" w:rsidRPr="002E3A04">
              <w:t>m</w:t>
            </w:r>
            <w:r w:rsidRPr="002E3A04">
              <w:t xml:space="preserve">ental </w:t>
            </w:r>
            <w:r w:rsidR="00474085" w:rsidRPr="002E3A04">
              <w:t>h</w:t>
            </w:r>
            <w:r w:rsidR="005C3883" w:rsidRPr="002E3A04">
              <w:t>ealth</w:t>
            </w:r>
            <w:r w:rsidRPr="002E3A04">
              <w:t xml:space="preserve"> </w:t>
            </w:r>
            <w:r w:rsidR="00474085" w:rsidRPr="002E3A04">
              <w:t>p</w:t>
            </w:r>
            <w:r w:rsidR="005C3883" w:rsidRPr="002E3A04">
              <w:t>roblems</w:t>
            </w:r>
          </w:p>
        </w:tc>
        <w:tc>
          <w:tcPr>
            <w:tcW w:w="4819" w:type="dxa"/>
            <w:tcBorders>
              <w:left w:val="single" w:sz="12" w:space="0" w:color="auto"/>
              <w:right w:val="single" w:sz="12" w:space="0" w:color="auto"/>
            </w:tcBorders>
          </w:tcPr>
          <w:p w14:paraId="4EB23625" w14:textId="63E17C17" w:rsidR="00F15E36" w:rsidRPr="002E3A04" w:rsidRDefault="005C3883" w:rsidP="002E3A04">
            <w:pPr>
              <w:pStyle w:val="Newparagraph"/>
              <w:ind w:firstLine="0"/>
            </w:pPr>
            <w:r w:rsidRPr="002E3A04">
              <w:t>27.8%</w:t>
            </w:r>
            <w:r w:rsidR="0089068E" w:rsidRPr="002E3A04">
              <w:t xml:space="preserve"> of respondents affected.</w:t>
            </w:r>
            <w:r w:rsidR="00E404EF" w:rsidRPr="002E3A04">
              <w:t xml:space="preserve"> Significant issue.</w:t>
            </w:r>
            <w:r w:rsidR="0051594A" w:rsidRPr="002E3A04">
              <w:t xml:space="preserve"> </w:t>
            </w:r>
            <w:r w:rsidR="005E4541" w:rsidRPr="002E3A04">
              <w:t>Consistent with findings for Spanish embryologists.</w:t>
            </w:r>
            <w:r w:rsidR="00F01173" w:rsidRPr="002E3A04">
              <w:t xml:space="preserve"> </w:t>
            </w:r>
            <w:r w:rsidR="001470B5" w:rsidRPr="002E3A04">
              <w:t xml:space="preserve">Evidence </w:t>
            </w:r>
            <w:r w:rsidR="000B66AC" w:rsidRPr="002E3A04">
              <w:t>that</w:t>
            </w:r>
            <w:r w:rsidR="00162C88" w:rsidRPr="002E3A04">
              <w:t xml:space="preserve"> high work demands</w:t>
            </w:r>
            <w:r w:rsidR="00061FBD" w:rsidRPr="002E3A04">
              <w:t>,</w:t>
            </w:r>
            <w:r w:rsidR="00162C88" w:rsidRPr="002E3A04">
              <w:t xml:space="preserve"> low work autonomy and low support</w:t>
            </w:r>
            <w:r w:rsidR="0002389F" w:rsidRPr="002E3A04">
              <w:t xml:space="preserve"> </w:t>
            </w:r>
            <w:r w:rsidR="000B66AC" w:rsidRPr="002E3A04">
              <w:t xml:space="preserve">play a role </w:t>
            </w:r>
            <w:r w:rsidR="0002389F" w:rsidRPr="002E3A04">
              <w:t xml:space="preserve">in </w:t>
            </w:r>
            <w:r w:rsidR="00490847" w:rsidRPr="002E3A04">
              <w:t>work-related stress</w:t>
            </w:r>
            <w:r w:rsidR="0002389F" w:rsidRPr="002E3A04">
              <w:t>.</w:t>
            </w:r>
          </w:p>
        </w:tc>
        <w:tc>
          <w:tcPr>
            <w:tcW w:w="1276" w:type="dxa"/>
            <w:tcBorders>
              <w:left w:val="single" w:sz="12" w:space="0" w:color="auto"/>
              <w:right w:val="single" w:sz="12" w:space="0" w:color="auto"/>
            </w:tcBorders>
          </w:tcPr>
          <w:p w14:paraId="25D3FFB0" w14:textId="2D258A14" w:rsidR="00F15E36" w:rsidRPr="002E3A04" w:rsidRDefault="0051594A" w:rsidP="002E3A04">
            <w:pPr>
              <w:pStyle w:val="Newparagraph"/>
              <w:ind w:firstLine="0"/>
            </w:pPr>
            <w:r w:rsidRPr="002E3A04">
              <w:t>High</w:t>
            </w:r>
          </w:p>
        </w:tc>
        <w:tc>
          <w:tcPr>
            <w:tcW w:w="5953" w:type="dxa"/>
            <w:tcBorders>
              <w:left w:val="single" w:sz="12" w:space="0" w:color="auto"/>
              <w:right w:val="single" w:sz="12" w:space="0" w:color="auto"/>
            </w:tcBorders>
          </w:tcPr>
          <w:p w14:paraId="099EF2F6" w14:textId="77777777" w:rsidR="00D6316B" w:rsidRPr="002E3A04" w:rsidRDefault="00D6316B" w:rsidP="002E3A04">
            <w:pPr>
              <w:pStyle w:val="Newparagraph"/>
              <w:ind w:firstLine="0"/>
              <w:rPr>
                <w:b/>
                <w:bCs/>
              </w:rPr>
            </w:pPr>
            <w:r w:rsidRPr="002E3A04">
              <w:rPr>
                <w:b/>
                <w:bCs/>
              </w:rPr>
              <w:t xml:space="preserve">Proactive approach required. </w:t>
            </w:r>
          </w:p>
          <w:p w14:paraId="4F208453" w14:textId="013DD6C9" w:rsidR="00162C88" w:rsidRPr="002E3A04" w:rsidRDefault="00162C88" w:rsidP="002E3A04">
            <w:pPr>
              <w:pStyle w:val="Newparagraph"/>
              <w:ind w:firstLine="0"/>
            </w:pPr>
            <w:r w:rsidRPr="002E3A04">
              <w:t>Raise awareness</w:t>
            </w:r>
            <w:r w:rsidR="00061FBD" w:rsidRPr="002E3A04">
              <w:t xml:space="preserve"> of workplace stress.</w:t>
            </w:r>
          </w:p>
          <w:p w14:paraId="60F3DF13" w14:textId="751ED336" w:rsidR="00F15E36" w:rsidRPr="002E3A04" w:rsidRDefault="00162C88" w:rsidP="002E3A04">
            <w:pPr>
              <w:pStyle w:val="Newparagraph"/>
              <w:ind w:firstLine="0"/>
            </w:pPr>
            <w:r w:rsidRPr="002E3A04">
              <w:t xml:space="preserve">Risk assess using </w:t>
            </w:r>
            <w:r w:rsidR="00061FBD" w:rsidRPr="002E3A04">
              <w:t xml:space="preserve">appropriate </w:t>
            </w:r>
            <w:r w:rsidR="0020504F" w:rsidRPr="002E3A04">
              <w:t xml:space="preserve">assessment </w:t>
            </w:r>
            <w:r w:rsidRPr="002E3A04">
              <w:t>tools</w:t>
            </w:r>
            <w:r w:rsidR="00061FBD" w:rsidRPr="002E3A04">
              <w:t>.</w:t>
            </w:r>
          </w:p>
          <w:p w14:paraId="79D3E2E3" w14:textId="3C9F4F79" w:rsidR="0055754F" w:rsidRPr="002E3A04" w:rsidRDefault="001D1E5C" w:rsidP="002E3A04">
            <w:pPr>
              <w:pStyle w:val="Newparagraph"/>
              <w:ind w:firstLine="0"/>
            </w:pPr>
            <w:r w:rsidRPr="002E3A04">
              <w:t>Appropriate changes in work environment and/or processes</w:t>
            </w:r>
            <w:r w:rsidR="00DA6629" w:rsidRPr="002E3A04">
              <w:t xml:space="preserve"> if required</w:t>
            </w:r>
            <w:r w:rsidRPr="002E3A04">
              <w:t>.</w:t>
            </w:r>
          </w:p>
          <w:p w14:paraId="29EF0B05" w14:textId="66843AE2" w:rsidR="00162C88" w:rsidRPr="002E3A04" w:rsidRDefault="00162C88" w:rsidP="002E3A04">
            <w:pPr>
              <w:pStyle w:val="Newparagraph"/>
              <w:ind w:firstLine="0"/>
            </w:pPr>
            <w:r w:rsidRPr="002E3A04">
              <w:t>Support and mentor those at risk</w:t>
            </w:r>
            <w:r w:rsidR="00061FBD" w:rsidRPr="002E3A04">
              <w:t>.</w:t>
            </w:r>
          </w:p>
          <w:p w14:paraId="5104B909" w14:textId="50B42928" w:rsidR="00061FBD" w:rsidRPr="002E3A04" w:rsidRDefault="00162C88" w:rsidP="002E3A04">
            <w:pPr>
              <w:pStyle w:val="Newparagraph"/>
              <w:ind w:firstLine="0"/>
            </w:pPr>
            <w:r w:rsidRPr="002E3A04">
              <w:lastRenderedPageBreak/>
              <w:t xml:space="preserve">Treat and </w:t>
            </w:r>
            <w:r w:rsidR="00061FBD" w:rsidRPr="002E3A04">
              <w:t xml:space="preserve">cautiously </w:t>
            </w:r>
            <w:r w:rsidRPr="002E3A04">
              <w:t xml:space="preserve">reintegrate </w:t>
            </w:r>
            <w:r w:rsidR="00061FBD" w:rsidRPr="002E3A04">
              <w:t xml:space="preserve">those </w:t>
            </w:r>
            <w:r w:rsidRPr="002E3A04">
              <w:t>affected</w:t>
            </w:r>
            <w:r w:rsidR="00061FBD" w:rsidRPr="002E3A04">
              <w:t>.</w:t>
            </w:r>
          </w:p>
        </w:tc>
        <w:tc>
          <w:tcPr>
            <w:tcW w:w="1985" w:type="dxa"/>
            <w:tcBorders>
              <w:left w:val="single" w:sz="12" w:space="0" w:color="auto"/>
            </w:tcBorders>
          </w:tcPr>
          <w:p w14:paraId="65428D16" w14:textId="77777777" w:rsidR="00EC30E8" w:rsidRPr="002E3A04" w:rsidRDefault="00460A3E" w:rsidP="002E3A04">
            <w:pPr>
              <w:pStyle w:val="Newparagraph"/>
              <w:ind w:firstLine="0"/>
            </w:pPr>
            <w:r w:rsidRPr="002E3A04">
              <w:rPr>
                <w:b/>
                <w:bCs/>
              </w:rPr>
              <w:lastRenderedPageBreak/>
              <w:t>Strong</w:t>
            </w:r>
            <w:r w:rsidR="003A56B5" w:rsidRPr="002E3A04">
              <w:rPr>
                <w:b/>
                <w:bCs/>
              </w:rPr>
              <w:t>.</w:t>
            </w:r>
            <w:r w:rsidR="003A56B5" w:rsidRPr="002E3A04">
              <w:t xml:space="preserve"> </w:t>
            </w:r>
          </w:p>
          <w:p w14:paraId="3D3B6DA7" w14:textId="2B161FA9" w:rsidR="00F15E36" w:rsidRPr="002E3A04" w:rsidRDefault="00BC41A4" w:rsidP="002E3A04">
            <w:pPr>
              <w:pStyle w:val="Newparagraph"/>
              <w:ind w:firstLine="0"/>
            </w:pPr>
            <w:r w:rsidRPr="002E3A04">
              <w:t>Statutory</w:t>
            </w:r>
            <w:r w:rsidR="003A56B5" w:rsidRPr="002E3A04">
              <w:t xml:space="preserve"> obligations</w:t>
            </w:r>
            <w:r w:rsidR="00EC30E8" w:rsidRPr="002E3A04">
              <w:rPr>
                <w:vertAlign w:val="superscript"/>
              </w:rPr>
              <w:t>1,2</w:t>
            </w:r>
            <w:r w:rsidR="003A56B5" w:rsidRPr="002E3A04">
              <w:t>.</w:t>
            </w:r>
          </w:p>
        </w:tc>
      </w:tr>
      <w:tr w:rsidR="00720CCB" w:rsidRPr="00B15C35" w14:paraId="0ED43E59" w14:textId="77777777" w:rsidTr="00105D28">
        <w:tc>
          <w:tcPr>
            <w:tcW w:w="1844" w:type="dxa"/>
            <w:tcBorders>
              <w:right w:val="single" w:sz="12" w:space="0" w:color="auto"/>
            </w:tcBorders>
          </w:tcPr>
          <w:p w14:paraId="30D82AF2" w14:textId="2838F66F" w:rsidR="00F15E36" w:rsidRPr="002E3A04" w:rsidRDefault="00CD2174" w:rsidP="002E3A04">
            <w:pPr>
              <w:pStyle w:val="Newparagraph"/>
              <w:ind w:firstLine="0"/>
            </w:pPr>
            <w:r w:rsidRPr="002E3A04">
              <w:t>Occular</w:t>
            </w:r>
            <w:r w:rsidR="00257019" w:rsidRPr="002E3A04">
              <w:t xml:space="preserve"> problems</w:t>
            </w:r>
          </w:p>
        </w:tc>
        <w:tc>
          <w:tcPr>
            <w:tcW w:w="4819" w:type="dxa"/>
            <w:tcBorders>
              <w:left w:val="single" w:sz="12" w:space="0" w:color="auto"/>
              <w:right w:val="single" w:sz="12" w:space="0" w:color="auto"/>
            </w:tcBorders>
          </w:tcPr>
          <w:p w14:paraId="6FF44F91" w14:textId="7248E8F4" w:rsidR="00F15E36" w:rsidRPr="002E3A04" w:rsidRDefault="005C3883" w:rsidP="002E3A04">
            <w:pPr>
              <w:pStyle w:val="Newparagraph"/>
              <w:ind w:firstLine="0"/>
            </w:pPr>
            <w:r w:rsidRPr="002E3A04">
              <w:t>12.1%</w:t>
            </w:r>
            <w:r w:rsidR="0089068E" w:rsidRPr="002E3A04">
              <w:t xml:space="preserve"> of respondents affected</w:t>
            </w:r>
            <w:r w:rsidR="00257019" w:rsidRPr="002E3A04">
              <w:t>. Evidence that near-work causes myopia, that microscopy in clean rooms can cause eye fatigue and dry eye.</w:t>
            </w:r>
          </w:p>
        </w:tc>
        <w:tc>
          <w:tcPr>
            <w:tcW w:w="1276" w:type="dxa"/>
            <w:tcBorders>
              <w:left w:val="single" w:sz="12" w:space="0" w:color="auto"/>
              <w:right w:val="single" w:sz="12" w:space="0" w:color="auto"/>
            </w:tcBorders>
          </w:tcPr>
          <w:p w14:paraId="0A9D5CB9" w14:textId="6D25B74A" w:rsidR="00F15E36" w:rsidRPr="002E3A04" w:rsidRDefault="00D6316B" w:rsidP="002E3A04">
            <w:pPr>
              <w:pStyle w:val="Newparagraph"/>
              <w:ind w:firstLine="0"/>
            </w:pPr>
            <w:r w:rsidRPr="002E3A04">
              <w:t>High</w:t>
            </w:r>
          </w:p>
        </w:tc>
        <w:tc>
          <w:tcPr>
            <w:tcW w:w="5953" w:type="dxa"/>
            <w:tcBorders>
              <w:left w:val="single" w:sz="12" w:space="0" w:color="auto"/>
              <w:right w:val="single" w:sz="12" w:space="0" w:color="auto"/>
            </w:tcBorders>
          </w:tcPr>
          <w:p w14:paraId="7DBA9CAE" w14:textId="77777777" w:rsidR="00F15E36" w:rsidRPr="002E3A04" w:rsidRDefault="00DA6629" w:rsidP="002E3A04">
            <w:pPr>
              <w:pStyle w:val="Newparagraph"/>
              <w:ind w:firstLine="0"/>
            </w:pPr>
            <w:r w:rsidRPr="002E3A04">
              <w:t>Ensure adequate lighting.</w:t>
            </w:r>
          </w:p>
          <w:p w14:paraId="51FAE02D" w14:textId="2ED2EA4A" w:rsidR="00BC41A4" w:rsidRPr="002E3A04" w:rsidRDefault="00DA6629" w:rsidP="002E3A04">
            <w:pPr>
              <w:pStyle w:val="Newparagraph"/>
              <w:ind w:firstLine="0"/>
            </w:pPr>
            <w:r w:rsidRPr="002E3A04">
              <w:t>Ensure adequate breaks</w:t>
            </w:r>
            <w:r w:rsidR="00BC41A4" w:rsidRPr="002E3A04">
              <w:t xml:space="preserve"> with opportunity to readjust focus to distant objects.</w:t>
            </w:r>
          </w:p>
        </w:tc>
        <w:tc>
          <w:tcPr>
            <w:tcW w:w="1985" w:type="dxa"/>
            <w:tcBorders>
              <w:left w:val="single" w:sz="12" w:space="0" w:color="auto"/>
            </w:tcBorders>
          </w:tcPr>
          <w:p w14:paraId="29AECC61" w14:textId="77777777" w:rsidR="00EC30E8" w:rsidRPr="002E3A04" w:rsidRDefault="00257019" w:rsidP="002E3A04">
            <w:pPr>
              <w:pStyle w:val="Newparagraph"/>
              <w:ind w:firstLine="0"/>
            </w:pPr>
            <w:r w:rsidRPr="002E3A04">
              <w:rPr>
                <w:b/>
                <w:bCs/>
              </w:rPr>
              <w:t>Strong</w:t>
            </w:r>
            <w:r w:rsidR="003A56B5" w:rsidRPr="002E3A04">
              <w:rPr>
                <w:b/>
                <w:bCs/>
              </w:rPr>
              <w:t>.</w:t>
            </w:r>
            <w:r w:rsidR="003A56B5" w:rsidRPr="002E3A04">
              <w:t xml:space="preserve"> </w:t>
            </w:r>
          </w:p>
          <w:p w14:paraId="2076F651" w14:textId="688551C6" w:rsidR="00F15E36" w:rsidRPr="002E3A04" w:rsidRDefault="00BC41A4" w:rsidP="002E3A04">
            <w:pPr>
              <w:pStyle w:val="Newparagraph"/>
              <w:ind w:firstLine="0"/>
            </w:pPr>
            <w:r w:rsidRPr="002E3A04">
              <w:t>Statutory</w:t>
            </w:r>
            <w:r w:rsidR="00257019" w:rsidRPr="002E3A04">
              <w:t xml:space="preserve"> obligation</w:t>
            </w:r>
            <w:r w:rsidR="003A56B5" w:rsidRPr="002E3A04">
              <w:t>s</w:t>
            </w:r>
            <w:r w:rsidR="00A0243F" w:rsidRPr="002E3A04">
              <w:rPr>
                <w:vertAlign w:val="superscript"/>
              </w:rPr>
              <w:t>1,2,3</w:t>
            </w:r>
            <w:r w:rsidR="003A56B5" w:rsidRPr="002E3A04">
              <w:t>.</w:t>
            </w:r>
          </w:p>
        </w:tc>
      </w:tr>
      <w:tr w:rsidR="00720CCB" w:rsidRPr="00B15C35" w14:paraId="31138636" w14:textId="77777777" w:rsidTr="00105D28">
        <w:tc>
          <w:tcPr>
            <w:tcW w:w="1844" w:type="dxa"/>
            <w:tcBorders>
              <w:right w:val="single" w:sz="12" w:space="0" w:color="auto"/>
            </w:tcBorders>
          </w:tcPr>
          <w:p w14:paraId="7F68834B" w14:textId="5D9735AB" w:rsidR="00F15E36" w:rsidRPr="002E3A04" w:rsidRDefault="00CD2174" w:rsidP="002E3A04">
            <w:pPr>
              <w:pStyle w:val="Newparagraph"/>
              <w:ind w:firstLine="0"/>
            </w:pPr>
            <w:r w:rsidRPr="002E3A04">
              <w:t>Auditory</w:t>
            </w:r>
            <w:r w:rsidR="00257019" w:rsidRPr="002E3A04">
              <w:t xml:space="preserve"> problems</w:t>
            </w:r>
          </w:p>
        </w:tc>
        <w:tc>
          <w:tcPr>
            <w:tcW w:w="4819" w:type="dxa"/>
            <w:tcBorders>
              <w:left w:val="single" w:sz="12" w:space="0" w:color="auto"/>
              <w:right w:val="single" w:sz="12" w:space="0" w:color="auto"/>
            </w:tcBorders>
          </w:tcPr>
          <w:p w14:paraId="6781BF77" w14:textId="6016DA6B" w:rsidR="00F15E36" w:rsidRPr="002E3A04" w:rsidRDefault="005C3883" w:rsidP="002E3A04">
            <w:pPr>
              <w:pStyle w:val="Newparagraph"/>
              <w:ind w:firstLine="0"/>
            </w:pPr>
            <w:r w:rsidRPr="002E3A04">
              <w:t>3.6%</w:t>
            </w:r>
            <w:r w:rsidR="0089068E" w:rsidRPr="002E3A04">
              <w:t xml:space="preserve"> of respondents affected.</w:t>
            </w:r>
            <w:r w:rsidR="00252BB8" w:rsidRPr="002E3A04">
              <w:t xml:space="preserve"> Evidence that hearing loss can be induced by noise</w:t>
            </w:r>
            <w:r w:rsidR="00207BA9" w:rsidRPr="002E3A04">
              <w:t>, and that noise contributes to workplace stress.</w:t>
            </w:r>
          </w:p>
        </w:tc>
        <w:tc>
          <w:tcPr>
            <w:tcW w:w="1276" w:type="dxa"/>
            <w:tcBorders>
              <w:left w:val="single" w:sz="12" w:space="0" w:color="auto"/>
              <w:right w:val="single" w:sz="12" w:space="0" w:color="auto"/>
            </w:tcBorders>
          </w:tcPr>
          <w:p w14:paraId="779B35BB" w14:textId="65801F1D" w:rsidR="00F15E36" w:rsidRPr="002E3A04" w:rsidRDefault="00D6316B" w:rsidP="002E3A04">
            <w:pPr>
              <w:pStyle w:val="Newparagraph"/>
              <w:ind w:firstLine="0"/>
            </w:pPr>
            <w:r w:rsidRPr="002E3A04">
              <w:t>High</w:t>
            </w:r>
          </w:p>
        </w:tc>
        <w:tc>
          <w:tcPr>
            <w:tcW w:w="5953" w:type="dxa"/>
            <w:tcBorders>
              <w:left w:val="single" w:sz="12" w:space="0" w:color="auto"/>
              <w:right w:val="single" w:sz="12" w:space="0" w:color="auto"/>
            </w:tcBorders>
          </w:tcPr>
          <w:p w14:paraId="701C828E" w14:textId="11ECD128" w:rsidR="00F15E36" w:rsidRPr="002E3A04" w:rsidRDefault="00D6316B" w:rsidP="002E3A04">
            <w:pPr>
              <w:pStyle w:val="Newparagraph"/>
              <w:ind w:firstLine="0"/>
            </w:pPr>
            <w:r w:rsidRPr="002E3A04">
              <w:t>Measure noise in work environments.</w:t>
            </w:r>
          </w:p>
          <w:p w14:paraId="1655BB12" w14:textId="594046E6" w:rsidR="005C019D" w:rsidRPr="002E3A04" w:rsidRDefault="005C019D" w:rsidP="002E3A04">
            <w:pPr>
              <w:pStyle w:val="Newparagraph"/>
              <w:ind w:firstLine="0"/>
            </w:pPr>
            <w:r w:rsidRPr="002E3A04">
              <w:t>Average 80dB or peak 135dB are statutory thresholds for action.</w:t>
            </w:r>
          </w:p>
          <w:p w14:paraId="186950A8" w14:textId="73FFB949" w:rsidR="00D6316B" w:rsidRPr="002E3A04" w:rsidRDefault="00D6316B" w:rsidP="002E3A04">
            <w:pPr>
              <w:pStyle w:val="Newparagraph"/>
              <w:ind w:firstLine="0"/>
            </w:pPr>
            <w:r w:rsidRPr="002E3A04">
              <w:t>Provide hearing protection if necessary or requested.</w:t>
            </w:r>
          </w:p>
        </w:tc>
        <w:tc>
          <w:tcPr>
            <w:tcW w:w="1985" w:type="dxa"/>
            <w:tcBorders>
              <w:left w:val="single" w:sz="12" w:space="0" w:color="auto"/>
            </w:tcBorders>
          </w:tcPr>
          <w:p w14:paraId="7E3EA311" w14:textId="77777777" w:rsidR="00EC30E8" w:rsidRPr="002E3A04" w:rsidRDefault="003A56B5" w:rsidP="002E3A04">
            <w:pPr>
              <w:pStyle w:val="Newparagraph"/>
              <w:ind w:firstLine="0"/>
            </w:pPr>
            <w:r w:rsidRPr="002E3A04">
              <w:rPr>
                <w:b/>
                <w:bCs/>
              </w:rPr>
              <w:t>Strong</w:t>
            </w:r>
            <w:r w:rsidR="00EC30E8" w:rsidRPr="002E3A04">
              <w:rPr>
                <w:b/>
                <w:bCs/>
              </w:rPr>
              <w:t>.</w:t>
            </w:r>
            <w:r w:rsidR="00EC30E8" w:rsidRPr="002E3A04">
              <w:t xml:space="preserve"> </w:t>
            </w:r>
          </w:p>
          <w:p w14:paraId="1B47EB1D" w14:textId="7B41B41B" w:rsidR="00F15E36" w:rsidRPr="002E3A04" w:rsidRDefault="00BC41A4" w:rsidP="002E3A04">
            <w:pPr>
              <w:pStyle w:val="Newparagraph"/>
              <w:ind w:firstLine="0"/>
            </w:pPr>
            <w:r w:rsidRPr="002E3A04">
              <w:t>Statutory</w:t>
            </w:r>
            <w:r w:rsidR="00EC30E8" w:rsidRPr="002E3A04">
              <w:t xml:space="preserve"> obligations</w:t>
            </w:r>
            <w:r w:rsidR="0071746B" w:rsidRPr="002E3A04">
              <w:rPr>
                <w:vertAlign w:val="superscript"/>
              </w:rPr>
              <w:t>1,2,6</w:t>
            </w:r>
            <w:r w:rsidR="00EC30E8" w:rsidRPr="002E3A04">
              <w:t>.</w:t>
            </w:r>
          </w:p>
        </w:tc>
      </w:tr>
      <w:tr w:rsidR="00720CCB" w:rsidRPr="00B15C35" w14:paraId="2EEFAD5F" w14:textId="77777777" w:rsidTr="00105D28">
        <w:tc>
          <w:tcPr>
            <w:tcW w:w="1844" w:type="dxa"/>
            <w:tcBorders>
              <w:right w:val="single" w:sz="12" w:space="0" w:color="auto"/>
            </w:tcBorders>
          </w:tcPr>
          <w:p w14:paraId="551094D1" w14:textId="50146679" w:rsidR="00F15E36" w:rsidRPr="002E3A04" w:rsidRDefault="00393DE5" w:rsidP="002E3A04">
            <w:pPr>
              <w:pStyle w:val="Newparagraph"/>
              <w:ind w:firstLine="0"/>
            </w:pPr>
            <w:r w:rsidRPr="002E3A04">
              <w:t xml:space="preserve">Needlestick </w:t>
            </w:r>
            <w:r w:rsidR="00474085" w:rsidRPr="002E3A04">
              <w:t>i</w:t>
            </w:r>
            <w:r w:rsidRPr="002E3A04">
              <w:t>njuries</w:t>
            </w:r>
          </w:p>
        </w:tc>
        <w:tc>
          <w:tcPr>
            <w:tcW w:w="4819" w:type="dxa"/>
            <w:tcBorders>
              <w:left w:val="single" w:sz="12" w:space="0" w:color="auto"/>
              <w:right w:val="single" w:sz="12" w:space="0" w:color="auto"/>
            </w:tcBorders>
          </w:tcPr>
          <w:p w14:paraId="7829EF89" w14:textId="32EE77A4" w:rsidR="00F15E36" w:rsidRPr="002E3A04" w:rsidRDefault="005C3883" w:rsidP="002E3A04">
            <w:pPr>
              <w:pStyle w:val="Newparagraph"/>
              <w:ind w:firstLine="0"/>
            </w:pPr>
            <w:r w:rsidRPr="002E3A04">
              <w:t>3.1%</w:t>
            </w:r>
            <w:r w:rsidR="0089068E" w:rsidRPr="002E3A04">
              <w:t xml:space="preserve"> of respondents affected</w:t>
            </w:r>
            <w:r w:rsidR="00494C02" w:rsidRPr="002E3A04">
              <w:t>. NSI are a route of transmission of blood born viruses and evidence shows the experience of a NSI can cause mental health problems.</w:t>
            </w:r>
          </w:p>
        </w:tc>
        <w:tc>
          <w:tcPr>
            <w:tcW w:w="1276" w:type="dxa"/>
            <w:tcBorders>
              <w:left w:val="single" w:sz="12" w:space="0" w:color="auto"/>
              <w:right w:val="single" w:sz="12" w:space="0" w:color="auto"/>
            </w:tcBorders>
          </w:tcPr>
          <w:p w14:paraId="7BD76442" w14:textId="464F514F" w:rsidR="00F15E36" w:rsidRPr="002E3A04" w:rsidRDefault="00494C02" w:rsidP="002E3A04">
            <w:pPr>
              <w:pStyle w:val="Newparagraph"/>
              <w:ind w:firstLine="0"/>
            </w:pPr>
            <w:r w:rsidRPr="002E3A04">
              <w:t>High</w:t>
            </w:r>
          </w:p>
        </w:tc>
        <w:tc>
          <w:tcPr>
            <w:tcW w:w="5953" w:type="dxa"/>
            <w:tcBorders>
              <w:left w:val="single" w:sz="12" w:space="0" w:color="auto"/>
              <w:right w:val="single" w:sz="12" w:space="0" w:color="auto"/>
            </w:tcBorders>
          </w:tcPr>
          <w:p w14:paraId="2CCE9C7E" w14:textId="0B8B74CE" w:rsidR="009022B2" w:rsidRPr="002E3A04" w:rsidRDefault="009022B2" w:rsidP="002E3A04">
            <w:pPr>
              <w:pStyle w:val="Newparagraph"/>
              <w:ind w:firstLine="0"/>
            </w:pPr>
            <w:r w:rsidRPr="002E3A04">
              <w:t>Reduce use of sharps to a minimum.</w:t>
            </w:r>
          </w:p>
          <w:p w14:paraId="5EB979E9" w14:textId="000CB80A" w:rsidR="009022B2" w:rsidRPr="002E3A04" w:rsidRDefault="009022B2" w:rsidP="002E3A04">
            <w:pPr>
              <w:pStyle w:val="Newparagraph"/>
              <w:ind w:firstLine="0"/>
            </w:pPr>
            <w:r w:rsidRPr="002E3A04">
              <w:t>Minimise workplace stress.</w:t>
            </w:r>
          </w:p>
          <w:p w14:paraId="41945F02" w14:textId="02FD09C4" w:rsidR="00F15E36" w:rsidRPr="002E3A04" w:rsidRDefault="009022B2" w:rsidP="002E3A04">
            <w:pPr>
              <w:pStyle w:val="Newparagraph"/>
              <w:ind w:firstLine="0"/>
            </w:pPr>
            <w:r w:rsidRPr="002E3A04">
              <w:t>Provide training and information.</w:t>
            </w:r>
          </w:p>
          <w:p w14:paraId="112E442C" w14:textId="406C452C" w:rsidR="009022B2" w:rsidRPr="002E3A04" w:rsidRDefault="009022B2" w:rsidP="002E3A04">
            <w:pPr>
              <w:pStyle w:val="Newparagraph"/>
              <w:ind w:firstLine="0"/>
            </w:pPr>
            <w:r w:rsidRPr="002E3A04">
              <w:t>Provide adequate disposal facilities.</w:t>
            </w:r>
          </w:p>
        </w:tc>
        <w:tc>
          <w:tcPr>
            <w:tcW w:w="1985" w:type="dxa"/>
            <w:tcBorders>
              <w:left w:val="single" w:sz="12" w:space="0" w:color="auto"/>
            </w:tcBorders>
          </w:tcPr>
          <w:p w14:paraId="3681AF45" w14:textId="77777777" w:rsidR="00EC30E8" w:rsidRPr="002E3A04" w:rsidRDefault="003A56B5" w:rsidP="002E3A04">
            <w:pPr>
              <w:pStyle w:val="Newparagraph"/>
              <w:ind w:firstLine="0"/>
            </w:pPr>
            <w:r w:rsidRPr="002E3A04">
              <w:rPr>
                <w:b/>
                <w:bCs/>
              </w:rPr>
              <w:t>Strong</w:t>
            </w:r>
            <w:r w:rsidR="00EC30E8" w:rsidRPr="002E3A04">
              <w:rPr>
                <w:b/>
                <w:bCs/>
              </w:rPr>
              <w:t>.</w:t>
            </w:r>
            <w:r w:rsidR="00EC30E8" w:rsidRPr="002E3A04">
              <w:t xml:space="preserve"> </w:t>
            </w:r>
          </w:p>
          <w:p w14:paraId="36F9F9C4" w14:textId="47B99E96" w:rsidR="00F15E36" w:rsidRPr="002E3A04" w:rsidRDefault="00BC41A4" w:rsidP="002E3A04">
            <w:pPr>
              <w:pStyle w:val="Newparagraph"/>
              <w:ind w:firstLine="0"/>
            </w:pPr>
            <w:r w:rsidRPr="002E3A04">
              <w:t>Statutory</w:t>
            </w:r>
            <w:r w:rsidR="00EC30E8" w:rsidRPr="002E3A04">
              <w:t xml:space="preserve"> obligations</w:t>
            </w:r>
            <w:r w:rsidR="0071746B" w:rsidRPr="002E3A04">
              <w:rPr>
                <w:vertAlign w:val="superscript"/>
              </w:rPr>
              <w:t>1,2</w:t>
            </w:r>
            <w:r w:rsidR="00DC5E46" w:rsidRPr="002E3A04">
              <w:rPr>
                <w:vertAlign w:val="superscript"/>
              </w:rPr>
              <w:t>,7,8</w:t>
            </w:r>
            <w:r w:rsidR="00EC30E8" w:rsidRPr="002E3A04">
              <w:t>.</w:t>
            </w:r>
          </w:p>
        </w:tc>
      </w:tr>
      <w:tr w:rsidR="00720CCB" w:rsidRPr="00B15C35" w14:paraId="590A4192" w14:textId="77777777" w:rsidTr="00105D28">
        <w:tc>
          <w:tcPr>
            <w:tcW w:w="1844" w:type="dxa"/>
            <w:tcBorders>
              <w:right w:val="single" w:sz="12" w:space="0" w:color="auto"/>
            </w:tcBorders>
          </w:tcPr>
          <w:p w14:paraId="404D5E6E" w14:textId="5B75906F" w:rsidR="00F15E36" w:rsidRPr="002E3A04" w:rsidRDefault="00474085" w:rsidP="002E3A04">
            <w:pPr>
              <w:pStyle w:val="Newparagraph"/>
              <w:ind w:firstLine="0"/>
            </w:pPr>
            <w:r w:rsidRPr="002E3A04">
              <w:t>Liquid</w:t>
            </w:r>
            <w:r w:rsidR="00393DE5" w:rsidRPr="002E3A04">
              <w:t xml:space="preserve"> </w:t>
            </w:r>
            <w:r w:rsidRPr="002E3A04">
              <w:t>n</w:t>
            </w:r>
            <w:r w:rsidR="00393DE5" w:rsidRPr="002E3A04">
              <w:t xml:space="preserve">itrogen associated </w:t>
            </w:r>
            <w:r w:rsidRPr="002E3A04">
              <w:t>i</w:t>
            </w:r>
            <w:r w:rsidR="00393DE5" w:rsidRPr="002E3A04">
              <w:t>njuries</w:t>
            </w:r>
          </w:p>
        </w:tc>
        <w:tc>
          <w:tcPr>
            <w:tcW w:w="4819" w:type="dxa"/>
            <w:tcBorders>
              <w:left w:val="single" w:sz="12" w:space="0" w:color="auto"/>
              <w:bottom w:val="single" w:sz="12" w:space="0" w:color="auto"/>
              <w:right w:val="single" w:sz="12" w:space="0" w:color="auto"/>
            </w:tcBorders>
          </w:tcPr>
          <w:p w14:paraId="732C6E4F" w14:textId="1143B132" w:rsidR="00F15E36" w:rsidRPr="002E3A04" w:rsidRDefault="005C3883" w:rsidP="002E3A04">
            <w:pPr>
              <w:pStyle w:val="Newparagraph"/>
              <w:ind w:firstLine="0"/>
            </w:pPr>
            <w:r w:rsidRPr="002E3A04">
              <w:t>3.1%</w:t>
            </w:r>
            <w:r w:rsidR="0089068E" w:rsidRPr="002E3A04">
              <w:t xml:space="preserve"> of respondents affected.</w:t>
            </w:r>
            <w:r w:rsidR="00494C02" w:rsidRPr="002E3A04">
              <w:t xml:space="preserve"> Evidence shows </w:t>
            </w:r>
            <w:r w:rsidR="005C120A" w:rsidRPr="002E3A04">
              <w:t>fatal asphyxiation</w:t>
            </w:r>
            <w:r w:rsidR="00494C02" w:rsidRPr="002E3A04">
              <w:t xml:space="preserve"> and serious frostbite injury has occurred </w:t>
            </w:r>
            <w:r w:rsidR="005C120A" w:rsidRPr="002E3A04">
              <w:t>following</w:t>
            </w:r>
            <w:r w:rsidR="00494C02" w:rsidRPr="002E3A04">
              <w:t xml:space="preserve"> workplace incidents.</w:t>
            </w:r>
          </w:p>
        </w:tc>
        <w:tc>
          <w:tcPr>
            <w:tcW w:w="1276" w:type="dxa"/>
            <w:tcBorders>
              <w:left w:val="single" w:sz="12" w:space="0" w:color="auto"/>
              <w:right w:val="single" w:sz="12" w:space="0" w:color="auto"/>
            </w:tcBorders>
          </w:tcPr>
          <w:p w14:paraId="0A90D06D" w14:textId="5D84ECB2" w:rsidR="00F15E36" w:rsidRPr="002E3A04" w:rsidRDefault="00494C02" w:rsidP="002E3A04">
            <w:pPr>
              <w:pStyle w:val="Newparagraph"/>
              <w:ind w:firstLine="0"/>
            </w:pPr>
            <w:r w:rsidRPr="002E3A04">
              <w:t>High</w:t>
            </w:r>
          </w:p>
        </w:tc>
        <w:tc>
          <w:tcPr>
            <w:tcW w:w="5953" w:type="dxa"/>
            <w:tcBorders>
              <w:left w:val="single" w:sz="12" w:space="0" w:color="auto"/>
              <w:bottom w:val="single" w:sz="12" w:space="0" w:color="auto"/>
              <w:right w:val="single" w:sz="12" w:space="0" w:color="auto"/>
            </w:tcBorders>
          </w:tcPr>
          <w:p w14:paraId="4DC1D33D" w14:textId="25FF54DD" w:rsidR="00F15E36" w:rsidRPr="002E3A04" w:rsidRDefault="005661C0" w:rsidP="002E3A04">
            <w:pPr>
              <w:pStyle w:val="Newparagraph"/>
              <w:ind w:firstLine="0"/>
            </w:pPr>
            <w:r w:rsidRPr="002E3A04">
              <w:t>Risk assess all activities and reduce/control risks.</w:t>
            </w:r>
          </w:p>
          <w:p w14:paraId="37B294D5" w14:textId="77777777" w:rsidR="005661C0" w:rsidRPr="002E3A04" w:rsidRDefault="005661C0" w:rsidP="002E3A04">
            <w:pPr>
              <w:pStyle w:val="Newparagraph"/>
              <w:ind w:firstLine="0"/>
            </w:pPr>
            <w:r w:rsidRPr="002E3A04">
              <w:t>Provide training and PPE.</w:t>
            </w:r>
          </w:p>
          <w:p w14:paraId="7098A5A9" w14:textId="64569AC1" w:rsidR="005661C0" w:rsidRPr="002E3A04" w:rsidRDefault="005661C0" w:rsidP="002E3A04">
            <w:pPr>
              <w:pStyle w:val="Newparagraph"/>
              <w:ind w:firstLine="0"/>
            </w:pPr>
            <w:r w:rsidRPr="002E3A04">
              <w:t>Monitor oxygen levels and provide adequate ventilation.</w:t>
            </w:r>
          </w:p>
        </w:tc>
        <w:tc>
          <w:tcPr>
            <w:tcW w:w="1985" w:type="dxa"/>
            <w:tcBorders>
              <w:left w:val="single" w:sz="12" w:space="0" w:color="auto"/>
            </w:tcBorders>
          </w:tcPr>
          <w:p w14:paraId="7B26B677" w14:textId="77777777" w:rsidR="00EC30E8" w:rsidRPr="002E3A04" w:rsidRDefault="003A56B5" w:rsidP="002E3A04">
            <w:pPr>
              <w:pStyle w:val="Newparagraph"/>
              <w:ind w:firstLine="0"/>
            </w:pPr>
            <w:r w:rsidRPr="002E3A04">
              <w:rPr>
                <w:b/>
                <w:bCs/>
              </w:rPr>
              <w:t>Strong</w:t>
            </w:r>
            <w:r w:rsidR="00EC30E8" w:rsidRPr="002E3A04">
              <w:rPr>
                <w:b/>
                <w:bCs/>
              </w:rPr>
              <w:t>.</w:t>
            </w:r>
            <w:r w:rsidR="00EC30E8" w:rsidRPr="002E3A04">
              <w:t xml:space="preserve"> </w:t>
            </w:r>
          </w:p>
          <w:p w14:paraId="2B1829D9" w14:textId="00BCBFFC" w:rsidR="00F15E36" w:rsidRPr="002E3A04" w:rsidRDefault="00BC41A4" w:rsidP="002E3A04">
            <w:pPr>
              <w:pStyle w:val="Newparagraph"/>
              <w:ind w:firstLine="0"/>
            </w:pPr>
            <w:r w:rsidRPr="002E3A04">
              <w:t>Statutory</w:t>
            </w:r>
            <w:r w:rsidR="00EC30E8" w:rsidRPr="002E3A04">
              <w:t xml:space="preserve"> obligations</w:t>
            </w:r>
            <w:r w:rsidR="0071746B" w:rsidRPr="002E3A04">
              <w:rPr>
                <w:vertAlign w:val="superscript"/>
              </w:rPr>
              <w:t>1,2</w:t>
            </w:r>
            <w:r w:rsidR="003A752D" w:rsidRPr="002E3A04">
              <w:rPr>
                <w:vertAlign w:val="superscript"/>
              </w:rPr>
              <w:t>,7</w:t>
            </w:r>
            <w:r w:rsidR="009022B2" w:rsidRPr="002E3A04">
              <w:rPr>
                <w:vertAlign w:val="superscript"/>
              </w:rPr>
              <w:t>,</w:t>
            </w:r>
            <w:r w:rsidR="007C2D48" w:rsidRPr="002E3A04">
              <w:rPr>
                <w:vertAlign w:val="superscript"/>
              </w:rPr>
              <w:t>9</w:t>
            </w:r>
            <w:r w:rsidR="00EC30E8" w:rsidRPr="002E3A04">
              <w:t>.</w:t>
            </w:r>
          </w:p>
        </w:tc>
      </w:tr>
    </w:tbl>
    <w:p w14:paraId="20AA14F8" w14:textId="77777777" w:rsidR="00CD2174" w:rsidRPr="002E3A04" w:rsidRDefault="00CD2174" w:rsidP="00DC2FDD">
      <w:pPr>
        <w:rPr>
          <w:b/>
          <w:bCs/>
        </w:rPr>
      </w:pPr>
    </w:p>
    <w:p w14:paraId="433F7F2A" w14:textId="296B9E71" w:rsidR="00EA1FC3" w:rsidRPr="002E3A04" w:rsidRDefault="003A56B5" w:rsidP="00DC2FDD">
      <w:pPr>
        <w:sectPr w:rsidR="00EA1FC3" w:rsidRPr="002E3A04" w:rsidSect="00474085">
          <w:pgSz w:w="16840" w:h="11901" w:orient="landscape" w:code="9"/>
          <w:pgMar w:top="720" w:right="720" w:bottom="720" w:left="720" w:header="709" w:footer="709" w:gutter="0"/>
          <w:cols w:space="708"/>
          <w:docGrid w:linePitch="360"/>
        </w:sectPr>
      </w:pPr>
      <w:r w:rsidRPr="002E3A04">
        <w:rPr>
          <w:b/>
          <w:bCs/>
        </w:rPr>
        <w:t xml:space="preserve">Relevant UK </w:t>
      </w:r>
      <w:r w:rsidR="00BA3D39" w:rsidRPr="002E3A04">
        <w:rPr>
          <w:b/>
          <w:bCs/>
        </w:rPr>
        <w:t xml:space="preserve">Acts and </w:t>
      </w:r>
      <w:r w:rsidRPr="002E3A04">
        <w:rPr>
          <w:b/>
          <w:bCs/>
        </w:rPr>
        <w:t>Statutory Instruments:</w:t>
      </w:r>
      <w:r w:rsidRPr="002E3A04">
        <w:t xml:space="preserve"> </w:t>
      </w:r>
      <w:r w:rsidR="00EC30E8" w:rsidRPr="002E3A04">
        <w:rPr>
          <w:vertAlign w:val="superscript"/>
        </w:rPr>
        <w:t>1</w:t>
      </w:r>
      <w:r w:rsidR="00EC30E8" w:rsidRPr="002E3A04">
        <w:t xml:space="preserve">Health and Safety at Work Act (1974). </w:t>
      </w:r>
      <w:r w:rsidR="00EC30E8" w:rsidRPr="002E3A04">
        <w:rPr>
          <w:vertAlign w:val="superscript"/>
        </w:rPr>
        <w:t>2</w:t>
      </w:r>
      <w:r w:rsidRPr="002E3A04">
        <w:t>Management of Health and Safety at Work</w:t>
      </w:r>
      <w:r w:rsidR="00EC30E8" w:rsidRPr="002E3A04">
        <w:t xml:space="preserve"> </w:t>
      </w:r>
      <w:r w:rsidRPr="002E3A04">
        <w:t xml:space="preserve">Regulations (1999). </w:t>
      </w:r>
      <w:r w:rsidR="00EC30E8" w:rsidRPr="002E3A04">
        <w:rPr>
          <w:vertAlign w:val="superscript"/>
        </w:rPr>
        <w:t>3</w:t>
      </w:r>
      <w:r w:rsidR="00EC30E8" w:rsidRPr="002E3A04">
        <w:t xml:space="preserve">The Health and Safety (Display Screen Equipment) Regulations (1992). </w:t>
      </w:r>
      <w:r w:rsidR="00EC30E8" w:rsidRPr="002E3A04">
        <w:rPr>
          <w:vertAlign w:val="superscript"/>
        </w:rPr>
        <w:t>4</w:t>
      </w:r>
      <w:r w:rsidRPr="002E3A04">
        <w:t>The Manual Handling Operations Regulations (1992)</w:t>
      </w:r>
      <w:r w:rsidR="00EC30E8" w:rsidRPr="002E3A04">
        <w:t xml:space="preserve">. </w:t>
      </w:r>
      <w:r w:rsidR="00EC30E8" w:rsidRPr="002E3A04">
        <w:rPr>
          <w:vertAlign w:val="superscript"/>
        </w:rPr>
        <w:t>5</w:t>
      </w:r>
      <w:r w:rsidRPr="002E3A04">
        <w:t xml:space="preserve">The Provision and Use of Work </w:t>
      </w:r>
      <w:r w:rsidRPr="002E3A04">
        <w:lastRenderedPageBreak/>
        <w:t>Equipment Regulations (1998).</w:t>
      </w:r>
      <w:r w:rsidR="00A0243F" w:rsidRPr="002E3A04">
        <w:t xml:space="preserve"> </w:t>
      </w:r>
      <w:r w:rsidR="00A0243F" w:rsidRPr="002E3A04">
        <w:rPr>
          <w:vertAlign w:val="superscript"/>
        </w:rPr>
        <w:t>6</w:t>
      </w:r>
      <w:r w:rsidR="0071746B" w:rsidRPr="002E3A04">
        <w:t>The Control of Noise at Work Regulations (2005).</w:t>
      </w:r>
      <w:r w:rsidR="00DC5E46" w:rsidRPr="002E3A04">
        <w:t xml:space="preserve"> </w:t>
      </w:r>
      <w:r w:rsidR="00DC5E46" w:rsidRPr="002E3A04">
        <w:rPr>
          <w:vertAlign w:val="superscript"/>
        </w:rPr>
        <w:t>7</w:t>
      </w:r>
      <w:r w:rsidR="00DC5E46" w:rsidRPr="002E3A04">
        <w:t xml:space="preserve">The Control of Substances Hazardous to Health Regulations (2002). </w:t>
      </w:r>
      <w:r w:rsidR="007C2D48" w:rsidRPr="002E3A04">
        <w:rPr>
          <w:vertAlign w:val="superscript"/>
        </w:rPr>
        <w:t>8</w:t>
      </w:r>
      <w:r w:rsidR="00DC5E46" w:rsidRPr="002E3A04">
        <w:t>The Health and Safety (Sharp Instruments in Healthcare) Regulations (2013).</w:t>
      </w:r>
      <w:r w:rsidR="009022B2" w:rsidRPr="002E3A04">
        <w:t xml:space="preserve"> </w:t>
      </w:r>
      <w:r w:rsidR="007C2D48" w:rsidRPr="002E3A04">
        <w:rPr>
          <w:vertAlign w:val="superscript"/>
        </w:rPr>
        <w:t>9</w:t>
      </w:r>
      <w:r w:rsidR="007C2D48" w:rsidRPr="002E3A04">
        <w:t>The Personal Protective Equipment at Work Regulations (1992).</w:t>
      </w:r>
    </w:p>
    <w:p w14:paraId="2E2042BD" w14:textId="7C23242D" w:rsidR="005432FE" w:rsidRPr="005432FE" w:rsidRDefault="00F97E65" w:rsidP="00DC2FDD">
      <w:pPr>
        <w:pStyle w:val="Newparagraph"/>
      </w:pPr>
      <w:r w:rsidRPr="00B15C35">
        <w:lastRenderedPageBreak/>
        <w:t xml:space="preserve">Figure 1. </w:t>
      </w:r>
      <w:r w:rsidR="009F337B" w:rsidRPr="00B15C35">
        <w:t>Inclusion criteria for survey</w:t>
      </w:r>
      <w:r w:rsidR="00AD71E3" w:rsidRPr="00941502">
        <w:t xml:space="preserve"> responses.</w:t>
      </w:r>
    </w:p>
    <w:p w14:paraId="7D17D524" w14:textId="77777777" w:rsidR="00686DBE" w:rsidRPr="00B15C35" w:rsidRDefault="00686DBE" w:rsidP="00DC2FDD">
      <w:pPr>
        <w:pStyle w:val="Paragraph"/>
        <w:spacing w:before="0"/>
      </w:pPr>
    </w:p>
    <w:p w14:paraId="5A26C001" w14:textId="6585D1C1" w:rsidR="00F97E65" w:rsidRDefault="00B2453E">
      <w:r w:rsidRPr="00B15C35">
        <w:rPr>
          <w:noProof/>
        </w:rPr>
        <mc:AlternateContent>
          <mc:Choice Requires="wpg">
            <w:drawing>
              <wp:anchor distT="0" distB="0" distL="114300" distR="114300" simplePos="0" relativeHeight="251687936" behindDoc="0" locked="0" layoutInCell="1" allowOverlap="1" wp14:anchorId="46B657E0" wp14:editId="0B34BD1A">
                <wp:simplePos x="0" y="0"/>
                <wp:positionH relativeFrom="column">
                  <wp:posOffset>431165</wp:posOffset>
                </wp:positionH>
                <wp:positionV relativeFrom="paragraph">
                  <wp:posOffset>3810</wp:posOffset>
                </wp:positionV>
                <wp:extent cx="4953000" cy="4730750"/>
                <wp:effectExtent l="0" t="0" r="19050" b="12700"/>
                <wp:wrapNone/>
                <wp:docPr id="23" name="Group 23"/>
                <wp:cNvGraphicFramePr/>
                <a:graphic xmlns:a="http://schemas.openxmlformats.org/drawingml/2006/main">
                  <a:graphicData uri="http://schemas.microsoft.com/office/word/2010/wordprocessingGroup">
                    <wpg:wgp>
                      <wpg:cNvGrpSpPr/>
                      <wpg:grpSpPr>
                        <a:xfrm>
                          <a:off x="0" y="0"/>
                          <a:ext cx="4953000" cy="4730750"/>
                          <a:chOff x="0" y="0"/>
                          <a:chExt cx="4953000" cy="4730750"/>
                        </a:xfrm>
                      </wpg:grpSpPr>
                      <wps:wsp>
                        <wps:cNvPr id="2" name="Flowchart: Alternate Process 2"/>
                        <wps:cNvSpPr/>
                        <wps:spPr>
                          <a:xfrm>
                            <a:off x="0" y="0"/>
                            <a:ext cx="2235200" cy="806450"/>
                          </a:xfrm>
                          <a:prstGeom prst="flowChartAlternateProces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6F487" w14:textId="0873F5D2"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405 surveys to all ACE members January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Alternate Process 3"/>
                        <wps:cNvSpPr/>
                        <wps:spPr>
                          <a:xfrm>
                            <a:off x="0" y="1295400"/>
                            <a:ext cx="2235200" cy="806450"/>
                          </a:xfrm>
                          <a:prstGeom prst="flowChartAlternateProces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08B3C" w14:textId="3AD4B58F" w:rsidR="00EA1FC3" w:rsidRPr="00B2453E" w:rsidRDefault="00EA1FC3" w:rsidP="009F337B">
                              <w:pPr>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252 responses by March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Alternate Process 4"/>
                        <wps:cNvSpPr/>
                        <wps:spPr>
                          <a:xfrm>
                            <a:off x="0" y="2609850"/>
                            <a:ext cx="2235200" cy="806450"/>
                          </a:xfrm>
                          <a:prstGeom prst="flowChartAlternateProces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6B952" w14:textId="31757441"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252 responses from embryologists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Alternate Process 5"/>
                        <wps:cNvSpPr/>
                        <wps:spPr>
                          <a:xfrm>
                            <a:off x="0" y="3924300"/>
                            <a:ext cx="2235200" cy="806450"/>
                          </a:xfrm>
                          <a:prstGeom prst="flowChartAlternateProces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63639" w14:textId="7E7603A8"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223 complete responses from embryologists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Alternate Process 12"/>
                        <wps:cNvSpPr/>
                        <wps:spPr>
                          <a:xfrm>
                            <a:off x="2705100" y="603250"/>
                            <a:ext cx="2235200" cy="806450"/>
                          </a:xfrm>
                          <a:prstGeom prst="flowChartAlternateProces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9A612" w14:textId="6F2EA991" w:rsidR="00EA1FC3" w:rsidRPr="00B2453E" w:rsidRDefault="00EA1FC3" w:rsidP="009F337B">
                              <w:pPr>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153 non-responses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Alternate Process 13"/>
                        <wps:cNvSpPr/>
                        <wps:spPr>
                          <a:xfrm>
                            <a:off x="2711450" y="1917700"/>
                            <a:ext cx="2235200" cy="806450"/>
                          </a:xfrm>
                          <a:prstGeom prst="flowChartAlternateProces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E16C0" w14:textId="17A393EE"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no responses from non-embryologists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Alternate Process 14"/>
                        <wps:cNvSpPr/>
                        <wps:spPr>
                          <a:xfrm>
                            <a:off x="2717800" y="3225800"/>
                            <a:ext cx="2235200" cy="806450"/>
                          </a:xfrm>
                          <a:prstGeom prst="flowChartAlternateProcess">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C8ADB" w14:textId="5730DEF4"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29 incomplete responses excluded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1117600" y="800100"/>
                            <a:ext cx="0" cy="48895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111250" y="3416300"/>
                            <a:ext cx="0" cy="48895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111250" y="2108200"/>
                            <a:ext cx="0" cy="48895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rot="16200000">
                            <a:off x="1924050" y="209550"/>
                            <a:ext cx="1" cy="158750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rot="16200000">
                            <a:off x="1924050" y="1524000"/>
                            <a:ext cx="0" cy="158750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rot="16200000">
                            <a:off x="1917700" y="2825750"/>
                            <a:ext cx="0" cy="158750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B657E0" id="Group 23" o:spid="_x0000_s1026" style="position:absolute;margin-left:33.95pt;margin-top:.3pt;width:390pt;height:372.5pt;z-index:251687936" coordsize="49530,47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7" type="#_x0000_t176" style="position:absolute;width:22352;height:8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" fillcolor="#bfbfbf [2412]" strokecolor="black [3213]" strokeweight="2pt">
                  <v:textbox>
                    <w:txbxContent>
                      <w:p w14:paraId="7096F487" w14:textId="0873F5D2"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405 surveys to all ACE members January 2018</w:t>
                        </w:r>
                      </w:p>
                    </w:txbxContent>
                  </v:textbox>
                </v:shape>
                <v:shape id="Flowchart: Alternate Process 3" o:spid="_x0000_s1028" type="#_x0000_t176" style="position:absolute;top:12954;width:22352;height:8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" fillcolor="#bfbfbf [2412]" strokecolor="black [3213]" strokeweight="2pt">
                  <v:textbox>
                    <w:txbxContent>
                      <w:p w14:paraId="02808B3C" w14:textId="3AD4B58F" w:rsidR="00EA1FC3" w:rsidRPr="00B2453E" w:rsidRDefault="00EA1FC3" w:rsidP="009F337B">
                        <w:pPr>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252 responses by March 2018</w:t>
                        </w:r>
                      </w:p>
                    </w:txbxContent>
                  </v:textbox>
                </v:shape>
                <v:shape id="Flowchart: Alternate Process 4" o:spid="_x0000_s1029" type="#_x0000_t176" style="position:absolute;top:26098;width:22352;height:8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" fillcolor="#bfbfbf [2412]" strokecolor="black [3213]" strokeweight="2pt">
                  <v:textbox>
                    <w:txbxContent>
                      <w:p w14:paraId="7416B952" w14:textId="31757441"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252 responses from embryologists</w:t>
                        </w:r>
                      </w:p>
                    </w:txbxContent>
                  </v:textbox>
                </v:shape>
                <v:shape id="Flowchart: Alternate Process 5" o:spid="_x0000_s1030" type="#_x0000_t176" style="position:absolute;top:39243;width:22352;height:8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" fillcolor="#bfbfbf [2412]" strokecolor="black [3213]" strokeweight="2pt">
                  <v:textbox>
                    <w:txbxContent>
                      <w:p w14:paraId="61E63639" w14:textId="7E7603A8"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223 complete responses from embryologists</w:t>
                        </w:r>
                      </w:p>
                    </w:txbxContent>
                  </v:textbox>
                </v:shape>
                <v:shape id="Flowchart: Alternate Process 12" o:spid="_x0000_s1031" type="#_x0000_t176" style="position:absolute;left:27051;top:6032;width:22352;height:8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" fillcolor="#bfbfbf [2412]" strokecolor="black [3213]" strokeweight="2pt">
                  <v:textbox>
                    <w:txbxContent>
                      <w:p w14:paraId="39B9A612" w14:textId="6F2EA991" w:rsidR="00EA1FC3" w:rsidRPr="00B2453E" w:rsidRDefault="00EA1FC3" w:rsidP="009F337B">
                        <w:pPr>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153 non-responses</w:t>
                        </w:r>
                      </w:p>
                    </w:txbxContent>
                  </v:textbox>
                </v:shape>
                <v:shape id="Flowchart: Alternate Process 13" o:spid="_x0000_s1032" type="#_x0000_t176" style="position:absolute;left:27114;top:19177;width:22352;height:8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" fillcolor="#bfbfbf [2412]" strokecolor="black [3213]" strokeweight="2pt">
                  <v:textbox>
                    <w:txbxContent>
                      <w:p w14:paraId="7B7E16C0" w14:textId="17A393EE"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no responses from non-embryologists</w:t>
                        </w:r>
                      </w:p>
                    </w:txbxContent>
                  </v:textbox>
                </v:shape>
                <v:shape id="Flowchart: Alternate Process 14" o:spid="_x0000_s1033" type="#_x0000_t176" style="position:absolute;left:27178;top:32258;width:22352;height:8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" fillcolor="#bfbfbf [2412]" strokecolor="black [3213]" strokeweight="2pt">
                  <v:textbox>
                    <w:txbxContent>
                      <w:p w14:paraId="414C8ADB" w14:textId="5730DEF4" w:rsidR="00EA1FC3" w:rsidRPr="00B2453E" w:rsidRDefault="00EA1FC3" w:rsidP="00B2453E">
                        <w:pPr>
                          <w:spacing w:line="276" w:lineRule="auto"/>
                          <w:jc w:val="center"/>
                          <w:rPr>
                            <w:b/>
                            <w:bCs/>
                            <w:color w:val="000000" w:themeColor="text1"/>
                            <w14:textOutline w14:w="9525" w14:cap="rnd" w14:cmpd="sng" w14:algn="ctr">
                              <w14:noFill/>
                              <w14:prstDash w14:val="solid"/>
                              <w14:bevel/>
                            </w14:textOutline>
                          </w:rPr>
                        </w:pPr>
                        <w:r w:rsidRPr="00B2453E">
                          <w:rPr>
                            <w:b/>
                            <w:bCs/>
                            <w:color w:val="000000" w:themeColor="text1"/>
                            <w14:textOutline w14:w="9525" w14:cap="rnd" w14:cmpd="sng" w14:algn="ctr">
                              <w14:noFill/>
                              <w14:prstDash w14:val="solid"/>
                              <w14:bevel/>
                            </w14:textOutline>
                          </w:rPr>
                          <w:t>29 incomplete responses excluded</w:t>
                        </w:r>
                      </w:p>
                    </w:txbxContent>
                  </v:textbox>
                </v:shape>
                <v:shapetype id="_x0000_t32" coordsize="21600,21600" o:spt="32" o:oned="t" path="m,l21600,21600e" filled="f">
                  <v:path arrowok="t" fillok="f" o:connecttype="none"/>
                  <o:lock v:ext="edit" shapetype="t"/>
                </v:shapetype>
                <v:shape id="Straight Arrow Connector 16" o:spid="_x0000_s1034" type="#_x0000_t32" style="position:absolute;left:11176;top:8001;width:0;height:4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" strokecolor="black [3213]" strokeweight="3.25pt">
                  <v:stroke endarrow="block"/>
                </v:shape>
                <v:shape id="Straight Arrow Connector 17" o:spid="_x0000_s1035" type="#_x0000_t32" style="position:absolute;left:11112;top:34163;width:0;height:4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" strokecolor="black [3213]" strokeweight="3.25pt">
                  <v:stroke endarrow="block"/>
                </v:shape>
                <v:shape id="Straight Arrow Connector 18" o:spid="_x0000_s1036" type="#_x0000_t32" style="position:absolute;left:11112;top:21082;width:0;height:4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" strokecolor="black [3213]" strokeweight="3.25pt">
                  <v:stroke endarrow="block"/>
                </v:shape>
                <v:shape id="Straight Arrow Connector 20" o:spid="_x0000_s1037" type="#_x0000_t32" style="position:absolute;left:19240;top:2095;width:1;height:1587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" strokecolor="black [3213]" strokeweight="3.25pt">
                  <v:stroke endarrow="block"/>
                </v:shape>
                <v:shape id="Straight Arrow Connector 21" o:spid="_x0000_s1038" type="#_x0000_t32" style="position:absolute;left:19241;top:15239;width:0;height:1587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" strokecolor="black [3213]" strokeweight="3.25pt">
                  <v:stroke endarrow="block"/>
                </v:shape>
                <v:shape id="Straight Arrow Connector 22" o:spid="_x0000_s1039" type="#_x0000_t32" style="position:absolute;left:19177;top:28257;width:0;height:1587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" strokecolor="black [3213]" strokeweight="3.25pt">
                  <v:stroke endarrow="block"/>
                </v:shape>
              </v:group>
            </w:pict>
          </mc:Fallback>
        </mc:AlternateContent>
      </w:r>
    </w:p>
    <w:p w14:paraId="04426F15" w14:textId="013001F3" w:rsidR="005E4DFC" w:rsidRDefault="005E4DFC"/>
    <w:p w14:paraId="29C7652D" w14:textId="77B65CB1" w:rsidR="005E4DFC" w:rsidRDefault="005E4DFC"/>
    <w:p w14:paraId="2A0EF401" w14:textId="1AB38E07" w:rsidR="005E4DFC" w:rsidRDefault="005E4DFC"/>
    <w:p w14:paraId="755C56D7" w14:textId="727C6E10" w:rsidR="005E4DFC" w:rsidRDefault="005E4DFC"/>
    <w:p w14:paraId="2A9754AC" w14:textId="0A9823E1" w:rsidR="005E4DFC" w:rsidRDefault="005E4DFC"/>
    <w:p w14:paraId="09A5169B" w14:textId="1D60DDB3" w:rsidR="005E4DFC" w:rsidRDefault="005E4DFC"/>
    <w:p w14:paraId="2825E802" w14:textId="51424F3F" w:rsidR="005E4DFC" w:rsidRDefault="005E4DFC"/>
    <w:p w14:paraId="77E6F867" w14:textId="72D4836C" w:rsidR="005E4DFC" w:rsidRDefault="005E4DFC"/>
    <w:p w14:paraId="5DC2B7C0" w14:textId="121021C9" w:rsidR="005E4DFC" w:rsidRDefault="005E4DFC"/>
    <w:p w14:paraId="0FECD81E" w14:textId="0C2B9DF1" w:rsidR="005E4DFC" w:rsidRDefault="005E4DFC"/>
    <w:p w14:paraId="0056CC05" w14:textId="1CDD8867" w:rsidR="005E4DFC" w:rsidRDefault="005E4DFC"/>
    <w:p w14:paraId="79C68DD0" w14:textId="513B6E34" w:rsidR="005E4DFC" w:rsidRDefault="005E4DFC"/>
    <w:p w14:paraId="6FFFB4A7" w14:textId="77777777" w:rsidR="005E4DFC" w:rsidRDefault="005E4DFC"/>
    <w:p w14:paraId="34DC5667" w14:textId="03EB6B2A" w:rsidR="005E4DFC" w:rsidRDefault="005E4DFC">
      <w:pPr>
        <w:spacing w:line="240" w:lineRule="auto"/>
      </w:pPr>
      <w:r>
        <w:br w:type="page"/>
      </w:r>
    </w:p>
    <w:p w14:paraId="797AD124" w14:textId="77777777" w:rsidR="005E4DFC" w:rsidRPr="00B15C35" w:rsidRDefault="005E4DFC" w:rsidP="00DC2FDD"/>
    <w:p w14:paraId="5F16748B" w14:textId="0A903AA7" w:rsidR="00897754" w:rsidRPr="00B15C35" w:rsidRDefault="00297EA5" w:rsidP="00DC2FDD">
      <w:pPr>
        <w:pStyle w:val="Paragraph"/>
        <w:spacing w:before="0"/>
      </w:pPr>
      <w:r w:rsidRPr="00B15C35">
        <w:t xml:space="preserve">Figure </w:t>
      </w:r>
      <w:r w:rsidR="00F97E65" w:rsidRPr="00941502">
        <w:t>2</w:t>
      </w:r>
      <w:r w:rsidR="003B2765" w:rsidRPr="00D64AA2">
        <w:t xml:space="preserve">. </w:t>
      </w:r>
      <w:r w:rsidR="00AB57C9" w:rsidRPr="00B15C35">
        <w:t>Percentage</w:t>
      </w:r>
      <w:r w:rsidRPr="00B15C35">
        <w:t xml:space="preserve"> of respondents </w:t>
      </w:r>
      <w:r w:rsidR="00596850" w:rsidRPr="00B15C35">
        <w:t>self-</w:t>
      </w:r>
      <w:r w:rsidRPr="00B15C35">
        <w:t xml:space="preserve">reporting each </w:t>
      </w:r>
      <w:r w:rsidR="00643D18" w:rsidRPr="00B15C35">
        <w:t xml:space="preserve">predefined </w:t>
      </w:r>
      <w:r w:rsidRPr="00B15C35">
        <w:t>category of ill health.</w:t>
      </w:r>
    </w:p>
    <w:p w14:paraId="14BD6306" w14:textId="765E0B4E" w:rsidR="00897754" w:rsidRPr="00B15C35" w:rsidRDefault="009D6402" w:rsidP="00DC2FDD">
      <w:pPr>
        <w:pStyle w:val="Paragraph"/>
        <w:spacing w:before="0"/>
      </w:pPr>
      <w:r w:rsidRPr="00B15C35">
        <w:rPr>
          <w:noProof/>
        </w:rPr>
        <w:drawing>
          <wp:inline distT="0" distB="0" distL="0" distR="0" wp14:anchorId="10E4B396" wp14:editId="30CA4BE6">
            <wp:extent cx="5099050" cy="4375150"/>
            <wp:effectExtent l="0" t="0" r="6350" b="6350"/>
            <wp:docPr id="1" name="Chart 1">
              <a:extLst xmlns:a="http://schemas.openxmlformats.org/drawingml/2006/main">
                <a:ext uri="{FF2B5EF4-FFF2-40B4-BE49-F238E27FC236}">
                  <a16:creationId xmlns:a16="http://schemas.microsoft.com/office/drawing/2014/main" id="{1213FD11-48AA-444F-B8E5-C6FE46407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15831C" w14:textId="39DB70F6" w:rsidR="00FE4713" w:rsidRPr="00B15C35" w:rsidRDefault="00FE4713" w:rsidP="00DC2FDD"/>
    <w:sectPr w:rsidR="00FE4713" w:rsidRPr="00B15C35" w:rsidSect="000C710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22FF7" w14:textId="77777777" w:rsidR="009C5FAE" w:rsidRDefault="009C5FAE" w:rsidP="00AF2C92">
      <w:r>
        <w:separator/>
      </w:r>
    </w:p>
  </w:endnote>
  <w:endnote w:type="continuationSeparator" w:id="0">
    <w:p w14:paraId="5973B310" w14:textId="77777777" w:rsidR="009C5FAE" w:rsidRDefault="009C5FA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983281"/>
      <w:docPartObj>
        <w:docPartGallery w:val="Page Numbers (Bottom of Page)"/>
        <w:docPartUnique/>
      </w:docPartObj>
    </w:sdtPr>
    <w:sdtEndPr>
      <w:rPr>
        <w:noProof/>
      </w:rPr>
    </w:sdtEndPr>
    <w:sdtContent>
      <w:p w14:paraId="72D78F6C" w14:textId="59F2F007" w:rsidR="00EA1FC3" w:rsidRDefault="00EA1F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BAC9A" w14:textId="77777777" w:rsidR="009C5FAE" w:rsidRDefault="009C5FAE" w:rsidP="00AF2C92">
      <w:r>
        <w:separator/>
      </w:r>
    </w:p>
  </w:footnote>
  <w:footnote w:type="continuationSeparator" w:id="0">
    <w:p w14:paraId="3235CD58" w14:textId="77777777" w:rsidR="009C5FAE" w:rsidRDefault="009C5FAE"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23902"/>
    <w:multiLevelType w:val="hybridMultilevel"/>
    <w:tmpl w:val="7E7A7B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2"/>
  </w:num>
  <w:num w:numId="18">
    <w:abstractNumId w:val="0"/>
  </w:num>
  <w:num w:numId="19">
    <w:abstractNumId w:val="13"/>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05"/>
    <w:rsid w:val="0000082A"/>
    <w:rsid w:val="00001899"/>
    <w:rsid w:val="000049AD"/>
    <w:rsid w:val="0000681B"/>
    <w:rsid w:val="000132FE"/>
    <w:rsid w:val="000133C0"/>
    <w:rsid w:val="000135C6"/>
    <w:rsid w:val="0001497D"/>
    <w:rsid w:val="00014C4E"/>
    <w:rsid w:val="00017107"/>
    <w:rsid w:val="000202E2"/>
    <w:rsid w:val="00020ACC"/>
    <w:rsid w:val="00022441"/>
    <w:rsid w:val="0002261E"/>
    <w:rsid w:val="0002389F"/>
    <w:rsid w:val="00024839"/>
    <w:rsid w:val="00024A65"/>
    <w:rsid w:val="00026871"/>
    <w:rsid w:val="00032C65"/>
    <w:rsid w:val="00037A98"/>
    <w:rsid w:val="000424D4"/>
    <w:rsid w:val="000427FB"/>
    <w:rsid w:val="00043742"/>
    <w:rsid w:val="0004455E"/>
    <w:rsid w:val="00046345"/>
    <w:rsid w:val="00047CB5"/>
    <w:rsid w:val="00050935"/>
    <w:rsid w:val="00051B95"/>
    <w:rsid w:val="00051FAA"/>
    <w:rsid w:val="000568F5"/>
    <w:rsid w:val="000569F7"/>
    <w:rsid w:val="000572A9"/>
    <w:rsid w:val="00060752"/>
    <w:rsid w:val="00061325"/>
    <w:rsid w:val="00061B37"/>
    <w:rsid w:val="00061FBD"/>
    <w:rsid w:val="00066DC2"/>
    <w:rsid w:val="000733A4"/>
    <w:rsid w:val="000733AC"/>
    <w:rsid w:val="00074722"/>
    <w:rsid w:val="00074B81"/>
    <w:rsid w:val="00074D22"/>
    <w:rsid w:val="00075081"/>
    <w:rsid w:val="0007528A"/>
    <w:rsid w:val="00076010"/>
    <w:rsid w:val="00077FAD"/>
    <w:rsid w:val="00080B6F"/>
    <w:rsid w:val="000811AB"/>
    <w:rsid w:val="00083C5F"/>
    <w:rsid w:val="00084347"/>
    <w:rsid w:val="00085605"/>
    <w:rsid w:val="0009172C"/>
    <w:rsid w:val="00092F08"/>
    <w:rsid w:val="000930EC"/>
    <w:rsid w:val="00095E61"/>
    <w:rsid w:val="000966C1"/>
    <w:rsid w:val="000970AC"/>
    <w:rsid w:val="000A1167"/>
    <w:rsid w:val="000A2752"/>
    <w:rsid w:val="000A4428"/>
    <w:rsid w:val="000A4B1F"/>
    <w:rsid w:val="000A52A7"/>
    <w:rsid w:val="000A6413"/>
    <w:rsid w:val="000A6D40"/>
    <w:rsid w:val="000A7BC3"/>
    <w:rsid w:val="000B0883"/>
    <w:rsid w:val="000B1661"/>
    <w:rsid w:val="000B1F0B"/>
    <w:rsid w:val="000B2E88"/>
    <w:rsid w:val="000B3DA9"/>
    <w:rsid w:val="000B4603"/>
    <w:rsid w:val="000B5DE7"/>
    <w:rsid w:val="000B66AC"/>
    <w:rsid w:val="000B7295"/>
    <w:rsid w:val="000C09BE"/>
    <w:rsid w:val="000C1380"/>
    <w:rsid w:val="000C3F06"/>
    <w:rsid w:val="000C554F"/>
    <w:rsid w:val="000C7107"/>
    <w:rsid w:val="000D0DC5"/>
    <w:rsid w:val="000D14E5"/>
    <w:rsid w:val="000D15FF"/>
    <w:rsid w:val="000D28DF"/>
    <w:rsid w:val="000D488B"/>
    <w:rsid w:val="000D68DF"/>
    <w:rsid w:val="000D6EEB"/>
    <w:rsid w:val="000D7B7F"/>
    <w:rsid w:val="000E138D"/>
    <w:rsid w:val="000E187A"/>
    <w:rsid w:val="000E1AB0"/>
    <w:rsid w:val="000E2D61"/>
    <w:rsid w:val="000E450E"/>
    <w:rsid w:val="000E60EF"/>
    <w:rsid w:val="000E61FF"/>
    <w:rsid w:val="000E6259"/>
    <w:rsid w:val="000F4677"/>
    <w:rsid w:val="000F4D0D"/>
    <w:rsid w:val="000F5BE0"/>
    <w:rsid w:val="000F6635"/>
    <w:rsid w:val="000F6A94"/>
    <w:rsid w:val="000F7384"/>
    <w:rsid w:val="00100587"/>
    <w:rsid w:val="00100FB1"/>
    <w:rsid w:val="0010197B"/>
    <w:rsid w:val="00101AB5"/>
    <w:rsid w:val="0010284E"/>
    <w:rsid w:val="00103122"/>
    <w:rsid w:val="0010336A"/>
    <w:rsid w:val="001050F1"/>
    <w:rsid w:val="00105AEA"/>
    <w:rsid w:val="00105D28"/>
    <w:rsid w:val="00106DAF"/>
    <w:rsid w:val="001102F3"/>
    <w:rsid w:val="0011179A"/>
    <w:rsid w:val="00114ABE"/>
    <w:rsid w:val="00116023"/>
    <w:rsid w:val="00120C13"/>
    <w:rsid w:val="001328A6"/>
    <w:rsid w:val="00134A51"/>
    <w:rsid w:val="00137596"/>
    <w:rsid w:val="00140727"/>
    <w:rsid w:val="001449B6"/>
    <w:rsid w:val="001470B5"/>
    <w:rsid w:val="001521E9"/>
    <w:rsid w:val="00155B6F"/>
    <w:rsid w:val="00160628"/>
    <w:rsid w:val="00161344"/>
    <w:rsid w:val="00162195"/>
    <w:rsid w:val="00162C88"/>
    <w:rsid w:val="0016322A"/>
    <w:rsid w:val="001649E8"/>
    <w:rsid w:val="00165A21"/>
    <w:rsid w:val="001666BB"/>
    <w:rsid w:val="00166FEA"/>
    <w:rsid w:val="001679A8"/>
    <w:rsid w:val="001705CE"/>
    <w:rsid w:val="00170651"/>
    <w:rsid w:val="00171718"/>
    <w:rsid w:val="001729C9"/>
    <w:rsid w:val="0017714B"/>
    <w:rsid w:val="001804DF"/>
    <w:rsid w:val="00181BDC"/>
    <w:rsid w:val="00181DB0"/>
    <w:rsid w:val="001829E3"/>
    <w:rsid w:val="00182FC4"/>
    <w:rsid w:val="00186E8D"/>
    <w:rsid w:val="00190153"/>
    <w:rsid w:val="001924C0"/>
    <w:rsid w:val="00196F26"/>
    <w:rsid w:val="0019731E"/>
    <w:rsid w:val="001A09FE"/>
    <w:rsid w:val="001A2FC6"/>
    <w:rsid w:val="001A32A7"/>
    <w:rsid w:val="001A4884"/>
    <w:rsid w:val="001A67C9"/>
    <w:rsid w:val="001A69DE"/>
    <w:rsid w:val="001A713C"/>
    <w:rsid w:val="001A7C03"/>
    <w:rsid w:val="001B1C7C"/>
    <w:rsid w:val="001B398F"/>
    <w:rsid w:val="001B3B98"/>
    <w:rsid w:val="001B46C6"/>
    <w:rsid w:val="001B4B48"/>
    <w:rsid w:val="001B4D1F"/>
    <w:rsid w:val="001B7681"/>
    <w:rsid w:val="001B7CAE"/>
    <w:rsid w:val="001C0772"/>
    <w:rsid w:val="001C0D4F"/>
    <w:rsid w:val="001C1BA3"/>
    <w:rsid w:val="001C1DEC"/>
    <w:rsid w:val="001C505A"/>
    <w:rsid w:val="001C5736"/>
    <w:rsid w:val="001C6D0C"/>
    <w:rsid w:val="001D1E5C"/>
    <w:rsid w:val="001D21CE"/>
    <w:rsid w:val="001D647F"/>
    <w:rsid w:val="001D6857"/>
    <w:rsid w:val="001E0572"/>
    <w:rsid w:val="001E0A67"/>
    <w:rsid w:val="001E1028"/>
    <w:rsid w:val="001E1306"/>
    <w:rsid w:val="001E14E2"/>
    <w:rsid w:val="001E5B9F"/>
    <w:rsid w:val="001E6302"/>
    <w:rsid w:val="001E771F"/>
    <w:rsid w:val="001E7DCB"/>
    <w:rsid w:val="001F0D9A"/>
    <w:rsid w:val="001F1148"/>
    <w:rsid w:val="001F2CD4"/>
    <w:rsid w:val="001F2F27"/>
    <w:rsid w:val="001F3411"/>
    <w:rsid w:val="001F4287"/>
    <w:rsid w:val="001F4DBA"/>
    <w:rsid w:val="00203108"/>
    <w:rsid w:val="002038A9"/>
    <w:rsid w:val="0020415E"/>
    <w:rsid w:val="00204FF4"/>
    <w:rsid w:val="0020504F"/>
    <w:rsid w:val="00205400"/>
    <w:rsid w:val="00207BA9"/>
    <w:rsid w:val="0021056E"/>
    <w:rsid w:val="0021075D"/>
    <w:rsid w:val="0021165A"/>
    <w:rsid w:val="00211BC9"/>
    <w:rsid w:val="0021620C"/>
    <w:rsid w:val="00216E78"/>
    <w:rsid w:val="00217275"/>
    <w:rsid w:val="0021774A"/>
    <w:rsid w:val="0022097E"/>
    <w:rsid w:val="002211DD"/>
    <w:rsid w:val="00221A54"/>
    <w:rsid w:val="00222538"/>
    <w:rsid w:val="00225276"/>
    <w:rsid w:val="00231AB0"/>
    <w:rsid w:val="002361F9"/>
    <w:rsid w:val="00236F4B"/>
    <w:rsid w:val="002372F6"/>
    <w:rsid w:val="00240944"/>
    <w:rsid w:val="00242B0D"/>
    <w:rsid w:val="002431CA"/>
    <w:rsid w:val="002467C6"/>
    <w:rsid w:val="0024692A"/>
    <w:rsid w:val="0025024E"/>
    <w:rsid w:val="00252BB8"/>
    <w:rsid w:val="00252BBA"/>
    <w:rsid w:val="00253123"/>
    <w:rsid w:val="00257019"/>
    <w:rsid w:val="00257425"/>
    <w:rsid w:val="00257BFE"/>
    <w:rsid w:val="002607B7"/>
    <w:rsid w:val="00261AFB"/>
    <w:rsid w:val="0026263C"/>
    <w:rsid w:val="00264001"/>
    <w:rsid w:val="00264CC1"/>
    <w:rsid w:val="00266354"/>
    <w:rsid w:val="00267A18"/>
    <w:rsid w:val="00273117"/>
    <w:rsid w:val="00273293"/>
    <w:rsid w:val="00273462"/>
    <w:rsid w:val="0027395B"/>
    <w:rsid w:val="00275854"/>
    <w:rsid w:val="00280449"/>
    <w:rsid w:val="002814F2"/>
    <w:rsid w:val="00282D4A"/>
    <w:rsid w:val="00283B41"/>
    <w:rsid w:val="002841AF"/>
    <w:rsid w:val="0028500C"/>
    <w:rsid w:val="00285F28"/>
    <w:rsid w:val="00286398"/>
    <w:rsid w:val="00291EEB"/>
    <w:rsid w:val="00295EBF"/>
    <w:rsid w:val="00296009"/>
    <w:rsid w:val="00297D08"/>
    <w:rsid w:val="00297EA5"/>
    <w:rsid w:val="002A2F6E"/>
    <w:rsid w:val="002A3C42"/>
    <w:rsid w:val="002A5D75"/>
    <w:rsid w:val="002B1B1A"/>
    <w:rsid w:val="002B3154"/>
    <w:rsid w:val="002B385C"/>
    <w:rsid w:val="002B41D3"/>
    <w:rsid w:val="002B7228"/>
    <w:rsid w:val="002B7AD8"/>
    <w:rsid w:val="002C1B16"/>
    <w:rsid w:val="002C3FB1"/>
    <w:rsid w:val="002C53EE"/>
    <w:rsid w:val="002C5905"/>
    <w:rsid w:val="002C5B58"/>
    <w:rsid w:val="002D24F7"/>
    <w:rsid w:val="002D2799"/>
    <w:rsid w:val="002D2CD7"/>
    <w:rsid w:val="002D2EF7"/>
    <w:rsid w:val="002D4DDC"/>
    <w:rsid w:val="002D4F75"/>
    <w:rsid w:val="002D6493"/>
    <w:rsid w:val="002D7AB6"/>
    <w:rsid w:val="002E06D0"/>
    <w:rsid w:val="002E3A04"/>
    <w:rsid w:val="002E3C27"/>
    <w:rsid w:val="002E403A"/>
    <w:rsid w:val="002E7F3A"/>
    <w:rsid w:val="002F138E"/>
    <w:rsid w:val="002F4EDB"/>
    <w:rsid w:val="002F4FF3"/>
    <w:rsid w:val="002F604F"/>
    <w:rsid w:val="002F6054"/>
    <w:rsid w:val="003014DF"/>
    <w:rsid w:val="00302C78"/>
    <w:rsid w:val="0030584B"/>
    <w:rsid w:val="0030660E"/>
    <w:rsid w:val="00306AF2"/>
    <w:rsid w:val="00310E13"/>
    <w:rsid w:val="00315713"/>
    <w:rsid w:val="0031686C"/>
    <w:rsid w:val="00316FE0"/>
    <w:rsid w:val="00317672"/>
    <w:rsid w:val="003204D2"/>
    <w:rsid w:val="0032355E"/>
    <w:rsid w:val="00324CC1"/>
    <w:rsid w:val="0032605E"/>
    <w:rsid w:val="003275D1"/>
    <w:rsid w:val="00330B2A"/>
    <w:rsid w:val="00331E17"/>
    <w:rsid w:val="00333063"/>
    <w:rsid w:val="00334BF3"/>
    <w:rsid w:val="00335E76"/>
    <w:rsid w:val="0033632F"/>
    <w:rsid w:val="00337146"/>
    <w:rsid w:val="00340421"/>
    <w:rsid w:val="003408E3"/>
    <w:rsid w:val="003418F2"/>
    <w:rsid w:val="00341CBC"/>
    <w:rsid w:val="00343480"/>
    <w:rsid w:val="00343A8F"/>
    <w:rsid w:val="00344868"/>
    <w:rsid w:val="00345E89"/>
    <w:rsid w:val="00347614"/>
    <w:rsid w:val="003478F7"/>
    <w:rsid w:val="003522A1"/>
    <w:rsid w:val="0035254B"/>
    <w:rsid w:val="00353555"/>
    <w:rsid w:val="003565D4"/>
    <w:rsid w:val="003566F2"/>
    <w:rsid w:val="003607FB"/>
    <w:rsid w:val="00360DB1"/>
    <w:rsid w:val="00360FD5"/>
    <w:rsid w:val="003616C3"/>
    <w:rsid w:val="00361D1D"/>
    <w:rsid w:val="003620E3"/>
    <w:rsid w:val="00363167"/>
    <w:rsid w:val="0036340D"/>
    <w:rsid w:val="003634A5"/>
    <w:rsid w:val="003638B7"/>
    <w:rsid w:val="00365911"/>
    <w:rsid w:val="00366868"/>
    <w:rsid w:val="00367506"/>
    <w:rsid w:val="00370085"/>
    <w:rsid w:val="003744A7"/>
    <w:rsid w:val="00374D07"/>
    <w:rsid w:val="00375615"/>
    <w:rsid w:val="00376235"/>
    <w:rsid w:val="003814DD"/>
    <w:rsid w:val="00381FB6"/>
    <w:rsid w:val="0038230F"/>
    <w:rsid w:val="003836D3"/>
    <w:rsid w:val="00383A52"/>
    <w:rsid w:val="00391652"/>
    <w:rsid w:val="0039307B"/>
    <w:rsid w:val="00393DE5"/>
    <w:rsid w:val="0039404B"/>
    <w:rsid w:val="0039507F"/>
    <w:rsid w:val="0039578E"/>
    <w:rsid w:val="003A1260"/>
    <w:rsid w:val="003A2945"/>
    <w:rsid w:val="003A295F"/>
    <w:rsid w:val="003A3C24"/>
    <w:rsid w:val="003A41DD"/>
    <w:rsid w:val="003A56B5"/>
    <w:rsid w:val="003A7033"/>
    <w:rsid w:val="003A7323"/>
    <w:rsid w:val="003A752D"/>
    <w:rsid w:val="003B2765"/>
    <w:rsid w:val="003B47FE"/>
    <w:rsid w:val="003B5197"/>
    <w:rsid w:val="003B5673"/>
    <w:rsid w:val="003B6287"/>
    <w:rsid w:val="003B62C9"/>
    <w:rsid w:val="003C1A92"/>
    <w:rsid w:val="003C1F08"/>
    <w:rsid w:val="003C2437"/>
    <w:rsid w:val="003C3622"/>
    <w:rsid w:val="003C68E6"/>
    <w:rsid w:val="003C7176"/>
    <w:rsid w:val="003D0929"/>
    <w:rsid w:val="003D1693"/>
    <w:rsid w:val="003D4729"/>
    <w:rsid w:val="003D7DD6"/>
    <w:rsid w:val="003E127C"/>
    <w:rsid w:val="003E29CF"/>
    <w:rsid w:val="003E302D"/>
    <w:rsid w:val="003E5AAF"/>
    <w:rsid w:val="003E600D"/>
    <w:rsid w:val="003E64DF"/>
    <w:rsid w:val="003E6A5D"/>
    <w:rsid w:val="003F193A"/>
    <w:rsid w:val="003F411A"/>
    <w:rsid w:val="003F4207"/>
    <w:rsid w:val="003F54F0"/>
    <w:rsid w:val="003F5C46"/>
    <w:rsid w:val="003F7CBB"/>
    <w:rsid w:val="003F7D34"/>
    <w:rsid w:val="0040228C"/>
    <w:rsid w:val="00404BAD"/>
    <w:rsid w:val="00405367"/>
    <w:rsid w:val="004063D3"/>
    <w:rsid w:val="00410F1C"/>
    <w:rsid w:val="00412C8E"/>
    <w:rsid w:val="00413B7D"/>
    <w:rsid w:val="00414CC7"/>
    <w:rsid w:val="0041518D"/>
    <w:rsid w:val="00415AB7"/>
    <w:rsid w:val="00416934"/>
    <w:rsid w:val="00416A06"/>
    <w:rsid w:val="00420D9F"/>
    <w:rsid w:val="0042120E"/>
    <w:rsid w:val="0042221D"/>
    <w:rsid w:val="00422845"/>
    <w:rsid w:val="00424BCF"/>
    <w:rsid w:val="00424DD3"/>
    <w:rsid w:val="004252C0"/>
    <w:rsid w:val="004269C5"/>
    <w:rsid w:val="00430546"/>
    <w:rsid w:val="00430CB6"/>
    <w:rsid w:val="00431230"/>
    <w:rsid w:val="00431D02"/>
    <w:rsid w:val="00431FB7"/>
    <w:rsid w:val="004354A6"/>
    <w:rsid w:val="00435766"/>
    <w:rsid w:val="00435939"/>
    <w:rsid w:val="00437CC7"/>
    <w:rsid w:val="00437E6A"/>
    <w:rsid w:val="0044083E"/>
    <w:rsid w:val="004412F9"/>
    <w:rsid w:val="00442B9C"/>
    <w:rsid w:val="00445EFA"/>
    <w:rsid w:val="004469FA"/>
    <w:rsid w:val="0044738A"/>
    <w:rsid w:val="004473D3"/>
    <w:rsid w:val="00447667"/>
    <w:rsid w:val="00452231"/>
    <w:rsid w:val="00453891"/>
    <w:rsid w:val="00454907"/>
    <w:rsid w:val="00454D98"/>
    <w:rsid w:val="00460A3E"/>
    <w:rsid w:val="00460AFF"/>
    <w:rsid w:val="00460C13"/>
    <w:rsid w:val="00463228"/>
    <w:rsid w:val="00463782"/>
    <w:rsid w:val="004667E0"/>
    <w:rsid w:val="0046760E"/>
    <w:rsid w:val="00470DE9"/>
    <w:rsid w:val="00470E10"/>
    <w:rsid w:val="004731D9"/>
    <w:rsid w:val="00474085"/>
    <w:rsid w:val="004757A6"/>
    <w:rsid w:val="00477A97"/>
    <w:rsid w:val="00481343"/>
    <w:rsid w:val="0048549E"/>
    <w:rsid w:val="00490847"/>
    <w:rsid w:val="004930C6"/>
    <w:rsid w:val="00493347"/>
    <w:rsid w:val="00494628"/>
    <w:rsid w:val="00494C02"/>
    <w:rsid w:val="00496092"/>
    <w:rsid w:val="004A08DB"/>
    <w:rsid w:val="004A25D0"/>
    <w:rsid w:val="004A30D2"/>
    <w:rsid w:val="004A37E8"/>
    <w:rsid w:val="004A5D2D"/>
    <w:rsid w:val="004A7549"/>
    <w:rsid w:val="004B09D4"/>
    <w:rsid w:val="004B309D"/>
    <w:rsid w:val="004B330A"/>
    <w:rsid w:val="004B64B0"/>
    <w:rsid w:val="004B6FCE"/>
    <w:rsid w:val="004B7C8E"/>
    <w:rsid w:val="004C1C25"/>
    <w:rsid w:val="004C3D3C"/>
    <w:rsid w:val="004D0EDC"/>
    <w:rsid w:val="004D1220"/>
    <w:rsid w:val="004D14B3"/>
    <w:rsid w:val="004D1529"/>
    <w:rsid w:val="004D2253"/>
    <w:rsid w:val="004D3B59"/>
    <w:rsid w:val="004D4272"/>
    <w:rsid w:val="004D5514"/>
    <w:rsid w:val="004D56C3"/>
    <w:rsid w:val="004E0338"/>
    <w:rsid w:val="004E2A77"/>
    <w:rsid w:val="004E3011"/>
    <w:rsid w:val="004E4FF3"/>
    <w:rsid w:val="004E56A8"/>
    <w:rsid w:val="004E5DC6"/>
    <w:rsid w:val="004F1264"/>
    <w:rsid w:val="004F3B55"/>
    <w:rsid w:val="004F428E"/>
    <w:rsid w:val="004F4E46"/>
    <w:rsid w:val="004F6B7D"/>
    <w:rsid w:val="005015F6"/>
    <w:rsid w:val="005030C4"/>
    <w:rsid w:val="005031A2"/>
    <w:rsid w:val="005031C5"/>
    <w:rsid w:val="00504FDC"/>
    <w:rsid w:val="00511BEC"/>
    <w:rsid w:val="00511E2E"/>
    <w:rsid w:val="005120CC"/>
    <w:rsid w:val="00512B7B"/>
    <w:rsid w:val="00514447"/>
    <w:rsid w:val="00514EA1"/>
    <w:rsid w:val="00515485"/>
    <w:rsid w:val="0051594A"/>
    <w:rsid w:val="0051798B"/>
    <w:rsid w:val="00521F5A"/>
    <w:rsid w:val="00524C26"/>
    <w:rsid w:val="00525E06"/>
    <w:rsid w:val="00526051"/>
    <w:rsid w:val="00526454"/>
    <w:rsid w:val="0052677E"/>
    <w:rsid w:val="00527EEB"/>
    <w:rsid w:val="00531823"/>
    <w:rsid w:val="005339C7"/>
    <w:rsid w:val="00534ECC"/>
    <w:rsid w:val="0053720D"/>
    <w:rsid w:val="00540EF5"/>
    <w:rsid w:val="00541BF3"/>
    <w:rsid w:val="00541CD3"/>
    <w:rsid w:val="005420E3"/>
    <w:rsid w:val="00542B34"/>
    <w:rsid w:val="005432FE"/>
    <w:rsid w:val="005471FC"/>
    <w:rsid w:val="005476FA"/>
    <w:rsid w:val="005507D4"/>
    <w:rsid w:val="005513F5"/>
    <w:rsid w:val="00551950"/>
    <w:rsid w:val="0055595E"/>
    <w:rsid w:val="005566F8"/>
    <w:rsid w:val="005570D9"/>
    <w:rsid w:val="0055754F"/>
    <w:rsid w:val="00557988"/>
    <w:rsid w:val="00562C49"/>
    <w:rsid w:val="00562DEF"/>
    <w:rsid w:val="0056321A"/>
    <w:rsid w:val="00563A35"/>
    <w:rsid w:val="005661C0"/>
    <w:rsid w:val="0056638B"/>
    <w:rsid w:val="00566596"/>
    <w:rsid w:val="005665F8"/>
    <w:rsid w:val="005741E9"/>
    <w:rsid w:val="005748CF"/>
    <w:rsid w:val="0057509E"/>
    <w:rsid w:val="00577AC7"/>
    <w:rsid w:val="00584270"/>
    <w:rsid w:val="00584738"/>
    <w:rsid w:val="005920B0"/>
    <w:rsid w:val="0059244E"/>
    <w:rsid w:val="00592BCD"/>
    <w:rsid w:val="005936DE"/>
    <w:rsid w:val="0059380D"/>
    <w:rsid w:val="00595A8F"/>
    <w:rsid w:val="005967F2"/>
    <w:rsid w:val="00596850"/>
    <w:rsid w:val="005977C2"/>
    <w:rsid w:val="00597BF2"/>
    <w:rsid w:val="005A01FF"/>
    <w:rsid w:val="005A1F54"/>
    <w:rsid w:val="005A1F74"/>
    <w:rsid w:val="005A3020"/>
    <w:rsid w:val="005A4B89"/>
    <w:rsid w:val="005A4F6B"/>
    <w:rsid w:val="005B134E"/>
    <w:rsid w:val="005B2039"/>
    <w:rsid w:val="005B344F"/>
    <w:rsid w:val="005B3FBA"/>
    <w:rsid w:val="005B4A1D"/>
    <w:rsid w:val="005B6666"/>
    <w:rsid w:val="005B674D"/>
    <w:rsid w:val="005C019D"/>
    <w:rsid w:val="005C056D"/>
    <w:rsid w:val="005C0CBE"/>
    <w:rsid w:val="005C120A"/>
    <w:rsid w:val="005C1FCF"/>
    <w:rsid w:val="005C2E7D"/>
    <w:rsid w:val="005C3883"/>
    <w:rsid w:val="005C3F41"/>
    <w:rsid w:val="005C4071"/>
    <w:rsid w:val="005D0C1E"/>
    <w:rsid w:val="005D1885"/>
    <w:rsid w:val="005D2062"/>
    <w:rsid w:val="005D4A38"/>
    <w:rsid w:val="005D535F"/>
    <w:rsid w:val="005E2EEA"/>
    <w:rsid w:val="005E3708"/>
    <w:rsid w:val="005E3CCD"/>
    <w:rsid w:val="005E3D6B"/>
    <w:rsid w:val="005E4541"/>
    <w:rsid w:val="005E4DFC"/>
    <w:rsid w:val="005E5B55"/>
    <w:rsid w:val="005E5E4A"/>
    <w:rsid w:val="005E693D"/>
    <w:rsid w:val="005E75BF"/>
    <w:rsid w:val="005F1655"/>
    <w:rsid w:val="005F184A"/>
    <w:rsid w:val="005F57BA"/>
    <w:rsid w:val="005F61E6"/>
    <w:rsid w:val="005F6C45"/>
    <w:rsid w:val="00601E66"/>
    <w:rsid w:val="006046D6"/>
    <w:rsid w:val="00605A69"/>
    <w:rsid w:val="00606C54"/>
    <w:rsid w:val="00610AC5"/>
    <w:rsid w:val="006113D6"/>
    <w:rsid w:val="00614375"/>
    <w:rsid w:val="00615B0A"/>
    <w:rsid w:val="00615B86"/>
    <w:rsid w:val="00616738"/>
    <w:rsid w:val="006168CF"/>
    <w:rsid w:val="0062011B"/>
    <w:rsid w:val="0062106A"/>
    <w:rsid w:val="00626DE0"/>
    <w:rsid w:val="00627870"/>
    <w:rsid w:val="00630901"/>
    <w:rsid w:val="00631F8E"/>
    <w:rsid w:val="0063297F"/>
    <w:rsid w:val="00633B11"/>
    <w:rsid w:val="00636EE9"/>
    <w:rsid w:val="00640950"/>
    <w:rsid w:val="00641AE7"/>
    <w:rsid w:val="00642629"/>
    <w:rsid w:val="006430D4"/>
    <w:rsid w:val="00643D18"/>
    <w:rsid w:val="00645F5B"/>
    <w:rsid w:val="0064782B"/>
    <w:rsid w:val="0065293D"/>
    <w:rsid w:val="006530AE"/>
    <w:rsid w:val="00653EFC"/>
    <w:rsid w:val="00654021"/>
    <w:rsid w:val="00661045"/>
    <w:rsid w:val="00666DA8"/>
    <w:rsid w:val="006701B1"/>
    <w:rsid w:val="00670D19"/>
    <w:rsid w:val="00671057"/>
    <w:rsid w:val="006711A3"/>
    <w:rsid w:val="00671652"/>
    <w:rsid w:val="00674173"/>
    <w:rsid w:val="00675AAF"/>
    <w:rsid w:val="0068031A"/>
    <w:rsid w:val="0068187D"/>
    <w:rsid w:val="00681B2F"/>
    <w:rsid w:val="006832A2"/>
    <w:rsid w:val="0068335F"/>
    <w:rsid w:val="00686DBE"/>
    <w:rsid w:val="00687217"/>
    <w:rsid w:val="006900BC"/>
    <w:rsid w:val="00693302"/>
    <w:rsid w:val="0069640B"/>
    <w:rsid w:val="00696E1C"/>
    <w:rsid w:val="006A072E"/>
    <w:rsid w:val="006A0AD7"/>
    <w:rsid w:val="006A1B83"/>
    <w:rsid w:val="006A21CD"/>
    <w:rsid w:val="006A30A6"/>
    <w:rsid w:val="006A5918"/>
    <w:rsid w:val="006A654E"/>
    <w:rsid w:val="006B06E8"/>
    <w:rsid w:val="006B1EE0"/>
    <w:rsid w:val="006B21B2"/>
    <w:rsid w:val="006B45F1"/>
    <w:rsid w:val="006B4A4A"/>
    <w:rsid w:val="006C19B2"/>
    <w:rsid w:val="006C4409"/>
    <w:rsid w:val="006C5BB8"/>
    <w:rsid w:val="006C6253"/>
    <w:rsid w:val="006C6936"/>
    <w:rsid w:val="006C7B01"/>
    <w:rsid w:val="006D0FE8"/>
    <w:rsid w:val="006D4507"/>
    <w:rsid w:val="006D4B2B"/>
    <w:rsid w:val="006D4F3C"/>
    <w:rsid w:val="006D5143"/>
    <w:rsid w:val="006D5396"/>
    <w:rsid w:val="006D5C66"/>
    <w:rsid w:val="006D7002"/>
    <w:rsid w:val="006E1B3C"/>
    <w:rsid w:val="006E23FB"/>
    <w:rsid w:val="006E325A"/>
    <w:rsid w:val="006E33EC"/>
    <w:rsid w:val="006E372F"/>
    <w:rsid w:val="006E3802"/>
    <w:rsid w:val="006E6970"/>
    <w:rsid w:val="006E6C02"/>
    <w:rsid w:val="006E6FD9"/>
    <w:rsid w:val="006F231A"/>
    <w:rsid w:val="006F6B55"/>
    <w:rsid w:val="006F6E18"/>
    <w:rsid w:val="006F788D"/>
    <w:rsid w:val="006F78E1"/>
    <w:rsid w:val="0070077F"/>
    <w:rsid w:val="00701072"/>
    <w:rsid w:val="007019D2"/>
    <w:rsid w:val="00702054"/>
    <w:rsid w:val="007035A4"/>
    <w:rsid w:val="00705F05"/>
    <w:rsid w:val="0070647C"/>
    <w:rsid w:val="00706FC0"/>
    <w:rsid w:val="007101E7"/>
    <w:rsid w:val="00710A50"/>
    <w:rsid w:val="00711799"/>
    <w:rsid w:val="007119C9"/>
    <w:rsid w:val="00712B78"/>
    <w:rsid w:val="0071393B"/>
    <w:rsid w:val="00713EE2"/>
    <w:rsid w:val="007170A3"/>
    <w:rsid w:val="0071746B"/>
    <w:rsid w:val="007177FC"/>
    <w:rsid w:val="00720C5E"/>
    <w:rsid w:val="00720CCB"/>
    <w:rsid w:val="00721701"/>
    <w:rsid w:val="007237BC"/>
    <w:rsid w:val="00725A1A"/>
    <w:rsid w:val="00726690"/>
    <w:rsid w:val="00731715"/>
    <w:rsid w:val="00731835"/>
    <w:rsid w:val="0073291A"/>
    <w:rsid w:val="00733F53"/>
    <w:rsid w:val="007341F8"/>
    <w:rsid w:val="00734372"/>
    <w:rsid w:val="00734EB8"/>
    <w:rsid w:val="00734F3A"/>
    <w:rsid w:val="00735F8B"/>
    <w:rsid w:val="00736FEC"/>
    <w:rsid w:val="0073708D"/>
    <w:rsid w:val="0073771B"/>
    <w:rsid w:val="0074090B"/>
    <w:rsid w:val="00742D1F"/>
    <w:rsid w:val="00743EBA"/>
    <w:rsid w:val="007442AC"/>
    <w:rsid w:val="007447CF"/>
    <w:rsid w:val="00744C8E"/>
    <w:rsid w:val="007451E2"/>
    <w:rsid w:val="00746711"/>
    <w:rsid w:val="0074707E"/>
    <w:rsid w:val="007516DC"/>
    <w:rsid w:val="00752E58"/>
    <w:rsid w:val="007543C7"/>
    <w:rsid w:val="00754B80"/>
    <w:rsid w:val="00761918"/>
    <w:rsid w:val="0076257A"/>
    <w:rsid w:val="00762F03"/>
    <w:rsid w:val="00763B24"/>
    <w:rsid w:val="00763F20"/>
    <w:rsid w:val="0076413B"/>
    <w:rsid w:val="007648AE"/>
    <w:rsid w:val="00764BF8"/>
    <w:rsid w:val="0076514D"/>
    <w:rsid w:val="007714F0"/>
    <w:rsid w:val="007720D7"/>
    <w:rsid w:val="00773D59"/>
    <w:rsid w:val="00776945"/>
    <w:rsid w:val="00781003"/>
    <w:rsid w:val="007911D0"/>
    <w:rsid w:val="007911FD"/>
    <w:rsid w:val="00793930"/>
    <w:rsid w:val="00793DD1"/>
    <w:rsid w:val="00794FEC"/>
    <w:rsid w:val="00795195"/>
    <w:rsid w:val="0079520C"/>
    <w:rsid w:val="00796658"/>
    <w:rsid w:val="00796B13"/>
    <w:rsid w:val="007A003E"/>
    <w:rsid w:val="007A1965"/>
    <w:rsid w:val="007A1F51"/>
    <w:rsid w:val="007A2ED1"/>
    <w:rsid w:val="007A46C9"/>
    <w:rsid w:val="007A4BE6"/>
    <w:rsid w:val="007A5A8D"/>
    <w:rsid w:val="007A7E8A"/>
    <w:rsid w:val="007B0DC6"/>
    <w:rsid w:val="007B0EF8"/>
    <w:rsid w:val="007B1094"/>
    <w:rsid w:val="007B1762"/>
    <w:rsid w:val="007B3320"/>
    <w:rsid w:val="007B34B2"/>
    <w:rsid w:val="007B34D9"/>
    <w:rsid w:val="007B448B"/>
    <w:rsid w:val="007B6B03"/>
    <w:rsid w:val="007B7EA4"/>
    <w:rsid w:val="007C12F6"/>
    <w:rsid w:val="007C2D48"/>
    <w:rsid w:val="007C301F"/>
    <w:rsid w:val="007C3873"/>
    <w:rsid w:val="007C4540"/>
    <w:rsid w:val="007C65AF"/>
    <w:rsid w:val="007D0DD9"/>
    <w:rsid w:val="007D135D"/>
    <w:rsid w:val="007D5489"/>
    <w:rsid w:val="007D730F"/>
    <w:rsid w:val="007D7CD8"/>
    <w:rsid w:val="007E3AA7"/>
    <w:rsid w:val="007F2C9A"/>
    <w:rsid w:val="007F737D"/>
    <w:rsid w:val="00801420"/>
    <w:rsid w:val="0080308E"/>
    <w:rsid w:val="008034BD"/>
    <w:rsid w:val="00805303"/>
    <w:rsid w:val="00806705"/>
    <w:rsid w:val="00806738"/>
    <w:rsid w:val="008069B9"/>
    <w:rsid w:val="00806D55"/>
    <w:rsid w:val="00806FFA"/>
    <w:rsid w:val="0080702C"/>
    <w:rsid w:val="00815DF3"/>
    <w:rsid w:val="008216D5"/>
    <w:rsid w:val="00821D63"/>
    <w:rsid w:val="008249CE"/>
    <w:rsid w:val="00825FC7"/>
    <w:rsid w:val="00831A50"/>
    <w:rsid w:val="00831B3C"/>
    <w:rsid w:val="00831C89"/>
    <w:rsid w:val="00832114"/>
    <w:rsid w:val="00832117"/>
    <w:rsid w:val="00832DC7"/>
    <w:rsid w:val="00834C46"/>
    <w:rsid w:val="00834C85"/>
    <w:rsid w:val="008363A5"/>
    <w:rsid w:val="008377E5"/>
    <w:rsid w:val="0084093E"/>
    <w:rsid w:val="00841CE1"/>
    <w:rsid w:val="008454D3"/>
    <w:rsid w:val="00846DA9"/>
    <w:rsid w:val="008473D8"/>
    <w:rsid w:val="00850225"/>
    <w:rsid w:val="008528DC"/>
    <w:rsid w:val="00852B8C"/>
    <w:rsid w:val="00854981"/>
    <w:rsid w:val="00854C81"/>
    <w:rsid w:val="00857815"/>
    <w:rsid w:val="00860EAF"/>
    <w:rsid w:val="00864B2E"/>
    <w:rsid w:val="00865963"/>
    <w:rsid w:val="00871C1D"/>
    <w:rsid w:val="0087450E"/>
    <w:rsid w:val="008756E6"/>
    <w:rsid w:val="00875A82"/>
    <w:rsid w:val="00876CA3"/>
    <w:rsid w:val="008772FE"/>
    <w:rsid w:val="008775F1"/>
    <w:rsid w:val="00877BF9"/>
    <w:rsid w:val="00880605"/>
    <w:rsid w:val="008821AE"/>
    <w:rsid w:val="00883D3A"/>
    <w:rsid w:val="008854F7"/>
    <w:rsid w:val="00885A9D"/>
    <w:rsid w:val="00887D4B"/>
    <w:rsid w:val="0089068E"/>
    <w:rsid w:val="00891F2A"/>
    <w:rsid w:val="008929D2"/>
    <w:rsid w:val="00892F54"/>
    <w:rsid w:val="00893636"/>
    <w:rsid w:val="00893B94"/>
    <w:rsid w:val="00896E9D"/>
    <w:rsid w:val="00896F11"/>
    <w:rsid w:val="00897754"/>
    <w:rsid w:val="008A1049"/>
    <w:rsid w:val="008A1ADD"/>
    <w:rsid w:val="008A1C98"/>
    <w:rsid w:val="008A322D"/>
    <w:rsid w:val="008A3409"/>
    <w:rsid w:val="008A4D72"/>
    <w:rsid w:val="008A6285"/>
    <w:rsid w:val="008A63B2"/>
    <w:rsid w:val="008A6AF0"/>
    <w:rsid w:val="008B345D"/>
    <w:rsid w:val="008B7CB2"/>
    <w:rsid w:val="008C03D4"/>
    <w:rsid w:val="008C1FC2"/>
    <w:rsid w:val="008C2980"/>
    <w:rsid w:val="008C4DD6"/>
    <w:rsid w:val="008C5AFB"/>
    <w:rsid w:val="008C7799"/>
    <w:rsid w:val="008C779D"/>
    <w:rsid w:val="008D07FB"/>
    <w:rsid w:val="008D0C02"/>
    <w:rsid w:val="008D22FA"/>
    <w:rsid w:val="008D357D"/>
    <w:rsid w:val="008D435A"/>
    <w:rsid w:val="008D5041"/>
    <w:rsid w:val="008D57DB"/>
    <w:rsid w:val="008D61BB"/>
    <w:rsid w:val="008E0946"/>
    <w:rsid w:val="008E321A"/>
    <w:rsid w:val="008E3251"/>
    <w:rsid w:val="008E32E1"/>
    <w:rsid w:val="008E387B"/>
    <w:rsid w:val="008E6087"/>
    <w:rsid w:val="008E6E07"/>
    <w:rsid w:val="008E758D"/>
    <w:rsid w:val="008F10A7"/>
    <w:rsid w:val="008F2FA9"/>
    <w:rsid w:val="008F3E9D"/>
    <w:rsid w:val="008F5E16"/>
    <w:rsid w:val="008F755D"/>
    <w:rsid w:val="008F7A39"/>
    <w:rsid w:val="009021E8"/>
    <w:rsid w:val="009022B2"/>
    <w:rsid w:val="00904677"/>
    <w:rsid w:val="00905EE2"/>
    <w:rsid w:val="00906A48"/>
    <w:rsid w:val="00911440"/>
    <w:rsid w:val="00911712"/>
    <w:rsid w:val="00911B27"/>
    <w:rsid w:val="0091551C"/>
    <w:rsid w:val="009170BE"/>
    <w:rsid w:val="00920B55"/>
    <w:rsid w:val="009242E4"/>
    <w:rsid w:val="009257BA"/>
    <w:rsid w:val="009262C9"/>
    <w:rsid w:val="00930EB9"/>
    <w:rsid w:val="00930F76"/>
    <w:rsid w:val="009315EC"/>
    <w:rsid w:val="00933093"/>
    <w:rsid w:val="00933DC7"/>
    <w:rsid w:val="009345B5"/>
    <w:rsid w:val="0093480E"/>
    <w:rsid w:val="00935FF7"/>
    <w:rsid w:val="00936FA4"/>
    <w:rsid w:val="00941502"/>
    <w:rsid w:val="009418F4"/>
    <w:rsid w:val="00942BBC"/>
    <w:rsid w:val="00944180"/>
    <w:rsid w:val="00944AA0"/>
    <w:rsid w:val="00947DA2"/>
    <w:rsid w:val="00951177"/>
    <w:rsid w:val="009528A8"/>
    <w:rsid w:val="0095501A"/>
    <w:rsid w:val="0095505C"/>
    <w:rsid w:val="00956544"/>
    <w:rsid w:val="00956F50"/>
    <w:rsid w:val="009623F9"/>
    <w:rsid w:val="00966F60"/>
    <w:rsid w:val="009673E8"/>
    <w:rsid w:val="00972D8B"/>
    <w:rsid w:val="00974023"/>
    <w:rsid w:val="00974DB8"/>
    <w:rsid w:val="00975E9E"/>
    <w:rsid w:val="00980661"/>
    <w:rsid w:val="0098093B"/>
    <w:rsid w:val="00986A94"/>
    <w:rsid w:val="009876D4"/>
    <w:rsid w:val="009914A1"/>
    <w:rsid w:val="009914A5"/>
    <w:rsid w:val="00994685"/>
    <w:rsid w:val="0099548E"/>
    <w:rsid w:val="00996456"/>
    <w:rsid w:val="00996A12"/>
    <w:rsid w:val="00997B0F"/>
    <w:rsid w:val="009A0CC3"/>
    <w:rsid w:val="009A149D"/>
    <w:rsid w:val="009A1CAD"/>
    <w:rsid w:val="009A3440"/>
    <w:rsid w:val="009A3CE9"/>
    <w:rsid w:val="009A5832"/>
    <w:rsid w:val="009A653E"/>
    <w:rsid w:val="009A6838"/>
    <w:rsid w:val="009B24B5"/>
    <w:rsid w:val="009B4EBC"/>
    <w:rsid w:val="009B5ABB"/>
    <w:rsid w:val="009B73CE"/>
    <w:rsid w:val="009C2461"/>
    <w:rsid w:val="009C345B"/>
    <w:rsid w:val="009C5A15"/>
    <w:rsid w:val="009C5FAE"/>
    <w:rsid w:val="009C6FE2"/>
    <w:rsid w:val="009C703C"/>
    <w:rsid w:val="009C7674"/>
    <w:rsid w:val="009C77AC"/>
    <w:rsid w:val="009D004A"/>
    <w:rsid w:val="009D0EFE"/>
    <w:rsid w:val="009D3452"/>
    <w:rsid w:val="009D35F1"/>
    <w:rsid w:val="009D3773"/>
    <w:rsid w:val="009D5880"/>
    <w:rsid w:val="009D5947"/>
    <w:rsid w:val="009D6402"/>
    <w:rsid w:val="009D6935"/>
    <w:rsid w:val="009E1FD4"/>
    <w:rsid w:val="009E3830"/>
    <w:rsid w:val="009E3B07"/>
    <w:rsid w:val="009E3BC8"/>
    <w:rsid w:val="009E51D1"/>
    <w:rsid w:val="009E5531"/>
    <w:rsid w:val="009F171E"/>
    <w:rsid w:val="009F337B"/>
    <w:rsid w:val="009F3D2F"/>
    <w:rsid w:val="009F3F9A"/>
    <w:rsid w:val="009F7052"/>
    <w:rsid w:val="009F73A3"/>
    <w:rsid w:val="00A0243F"/>
    <w:rsid w:val="00A02668"/>
    <w:rsid w:val="00A02801"/>
    <w:rsid w:val="00A04063"/>
    <w:rsid w:val="00A04F08"/>
    <w:rsid w:val="00A06A39"/>
    <w:rsid w:val="00A07F58"/>
    <w:rsid w:val="00A10A42"/>
    <w:rsid w:val="00A10BFD"/>
    <w:rsid w:val="00A131CB"/>
    <w:rsid w:val="00A1361C"/>
    <w:rsid w:val="00A14847"/>
    <w:rsid w:val="00A16D6D"/>
    <w:rsid w:val="00A17EDF"/>
    <w:rsid w:val="00A21383"/>
    <w:rsid w:val="00A2199F"/>
    <w:rsid w:val="00A21B31"/>
    <w:rsid w:val="00A230ED"/>
    <w:rsid w:val="00A2360E"/>
    <w:rsid w:val="00A23F04"/>
    <w:rsid w:val="00A241B8"/>
    <w:rsid w:val="00A26E0C"/>
    <w:rsid w:val="00A31F3C"/>
    <w:rsid w:val="00A3234A"/>
    <w:rsid w:val="00A32FCB"/>
    <w:rsid w:val="00A34C25"/>
    <w:rsid w:val="00A3507D"/>
    <w:rsid w:val="00A3717A"/>
    <w:rsid w:val="00A378C6"/>
    <w:rsid w:val="00A4088C"/>
    <w:rsid w:val="00A4173E"/>
    <w:rsid w:val="00A41AFA"/>
    <w:rsid w:val="00A4456B"/>
    <w:rsid w:val="00A448D4"/>
    <w:rsid w:val="00A452E0"/>
    <w:rsid w:val="00A506DF"/>
    <w:rsid w:val="00A51EA5"/>
    <w:rsid w:val="00A531BC"/>
    <w:rsid w:val="00A53742"/>
    <w:rsid w:val="00A545EA"/>
    <w:rsid w:val="00A557A1"/>
    <w:rsid w:val="00A56E00"/>
    <w:rsid w:val="00A6049E"/>
    <w:rsid w:val="00A62DEE"/>
    <w:rsid w:val="00A63059"/>
    <w:rsid w:val="00A63AE3"/>
    <w:rsid w:val="00A651A4"/>
    <w:rsid w:val="00A65FF4"/>
    <w:rsid w:val="00A706FD"/>
    <w:rsid w:val="00A70F90"/>
    <w:rsid w:val="00A71361"/>
    <w:rsid w:val="00A7357F"/>
    <w:rsid w:val="00A746E2"/>
    <w:rsid w:val="00A75C45"/>
    <w:rsid w:val="00A76263"/>
    <w:rsid w:val="00A818B0"/>
    <w:rsid w:val="00A81B38"/>
    <w:rsid w:val="00A81FF2"/>
    <w:rsid w:val="00A83904"/>
    <w:rsid w:val="00A83EFF"/>
    <w:rsid w:val="00A844EB"/>
    <w:rsid w:val="00A90A79"/>
    <w:rsid w:val="00A918CD"/>
    <w:rsid w:val="00A95C1C"/>
    <w:rsid w:val="00A96B30"/>
    <w:rsid w:val="00AA0C17"/>
    <w:rsid w:val="00AA2F78"/>
    <w:rsid w:val="00AA442D"/>
    <w:rsid w:val="00AA59B5"/>
    <w:rsid w:val="00AA6DDF"/>
    <w:rsid w:val="00AA7777"/>
    <w:rsid w:val="00AA7B84"/>
    <w:rsid w:val="00AB17E7"/>
    <w:rsid w:val="00AB2ECE"/>
    <w:rsid w:val="00AB3A63"/>
    <w:rsid w:val="00AB57C9"/>
    <w:rsid w:val="00AB7FA0"/>
    <w:rsid w:val="00AC0B4C"/>
    <w:rsid w:val="00AC1164"/>
    <w:rsid w:val="00AC2296"/>
    <w:rsid w:val="00AC2754"/>
    <w:rsid w:val="00AC2828"/>
    <w:rsid w:val="00AC48B0"/>
    <w:rsid w:val="00AC4ACD"/>
    <w:rsid w:val="00AC5DFB"/>
    <w:rsid w:val="00AC6D6C"/>
    <w:rsid w:val="00AD13DC"/>
    <w:rsid w:val="00AD6DE2"/>
    <w:rsid w:val="00AD71E3"/>
    <w:rsid w:val="00AD760F"/>
    <w:rsid w:val="00AE0A40"/>
    <w:rsid w:val="00AE1137"/>
    <w:rsid w:val="00AE1ED4"/>
    <w:rsid w:val="00AE21E1"/>
    <w:rsid w:val="00AE2F8D"/>
    <w:rsid w:val="00AE3BAE"/>
    <w:rsid w:val="00AE6A21"/>
    <w:rsid w:val="00AF1C8F"/>
    <w:rsid w:val="00AF2B68"/>
    <w:rsid w:val="00AF2C92"/>
    <w:rsid w:val="00AF3EC1"/>
    <w:rsid w:val="00AF49F2"/>
    <w:rsid w:val="00AF5025"/>
    <w:rsid w:val="00AF519F"/>
    <w:rsid w:val="00AF5387"/>
    <w:rsid w:val="00AF54C3"/>
    <w:rsid w:val="00AF55F5"/>
    <w:rsid w:val="00AF7E86"/>
    <w:rsid w:val="00B024B9"/>
    <w:rsid w:val="00B02D61"/>
    <w:rsid w:val="00B046A8"/>
    <w:rsid w:val="00B05D9F"/>
    <w:rsid w:val="00B06168"/>
    <w:rsid w:val="00B06C30"/>
    <w:rsid w:val="00B074BB"/>
    <w:rsid w:val="00B077FA"/>
    <w:rsid w:val="00B11154"/>
    <w:rsid w:val="00B127D7"/>
    <w:rsid w:val="00B13B0C"/>
    <w:rsid w:val="00B13B14"/>
    <w:rsid w:val="00B14236"/>
    <w:rsid w:val="00B14408"/>
    <w:rsid w:val="00B1453A"/>
    <w:rsid w:val="00B159C7"/>
    <w:rsid w:val="00B15C35"/>
    <w:rsid w:val="00B20B10"/>
    <w:rsid w:val="00B20F82"/>
    <w:rsid w:val="00B21B70"/>
    <w:rsid w:val="00B23130"/>
    <w:rsid w:val="00B23E4C"/>
    <w:rsid w:val="00B2453E"/>
    <w:rsid w:val="00B25BD5"/>
    <w:rsid w:val="00B278BA"/>
    <w:rsid w:val="00B30EC9"/>
    <w:rsid w:val="00B34079"/>
    <w:rsid w:val="00B3793A"/>
    <w:rsid w:val="00B37A1D"/>
    <w:rsid w:val="00B37BF2"/>
    <w:rsid w:val="00B401BA"/>
    <w:rsid w:val="00B407E4"/>
    <w:rsid w:val="00B425B6"/>
    <w:rsid w:val="00B42A72"/>
    <w:rsid w:val="00B441AE"/>
    <w:rsid w:val="00B45A65"/>
    <w:rsid w:val="00B45F33"/>
    <w:rsid w:val="00B46416"/>
    <w:rsid w:val="00B46D50"/>
    <w:rsid w:val="00B53123"/>
    <w:rsid w:val="00B53170"/>
    <w:rsid w:val="00B548B9"/>
    <w:rsid w:val="00B5524A"/>
    <w:rsid w:val="00B56DBE"/>
    <w:rsid w:val="00B62999"/>
    <w:rsid w:val="00B63BE3"/>
    <w:rsid w:val="00B64824"/>
    <w:rsid w:val="00B64885"/>
    <w:rsid w:val="00B64FA3"/>
    <w:rsid w:val="00B66810"/>
    <w:rsid w:val="00B67726"/>
    <w:rsid w:val="00B7288C"/>
    <w:rsid w:val="00B72BE3"/>
    <w:rsid w:val="00B72E88"/>
    <w:rsid w:val="00B73B80"/>
    <w:rsid w:val="00B770C7"/>
    <w:rsid w:val="00B80F26"/>
    <w:rsid w:val="00B822BD"/>
    <w:rsid w:val="00B82451"/>
    <w:rsid w:val="00B842F4"/>
    <w:rsid w:val="00B84A25"/>
    <w:rsid w:val="00B9171E"/>
    <w:rsid w:val="00B91A7B"/>
    <w:rsid w:val="00B929DD"/>
    <w:rsid w:val="00B93320"/>
    <w:rsid w:val="00B93AF6"/>
    <w:rsid w:val="00B95405"/>
    <w:rsid w:val="00B95594"/>
    <w:rsid w:val="00B963F1"/>
    <w:rsid w:val="00BA020A"/>
    <w:rsid w:val="00BA275F"/>
    <w:rsid w:val="00BA3B3C"/>
    <w:rsid w:val="00BA3D39"/>
    <w:rsid w:val="00BA629E"/>
    <w:rsid w:val="00BA6D3E"/>
    <w:rsid w:val="00BB025A"/>
    <w:rsid w:val="00BB02A4"/>
    <w:rsid w:val="00BB1270"/>
    <w:rsid w:val="00BB1E44"/>
    <w:rsid w:val="00BB5267"/>
    <w:rsid w:val="00BB52B8"/>
    <w:rsid w:val="00BB59D8"/>
    <w:rsid w:val="00BB7D18"/>
    <w:rsid w:val="00BB7E69"/>
    <w:rsid w:val="00BC0E51"/>
    <w:rsid w:val="00BC2AB2"/>
    <w:rsid w:val="00BC2F4E"/>
    <w:rsid w:val="00BC3C1F"/>
    <w:rsid w:val="00BC41A4"/>
    <w:rsid w:val="00BC6918"/>
    <w:rsid w:val="00BC6929"/>
    <w:rsid w:val="00BC7CE7"/>
    <w:rsid w:val="00BD03D2"/>
    <w:rsid w:val="00BD295E"/>
    <w:rsid w:val="00BD34D8"/>
    <w:rsid w:val="00BD4664"/>
    <w:rsid w:val="00BE1193"/>
    <w:rsid w:val="00BE13A1"/>
    <w:rsid w:val="00BE3590"/>
    <w:rsid w:val="00BE50AB"/>
    <w:rsid w:val="00BF4849"/>
    <w:rsid w:val="00BF4EA7"/>
    <w:rsid w:val="00BF6525"/>
    <w:rsid w:val="00C00EDB"/>
    <w:rsid w:val="00C02863"/>
    <w:rsid w:val="00C02E74"/>
    <w:rsid w:val="00C0383A"/>
    <w:rsid w:val="00C054B7"/>
    <w:rsid w:val="00C067FF"/>
    <w:rsid w:val="00C12862"/>
    <w:rsid w:val="00C13D28"/>
    <w:rsid w:val="00C13F8F"/>
    <w:rsid w:val="00C14585"/>
    <w:rsid w:val="00C165A0"/>
    <w:rsid w:val="00C17FE6"/>
    <w:rsid w:val="00C203CC"/>
    <w:rsid w:val="00C2059C"/>
    <w:rsid w:val="00C216CE"/>
    <w:rsid w:val="00C2184F"/>
    <w:rsid w:val="00C2254D"/>
    <w:rsid w:val="00C22A78"/>
    <w:rsid w:val="00C23C7E"/>
    <w:rsid w:val="00C246C5"/>
    <w:rsid w:val="00C25A82"/>
    <w:rsid w:val="00C30A2A"/>
    <w:rsid w:val="00C31B33"/>
    <w:rsid w:val="00C32535"/>
    <w:rsid w:val="00C33993"/>
    <w:rsid w:val="00C343A6"/>
    <w:rsid w:val="00C4069E"/>
    <w:rsid w:val="00C41ADC"/>
    <w:rsid w:val="00C4333D"/>
    <w:rsid w:val="00C44149"/>
    <w:rsid w:val="00C44410"/>
    <w:rsid w:val="00C44A15"/>
    <w:rsid w:val="00C4630A"/>
    <w:rsid w:val="00C46435"/>
    <w:rsid w:val="00C46FDE"/>
    <w:rsid w:val="00C51421"/>
    <w:rsid w:val="00C522C9"/>
    <w:rsid w:val="00C523F0"/>
    <w:rsid w:val="00C526D2"/>
    <w:rsid w:val="00C53A91"/>
    <w:rsid w:val="00C53F58"/>
    <w:rsid w:val="00C54CC4"/>
    <w:rsid w:val="00C5794E"/>
    <w:rsid w:val="00C60968"/>
    <w:rsid w:val="00C63D39"/>
    <w:rsid w:val="00C63EDD"/>
    <w:rsid w:val="00C6518E"/>
    <w:rsid w:val="00C65B36"/>
    <w:rsid w:val="00C66ED8"/>
    <w:rsid w:val="00C70B02"/>
    <w:rsid w:val="00C71224"/>
    <w:rsid w:val="00C7292E"/>
    <w:rsid w:val="00C73C54"/>
    <w:rsid w:val="00C74018"/>
    <w:rsid w:val="00C746BA"/>
    <w:rsid w:val="00C74E88"/>
    <w:rsid w:val="00C80924"/>
    <w:rsid w:val="00C81D2D"/>
    <w:rsid w:val="00C8286B"/>
    <w:rsid w:val="00C846F2"/>
    <w:rsid w:val="00C86E3B"/>
    <w:rsid w:val="00C9279D"/>
    <w:rsid w:val="00C947F8"/>
    <w:rsid w:val="00C9515F"/>
    <w:rsid w:val="00C963C5"/>
    <w:rsid w:val="00CA030C"/>
    <w:rsid w:val="00CA1F41"/>
    <w:rsid w:val="00CA32EE"/>
    <w:rsid w:val="00CA342F"/>
    <w:rsid w:val="00CA4541"/>
    <w:rsid w:val="00CA5771"/>
    <w:rsid w:val="00CA6A1A"/>
    <w:rsid w:val="00CB0877"/>
    <w:rsid w:val="00CB0D11"/>
    <w:rsid w:val="00CB3ED1"/>
    <w:rsid w:val="00CB508D"/>
    <w:rsid w:val="00CC04DE"/>
    <w:rsid w:val="00CC1E75"/>
    <w:rsid w:val="00CC2E0E"/>
    <w:rsid w:val="00CC361C"/>
    <w:rsid w:val="00CC474B"/>
    <w:rsid w:val="00CC658C"/>
    <w:rsid w:val="00CC67BF"/>
    <w:rsid w:val="00CC69CA"/>
    <w:rsid w:val="00CD0843"/>
    <w:rsid w:val="00CD2174"/>
    <w:rsid w:val="00CD4E31"/>
    <w:rsid w:val="00CD5A78"/>
    <w:rsid w:val="00CD7345"/>
    <w:rsid w:val="00CE0A64"/>
    <w:rsid w:val="00CE372E"/>
    <w:rsid w:val="00CE3856"/>
    <w:rsid w:val="00CE72C2"/>
    <w:rsid w:val="00CF0A1B"/>
    <w:rsid w:val="00CF19F6"/>
    <w:rsid w:val="00CF2F4F"/>
    <w:rsid w:val="00CF536D"/>
    <w:rsid w:val="00CF623E"/>
    <w:rsid w:val="00D0271B"/>
    <w:rsid w:val="00D029C8"/>
    <w:rsid w:val="00D02E9D"/>
    <w:rsid w:val="00D03211"/>
    <w:rsid w:val="00D10CB8"/>
    <w:rsid w:val="00D1161B"/>
    <w:rsid w:val="00D12806"/>
    <w:rsid w:val="00D12D44"/>
    <w:rsid w:val="00D15018"/>
    <w:rsid w:val="00D1584E"/>
    <w:rsid w:val="00D158AC"/>
    <w:rsid w:val="00D1694C"/>
    <w:rsid w:val="00D16FFA"/>
    <w:rsid w:val="00D20A13"/>
    <w:rsid w:val="00D20F5E"/>
    <w:rsid w:val="00D21BD5"/>
    <w:rsid w:val="00D22B07"/>
    <w:rsid w:val="00D23B76"/>
    <w:rsid w:val="00D24B4A"/>
    <w:rsid w:val="00D24EA1"/>
    <w:rsid w:val="00D3764E"/>
    <w:rsid w:val="00D379A3"/>
    <w:rsid w:val="00D42B69"/>
    <w:rsid w:val="00D448DD"/>
    <w:rsid w:val="00D45FF3"/>
    <w:rsid w:val="00D4629F"/>
    <w:rsid w:val="00D47C97"/>
    <w:rsid w:val="00D512CF"/>
    <w:rsid w:val="00D51ADD"/>
    <w:rsid w:val="00D523B6"/>
    <w:rsid w:val="00D528B9"/>
    <w:rsid w:val="00D53186"/>
    <w:rsid w:val="00D5487D"/>
    <w:rsid w:val="00D54E3D"/>
    <w:rsid w:val="00D60140"/>
    <w:rsid w:val="00D6024A"/>
    <w:rsid w:val="00D608B5"/>
    <w:rsid w:val="00D6316B"/>
    <w:rsid w:val="00D64739"/>
    <w:rsid w:val="00D64AA2"/>
    <w:rsid w:val="00D67A1E"/>
    <w:rsid w:val="00D67FD8"/>
    <w:rsid w:val="00D718D8"/>
    <w:rsid w:val="00D71F99"/>
    <w:rsid w:val="00D7292A"/>
    <w:rsid w:val="00D73CA4"/>
    <w:rsid w:val="00D73D71"/>
    <w:rsid w:val="00D74396"/>
    <w:rsid w:val="00D80284"/>
    <w:rsid w:val="00D81F71"/>
    <w:rsid w:val="00D82071"/>
    <w:rsid w:val="00D844A9"/>
    <w:rsid w:val="00D851FA"/>
    <w:rsid w:val="00D85B42"/>
    <w:rsid w:val="00D8642D"/>
    <w:rsid w:val="00D868CF"/>
    <w:rsid w:val="00D90A5E"/>
    <w:rsid w:val="00D91A68"/>
    <w:rsid w:val="00D95A68"/>
    <w:rsid w:val="00D97CA9"/>
    <w:rsid w:val="00DA17C7"/>
    <w:rsid w:val="00DA6629"/>
    <w:rsid w:val="00DA6A9A"/>
    <w:rsid w:val="00DB02C2"/>
    <w:rsid w:val="00DB1EFD"/>
    <w:rsid w:val="00DB3EAF"/>
    <w:rsid w:val="00DB46C6"/>
    <w:rsid w:val="00DB4787"/>
    <w:rsid w:val="00DB6C8F"/>
    <w:rsid w:val="00DB7D0D"/>
    <w:rsid w:val="00DC2FDD"/>
    <w:rsid w:val="00DC3203"/>
    <w:rsid w:val="00DC3C99"/>
    <w:rsid w:val="00DC52F5"/>
    <w:rsid w:val="00DC5E46"/>
    <w:rsid w:val="00DC5FD0"/>
    <w:rsid w:val="00DC71E2"/>
    <w:rsid w:val="00DD01A5"/>
    <w:rsid w:val="00DD0354"/>
    <w:rsid w:val="00DD0813"/>
    <w:rsid w:val="00DD0AF7"/>
    <w:rsid w:val="00DD27D7"/>
    <w:rsid w:val="00DD3D4F"/>
    <w:rsid w:val="00DD458C"/>
    <w:rsid w:val="00DD72E9"/>
    <w:rsid w:val="00DD7605"/>
    <w:rsid w:val="00DE2020"/>
    <w:rsid w:val="00DE3476"/>
    <w:rsid w:val="00DE6404"/>
    <w:rsid w:val="00DE7BEA"/>
    <w:rsid w:val="00DF2438"/>
    <w:rsid w:val="00DF589B"/>
    <w:rsid w:val="00DF5957"/>
    <w:rsid w:val="00DF5B84"/>
    <w:rsid w:val="00DF6AFE"/>
    <w:rsid w:val="00DF6D5B"/>
    <w:rsid w:val="00DF71AC"/>
    <w:rsid w:val="00DF7528"/>
    <w:rsid w:val="00DF771B"/>
    <w:rsid w:val="00DF7866"/>
    <w:rsid w:val="00DF7C68"/>
    <w:rsid w:val="00DF7E65"/>
    <w:rsid w:val="00DF7EE2"/>
    <w:rsid w:val="00E001CB"/>
    <w:rsid w:val="00E017FE"/>
    <w:rsid w:val="00E01BAA"/>
    <w:rsid w:val="00E01F23"/>
    <w:rsid w:val="00E0282A"/>
    <w:rsid w:val="00E02F9B"/>
    <w:rsid w:val="00E03184"/>
    <w:rsid w:val="00E07E14"/>
    <w:rsid w:val="00E10A69"/>
    <w:rsid w:val="00E12812"/>
    <w:rsid w:val="00E12B30"/>
    <w:rsid w:val="00E14F94"/>
    <w:rsid w:val="00E17336"/>
    <w:rsid w:val="00E17B62"/>
    <w:rsid w:val="00E17D15"/>
    <w:rsid w:val="00E2215A"/>
    <w:rsid w:val="00E22473"/>
    <w:rsid w:val="00E22B95"/>
    <w:rsid w:val="00E30209"/>
    <w:rsid w:val="00E30331"/>
    <w:rsid w:val="00E30BB8"/>
    <w:rsid w:val="00E30D8F"/>
    <w:rsid w:val="00E31F9C"/>
    <w:rsid w:val="00E34226"/>
    <w:rsid w:val="00E34F82"/>
    <w:rsid w:val="00E40488"/>
    <w:rsid w:val="00E404EF"/>
    <w:rsid w:val="00E439F0"/>
    <w:rsid w:val="00E50367"/>
    <w:rsid w:val="00E51ABA"/>
    <w:rsid w:val="00E520B6"/>
    <w:rsid w:val="00E524CB"/>
    <w:rsid w:val="00E60167"/>
    <w:rsid w:val="00E6107A"/>
    <w:rsid w:val="00E62EDF"/>
    <w:rsid w:val="00E65456"/>
    <w:rsid w:val="00E65A91"/>
    <w:rsid w:val="00E66188"/>
    <w:rsid w:val="00E662AE"/>
    <w:rsid w:val="00E664FB"/>
    <w:rsid w:val="00E672F0"/>
    <w:rsid w:val="00E70106"/>
    <w:rsid w:val="00E70373"/>
    <w:rsid w:val="00E716D8"/>
    <w:rsid w:val="00E71FB1"/>
    <w:rsid w:val="00E72E40"/>
    <w:rsid w:val="00E73665"/>
    <w:rsid w:val="00E73999"/>
    <w:rsid w:val="00E73BDC"/>
    <w:rsid w:val="00E73E9E"/>
    <w:rsid w:val="00E76979"/>
    <w:rsid w:val="00E80DDD"/>
    <w:rsid w:val="00E81660"/>
    <w:rsid w:val="00E84BFA"/>
    <w:rsid w:val="00E84D4C"/>
    <w:rsid w:val="00E854FE"/>
    <w:rsid w:val="00E85581"/>
    <w:rsid w:val="00E86641"/>
    <w:rsid w:val="00E906CC"/>
    <w:rsid w:val="00E91C60"/>
    <w:rsid w:val="00E939A0"/>
    <w:rsid w:val="00E94345"/>
    <w:rsid w:val="00E97E4E"/>
    <w:rsid w:val="00EA1CC2"/>
    <w:rsid w:val="00EA1FC3"/>
    <w:rsid w:val="00EA2D76"/>
    <w:rsid w:val="00EA4644"/>
    <w:rsid w:val="00EA4F34"/>
    <w:rsid w:val="00EA5FE6"/>
    <w:rsid w:val="00EA758A"/>
    <w:rsid w:val="00EB096F"/>
    <w:rsid w:val="00EB199F"/>
    <w:rsid w:val="00EB21A4"/>
    <w:rsid w:val="00EB27C4"/>
    <w:rsid w:val="00EB5387"/>
    <w:rsid w:val="00EB5B72"/>
    <w:rsid w:val="00EB5C10"/>
    <w:rsid w:val="00EB6E2F"/>
    <w:rsid w:val="00EB7322"/>
    <w:rsid w:val="00EC0FE9"/>
    <w:rsid w:val="00EC198B"/>
    <w:rsid w:val="00EC2317"/>
    <w:rsid w:val="00EC30E8"/>
    <w:rsid w:val="00EC426D"/>
    <w:rsid w:val="00EC4565"/>
    <w:rsid w:val="00EC571B"/>
    <w:rsid w:val="00EC57D7"/>
    <w:rsid w:val="00EC6385"/>
    <w:rsid w:val="00ED1DE9"/>
    <w:rsid w:val="00ED23D4"/>
    <w:rsid w:val="00ED5C34"/>
    <w:rsid w:val="00ED5E0B"/>
    <w:rsid w:val="00EE0BD0"/>
    <w:rsid w:val="00EE37B6"/>
    <w:rsid w:val="00EF0C22"/>
    <w:rsid w:val="00EF0F45"/>
    <w:rsid w:val="00EF112C"/>
    <w:rsid w:val="00EF331A"/>
    <w:rsid w:val="00EF53F5"/>
    <w:rsid w:val="00EF56A5"/>
    <w:rsid w:val="00EF7463"/>
    <w:rsid w:val="00EF7971"/>
    <w:rsid w:val="00F002EF"/>
    <w:rsid w:val="00F01173"/>
    <w:rsid w:val="00F01EE9"/>
    <w:rsid w:val="00F0367A"/>
    <w:rsid w:val="00F04900"/>
    <w:rsid w:val="00F065A4"/>
    <w:rsid w:val="00F07473"/>
    <w:rsid w:val="00F07BF3"/>
    <w:rsid w:val="00F11BAC"/>
    <w:rsid w:val="00F11CB3"/>
    <w:rsid w:val="00F126B9"/>
    <w:rsid w:val="00F12715"/>
    <w:rsid w:val="00F144D5"/>
    <w:rsid w:val="00F146F0"/>
    <w:rsid w:val="00F15039"/>
    <w:rsid w:val="00F155EC"/>
    <w:rsid w:val="00F15E36"/>
    <w:rsid w:val="00F20FF3"/>
    <w:rsid w:val="00F2190B"/>
    <w:rsid w:val="00F21ABF"/>
    <w:rsid w:val="00F228B5"/>
    <w:rsid w:val="00F2389C"/>
    <w:rsid w:val="00F25C67"/>
    <w:rsid w:val="00F26B50"/>
    <w:rsid w:val="00F2748A"/>
    <w:rsid w:val="00F27934"/>
    <w:rsid w:val="00F30DFF"/>
    <w:rsid w:val="00F31A86"/>
    <w:rsid w:val="00F32B80"/>
    <w:rsid w:val="00F33DB3"/>
    <w:rsid w:val="00F340EB"/>
    <w:rsid w:val="00F35285"/>
    <w:rsid w:val="00F42FBE"/>
    <w:rsid w:val="00F432C7"/>
    <w:rsid w:val="00F43B9D"/>
    <w:rsid w:val="00F44D5E"/>
    <w:rsid w:val="00F479C7"/>
    <w:rsid w:val="00F53A35"/>
    <w:rsid w:val="00F554E1"/>
    <w:rsid w:val="00F55A3D"/>
    <w:rsid w:val="00F570C5"/>
    <w:rsid w:val="00F5744B"/>
    <w:rsid w:val="00F61209"/>
    <w:rsid w:val="00F6259E"/>
    <w:rsid w:val="00F64850"/>
    <w:rsid w:val="00F65DD4"/>
    <w:rsid w:val="00F672B2"/>
    <w:rsid w:val="00F74328"/>
    <w:rsid w:val="00F7681A"/>
    <w:rsid w:val="00F803D5"/>
    <w:rsid w:val="00F8146F"/>
    <w:rsid w:val="00F81568"/>
    <w:rsid w:val="00F81F53"/>
    <w:rsid w:val="00F83973"/>
    <w:rsid w:val="00F86A2F"/>
    <w:rsid w:val="00F87070"/>
    <w:rsid w:val="00F87FA3"/>
    <w:rsid w:val="00F90065"/>
    <w:rsid w:val="00F92629"/>
    <w:rsid w:val="00F93625"/>
    <w:rsid w:val="00F93D8C"/>
    <w:rsid w:val="00F950F9"/>
    <w:rsid w:val="00F97105"/>
    <w:rsid w:val="00F97E65"/>
    <w:rsid w:val="00FA0F3D"/>
    <w:rsid w:val="00FA3102"/>
    <w:rsid w:val="00FA3293"/>
    <w:rsid w:val="00FA48D4"/>
    <w:rsid w:val="00FA4D97"/>
    <w:rsid w:val="00FA54FA"/>
    <w:rsid w:val="00FA6D39"/>
    <w:rsid w:val="00FB227E"/>
    <w:rsid w:val="00FB3D57"/>
    <w:rsid w:val="00FB3D61"/>
    <w:rsid w:val="00FB44CE"/>
    <w:rsid w:val="00FB5009"/>
    <w:rsid w:val="00FB76AB"/>
    <w:rsid w:val="00FD03FE"/>
    <w:rsid w:val="00FD126E"/>
    <w:rsid w:val="00FD3C36"/>
    <w:rsid w:val="00FD4D81"/>
    <w:rsid w:val="00FD7498"/>
    <w:rsid w:val="00FD7FB3"/>
    <w:rsid w:val="00FE204F"/>
    <w:rsid w:val="00FE2D91"/>
    <w:rsid w:val="00FE4713"/>
    <w:rsid w:val="00FE5233"/>
    <w:rsid w:val="00FE5C4B"/>
    <w:rsid w:val="00FF1F44"/>
    <w:rsid w:val="00FF225E"/>
    <w:rsid w:val="00FF2A6A"/>
    <w:rsid w:val="00FF398D"/>
    <w:rsid w:val="00FF4DA9"/>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BED95"/>
  <w14:defaultImageDpi w14:val="330"/>
  <w15:docId w15:val="{94FE0A4E-6B98-FB4A-9B4A-81A222B9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eGrid">
    <w:name w:val="Table Grid"/>
    <w:basedOn w:val="TableNormal"/>
    <w:rsid w:val="00430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E3830"/>
    <w:rPr>
      <w:sz w:val="16"/>
      <w:szCs w:val="16"/>
    </w:rPr>
  </w:style>
  <w:style w:type="paragraph" w:styleId="CommentText">
    <w:name w:val="annotation text"/>
    <w:basedOn w:val="Normal"/>
    <w:link w:val="CommentTextChar"/>
    <w:semiHidden/>
    <w:unhideWhenUsed/>
    <w:rsid w:val="009E3830"/>
    <w:pPr>
      <w:spacing w:line="240" w:lineRule="auto"/>
    </w:pPr>
    <w:rPr>
      <w:sz w:val="20"/>
      <w:szCs w:val="20"/>
    </w:rPr>
  </w:style>
  <w:style w:type="character" w:customStyle="1" w:styleId="CommentTextChar">
    <w:name w:val="Comment Text Char"/>
    <w:basedOn w:val="DefaultParagraphFont"/>
    <w:link w:val="CommentText"/>
    <w:semiHidden/>
    <w:rsid w:val="009E3830"/>
  </w:style>
  <w:style w:type="paragraph" w:styleId="CommentSubject">
    <w:name w:val="annotation subject"/>
    <w:basedOn w:val="CommentText"/>
    <w:next w:val="CommentText"/>
    <w:link w:val="CommentSubjectChar"/>
    <w:semiHidden/>
    <w:unhideWhenUsed/>
    <w:rsid w:val="009E3830"/>
    <w:rPr>
      <w:b/>
      <w:bCs/>
    </w:rPr>
  </w:style>
  <w:style w:type="character" w:customStyle="1" w:styleId="CommentSubjectChar">
    <w:name w:val="Comment Subject Char"/>
    <w:basedOn w:val="CommentTextChar"/>
    <w:link w:val="CommentSubject"/>
    <w:semiHidden/>
    <w:rsid w:val="009E3830"/>
    <w:rPr>
      <w:b/>
      <w:bCs/>
    </w:rPr>
  </w:style>
  <w:style w:type="paragraph" w:styleId="BalloonText">
    <w:name w:val="Balloon Text"/>
    <w:basedOn w:val="Normal"/>
    <w:link w:val="BalloonTextChar"/>
    <w:semiHidden/>
    <w:unhideWhenUsed/>
    <w:rsid w:val="009E38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E3830"/>
    <w:rPr>
      <w:rFonts w:ascii="Segoe UI" w:hAnsi="Segoe UI" w:cs="Segoe UI"/>
      <w:sz w:val="18"/>
      <w:szCs w:val="18"/>
    </w:rPr>
  </w:style>
  <w:style w:type="character" w:styleId="Hyperlink">
    <w:name w:val="Hyperlink"/>
    <w:basedOn w:val="DefaultParagraphFont"/>
    <w:uiPriority w:val="99"/>
    <w:unhideWhenUsed/>
    <w:rsid w:val="00A10A42"/>
    <w:rPr>
      <w:color w:val="0000FF"/>
      <w:u w:val="single"/>
    </w:rPr>
  </w:style>
  <w:style w:type="paragraph" w:styleId="Revision">
    <w:name w:val="Revision"/>
    <w:hidden/>
    <w:semiHidden/>
    <w:rsid w:val="00542B34"/>
    <w:rPr>
      <w:sz w:val="24"/>
      <w:szCs w:val="24"/>
    </w:rPr>
  </w:style>
  <w:style w:type="character" w:styleId="FollowedHyperlink">
    <w:name w:val="FollowedHyperlink"/>
    <w:basedOn w:val="DefaultParagraphFont"/>
    <w:semiHidden/>
    <w:unhideWhenUsed/>
    <w:rsid w:val="006113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0721">
      <w:bodyDiv w:val="1"/>
      <w:marLeft w:val="0"/>
      <w:marRight w:val="0"/>
      <w:marTop w:val="0"/>
      <w:marBottom w:val="0"/>
      <w:divBdr>
        <w:top w:val="none" w:sz="0" w:space="0" w:color="auto"/>
        <w:left w:val="none" w:sz="0" w:space="0" w:color="auto"/>
        <w:bottom w:val="none" w:sz="0" w:space="0" w:color="auto"/>
        <w:right w:val="none" w:sz="0" w:space="0" w:color="auto"/>
      </w:divBdr>
    </w:div>
    <w:div w:id="204756160">
      <w:bodyDiv w:val="1"/>
      <w:marLeft w:val="0"/>
      <w:marRight w:val="0"/>
      <w:marTop w:val="0"/>
      <w:marBottom w:val="0"/>
      <w:divBdr>
        <w:top w:val="none" w:sz="0" w:space="0" w:color="auto"/>
        <w:left w:val="none" w:sz="0" w:space="0" w:color="auto"/>
        <w:bottom w:val="none" w:sz="0" w:space="0" w:color="auto"/>
        <w:right w:val="none" w:sz="0" w:space="0" w:color="auto"/>
      </w:divBdr>
      <w:divsChild>
        <w:div w:id="687100437">
          <w:marLeft w:val="0"/>
          <w:marRight w:val="0"/>
          <w:marTop w:val="0"/>
          <w:marBottom w:val="0"/>
          <w:divBdr>
            <w:top w:val="none" w:sz="0" w:space="0" w:color="auto"/>
            <w:left w:val="none" w:sz="0" w:space="0" w:color="auto"/>
            <w:bottom w:val="none" w:sz="0" w:space="0" w:color="auto"/>
            <w:right w:val="none" w:sz="0" w:space="0" w:color="auto"/>
          </w:divBdr>
          <w:divsChild>
            <w:div w:id="761605508">
              <w:marLeft w:val="0"/>
              <w:marRight w:val="0"/>
              <w:marTop w:val="0"/>
              <w:marBottom w:val="0"/>
              <w:divBdr>
                <w:top w:val="none" w:sz="0" w:space="0" w:color="auto"/>
                <w:left w:val="none" w:sz="0" w:space="0" w:color="auto"/>
                <w:bottom w:val="none" w:sz="0" w:space="0" w:color="auto"/>
                <w:right w:val="none" w:sz="0" w:space="0" w:color="auto"/>
              </w:divBdr>
              <w:divsChild>
                <w:div w:id="376704849">
                  <w:marLeft w:val="0"/>
                  <w:marRight w:val="0"/>
                  <w:marTop w:val="0"/>
                  <w:marBottom w:val="0"/>
                  <w:divBdr>
                    <w:top w:val="single" w:sz="6" w:space="0" w:color="auto"/>
                    <w:left w:val="single" w:sz="6" w:space="0" w:color="auto"/>
                    <w:bottom w:val="single" w:sz="6" w:space="0" w:color="auto"/>
                    <w:right w:val="single" w:sz="6" w:space="0" w:color="auto"/>
                  </w:divBdr>
                  <w:divsChild>
                    <w:div w:id="4275050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41599303">
          <w:marLeft w:val="0"/>
          <w:marRight w:val="0"/>
          <w:marTop w:val="0"/>
          <w:marBottom w:val="0"/>
          <w:divBdr>
            <w:top w:val="none" w:sz="0" w:space="0" w:color="auto"/>
            <w:left w:val="none" w:sz="0" w:space="0" w:color="auto"/>
            <w:bottom w:val="none" w:sz="0" w:space="0" w:color="auto"/>
            <w:right w:val="none" w:sz="0" w:space="0" w:color="auto"/>
          </w:divBdr>
          <w:divsChild>
            <w:div w:id="1307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0770">
      <w:bodyDiv w:val="1"/>
      <w:marLeft w:val="0"/>
      <w:marRight w:val="0"/>
      <w:marTop w:val="0"/>
      <w:marBottom w:val="0"/>
      <w:divBdr>
        <w:top w:val="none" w:sz="0" w:space="0" w:color="auto"/>
        <w:left w:val="none" w:sz="0" w:space="0" w:color="auto"/>
        <w:bottom w:val="none" w:sz="0" w:space="0" w:color="auto"/>
        <w:right w:val="none" w:sz="0" w:space="0" w:color="auto"/>
      </w:divBdr>
    </w:div>
    <w:div w:id="78415306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27348955">
      <w:bodyDiv w:val="1"/>
      <w:marLeft w:val="0"/>
      <w:marRight w:val="0"/>
      <w:marTop w:val="0"/>
      <w:marBottom w:val="0"/>
      <w:divBdr>
        <w:top w:val="none" w:sz="0" w:space="0" w:color="auto"/>
        <w:left w:val="none" w:sz="0" w:space="0" w:color="auto"/>
        <w:bottom w:val="none" w:sz="0" w:space="0" w:color="auto"/>
        <w:right w:val="none" w:sz="0" w:space="0" w:color="auto"/>
      </w:divBdr>
      <w:divsChild>
        <w:div w:id="1851675193">
          <w:marLeft w:val="0"/>
          <w:marRight w:val="0"/>
          <w:marTop w:val="0"/>
          <w:marBottom w:val="0"/>
          <w:divBdr>
            <w:top w:val="none" w:sz="0" w:space="0" w:color="auto"/>
            <w:left w:val="none" w:sz="0" w:space="0" w:color="auto"/>
            <w:bottom w:val="none" w:sz="0" w:space="0" w:color="auto"/>
            <w:right w:val="none" w:sz="0" w:space="0" w:color="auto"/>
          </w:divBdr>
          <w:divsChild>
            <w:div w:id="1034115278">
              <w:marLeft w:val="0"/>
              <w:marRight w:val="0"/>
              <w:marTop w:val="0"/>
              <w:marBottom w:val="0"/>
              <w:divBdr>
                <w:top w:val="none" w:sz="0" w:space="0" w:color="auto"/>
                <w:left w:val="none" w:sz="0" w:space="0" w:color="auto"/>
                <w:bottom w:val="none" w:sz="0" w:space="0" w:color="auto"/>
                <w:right w:val="none" w:sz="0" w:space="0" w:color="auto"/>
              </w:divBdr>
              <w:divsChild>
                <w:div w:id="958995600">
                  <w:marLeft w:val="0"/>
                  <w:marRight w:val="0"/>
                  <w:marTop w:val="0"/>
                  <w:marBottom w:val="0"/>
                  <w:divBdr>
                    <w:top w:val="single" w:sz="6" w:space="0" w:color="auto"/>
                    <w:left w:val="single" w:sz="6" w:space="0" w:color="auto"/>
                    <w:bottom w:val="single" w:sz="6" w:space="0" w:color="auto"/>
                    <w:right w:val="single" w:sz="6" w:space="0" w:color="auto"/>
                  </w:divBdr>
                  <w:divsChild>
                    <w:div w:id="841433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62487432">
          <w:marLeft w:val="0"/>
          <w:marRight w:val="0"/>
          <w:marTop w:val="0"/>
          <w:marBottom w:val="0"/>
          <w:divBdr>
            <w:top w:val="none" w:sz="0" w:space="0" w:color="auto"/>
            <w:left w:val="none" w:sz="0" w:space="0" w:color="auto"/>
            <w:bottom w:val="none" w:sz="0" w:space="0" w:color="auto"/>
            <w:right w:val="none" w:sz="0" w:space="0" w:color="auto"/>
          </w:divBdr>
          <w:divsChild>
            <w:div w:id="1745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0845">
      <w:bodyDiv w:val="1"/>
      <w:marLeft w:val="0"/>
      <w:marRight w:val="0"/>
      <w:marTop w:val="0"/>
      <w:marBottom w:val="0"/>
      <w:divBdr>
        <w:top w:val="none" w:sz="0" w:space="0" w:color="auto"/>
        <w:left w:val="none" w:sz="0" w:space="0" w:color="auto"/>
        <w:bottom w:val="none" w:sz="0" w:space="0" w:color="auto"/>
        <w:right w:val="none" w:sz="0" w:space="0" w:color="auto"/>
      </w:divBdr>
    </w:div>
    <w:div w:id="1344240018">
      <w:bodyDiv w:val="1"/>
      <w:marLeft w:val="0"/>
      <w:marRight w:val="0"/>
      <w:marTop w:val="0"/>
      <w:marBottom w:val="0"/>
      <w:divBdr>
        <w:top w:val="none" w:sz="0" w:space="0" w:color="auto"/>
        <w:left w:val="none" w:sz="0" w:space="0" w:color="auto"/>
        <w:bottom w:val="none" w:sz="0" w:space="0" w:color="auto"/>
        <w:right w:val="none" w:sz="0" w:space="0" w:color="auto"/>
      </w:divBdr>
    </w:div>
    <w:div w:id="1499543413">
      <w:bodyDiv w:val="1"/>
      <w:marLeft w:val="0"/>
      <w:marRight w:val="0"/>
      <w:marTop w:val="0"/>
      <w:marBottom w:val="0"/>
      <w:divBdr>
        <w:top w:val="none" w:sz="0" w:space="0" w:color="auto"/>
        <w:left w:val="none" w:sz="0" w:space="0" w:color="auto"/>
        <w:bottom w:val="none" w:sz="0" w:space="0" w:color="auto"/>
        <w:right w:val="none" w:sz="0" w:space="0" w:color="auto"/>
      </w:divBdr>
      <w:divsChild>
        <w:div w:id="670791345">
          <w:marLeft w:val="0"/>
          <w:marRight w:val="0"/>
          <w:marTop w:val="0"/>
          <w:marBottom w:val="0"/>
          <w:divBdr>
            <w:top w:val="none" w:sz="0" w:space="0" w:color="auto"/>
            <w:left w:val="none" w:sz="0" w:space="0" w:color="auto"/>
            <w:bottom w:val="none" w:sz="0" w:space="0" w:color="auto"/>
            <w:right w:val="none" w:sz="0" w:space="0" w:color="auto"/>
          </w:divBdr>
          <w:divsChild>
            <w:div w:id="1347976091">
              <w:marLeft w:val="0"/>
              <w:marRight w:val="0"/>
              <w:marTop w:val="0"/>
              <w:marBottom w:val="0"/>
              <w:divBdr>
                <w:top w:val="none" w:sz="0" w:space="0" w:color="auto"/>
                <w:left w:val="none" w:sz="0" w:space="0" w:color="auto"/>
                <w:bottom w:val="none" w:sz="0" w:space="0" w:color="auto"/>
                <w:right w:val="none" w:sz="0" w:space="0" w:color="auto"/>
              </w:divBdr>
              <w:divsChild>
                <w:div w:id="537939685">
                  <w:marLeft w:val="0"/>
                  <w:marRight w:val="0"/>
                  <w:marTop w:val="0"/>
                  <w:marBottom w:val="0"/>
                  <w:divBdr>
                    <w:top w:val="single" w:sz="6" w:space="0" w:color="auto"/>
                    <w:left w:val="single" w:sz="6" w:space="0" w:color="auto"/>
                    <w:bottom w:val="single" w:sz="6" w:space="0" w:color="auto"/>
                    <w:right w:val="single" w:sz="6" w:space="0" w:color="auto"/>
                  </w:divBdr>
                  <w:divsChild>
                    <w:div w:id="2025276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49860483">
          <w:marLeft w:val="0"/>
          <w:marRight w:val="0"/>
          <w:marTop w:val="0"/>
          <w:marBottom w:val="0"/>
          <w:divBdr>
            <w:top w:val="none" w:sz="0" w:space="0" w:color="auto"/>
            <w:left w:val="none" w:sz="0" w:space="0" w:color="auto"/>
            <w:bottom w:val="none" w:sz="0" w:space="0" w:color="auto"/>
            <w:right w:val="none" w:sz="0" w:space="0" w:color="auto"/>
          </w:divBdr>
          <w:divsChild>
            <w:div w:id="4789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116">
      <w:bodyDiv w:val="1"/>
      <w:marLeft w:val="0"/>
      <w:marRight w:val="0"/>
      <w:marTop w:val="0"/>
      <w:marBottom w:val="0"/>
      <w:divBdr>
        <w:top w:val="none" w:sz="0" w:space="0" w:color="auto"/>
        <w:left w:val="none" w:sz="0" w:space="0" w:color="auto"/>
        <w:bottom w:val="none" w:sz="0" w:space="0" w:color="auto"/>
        <w:right w:val="none" w:sz="0" w:space="0" w:color="auto"/>
      </w:divBdr>
    </w:div>
    <w:div w:id="1723871311">
      <w:bodyDiv w:val="1"/>
      <w:marLeft w:val="0"/>
      <w:marRight w:val="0"/>
      <w:marTop w:val="0"/>
      <w:marBottom w:val="0"/>
      <w:divBdr>
        <w:top w:val="none" w:sz="0" w:space="0" w:color="auto"/>
        <w:left w:val="none" w:sz="0" w:space="0" w:color="auto"/>
        <w:bottom w:val="none" w:sz="0" w:space="0" w:color="auto"/>
        <w:right w:val="none" w:sz="0" w:space="0" w:color="auto"/>
      </w:divBdr>
      <w:divsChild>
        <w:div w:id="849877069">
          <w:marLeft w:val="0"/>
          <w:marRight w:val="0"/>
          <w:marTop w:val="0"/>
          <w:marBottom w:val="0"/>
          <w:divBdr>
            <w:top w:val="none" w:sz="0" w:space="0" w:color="auto"/>
            <w:left w:val="none" w:sz="0" w:space="0" w:color="auto"/>
            <w:bottom w:val="none" w:sz="0" w:space="0" w:color="auto"/>
            <w:right w:val="none" w:sz="0" w:space="0" w:color="auto"/>
          </w:divBdr>
          <w:divsChild>
            <w:div w:id="120732817">
              <w:marLeft w:val="0"/>
              <w:marRight w:val="0"/>
              <w:marTop w:val="0"/>
              <w:marBottom w:val="0"/>
              <w:divBdr>
                <w:top w:val="none" w:sz="0" w:space="0" w:color="auto"/>
                <w:left w:val="none" w:sz="0" w:space="0" w:color="auto"/>
                <w:bottom w:val="none" w:sz="0" w:space="0" w:color="auto"/>
                <w:right w:val="none" w:sz="0" w:space="0" w:color="auto"/>
              </w:divBdr>
              <w:divsChild>
                <w:div w:id="554583735">
                  <w:marLeft w:val="0"/>
                  <w:marRight w:val="0"/>
                  <w:marTop w:val="0"/>
                  <w:marBottom w:val="0"/>
                  <w:divBdr>
                    <w:top w:val="single" w:sz="6" w:space="0" w:color="auto"/>
                    <w:left w:val="single" w:sz="6" w:space="0" w:color="auto"/>
                    <w:bottom w:val="single" w:sz="6" w:space="0" w:color="auto"/>
                    <w:right w:val="single" w:sz="6" w:space="0" w:color="auto"/>
                  </w:divBdr>
                  <w:divsChild>
                    <w:div w:id="1695494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13457768">
          <w:marLeft w:val="0"/>
          <w:marRight w:val="0"/>
          <w:marTop w:val="0"/>
          <w:marBottom w:val="0"/>
          <w:divBdr>
            <w:top w:val="none" w:sz="0" w:space="0" w:color="auto"/>
            <w:left w:val="none" w:sz="0" w:space="0" w:color="auto"/>
            <w:bottom w:val="none" w:sz="0" w:space="0" w:color="auto"/>
            <w:right w:val="none" w:sz="0" w:space="0" w:color="auto"/>
          </w:divBdr>
          <w:divsChild>
            <w:div w:id="1595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1549">
      <w:bodyDiv w:val="1"/>
      <w:marLeft w:val="0"/>
      <w:marRight w:val="0"/>
      <w:marTop w:val="0"/>
      <w:marBottom w:val="0"/>
      <w:divBdr>
        <w:top w:val="none" w:sz="0" w:space="0" w:color="auto"/>
        <w:left w:val="none" w:sz="0" w:space="0" w:color="auto"/>
        <w:bottom w:val="none" w:sz="0" w:space="0" w:color="auto"/>
        <w:right w:val="none" w:sz="0" w:space="0" w:color="auto"/>
      </w:divBdr>
    </w:div>
    <w:div w:id="1791976229">
      <w:bodyDiv w:val="1"/>
      <w:marLeft w:val="0"/>
      <w:marRight w:val="0"/>
      <w:marTop w:val="0"/>
      <w:marBottom w:val="0"/>
      <w:divBdr>
        <w:top w:val="none" w:sz="0" w:space="0" w:color="auto"/>
        <w:left w:val="none" w:sz="0" w:space="0" w:color="auto"/>
        <w:bottom w:val="none" w:sz="0" w:space="0" w:color="auto"/>
        <w:right w:val="none" w:sz="0" w:space="0" w:color="auto"/>
      </w:divBdr>
    </w:div>
    <w:div w:id="1864662820">
      <w:bodyDiv w:val="1"/>
      <w:marLeft w:val="0"/>
      <w:marRight w:val="0"/>
      <w:marTop w:val="0"/>
      <w:marBottom w:val="0"/>
      <w:divBdr>
        <w:top w:val="none" w:sz="0" w:space="0" w:color="auto"/>
        <w:left w:val="none" w:sz="0" w:space="0" w:color="auto"/>
        <w:bottom w:val="none" w:sz="0" w:space="0" w:color="auto"/>
        <w:right w:val="none" w:sz="0" w:space="0" w:color="auto"/>
      </w:divBdr>
      <w:divsChild>
        <w:div w:id="567964306">
          <w:marLeft w:val="0"/>
          <w:marRight w:val="0"/>
          <w:marTop w:val="0"/>
          <w:marBottom w:val="0"/>
          <w:divBdr>
            <w:top w:val="none" w:sz="0" w:space="0" w:color="auto"/>
            <w:left w:val="none" w:sz="0" w:space="0" w:color="auto"/>
            <w:bottom w:val="none" w:sz="0" w:space="0" w:color="auto"/>
            <w:right w:val="none" w:sz="0" w:space="0" w:color="auto"/>
          </w:divBdr>
        </w:div>
      </w:divsChild>
    </w:div>
    <w:div w:id="19336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F_Template_Word_Windows_2016.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OH\analysed%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results!$B$85:$B$93</c:f>
              <c:strCache>
                <c:ptCount val="9"/>
                <c:pt idx="0">
                  <c:v>Back pain/injury</c:v>
                </c:pt>
                <c:pt idx="1">
                  <c:v>Stress/mental health problem</c:v>
                </c:pt>
                <c:pt idx="2">
                  <c:v>Shoulder pain/injury</c:v>
                </c:pt>
                <c:pt idx="3">
                  <c:v>Neck pain/injury</c:v>
                </c:pt>
                <c:pt idx="4">
                  <c:v>Repetitive Strain Injury</c:v>
                </c:pt>
                <c:pt idx="5">
                  <c:v>Eyesight problems</c:v>
                </c:pt>
                <c:pt idx="6">
                  <c:v>Hearing problems</c:v>
                </c:pt>
                <c:pt idx="7">
                  <c:v>Needlestick injury</c:v>
                </c:pt>
                <c:pt idx="8">
                  <c:v>Nerve damage</c:v>
                </c:pt>
              </c:strCache>
            </c:strRef>
          </c:cat>
          <c:val>
            <c:numRef>
              <c:f>results!$D$85:$D$93</c:f>
              <c:numCache>
                <c:formatCode>General</c:formatCode>
                <c:ptCount val="9"/>
                <c:pt idx="0">
                  <c:v>28.251121076233183</c:v>
                </c:pt>
                <c:pt idx="1">
                  <c:v>27.802690582959645</c:v>
                </c:pt>
                <c:pt idx="2">
                  <c:v>27.802690582959645</c:v>
                </c:pt>
                <c:pt idx="3">
                  <c:v>25.560538116591928</c:v>
                </c:pt>
                <c:pt idx="4">
                  <c:v>13.004484304932735</c:v>
                </c:pt>
                <c:pt idx="5">
                  <c:v>12.107623318385651</c:v>
                </c:pt>
                <c:pt idx="6">
                  <c:v>3.5874439461883409</c:v>
                </c:pt>
                <c:pt idx="7">
                  <c:v>3.1390134529147984</c:v>
                </c:pt>
                <c:pt idx="8">
                  <c:v>2.6905829596412558</c:v>
                </c:pt>
              </c:numCache>
            </c:numRef>
          </c:val>
          <c:extLst>
            <c:ext xmlns:c16="http://schemas.microsoft.com/office/drawing/2014/chart" uri="{C3380CC4-5D6E-409C-BE32-E72D297353CC}">
              <c16:uniqueId val="{00000000-202B-4CB1-894E-15D931F31E54}"/>
            </c:ext>
          </c:extLst>
        </c:ser>
        <c:dLbls>
          <c:showLegendKey val="0"/>
          <c:showVal val="0"/>
          <c:showCatName val="0"/>
          <c:showSerName val="0"/>
          <c:showPercent val="0"/>
          <c:showBubbleSize val="0"/>
        </c:dLbls>
        <c:gapWidth val="219"/>
        <c:overlap val="-27"/>
        <c:axId val="215564288"/>
        <c:axId val="215566976"/>
      </c:barChart>
      <c:catAx>
        <c:axId val="215564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Ill</a:t>
                </a:r>
                <a:r>
                  <a:rPr lang="en-GB" baseline="0"/>
                  <a:t> Health Category</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66976"/>
        <c:crosses val="autoZero"/>
        <c:auto val="1"/>
        <c:lblAlgn val="ctr"/>
        <c:lblOffset val="100"/>
        <c:noMultiLvlLbl val="0"/>
      </c:catAx>
      <c:valAx>
        <c:axId val="21556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6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54AA-7FFA-4FA0-9094-EF0ABE09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184</TotalTime>
  <Pages>32</Pages>
  <Words>6689</Words>
  <Characters>38132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44732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helen priddle</dc:creator>
  <cp:lastModifiedBy>helen priddle</cp:lastModifiedBy>
  <cp:revision>7</cp:revision>
  <cp:lastPrinted>2020-06-02T17:43:00Z</cp:lastPrinted>
  <dcterms:created xsi:type="dcterms:W3CDTF">2020-12-31T13:45:00Z</dcterms:created>
  <dcterms:modified xsi:type="dcterms:W3CDTF">2020-12-31T19:04:00Z</dcterms:modified>
</cp:coreProperties>
</file>