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E268" w14:textId="4C3C18F8" w:rsidR="006835B5" w:rsidRPr="007C5CB9" w:rsidRDefault="009C2D00">
      <w:pPr>
        <w:spacing w:line="240" w:lineRule="auto"/>
        <w:rPr>
          <w:b/>
          <w:sz w:val="28"/>
          <w:szCs w:val="28"/>
        </w:rPr>
      </w:pPr>
      <w:r w:rsidRPr="007C5CB9">
        <w:rPr>
          <w:b/>
          <w:sz w:val="28"/>
          <w:szCs w:val="28"/>
        </w:rPr>
        <w:t xml:space="preserve">Enhancing </w:t>
      </w:r>
      <w:r w:rsidR="00361A2B" w:rsidRPr="007C5CB9">
        <w:rPr>
          <w:b/>
          <w:sz w:val="28"/>
          <w:szCs w:val="28"/>
        </w:rPr>
        <w:t>‘</w:t>
      </w:r>
      <w:r w:rsidRPr="007C5CB9">
        <w:rPr>
          <w:b/>
          <w:sz w:val="28"/>
          <w:szCs w:val="28"/>
        </w:rPr>
        <w:t>Best Practice</w:t>
      </w:r>
      <w:r w:rsidR="00361A2B" w:rsidRPr="007C5CB9">
        <w:rPr>
          <w:b/>
          <w:sz w:val="28"/>
          <w:szCs w:val="28"/>
        </w:rPr>
        <w:t>’</w:t>
      </w:r>
      <w:r w:rsidRPr="007C5CB9">
        <w:rPr>
          <w:b/>
          <w:sz w:val="28"/>
          <w:szCs w:val="28"/>
        </w:rPr>
        <w:t xml:space="preserve"> in Trauma-Informed Social Work Education: Insights from a Study Exploring Educator and Student Experiences  </w:t>
      </w:r>
    </w:p>
    <w:p w14:paraId="48D37324" w14:textId="77777777" w:rsidR="006835B5" w:rsidRPr="007C5CB9" w:rsidRDefault="006835B5">
      <w:pPr>
        <w:spacing w:line="240" w:lineRule="auto"/>
        <w:jc w:val="left"/>
        <w:rPr>
          <w:b/>
        </w:rPr>
      </w:pPr>
    </w:p>
    <w:p w14:paraId="72F5113B" w14:textId="77777777" w:rsidR="006835B5" w:rsidRPr="007C5CB9" w:rsidRDefault="009C2D00" w:rsidP="009E0B25">
      <w:pPr>
        <w:jc w:val="left"/>
        <w:rPr>
          <w:sz w:val="28"/>
          <w:szCs w:val="28"/>
        </w:rPr>
      </w:pPr>
      <w:r w:rsidRPr="007C5CB9">
        <w:rPr>
          <w:b/>
          <w:sz w:val="28"/>
          <w:szCs w:val="28"/>
        </w:rPr>
        <w:t>Abstract</w:t>
      </w:r>
    </w:p>
    <w:p w14:paraId="3EA2E684" w14:textId="267688B8" w:rsidR="006835B5" w:rsidRPr="007C5CB9" w:rsidRDefault="009C2D00" w:rsidP="009E0B25">
      <w:r w:rsidRPr="007C5CB9">
        <w:t xml:space="preserve">This paper reports findings of a study exploring educator and student experiences of teaching and learning trauma-material and application of trauma-informed principles to social work education.  </w:t>
      </w:r>
      <w:r w:rsidR="00E87D7E" w:rsidRPr="007C5CB9">
        <w:t>Two p</w:t>
      </w:r>
      <w:r w:rsidRPr="007C5CB9">
        <w:t>urposeful</w:t>
      </w:r>
      <w:r w:rsidR="00EC2EAE" w:rsidRPr="007C5CB9">
        <w:t xml:space="preserve"> </w:t>
      </w:r>
      <w:r w:rsidRPr="007C5CB9">
        <w:t xml:space="preserve">participant </w:t>
      </w:r>
      <w:r w:rsidR="00A1554B" w:rsidRPr="007C5CB9">
        <w:t>samples were recruited</w:t>
      </w:r>
      <w:r w:rsidR="00E87D7E" w:rsidRPr="007C5CB9">
        <w:t xml:space="preserve">.  </w:t>
      </w:r>
      <w:r w:rsidR="00A1554B" w:rsidRPr="007C5CB9">
        <w:t xml:space="preserve">Sample </w:t>
      </w:r>
      <w:r w:rsidR="00E87D7E" w:rsidRPr="007C5CB9">
        <w:t xml:space="preserve">one </w:t>
      </w:r>
      <w:r w:rsidRPr="007C5CB9">
        <w:t>included seven educators teaching trauma-material</w:t>
      </w:r>
      <w:r w:rsidR="00361A2B" w:rsidRPr="007C5CB9">
        <w:t xml:space="preserve"> </w:t>
      </w:r>
      <w:r w:rsidRPr="007C5CB9">
        <w:t>across two Higher Education Institutes (HEIs) delivering Professional Qualifying Social Work Programmes approved by Social Work England.</w:t>
      </w:r>
      <w:r w:rsidR="00E87D7E" w:rsidRPr="007C5CB9">
        <w:t xml:space="preserve">  Sample two included ei</w:t>
      </w:r>
      <w:r w:rsidRPr="007C5CB9">
        <w:t>ght student social workers enrolled at the HEIs.</w:t>
      </w:r>
      <w:r w:rsidR="00E87D7E" w:rsidRPr="007C5CB9">
        <w:t xml:space="preserve"> </w:t>
      </w:r>
      <w:r w:rsidR="00361A2B" w:rsidRPr="007C5CB9">
        <w:t>Data collection</w:t>
      </w:r>
      <w:r w:rsidR="00A1554B" w:rsidRPr="007C5CB9">
        <w:t xml:space="preserve"> methods i</w:t>
      </w:r>
      <w:r w:rsidRPr="007C5CB9">
        <w:t xml:space="preserve">ncluded </w:t>
      </w:r>
      <w:r w:rsidR="00A1554B" w:rsidRPr="007C5CB9">
        <w:t xml:space="preserve">educator </w:t>
      </w:r>
      <w:r w:rsidRPr="007C5CB9">
        <w:t>semi-structured</w:t>
      </w:r>
      <w:r w:rsidR="00CE7A67" w:rsidRPr="007C5CB9">
        <w:t xml:space="preserve"> </w:t>
      </w:r>
      <w:r w:rsidRPr="007C5CB9">
        <w:t xml:space="preserve">interviews and </w:t>
      </w:r>
      <w:r w:rsidR="00A1554B" w:rsidRPr="007C5CB9">
        <w:t xml:space="preserve">a </w:t>
      </w:r>
      <w:r w:rsidRPr="007C5CB9">
        <w:t xml:space="preserve">student self-reporting survey.   Analysis used a deductive-inductive thematic approach.  </w:t>
      </w:r>
      <w:r w:rsidR="00361A2B" w:rsidRPr="007C5CB9">
        <w:t>Highest frequency of co</w:t>
      </w:r>
      <w:r w:rsidR="00EC2EAE" w:rsidRPr="007C5CB9">
        <w:t xml:space="preserve">mparable </w:t>
      </w:r>
      <w:r w:rsidR="00E87D7E" w:rsidRPr="007C5CB9">
        <w:t xml:space="preserve">statements </w:t>
      </w:r>
      <w:r w:rsidR="00361A2B" w:rsidRPr="007C5CB9">
        <w:t xml:space="preserve">within data were coded into five overlapping themes indicative of trauma-informed teaching principles identified within literature including: (1) </w:t>
      </w:r>
      <w:r w:rsidR="00361A2B" w:rsidRPr="007C5CB9">
        <w:rPr>
          <w:i/>
        </w:rPr>
        <w:t xml:space="preserve">ensuring safety </w:t>
      </w:r>
      <w:r w:rsidR="00361A2B" w:rsidRPr="007C5CB9">
        <w:t xml:space="preserve">(2) </w:t>
      </w:r>
      <w:r w:rsidR="00361A2B" w:rsidRPr="007C5CB9">
        <w:rPr>
          <w:i/>
        </w:rPr>
        <w:t>maximising choice</w:t>
      </w:r>
      <w:r w:rsidR="00361A2B" w:rsidRPr="007C5CB9">
        <w:t xml:space="preserve"> (3) </w:t>
      </w:r>
      <w:r w:rsidR="00361A2B" w:rsidRPr="007C5CB9">
        <w:rPr>
          <w:i/>
        </w:rPr>
        <w:t xml:space="preserve">encouraging collaboration </w:t>
      </w:r>
      <w:r w:rsidR="00361A2B" w:rsidRPr="007C5CB9">
        <w:t>(4)</w:t>
      </w:r>
      <w:r w:rsidR="00361A2B" w:rsidRPr="007C5CB9">
        <w:rPr>
          <w:i/>
        </w:rPr>
        <w:t xml:space="preserve"> establishing trustworthiness </w:t>
      </w:r>
      <w:r w:rsidR="00361A2B" w:rsidRPr="007C5CB9">
        <w:t xml:space="preserve">and (5) </w:t>
      </w:r>
      <w:r w:rsidR="00361A2B" w:rsidRPr="007C5CB9">
        <w:rPr>
          <w:i/>
        </w:rPr>
        <w:t>prioritising empowerment.</w:t>
      </w:r>
      <w:r w:rsidR="00361A2B" w:rsidRPr="007C5CB9">
        <w:t xml:space="preserve">   A sixth theme (6) </w:t>
      </w:r>
      <w:r w:rsidR="00361A2B" w:rsidRPr="007C5CB9">
        <w:rPr>
          <w:i/>
        </w:rPr>
        <w:t xml:space="preserve">promoting resilience </w:t>
      </w:r>
      <w:r w:rsidR="00361A2B" w:rsidRPr="007C5CB9">
        <w:t>was identified.   Findings highlight educators’</w:t>
      </w:r>
      <w:r w:rsidR="00CE7A67" w:rsidRPr="007C5CB9">
        <w:t xml:space="preserve"> </w:t>
      </w:r>
      <w:r w:rsidR="00A1554B" w:rsidRPr="007C5CB9">
        <w:t xml:space="preserve">understanding </w:t>
      </w:r>
      <w:r w:rsidR="00361A2B" w:rsidRPr="007C5CB9">
        <w:t xml:space="preserve">of vicarious </w:t>
      </w:r>
      <w:r w:rsidR="00E87D7E" w:rsidRPr="007C5CB9">
        <w:t>trauma and</w:t>
      </w:r>
      <w:r w:rsidR="00361A2B" w:rsidRPr="007C5CB9">
        <w:t xml:space="preserve"> </w:t>
      </w:r>
      <w:r w:rsidR="005B2B20" w:rsidRPr="007C5CB9">
        <w:t xml:space="preserve">the relevance for (re)traumatisation of </w:t>
      </w:r>
      <w:r w:rsidR="00361A2B" w:rsidRPr="007C5CB9">
        <w:t>students’ adverse experience</w:t>
      </w:r>
      <w:r w:rsidR="005B2B20" w:rsidRPr="007C5CB9">
        <w:t xml:space="preserve"> and </w:t>
      </w:r>
      <w:r w:rsidR="00361A2B" w:rsidRPr="007C5CB9">
        <w:t>risk of secondary traumatic stress</w:t>
      </w:r>
      <w:r w:rsidR="005B2B20" w:rsidRPr="007C5CB9">
        <w:t xml:space="preserve"> in the classroom.  This understanding </w:t>
      </w:r>
      <w:r w:rsidR="00361A2B" w:rsidRPr="007C5CB9">
        <w:t xml:space="preserve">was </w:t>
      </w:r>
      <w:r w:rsidR="005B2B20" w:rsidRPr="007C5CB9">
        <w:t xml:space="preserve">found to be </w:t>
      </w:r>
      <w:r w:rsidR="00361A2B" w:rsidRPr="007C5CB9">
        <w:t xml:space="preserve">embedded in </w:t>
      </w:r>
      <w:r w:rsidR="005B2B20" w:rsidRPr="007C5CB9">
        <w:t xml:space="preserve">educators’ </w:t>
      </w:r>
      <w:r w:rsidR="00361A2B" w:rsidRPr="007C5CB9">
        <w:t>pedagogical practice(s)</w:t>
      </w:r>
      <w:r w:rsidR="005B2B20" w:rsidRPr="007C5CB9">
        <w:t xml:space="preserve"> and how</w:t>
      </w:r>
      <w:r w:rsidR="00361A2B" w:rsidRPr="007C5CB9">
        <w:t xml:space="preserve"> educators </w:t>
      </w:r>
      <w:r w:rsidR="004F717B" w:rsidRPr="007C5CB9">
        <w:t xml:space="preserve">predominantly </w:t>
      </w:r>
      <w:r w:rsidR="00361A2B" w:rsidRPr="007C5CB9">
        <w:t>applied trauma-informed teaching principles implicit</w:t>
      </w:r>
      <w:r w:rsidR="004F717B" w:rsidRPr="007C5CB9">
        <w:t>ly</w:t>
      </w:r>
      <w:r w:rsidR="00361A2B" w:rsidRPr="007C5CB9">
        <w:t xml:space="preserve"> </w:t>
      </w:r>
      <w:r w:rsidR="005B2B20" w:rsidRPr="007C5CB9">
        <w:t xml:space="preserve">in the classroom </w:t>
      </w:r>
      <w:r w:rsidR="00A1554B" w:rsidRPr="007C5CB9">
        <w:t>was identified</w:t>
      </w:r>
      <w:r w:rsidR="00361A2B" w:rsidRPr="007C5CB9">
        <w:t xml:space="preserve">.  </w:t>
      </w:r>
      <w:r w:rsidR="00EC159A" w:rsidRPr="007C5CB9">
        <w:t xml:space="preserve">Experiences of </w:t>
      </w:r>
      <w:r w:rsidR="00AA6222" w:rsidRPr="007C5CB9">
        <w:t xml:space="preserve">receiving </w:t>
      </w:r>
      <w:r w:rsidR="00EC159A" w:rsidRPr="007C5CB9">
        <w:t xml:space="preserve">teaching in a trauma-informed way were shared by students who </w:t>
      </w:r>
      <w:r w:rsidR="00BF0F7F" w:rsidRPr="007C5CB9">
        <w:t xml:space="preserve">shared </w:t>
      </w:r>
      <w:r w:rsidR="00EC159A" w:rsidRPr="007C5CB9">
        <w:t xml:space="preserve">examples of practices </w:t>
      </w:r>
      <w:r w:rsidR="00AA6222" w:rsidRPr="007C5CB9">
        <w:t xml:space="preserve">in the </w:t>
      </w:r>
      <w:r w:rsidR="00EC159A" w:rsidRPr="007C5CB9">
        <w:t xml:space="preserve">classroom </w:t>
      </w:r>
      <w:r w:rsidR="00AA6222" w:rsidRPr="007C5CB9">
        <w:t xml:space="preserve">where educators ensured safety and established trust by </w:t>
      </w:r>
      <w:r w:rsidR="00BF0F7F" w:rsidRPr="007C5CB9">
        <w:t xml:space="preserve">encouraging their collaboration while </w:t>
      </w:r>
      <w:r w:rsidR="00AA6222" w:rsidRPr="007C5CB9">
        <w:t xml:space="preserve">offering </w:t>
      </w:r>
      <w:r w:rsidR="00BF0F7F" w:rsidRPr="007C5CB9">
        <w:t xml:space="preserve">them </w:t>
      </w:r>
      <w:r w:rsidR="00AA6222" w:rsidRPr="007C5CB9">
        <w:t>choice to engage with trauma-material.</w:t>
      </w:r>
      <w:r w:rsidR="00EC159A" w:rsidRPr="007C5CB9">
        <w:t xml:space="preserve">  </w:t>
      </w:r>
      <w:r w:rsidR="006071F0" w:rsidRPr="007C5CB9">
        <w:t>These f</w:t>
      </w:r>
      <w:r w:rsidR="00361A2B" w:rsidRPr="007C5CB9">
        <w:t xml:space="preserve">indings indicate </w:t>
      </w:r>
      <w:r w:rsidR="00B80254" w:rsidRPr="007C5CB9">
        <w:t>essential to ‘best practice’ is educators</w:t>
      </w:r>
      <w:r w:rsidR="00BF0F7F" w:rsidRPr="007C5CB9">
        <w:t>’</w:t>
      </w:r>
      <w:r w:rsidR="00361A2B" w:rsidRPr="007C5CB9">
        <w:t xml:space="preserve"> need </w:t>
      </w:r>
      <w:r w:rsidR="00AA6222" w:rsidRPr="007C5CB9">
        <w:t>to</w:t>
      </w:r>
      <w:r w:rsidR="00B80254" w:rsidRPr="007C5CB9">
        <w:t xml:space="preserve"> develop </w:t>
      </w:r>
      <w:r w:rsidR="00BF0F7F" w:rsidRPr="007C5CB9">
        <w:t xml:space="preserve">pedagogical practices </w:t>
      </w:r>
      <w:r w:rsidR="00361A2B" w:rsidRPr="007C5CB9">
        <w:t>based on</w:t>
      </w:r>
      <w:r w:rsidR="00E87D7E" w:rsidRPr="007C5CB9">
        <w:t xml:space="preserve"> </w:t>
      </w:r>
      <w:r w:rsidR="00BF0F7F" w:rsidRPr="007C5CB9">
        <w:t xml:space="preserve">an </w:t>
      </w:r>
      <w:r w:rsidR="00CE7A67" w:rsidRPr="007C5CB9">
        <w:t xml:space="preserve">enhanced </w:t>
      </w:r>
      <w:r w:rsidR="00A1554B" w:rsidRPr="007C5CB9">
        <w:t xml:space="preserve">awareness </w:t>
      </w:r>
      <w:r w:rsidR="00361A2B" w:rsidRPr="007C5CB9">
        <w:t>of</w:t>
      </w:r>
      <w:r w:rsidR="00B80254" w:rsidRPr="007C5CB9">
        <w:t xml:space="preserve"> trauma-informed </w:t>
      </w:r>
      <w:r w:rsidR="00BF0F7F" w:rsidRPr="007C5CB9">
        <w:t xml:space="preserve">teaching </w:t>
      </w:r>
      <w:r w:rsidR="00B80254" w:rsidRPr="007C5CB9">
        <w:t xml:space="preserve">principles </w:t>
      </w:r>
      <w:r w:rsidR="00BF0F7F" w:rsidRPr="007C5CB9">
        <w:t xml:space="preserve">to help moderate the </w:t>
      </w:r>
      <w:r w:rsidR="00361A2B" w:rsidRPr="007C5CB9">
        <w:t xml:space="preserve">risks to students and themselves associated with </w:t>
      </w:r>
      <w:r w:rsidR="00BF0F7F" w:rsidRPr="007C5CB9">
        <w:t xml:space="preserve">exposure to </w:t>
      </w:r>
      <w:r w:rsidR="00EC2EAE" w:rsidRPr="007C5CB9">
        <w:t>trauma-material</w:t>
      </w:r>
      <w:r w:rsidR="00BF0F7F" w:rsidRPr="007C5CB9">
        <w:t xml:space="preserve"> in the classroom. </w:t>
      </w:r>
      <w:r w:rsidR="00B80254" w:rsidRPr="007C5CB9">
        <w:t xml:space="preserve"> </w:t>
      </w:r>
    </w:p>
    <w:p w14:paraId="0A7226F4" w14:textId="77777777" w:rsidR="006835B5" w:rsidRPr="007C5CB9" w:rsidRDefault="006835B5" w:rsidP="009E0B25">
      <w:pPr>
        <w:jc w:val="left"/>
      </w:pPr>
    </w:p>
    <w:p w14:paraId="584D1FAD" w14:textId="68FF57BC" w:rsidR="006835B5" w:rsidRPr="007C5CB9" w:rsidRDefault="009C2D00" w:rsidP="009E0B25">
      <w:pPr>
        <w:rPr>
          <w:b/>
          <w:i/>
        </w:rPr>
      </w:pPr>
      <w:r w:rsidRPr="007C5CB9">
        <w:rPr>
          <w:b/>
        </w:rPr>
        <w:t xml:space="preserve">Key words: </w:t>
      </w:r>
      <w:r w:rsidR="00E87D7E" w:rsidRPr="007C5CB9">
        <w:rPr>
          <w:i/>
        </w:rPr>
        <w:t>V</w:t>
      </w:r>
      <w:r w:rsidRPr="007C5CB9">
        <w:rPr>
          <w:i/>
        </w:rPr>
        <w:t>icarious trauma, secondary traumatic stress, trauma-informed social work education</w:t>
      </w:r>
    </w:p>
    <w:p w14:paraId="22E2CAA4" w14:textId="0E3A7BAF" w:rsidR="006835B5" w:rsidRPr="007C5CB9" w:rsidRDefault="009C2D00" w:rsidP="009E0B25">
      <w:pPr>
        <w:jc w:val="left"/>
        <w:rPr>
          <w:b/>
        </w:rPr>
      </w:pPr>
      <w:r w:rsidRPr="007C5CB9">
        <w:br w:type="page"/>
      </w:r>
      <w:r w:rsidRPr="007C5CB9">
        <w:rPr>
          <w:b/>
          <w:sz w:val="28"/>
          <w:szCs w:val="28"/>
        </w:rPr>
        <w:lastRenderedPageBreak/>
        <w:t>Introduction </w:t>
      </w:r>
    </w:p>
    <w:p w14:paraId="7184BAE2" w14:textId="77777777" w:rsidR="006835B5" w:rsidRPr="007C5CB9" w:rsidRDefault="009C2D00" w:rsidP="009E0B25">
      <w:pPr>
        <w:jc w:val="left"/>
      </w:pPr>
      <w:r w:rsidRPr="007C5CB9">
        <w:rPr>
          <w:b/>
          <w:i/>
        </w:rPr>
        <w:t xml:space="preserve">Background </w:t>
      </w:r>
    </w:p>
    <w:p w14:paraId="0C0270FB" w14:textId="5419E269" w:rsidR="006835B5" w:rsidRPr="007C5CB9" w:rsidRDefault="009C2D00" w:rsidP="009E0B25">
      <w:pPr>
        <w:spacing w:after="0"/>
      </w:pPr>
      <w:r w:rsidRPr="007C5CB9">
        <w:t xml:space="preserve">In the general population there is prevalence of people who have </w:t>
      </w:r>
      <w:r w:rsidR="00FE0648" w:rsidRPr="007C5CB9">
        <w:t xml:space="preserve">experienced a range of </w:t>
      </w:r>
      <w:r w:rsidRPr="007C5CB9">
        <w:t>advers</w:t>
      </w:r>
      <w:r w:rsidR="00FE0648" w:rsidRPr="007C5CB9">
        <w:t xml:space="preserve">ity in </w:t>
      </w:r>
      <w:r w:rsidRPr="007C5CB9">
        <w:t xml:space="preserve">childhood resulting in trauma (Cunningham, 2004).  However, where student social workers are concerned, prevalence of different kinds of </w:t>
      </w:r>
      <w:r w:rsidR="00FE0648" w:rsidRPr="007C5CB9">
        <w:t>adverse childhood experience (</w:t>
      </w:r>
      <w:r w:rsidRPr="007C5CB9">
        <w:t>ACE</w:t>
      </w:r>
      <w:r w:rsidR="00FE0648" w:rsidRPr="007C5CB9">
        <w:t>)</w:t>
      </w:r>
      <w:r w:rsidRPr="007C5CB9">
        <w:t xml:space="preserve"> including different forms of abuse may be statistically higher than </w:t>
      </w:r>
      <w:r w:rsidR="00FE0648" w:rsidRPr="007C5CB9">
        <w:t xml:space="preserve">incidence </w:t>
      </w:r>
      <w:r w:rsidRPr="007C5CB9">
        <w:t xml:space="preserve">across the population </w:t>
      </w:r>
      <w:r w:rsidR="00FE0648" w:rsidRPr="007C5CB9">
        <w:t xml:space="preserve">as a whole </w:t>
      </w:r>
      <w:r w:rsidRPr="007C5CB9">
        <w:t xml:space="preserve">(Butler, 2017).  </w:t>
      </w:r>
      <w:r w:rsidR="00FE0648" w:rsidRPr="007C5CB9">
        <w:t xml:space="preserve">For example, </w:t>
      </w:r>
      <w:r w:rsidRPr="007C5CB9">
        <w:t>Butler (</w:t>
      </w:r>
      <w:r w:rsidR="008C2CFD" w:rsidRPr="007C5CB9">
        <w:t>2017</w:t>
      </w:r>
      <w:r w:rsidRPr="007C5CB9">
        <w:t>) found 77.8% of students entering a postgraduate social work programme reported one or more ACE.  Previously, Didham</w:t>
      </w:r>
      <w:r w:rsidR="0017100F" w:rsidRPr="007C5CB9">
        <w:t xml:space="preserve"> et al.</w:t>
      </w:r>
      <w:r w:rsidRPr="007C5CB9">
        <w:t xml:space="preserve"> (2011, p.553) found a majority of </w:t>
      </w:r>
      <w:r w:rsidR="00FE0648" w:rsidRPr="007C5CB9">
        <w:t xml:space="preserve">social work </w:t>
      </w:r>
      <w:r w:rsidRPr="007C5CB9">
        <w:t xml:space="preserve">students at undergraduate and postgraduate levels reported experience of adversity in childhood and/or as an adult.  In the same study, the authors noted that by the programme's end a majority of students reported exposure to trauma-related material of significance to them including at least one ‘personally upsetting or disturbing event’ during their practice-based learning.  In view of the evidence-base, Butler, Carello and Maguin (2016) highlight the importance of a trauma-informed approach to teaching which acknowledges the potential impact of exposure to trauma-related material for social work students.  </w:t>
      </w:r>
    </w:p>
    <w:p w14:paraId="54B510D8" w14:textId="77777777" w:rsidR="006835B5" w:rsidRPr="007C5CB9" w:rsidRDefault="006835B5" w:rsidP="009E0B25">
      <w:pPr>
        <w:spacing w:after="0"/>
      </w:pPr>
    </w:p>
    <w:p w14:paraId="41540922" w14:textId="61F7EF2B" w:rsidR="006835B5" w:rsidRPr="007C5CB9" w:rsidRDefault="00D02829" w:rsidP="009E0B25">
      <w:pPr>
        <w:spacing w:after="0"/>
        <w:rPr>
          <w:b/>
          <w:i/>
        </w:rPr>
      </w:pPr>
      <w:r w:rsidRPr="007C5CB9">
        <w:t xml:space="preserve">Butler, Carello and Maguin (2016) </w:t>
      </w:r>
      <w:r w:rsidR="009C2D00" w:rsidRPr="007C5CB9">
        <w:t xml:space="preserve">draw attention to </w:t>
      </w:r>
      <w:r w:rsidR="009E0B25" w:rsidRPr="007C5CB9">
        <w:t xml:space="preserve">importance of </w:t>
      </w:r>
      <w:r w:rsidR="009C2D00" w:rsidRPr="007C5CB9">
        <w:t xml:space="preserve">pedagogical practices which help avoid risk of vicarious trauma and/or secondary traumatic stress, while assisting students in </w:t>
      </w:r>
      <w:r w:rsidR="009E0B25" w:rsidRPr="007C5CB9">
        <w:t xml:space="preserve">personal </w:t>
      </w:r>
      <w:r w:rsidR="009C2D00" w:rsidRPr="007C5CB9">
        <w:t xml:space="preserve">development </w:t>
      </w:r>
      <w:r w:rsidR="005E040C" w:rsidRPr="007C5CB9">
        <w:t xml:space="preserve">which helps </w:t>
      </w:r>
      <w:r w:rsidR="009C2D00" w:rsidRPr="007C5CB9">
        <w:t xml:space="preserve">them to </w:t>
      </w:r>
      <w:r w:rsidR="005E040C" w:rsidRPr="007C5CB9">
        <w:t xml:space="preserve">engage </w:t>
      </w:r>
      <w:r w:rsidR="009C2D00" w:rsidRPr="007C5CB9">
        <w:t>effectively with th</w:t>
      </w:r>
      <w:r w:rsidR="005E040C" w:rsidRPr="007C5CB9">
        <w:t>ose whom</w:t>
      </w:r>
      <w:r w:rsidR="009C2D00" w:rsidRPr="007C5CB9">
        <w:t xml:space="preserve"> </w:t>
      </w:r>
      <w:r w:rsidR="005E040C" w:rsidRPr="007C5CB9">
        <w:t xml:space="preserve">they may </w:t>
      </w:r>
      <w:r w:rsidR="009C2D00" w:rsidRPr="007C5CB9">
        <w:t>encounter</w:t>
      </w:r>
      <w:r w:rsidR="005E040C" w:rsidRPr="007C5CB9">
        <w:t xml:space="preserve"> in the practice context</w:t>
      </w:r>
      <w:r w:rsidR="009C2D00" w:rsidRPr="007C5CB9">
        <w:t>.  As Bride (2007)  found, nearly all qualified practitioners in his study were working with people who had experienced trauma and 70.2% of participants reported at least one symptom of secondary traumatic stress. Given exposure to traumatic events can cause symptoms of secondary traumatic stress, vicarious trauma and/or post-traumatic stress disorder (PTSD) (see Bride, 2007; Butler et al., 2016; Zurbiggen, 2011) it is vital educators develop trauma-informed ways of teaching social work students abou</w:t>
      </w:r>
      <w:r w:rsidR="00FE0648" w:rsidRPr="007C5CB9">
        <w:t>t</w:t>
      </w:r>
      <w:r w:rsidR="009C2D00" w:rsidRPr="007C5CB9">
        <w:t xml:space="preserve"> potentially distressing topics.  However, there is little empirical evidence of how educators teach trauma-material or how potentially distressing subject matter is received by students.    </w:t>
      </w:r>
      <w:r w:rsidR="00361A2B" w:rsidRPr="007C5CB9">
        <w:t>T</w:t>
      </w:r>
      <w:r w:rsidR="009C2D00" w:rsidRPr="007C5CB9">
        <w:t xml:space="preserve">he </w:t>
      </w:r>
      <w:r w:rsidR="00361A2B" w:rsidRPr="007C5CB9">
        <w:t xml:space="preserve">present </w:t>
      </w:r>
      <w:r w:rsidR="009C2D00" w:rsidRPr="007C5CB9">
        <w:t xml:space="preserve">study positioned itself to address this gap. </w:t>
      </w:r>
    </w:p>
    <w:p w14:paraId="4FEF2EF3" w14:textId="77777777" w:rsidR="006835B5" w:rsidRPr="007C5CB9" w:rsidRDefault="006835B5" w:rsidP="009E0B25">
      <w:pPr>
        <w:jc w:val="left"/>
      </w:pPr>
      <w:bookmarkStart w:id="0" w:name="_heading=h.32ca42hyxphd" w:colFirst="0" w:colLast="0"/>
      <w:bookmarkEnd w:id="0"/>
    </w:p>
    <w:p w14:paraId="25E8F2B3" w14:textId="2AFCD56C" w:rsidR="006835B5" w:rsidRPr="007C5CB9" w:rsidRDefault="009C2D00" w:rsidP="009E0B25">
      <w:pPr>
        <w:spacing w:after="0"/>
        <w:rPr>
          <w:highlight w:val="yellow"/>
        </w:rPr>
      </w:pPr>
      <w:r w:rsidRPr="007C5CB9">
        <w:lastRenderedPageBreak/>
        <w:t xml:space="preserve">In practice, social workers provide interventions to people living with poverty, oppression, social injustice, domestic violence, abuse and neglect  (Gilin and Kaufmann, 2015).  In addition to presenting problems, many users of services will have been exposed to adversity in childhood </w:t>
      </w:r>
      <w:r w:rsidR="005A61C0" w:rsidRPr="007C5CB9">
        <w:t xml:space="preserve">and as adults </w:t>
      </w:r>
      <w:r w:rsidRPr="007C5CB9">
        <w:t xml:space="preserve">resulting in risk of vicarious trauma and/or secondary traumatic stress </w:t>
      </w:r>
      <w:r w:rsidR="005A61C0" w:rsidRPr="007C5CB9">
        <w:t>later</w:t>
      </w:r>
      <w:r w:rsidRPr="007C5CB9">
        <w:t>.  Sanders (20</w:t>
      </w:r>
      <w:r w:rsidR="00790E1E" w:rsidRPr="007C5CB9">
        <w:t>21</w:t>
      </w:r>
      <w:r w:rsidRPr="007C5CB9">
        <w:t>) highlights how practitioners’ exposure to others’ adversity and traumatic experiences, whether they themselves have ACE or not, can have an enduring social, psychological and physiological impact</w:t>
      </w:r>
      <w:r w:rsidR="000961ED" w:rsidRPr="007C5CB9">
        <w:t xml:space="preserve">. </w:t>
      </w:r>
      <w:r w:rsidRPr="007C5CB9">
        <w:t xml:space="preserve">Identified by Figley (1995, p.1) as the ‘cost for caring’, the personal risks many social workers are exposed to can result in vicarious trauma and secondary traumatic stress.  However, Vasquez and Boel-Studt (2017) found </w:t>
      </w:r>
      <w:r w:rsidR="00B311A2" w:rsidRPr="007C5CB9">
        <w:t xml:space="preserve">trauma-informed teaching </w:t>
      </w:r>
      <w:r w:rsidRPr="007C5CB9">
        <w:t xml:space="preserve">strategies to help reduce trauma risk and promote resilience often occur at post-qualifying level and/or as supplementary curriculum to undergraduate work training programs.  </w:t>
      </w:r>
      <w:r w:rsidR="002F0A38" w:rsidRPr="007C5CB9">
        <w:t>This highlights how</w:t>
      </w:r>
      <w:r w:rsidR="00602FD3" w:rsidRPr="007C5CB9">
        <w:t xml:space="preserve">, where </w:t>
      </w:r>
      <w:r w:rsidRPr="007C5CB9">
        <w:t>exposed to trauma-material in the classroom</w:t>
      </w:r>
      <w:r w:rsidR="00B311A2" w:rsidRPr="007C5CB9">
        <w:t>, if this is delivered in a way where trauma-informed teaching strategies</w:t>
      </w:r>
      <w:r w:rsidR="00602FD3" w:rsidRPr="007C5CB9">
        <w:t xml:space="preserve"> are not adopted </w:t>
      </w:r>
      <w:r w:rsidR="00B311A2" w:rsidRPr="007C5CB9">
        <w:t xml:space="preserve">students can </w:t>
      </w:r>
      <w:r w:rsidR="00602FD3" w:rsidRPr="007C5CB9">
        <w:t xml:space="preserve">be </w:t>
      </w:r>
      <w:r w:rsidR="00B311A2" w:rsidRPr="007C5CB9">
        <w:t xml:space="preserve">at risk of the </w:t>
      </w:r>
      <w:r w:rsidRPr="007C5CB9">
        <w:t xml:space="preserve">potential cumulative effects of their social work education </w:t>
      </w:r>
      <w:r w:rsidR="00B311A2" w:rsidRPr="007C5CB9">
        <w:t xml:space="preserve">curriculum </w:t>
      </w:r>
      <w:r w:rsidRPr="007C5CB9">
        <w:t xml:space="preserve">on their own health and well-being. </w:t>
      </w:r>
    </w:p>
    <w:p w14:paraId="74B38F5F" w14:textId="77777777" w:rsidR="006835B5" w:rsidRPr="007C5CB9" w:rsidRDefault="006835B5" w:rsidP="009E0B25">
      <w:pPr>
        <w:spacing w:after="0"/>
        <w:rPr>
          <w:b/>
          <w:sz w:val="28"/>
          <w:szCs w:val="28"/>
        </w:rPr>
      </w:pPr>
    </w:p>
    <w:p w14:paraId="27902141" w14:textId="77777777" w:rsidR="006835B5" w:rsidRPr="007C5CB9" w:rsidRDefault="009C2D00" w:rsidP="009E0B25">
      <w:pPr>
        <w:spacing w:after="0"/>
        <w:rPr>
          <w:b/>
          <w:sz w:val="28"/>
          <w:szCs w:val="28"/>
        </w:rPr>
      </w:pPr>
      <w:r w:rsidRPr="007C5CB9">
        <w:rPr>
          <w:b/>
          <w:sz w:val="28"/>
          <w:szCs w:val="28"/>
        </w:rPr>
        <w:t xml:space="preserve">Vicarious trauma and secondary traumatic stress </w:t>
      </w:r>
    </w:p>
    <w:p w14:paraId="5F588A43" w14:textId="77777777" w:rsidR="006835B5" w:rsidRPr="007C5CB9" w:rsidRDefault="006835B5" w:rsidP="009E0B25">
      <w:pPr>
        <w:spacing w:after="0"/>
        <w:rPr>
          <w:b/>
          <w:sz w:val="28"/>
          <w:szCs w:val="28"/>
        </w:rPr>
      </w:pPr>
    </w:p>
    <w:p w14:paraId="1F70B7C7" w14:textId="15FFC6BB" w:rsidR="00C028B3" w:rsidRPr="007C5CB9" w:rsidRDefault="009C2D00" w:rsidP="00DE138D">
      <w:pPr>
        <w:spacing w:after="0"/>
        <w:rPr>
          <w:b/>
          <w:sz w:val="28"/>
          <w:szCs w:val="28"/>
        </w:rPr>
      </w:pPr>
      <w:r w:rsidRPr="007C5CB9">
        <w:t xml:space="preserve">Within the social work literature (e.g. Conrad and Keller-Guenther, 2006; DePanfilis, 2006; Lloyd, King and Chenoweth, 2002; Harr and Moore, 2011; Carello and Butler, 2015), vicarious trauma and secondary traumatic stress - along with compassion fatigue and professional burnout - have been presented as synonymous </w:t>
      </w:r>
      <w:r w:rsidR="00361A2B" w:rsidRPr="007C5CB9">
        <w:t>concepts</w:t>
      </w:r>
      <w:r w:rsidRPr="007C5CB9">
        <w:t xml:space="preserve">.  However, while vicarious trauma and secondary traumatic stress are risks </w:t>
      </w:r>
      <w:r w:rsidR="009E0B25" w:rsidRPr="007C5CB9">
        <w:t xml:space="preserve">potentially </w:t>
      </w:r>
      <w:r w:rsidRPr="007C5CB9">
        <w:t>present</w:t>
      </w:r>
      <w:r w:rsidR="009E0B25" w:rsidRPr="007C5CB9">
        <w:t>ing</w:t>
      </w:r>
      <w:r w:rsidRPr="007C5CB9">
        <w:t xml:space="preserve"> due to exposure to trauma-related material in the classroom it is important for educators to understand differences between these allied concepts (Newell</w:t>
      </w:r>
      <w:r w:rsidR="00F45E34" w:rsidRPr="007C5CB9">
        <w:t xml:space="preserve"> and </w:t>
      </w:r>
      <w:r w:rsidRPr="007C5CB9">
        <w:t>NcNeil, 2010).  Consequently, for the present study, a brief exploration of differences between vicarious trauma and secondary traumatic stress</w:t>
      </w:r>
      <w:r w:rsidR="00DD0DAD" w:rsidRPr="007C5CB9">
        <w:t xml:space="preserve"> was undertaken</w:t>
      </w:r>
      <w:r w:rsidRPr="007C5CB9">
        <w:t xml:space="preserve">.  </w:t>
      </w:r>
    </w:p>
    <w:p w14:paraId="1077A098" w14:textId="77777777" w:rsidR="00DE138D" w:rsidRPr="007C5CB9" w:rsidRDefault="00DE138D" w:rsidP="00DE138D">
      <w:pPr>
        <w:spacing w:after="0"/>
        <w:rPr>
          <w:b/>
          <w:sz w:val="28"/>
          <w:szCs w:val="28"/>
        </w:rPr>
      </w:pPr>
    </w:p>
    <w:p w14:paraId="71F42649" w14:textId="1EA0F200" w:rsidR="006835B5" w:rsidRPr="007C5CB9" w:rsidRDefault="009C2D00" w:rsidP="009E0B25">
      <w:pPr>
        <w:jc w:val="left"/>
        <w:rPr>
          <w:b/>
          <w:i/>
        </w:rPr>
      </w:pPr>
      <w:r w:rsidRPr="007C5CB9">
        <w:rPr>
          <w:b/>
          <w:i/>
        </w:rPr>
        <w:t xml:space="preserve">Vicarious trauma  </w:t>
      </w:r>
    </w:p>
    <w:p w14:paraId="3E6DC338" w14:textId="051EE3AB" w:rsidR="006835B5" w:rsidRPr="007C5CB9" w:rsidRDefault="009C2D00" w:rsidP="009E0B25">
      <w:pPr>
        <w:spacing w:after="0"/>
      </w:pPr>
      <w:r w:rsidRPr="007C5CB9">
        <w:t xml:space="preserve">MaCann and Pearlman (1990, p.144) describe vicarious trauma as a process of cognitive change which can occur as a ‘cumulative effect’ when a person is repeatedly exposed to the </w:t>
      </w:r>
      <w:r w:rsidRPr="007C5CB9">
        <w:lastRenderedPageBreak/>
        <w:t xml:space="preserve">distressing material presented by a traumatised individual.  Discussing </w:t>
      </w:r>
      <w:r w:rsidR="005A61C0" w:rsidRPr="007C5CB9">
        <w:t xml:space="preserve">this </w:t>
      </w:r>
      <w:r w:rsidRPr="007C5CB9">
        <w:t xml:space="preserve">in the context of therapeutic encounters, Pearlman and Saakvitne (1995, p.31) define vicarious trauma as the permanent ‘transition in the inner experience of the therapist that comes about as a result of empathic engagement with clients’ trauma[tic] material’.  Similarly, Pearlman (1999, p.52) describes vicarious trauma as ‘a process of [cognitive] change resulting from [chronic] empathic engagement with trauma survivors’.   Similarly, examining vicarious trauma within therapeutic encounters, Jenkins and Baird (2002, p.424) emphasise the importance of understanding the main symptom being an enduring disturbance in a person’s ‘cognitive frame of reference’.   Examples of change in a cognitive frame of reference may include, for example, a female social work practitioner’s view about </w:t>
      </w:r>
      <w:r w:rsidR="00FC1B69" w:rsidRPr="007C5CB9">
        <w:t xml:space="preserve">most </w:t>
      </w:r>
      <w:r w:rsidRPr="007C5CB9">
        <w:t>men</w:t>
      </w:r>
      <w:r w:rsidR="00DE138D" w:rsidRPr="007C5CB9">
        <w:t xml:space="preserve"> becoming altered</w:t>
      </w:r>
      <w:r w:rsidRPr="007C5CB9">
        <w:t xml:space="preserve"> as potential perpetrators of abuse after </w:t>
      </w:r>
      <w:r w:rsidR="001E7C94" w:rsidRPr="007C5CB9">
        <w:t>constant</w:t>
      </w:r>
      <w:r w:rsidRPr="007C5CB9">
        <w:t xml:space="preserve"> exposure to stories of male physical and sexual violence shared by female ‘victims’ and/or ‘survivors’.</w:t>
      </w:r>
      <w:r w:rsidR="000C7345" w:rsidRPr="007C5CB9">
        <w:t xml:space="preserve"> </w:t>
      </w:r>
    </w:p>
    <w:p w14:paraId="13E70932" w14:textId="77777777" w:rsidR="006835B5" w:rsidRPr="007C5CB9" w:rsidRDefault="006835B5" w:rsidP="009E0B25">
      <w:pPr>
        <w:spacing w:after="0"/>
      </w:pPr>
    </w:p>
    <w:p w14:paraId="5DF6B345" w14:textId="77777777" w:rsidR="006835B5" w:rsidRPr="007C5CB9" w:rsidRDefault="009C2D00" w:rsidP="009E0B25">
      <w:pPr>
        <w:jc w:val="left"/>
        <w:rPr>
          <w:b/>
          <w:i/>
        </w:rPr>
      </w:pPr>
      <w:r w:rsidRPr="007C5CB9">
        <w:rPr>
          <w:b/>
          <w:i/>
        </w:rPr>
        <w:t xml:space="preserve">Secondary traumatic stress </w:t>
      </w:r>
    </w:p>
    <w:p w14:paraId="51BC047C" w14:textId="5858A495" w:rsidR="00A14340" w:rsidRPr="007C5CB9" w:rsidRDefault="009C2D00" w:rsidP="009E0B25">
      <w:r w:rsidRPr="007C5CB9">
        <w:t>Secondary traumatic stress is defined by Figley (1983, p.3) as emotional distress a person can experience during contact with a ‘trauma survivor’ who may be a significant other and/or individual with whom they (over)empathise and/or share a traumatic experience.  Figley (1995) argues secondary traumatic stress can be seen as an occupational hazard across caring professions.   However, unlike vicarious trauma, which has an ‘[ac]cumulative’ effect potentially leading to permanent cognitive/perceptual changes, secondary traumatic stress is identified as an immediate adverse reaction when one person is exposed to another’s traumatic experiences (Newell and McNeil, 2010).  On discussing symptoms of secondary traumatic stress, Figley (1995) describes three response domains including</w:t>
      </w:r>
      <w:r w:rsidR="00602FD3" w:rsidRPr="007C5CB9">
        <w:t xml:space="preserve"> </w:t>
      </w:r>
      <w:r w:rsidRPr="007C5CB9">
        <w:t>(re)experience of the primary victim’s traumatic event</w:t>
      </w:r>
      <w:r w:rsidR="00602FD3" w:rsidRPr="007C5CB9">
        <w:t xml:space="preserve">, </w:t>
      </w:r>
      <w:r w:rsidRPr="007C5CB9">
        <w:t xml:space="preserve"> active avoidance and/or impassiveness in response to traumatic event reminders</w:t>
      </w:r>
      <w:r w:rsidR="00602FD3" w:rsidRPr="007C5CB9">
        <w:t xml:space="preserve"> and </w:t>
      </w:r>
      <w:r w:rsidRPr="007C5CB9">
        <w:t xml:space="preserve">persistent psychological arousal and/or hypervigilance. While describing how symptoms of secondary traumatic stress are similar to post-traumatic stress disorder (PTSD),  Jenkins and Baird (2002) highlight </w:t>
      </w:r>
      <w:r w:rsidR="00DD0DAD" w:rsidRPr="007C5CB9">
        <w:t xml:space="preserve">key </w:t>
      </w:r>
      <w:r w:rsidRPr="007C5CB9">
        <w:t xml:space="preserve">differences.   These include how, despite symptomatic similarities, a person who has been traumatised may experience ongoing symptoms of PTSD which include anxiety and depression.   In contrast, where secondary traumatic stress is experienced without PTSD diagnosis, PTSD symptoms may be present yet </w:t>
      </w:r>
      <w:r w:rsidR="001E7C94" w:rsidRPr="007C5CB9">
        <w:t xml:space="preserve">remain </w:t>
      </w:r>
      <w:r w:rsidRPr="007C5CB9">
        <w:t xml:space="preserve">less persistent (Figley, 1995). </w:t>
      </w:r>
    </w:p>
    <w:p w14:paraId="12E1447D" w14:textId="0CA7BB4F" w:rsidR="006835B5" w:rsidRPr="007C5CB9" w:rsidRDefault="009C2D00" w:rsidP="009E0B25">
      <w:r w:rsidRPr="007C5CB9">
        <w:rPr>
          <w:b/>
          <w:sz w:val="28"/>
          <w:szCs w:val="28"/>
        </w:rPr>
        <w:lastRenderedPageBreak/>
        <w:t xml:space="preserve">Trauma-informed social work education </w:t>
      </w:r>
    </w:p>
    <w:p w14:paraId="3ADFDA6E" w14:textId="60CB550C" w:rsidR="001E7C94" w:rsidRPr="007C5CB9" w:rsidRDefault="009C2D00" w:rsidP="0080231A">
      <w:pPr>
        <w:spacing w:after="0"/>
        <w:jc w:val="left"/>
        <w:rPr>
          <w:b/>
          <w:i/>
        </w:rPr>
      </w:pPr>
      <w:r w:rsidRPr="007C5CB9">
        <w:rPr>
          <w:b/>
          <w:i/>
        </w:rPr>
        <w:t>Student life histories and ACE</w:t>
      </w:r>
    </w:p>
    <w:p w14:paraId="738AA9D0" w14:textId="77777777" w:rsidR="0080231A" w:rsidRPr="007C5CB9" w:rsidRDefault="0080231A" w:rsidP="0080231A">
      <w:pPr>
        <w:spacing w:after="0"/>
        <w:jc w:val="left"/>
        <w:rPr>
          <w:b/>
          <w:i/>
        </w:rPr>
      </w:pPr>
    </w:p>
    <w:p w14:paraId="746CC88F" w14:textId="13845489" w:rsidR="006835B5" w:rsidRPr="007C5CB9" w:rsidRDefault="009C2D00" w:rsidP="009E0B25">
      <w:pPr>
        <w:spacing w:after="0"/>
      </w:pPr>
      <w:r w:rsidRPr="007C5CB9">
        <w:t xml:space="preserve">The links between social work students’ life histories including ACE, choice to enter the profession and risk of trauma in education and training have been researched since the 1990s.  In a formative study, Russell, Gill, Coyne and Wood (1993) compared experience of family dysfunction of 147 graduate mental health social work students (MSWs) with those of students in different subjects including guidance and counselling, education and business.  Using a self-administered questionnaire the researchers found prevalence of sexual abuse, for example, was 31% higher among MSWs than a comparative number of students in the other graduate groups.  Additionally, </w:t>
      </w:r>
      <w:r w:rsidR="00373A43" w:rsidRPr="007C5CB9">
        <w:t xml:space="preserve">while most people in the wider population will experience at least one ACE, </w:t>
      </w:r>
      <w:r w:rsidRPr="007C5CB9">
        <w:t>social work students reported higher percentages of living with family members during childhood who</w:t>
      </w:r>
      <w:r w:rsidR="00373A43" w:rsidRPr="007C5CB9">
        <w:t>, for example,</w:t>
      </w:r>
      <w:r w:rsidRPr="007C5CB9">
        <w:t xml:space="preserve"> had experienced problematic substance misuse and/or engaged in acts of violence.  Black, Jeffreys and Hartley (1993) found a higher reported frequency of ACE and family-oriented trauma in masters-level social work students compared to those in a comparative group of masters level business students.  Similarly, in a study examining influences upon choice of 415 students to undertake social work education and training, Rompf and Royse (1994) found higher prevalence of self-reporting on experience of alcohol misuse and mental illness in family members compared to a comparative number of non-social work students.  </w:t>
      </w:r>
    </w:p>
    <w:p w14:paraId="0C570585" w14:textId="77777777" w:rsidR="006835B5" w:rsidRPr="007C5CB9" w:rsidRDefault="006835B5" w:rsidP="009E0B25">
      <w:pPr>
        <w:spacing w:after="0"/>
        <w:jc w:val="left"/>
      </w:pPr>
    </w:p>
    <w:p w14:paraId="017B84A1" w14:textId="390BCC81" w:rsidR="006835B5" w:rsidRPr="007C5CB9" w:rsidRDefault="009C2D00" w:rsidP="009E0B25">
      <w:pPr>
        <w:spacing w:after="0"/>
        <w:rPr>
          <w:b/>
          <w:i/>
        </w:rPr>
      </w:pPr>
      <w:r w:rsidRPr="007C5CB9">
        <w:t xml:space="preserve">In </w:t>
      </w:r>
      <w:r w:rsidR="00DD0DAD" w:rsidRPr="007C5CB9">
        <w:t xml:space="preserve">their </w:t>
      </w:r>
      <w:r w:rsidRPr="007C5CB9">
        <w:t>study, Gilin and Kauffman (2015) utilised a self-reporting survey with 162 MSW students which explored ten ACE-related questions informed by the pioneering work on the impact of childhood abuse, family dysfunction and other ACE by Felitti</w:t>
      </w:r>
      <w:r w:rsidR="00F45E34" w:rsidRPr="007C5CB9">
        <w:t xml:space="preserve"> et al. </w:t>
      </w:r>
      <w:r w:rsidRPr="007C5CB9">
        <w:t>(1998).  The researchers found 78.3% of participants reported one or more ACE and 27.3% reported four or more.  Butler, Maguin and Carello (2017) undertook a comparative study utilising an online survey with 195 MSW students.  With their survey, which combined the use of two additional questions on social work students’ experience of bullying and community violence with a ten-item ACE calculator, Butler, Maguin and Carello (2017) found, prior to the age of eighteen, 77.8% of students reported one or more ACE and 31.3% reported four o</w:t>
      </w:r>
      <w:r w:rsidR="00613AAB" w:rsidRPr="007C5CB9">
        <w:t>r</w:t>
      </w:r>
      <w:r w:rsidRPr="007C5CB9">
        <w:t xml:space="preserve"> more.   Most commonly reported ACE among social work students highlighted by Butler, Maguin and </w:t>
      </w:r>
      <w:r w:rsidRPr="007C5CB9">
        <w:lastRenderedPageBreak/>
        <w:t>Carello (2017) were related to parental separation and/or divorce and (dys)function of other household members which included mental illness, drug and/or alcohol use.   In addition to reporting ACE, surveying graduate students returning to Post-Qualifying Social Work Education, Didham</w:t>
      </w:r>
      <w:r w:rsidR="0017100F" w:rsidRPr="007C5CB9">
        <w:t xml:space="preserve"> et al.</w:t>
      </w:r>
      <w:r w:rsidRPr="007C5CB9">
        <w:t xml:space="preserve"> (2011) found practitioners experienced practice-based traumatic events. These included incidents of verbal and sexual harassment, stalking by service users and other distressing behaviours towards them by practice educators and/or supervisors.   </w:t>
      </w:r>
    </w:p>
    <w:p w14:paraId="2B803531" w14:textId="77777777" w:rsidR="00DD0DAD" w:rsidRPr="007C5CB9" w:rsidRDefault="00DD0DAD" w:rsidP="009E0B25">
      <w:pPr>
        <w:spacing w:after="0"/>
        <w:jc w:val="left"/>
        <w:rPr>
          <w:b/>
          <w:i/>
        </w:rPr>
      </w:pPr>
    </w:p>
    <w:p w14:paraId="7A9BC8A3" w14:textId="42B16BC5" w:rsidR="006835B5" w:rsidRPr="007C5CB9" w:rsidRDefault="009C2D00" w:rsidP="009E0B25">
      <w:pPr>
        <w:spacing w:after="0"/>
        <w:jc w:val="left"/>
        <w:rPr>
          <w:b/>
          <w:i/>
        </w:rPr>
      </w:pPr>
      <w:r w:rsidRPr="007C5CB9">
        <w:rPr>
          <w:b/>
          <w:i/>
        </w:rPr>
        <w:t xml:space="preserve">Trauma-informed teaching strategies </w:t>
      </w:r>
    </w:p>
    <w:p w14:paraId="456CFF3D" w14:textId="77777777" w:rsidR="006835B5" w:rsidRPr="007C5CB9" w:rsidRDefault="006835B5" w:rsidP="009E0B25">
      <w:pPr>
        <w:spacing w:after="0"/>
        <w:jc w:val="left"/>
        <w:rPr>
          <w:b/>
          <w:i/>
        </w:rPr>
      </w:pPr>
    </w:p>
    <w:p w14:paraId="0188AD71" w14:textId="7BB70361" w:rsidR="006835B5" w:rsidRPr="007C5CB9" w:rsidRDefault="009C2D00" w:rsidP="009E0B25">
      <w:pPr>
        <w:spacing w:after="0"/>
      </w:pPr>
      <w:r w:rsidRPr="007C5CB9">
        <w:t xml:space="preserve">Taking study findings into account, several authors propose ‘best practice’ strategies for teaching which help reduce risk of (re)traumatisation in the classroom.  These include Cunningham (2004) who acknowledges not all students will have ACE leading to risk of secondary trauma due to exposure to </w:t>
      </w:r>
      <w:r w:rsidR="00DD0DAD" w:rsidRPr="007C5CB9">
        <w:t>others’ traumatic experiences</w:t>
      </w:r>
      <w:r w:rsidRPr="007C5CB9">
        <w:t>.  Nevertheless, Cunningham (</w:t>
      </w:r>
      <w:r w:rsidR="006071F0" w:rsidRPr="007C5CB9">
        <w:t>2004</w:t>
      </w:r>
      <w:r w:rsidRPr="007C5CB9">
        <w:t>) highlights how some students are more at risk of vicarious trauma when exposed to trauma-material encountered through, for example, reading about abuse and/or real</w:t>
      </w:r>
      <w:r w:rsidR="00DD0DAD" w:rsidRPr="007C5CB9">
        <w:t>-</w:t>
      </w:r>
      <w:r w:rsidRPr="007C5CB9">
        <w:t>life adverse experience shared in the classroom</w:t>
      </w:r>
      <w:r w:rsidR="00D46D9E" w:rsidRPr="007C5CB9">
        <w:t xml:space="preserve">.  Explained in more detail in a paper by Authors (date), the term Educators by Experience (EbE) describes people who are involved in social work education through virtue of their personal experiences with social services. </w:t>
      </w:r>
      <w:r w:rsidR="000F0D02" w:rsidRPr="007C5CB9">
        <w:t xml:space="preserve"> </w:t>
      </w:r>
      <w:r w:rsidR="00D46D9E" w:rsidRPr="007C5CB9">
        <w:t>Where EbEs and/or social work educators</w:t>
      </w:r>
      <w:r w:rsidRPr="007C5CB9">
        <w:t xml:space="preserve"> may share real-life experiences personal trauma</w:t>
      </w:r>
      <w:r w:rsidR="00D46D9E" w:rsidRPr="007C5CB9">
        <w:t xml:space="preserve"> or case work </w:t>
      </w:r>
      <w:r w:rsidRPr="007C5CB9">
        <w:t>Cunningham (</w:t>
      </w:r>
      <w:r w:rsidR="006071F0" w:rsidRPr="007C5CB9">
        <w:t>2004</w:t>
      </w:r>
      <w:r w:rsidRPr="007C5CB9">
        <w:t xml:space="preserve">) argues, as a symptom of vicarious trauma, some students may have their perceptions about adults, children and/or the family altered. </w:t>
      </w:r>
      <w:r w:rsidR="000F0D02" w:rsidRPr="007C5CB9">
        <w:t xml:space="preserve">  For example, students may not have seen the family as a place of risk for some children, while awareness of </w:t>
      </w:r>
      <w:r w:rsidR="00820CC1" w:rsidRPr="007C5CB9">
        <w:t xml:space="preserve">how </w:t>
      </w:r>
      <w:r w:rsidR="000F0D02" w:rsidRPr="007C5CB9">
        <w:t xml:space="preserve">adults and/or parents </w:t>
      </w:r>
      <w:r w:rsidR="00820CC1" w:rsidRPr="007C5CB9">
        <w:t xml:space="preserve">might be </w:t>
      </w:r>
      <w:r w:rsidR="000F0D02" w:rsidRPr="007C5CB9">
        <w:t xml:space="preserve">potential perpetrators of abuse may not have previously been considered.   </w:t>
      </w:r>
      <w:r w:rsidRPr="007C5CB9">
        <w:t xml:space="preserve"> Arguing this to be the most distressing aspect of the phenomenon, Cunningham (</w:t>
      </w:r>
      <w:r w:rsidR="006071F0" w:rsidRPr="007C5CB9">
        <w:t>2004</w:t>
      </w:r>
      <w:r w:rsidRPr="007C5CB9">
        <w:t xml:space="preserve">) describes </w:t>
      </w:r>
      <w:r w:rsidR="000A1FD5" w:rsidRPr="007C5CB9">
        <w:t xml:space="preserve">possible </w:t>
      </w:r>
      <w:r w:rsidRPr="007C5CB9">
        <w:t xml:space="preserve">(re)traumatisation in the classroom which can lead to shifts in students’ worldviews about human nature resulting in stress, anxiety and concerns about their personal safety. </w:t>
      </w:r>
      <w:r w:rsidR="00560F87" w:rsidRPr="007C5CB9">
        <w:t xml:space="preserve"> </w:t>
      </w:r>
    </w:p>
    <w:p w14:paraId="73727933" w14:textId="77777777" w:rsidR="006835B5" w:rsidRPr="007C5CB9" w:rsidRDefault="006835B5" w:rsidP="009E0B25">
      <w:pPr>
        <w:spacing w:after="0"/>
        <w:jc w:val="left"/>
      </w:pPr>
    </w:p>
    <w:p w14:paraId="09A09FBB" w14:textId="7F9F2FEA" w:rsidR="006835B5" w:rsidRPr="007C5CB9" w:rsidRDefault="0080231A" w:rsidP="009E0B25">
      <w:pPr>
        <w:spacing w:after="0"/>
        <w:rPr>
          <w:highlight w:val="yellow"/>
        </w:rPr>
      </w:pPr>
      <w:r w:rsidRPr="007C5CB9">
        <w:t>T</w:t>
      </w:r>
      <w:r w:rsidR="009C2D00" w:rsidRPr="007C5CB9">
        <w:t xml:space="preserve">o facilitate a safe learning environment, Carello and Butler (2015) suggest application of </w:t>
      </w:r>
      <w:r w:rsidR="001E3E44" w:rsidRPr="007C5CB9">
        <w:t xml:space="preserve">five </w:t>
      </w:r>
      <w:r w:rsidR="009C2D00" w:rsidRPr="007C5CB9">
        <w:t>principles of trauma-informed care (TIC) in classroom setting</w:t>
      </w:r>
      <w:r w:rsidR="00DD0DAD" w:rsidRPr="007C5CB9">
        <w:t>s</w:t>
      </w:r>
      <w:r w:rsidR="009C2D00" w:rsidRPr="007C5CB9">
        <w:t xml:space="preserve">. </w:t>
      </w:r>
      <w:r w:rsidR="00DD0DAD" w:rsidRPr="007C5CB9">
        <w:t xml:space="preserve"> </w:t>
      </w:r>
      <w:r w:rsidR="009C2D00" w:rsidRPr="007C5CB9">
        <w:t xml:space="preserve">These </w:t>
      </w:r>
      <w:r w:rsidR="002E5248" w:rsidRPr="007C5CB9">
        <w:t xml:space="preserve">five </w:t>
      </w:r>
      <w:r w:rsidR="009C2D00" w:rsidRPr="007C5CB9">
        <w:t>principles include</w:t>
      </w:r>
      <w:r w:rsidR="00C028B3" w:rsidRPr="007C5CB9">
        <w:t>: (</w:t>
      </w:r>
      <w:r w:rsidR="009C2D00" w:rsidRPr="007C5CB9">
        <w:t xml:space="preserve">1) </w:t>
      </w:r>
      <w:r w:rsidR="009C2D00" w:rsidRPr="007C5CB9">
        <w:rPr>
          <w:i/>
        </w:rPr>
        <w:t xml:space="preserve">ensuring safety </w:t>
      </w:r>
      <w:r w:rsidR="009C2D00" w:rsidRPr="007C5CB9">
        <w:t xml:space="preserve">(2) </w:t>
      </w:r>
      <w:r w:rsidR="009C2D00" w:rsidRPr="007C5CB9">
        <w:rPr>
          <w:i/>
        </w:rPr>
        <w:t>establishing trustworthiness</w:t>
      </w:r>
      <w:r w:rsidR="009C2D00" w:rsidRPr="007C5CB9">
        <w:t xml:space="preserve"> (3) </w:t>
      </w:r>
      <w:r w:rsidR="009C2D00" w:rsidRPr="007C5CB9">
        <w:rPr>
          <w:i/>
        </w:rPr>
        <w:t>maximising choice</w:t>
      </w:r>
      <w:r w:rsidR="009C2D00" w:rsidRPr="007C5CB9">
        <w:t xml:space="preserve"> (4) </w:t>
      </w:r>
      <w:r w:rsidR="009C2D00" w:rsidRPr="007C5CB9">
        <w:rPr>
          <w:i/>
        </w:rPr>
        <w:t>maximising collaboration</w:t>
      </w:r>
      <w:r w:rsidR="009C2D00" w:rsidRPr="007C5CB9">
        <w:t xml:space="preserve"> and (5) </w:t>
      </w:r>
      <w:r w:rsidR="009C2D00" w:rsidRPr="007C5CB9">
        <w:rPr>
          <w:i/>
        </w:rPr>
        <w:t>prioritising empowerment.</w:t>
      </w:r>
      <w:r w:rsidR="00DD0DAD" w:rsidRPr="007C5CB9">
        <w:rPr>
          <w:i/>
        </w:rPr>
        <w:t xml:space="preserve">  </w:t>
      </w:r>
      <w:r w:rsidR="009C2D00" w:rsidRPr="007C5CB9">
        <w:t xml:space="preserve">Describing this as fundamental, Carello and </w:t>
      </w:r>
      <w:r w:rsidR="009C2D00" w:rsidRPr="007C5CB9">
        <w:lastRenderedPageBreak/>
        <w:t xml:space="preserve">Butler (2015, p.269) suggest </w:t>
      </w:r>
      <w:r w:rsidR="00DD0DAD" w:rsidRPr="007C5CB9">
        <w:t xml:space="preserve">the </w:t>
      </w:r>
      <w:r w:rsidR="009C2D00" w:rsidRPr="007C5CB9">
        <w:t xml:space="preserve">importance of prioritising application of </w:t>
      </w:r>
      <w:r w:rsidRPr="007C5CB9">
        <w:t xml:space="preserve">the </w:t>
      </w:r>
      <w:r w:rsidR="009C2D00" w:rsidRPr="007C5CB9">
        <w:t xml:space="preserve">trauma-informed principle of </w:t>
      </w:r>
      <w:r w:rsidR="009C2D00" w:rsidRPr="007C5CB9">
        <w:rPr>
          <w:i/>
          <w:iCs/>
        </w:rPr>
        <w:t>‘</w:t>
      </w:r>
      <w:r w:rsidR="00DD0DAD" w:rsidRPr="007C5CB9">
        <w:rPr>
          <w:i/>
          <w:iCs/>
        </w:rPr>
        <w:t xml:space="preserve">ensuring </w:t>
      </w:r>
      <w:r w:rsidR="009C2D00" w:rsidRPr="007C5CB9">
        <w:rPr>
          <w:i/>
          <w:iCs/>
        </w:rPr>
        <w:t>safety’</w:t>
      </w:r>
      <w:r w:rsidR="009C2D00" w:rsidRPr="007C5CB9">
        <w:t xml:space="preserve"> across several domains.  These include</w:t>
      </w:r>
      <w:r w:rsidR="001E3E44" w:rsidRPr="007C5CB9">
        <w:t xml:space="preserve"> </w:t>
      </w:r>
      <w:r w:rsidR="009C2D00" w:rsidRPr="007C5CB9">
        <w:t>knowledge of student’s individual personal characteristics</w:t>
      </w:r>
      <w:r w:rsidR="001E3E44" w:rsidRPr="007C5CB9">
        <w:t xml:space="preserve">, </w:t>
      </w:r>
      <w:r w:rsidR="009C2D00" w:rsidRPr="007C5CB9">
        <w:t>moderation of taught content</w:t>
      </w:r>
      <w:r w:rsidR="00560F87" w:rsidRPr="007C5CB9">
        <w:t xml:space="preserve">, </w:t>
      </w:r>
      <w:r w:rsidR="000A1FD5" w:rsidRPr="007C5CB9">
        <w:t>for example, checking teaching materials and including content warnings</w:t>
      </w:r>
      <w:r w:rsidR="001E3E44" w:rsidRPr="007C5CB9">
        <w:t xml:space="preserve">, </w:t>
      </w:r>
      <w:r w:rsidR="009C2D00" w:rsidRPr="007C5CB9">
        <w:t>classroom setting</w:t>
      </w:r>
      <w:r w:rsidR="001E3E44" w:rsidRPr="007C5CB9">
        <w:t xml:space="preserve">, </w:t>
      </w:r>
      <w:r w:rsidR="009C2D00" w:rsidRPr="007C5CB9">
        <w:t>assignment requirements</w:t>
      </w:r>
      <w:r w:rsidR="001E3E44" w:rsidRPr="007C5CB9">
        <w:t xml:space="preserve">, </w:t>
      </w:r>
      <w:r w:rsidR="009C2D00" w:rsidRPr="007C5CB9">
        <w:t xml:space="preserve">educator and student behaviour and instruction on and practice of (student and educator) self-care.   While utilising TIC principles to practice safely, educators are required to be knowledgeable and skilled in presenting trauma-material while vigilant in identifying signs and symptoms of existent and/or emergent trauma in students.  </w:t>
      </w:r>
      <w:r w:rsidR="00A954EE" w:rsidRPr="007C5CB9">
        <w:t xml:space="preserve">Most of the relevant research on this </w:t>
      </w:r>
      <w:r w:rsidR="001C3181" w:rsidRPr="007C5CB9">
        <w:t xml:space="preserve">subject area </w:t>
      </w:r>
      <w:r w:rsidR="00A954EE" w:rsidRPr="007C5CB9">
        <w:t>has been undertaken within the USA</w:t>
      </w:r>
      <w:r w:rsidR="002E5248" w:rsidRPr="007C5CB9">
        <w:t xml:space="preserve"> (see </w:t>
      </w:r>
      <w:r w:rsidR="001C3181" w:rsidRPr="007C5CB9">
        <w:t xml:space="preserve">Carello and </w:t>
      </w:r>
      <w:r w:rsidR="002E5248" w:rsidRPr="007C5CB9">
        <w:t>Butler</w:t>
      </w:r>
      <w:r w:rsidR="001C3181" w:rsidRPr="007C5CB9">
        <w:t>, 201</w:t>
      </w:r>
      <w:r w:rsidR="00820CC1" w:rsidRPr="007C5CB9">
        <w:t>4</w:t>
      </w:r>
      <w:r w:rsidR="001C3181" w:rsidRPr="007C5CB9">
        <w:t>, 2015).  Nevertheless, compatible with international social work education contexts,</w:t>
      </w:r>
      <w:r w:rsidR="00A954EE" w:rsidRPr="007C5CB9">
        <w:t xml:space="preserve"> this body of work demonstrate</w:t>
      </w:r>
      <w:r w:rsidR="001C3181" w:rsidRPr="007C5CB9">
        <w:t>s</w:t>
      </w:r>
      <w:r w:rsidR="00A954EE" w:rsidRPr="007C5CB9">
        <w:t xml:space="preserve"> the positive impact of trauma</w:t>
      </w:r>
      <w:r w:rsidR="002B6766" w:rsidRPr="007C5CB9">
        <w:t>-</w:t>
      </w:r>
      <w:r w:rsidR="00A954EE" w:rsidRPr="007C5CB9">
        <w:t>informed teaching for social work students</w:t>
      </w:r>
      <w:r w:rsidR="002E5248" w:rsidRPr="007C5CB9">
        <w:t xml:space="preserve">. </w:t>
      </w:r>
    </w:p>
    <w:p w14:paraId="721C6DDF" w14:textId="77777777" w:rsidR="006835B5" w:rsidRPr="007C5CB9" w:rsidRDefault="006835B5" w:rsidP="009E0B25">
      <w:pPr>
        <w:spacing w:after="0"/>
        <w:jc w:val="left"/>
      </w:pPr>
    </w:p>
    <w:p w14:paraId="47AFF2E8" w14:textId="48DFAE51" w:rsidR="006835B5" w:rsidRPr="007C5CB9" w:rsidRDefault="009C2D00" w:rsidP="009E0B25">
      <w:pPr>
        <w:spacing w:after="0"/>
      </w:pPr>
      <w:r w:rsidRPr="007C5CB9">
        <w:t>Gilin and Kaufmann (2015) argue students should be taught about ACE, vicarious trauma and secondary traumatic stress and associated risks and how to identify these in themselves and others. While ethically challeng</w:t>
      </w:r>
      <w:r w:rsidR="00820CC1" w:rsidRPr="007C5CB9">
        <w:t>ing</w:t>
      </w:r>
      <w:r w:rsidRPr="007C5CB9">
        <w:t>, this is an approach advocated by Carello and Butler (2014) who argue, while some trauma-material will need to be retained</w:t>
      </w:r>
      <w:r w:rsidR="001E3E44" w:rsidRPr="007C5CB9">
        <w:t xml:space="preserve">, </w:t>
      </w:r>
      <w:r w:rsidRPr="007C5CB9">
        <w:t>educator previewing of taught content</w:t>
      </w:r>
      <w:r w:rsidR="001E3E44" w:rsidRPr="007C5CB9">
        <w:t xml:space="preserve">, </w:t>
      </w:r>
      <w:r w:rsidRPr="007C5CB9">
        <w:t xml:space="preserve">verbal and written warnings about potentially disturbing subject matter and select omission of unsolicited trauma evoking material is essential.  Gilin and Kaufman (1995, p. 390) highlight importance of this particularly in relation to </w:t>
      </w:r>
      <w:r w:rsidR="00DD0DAD" w:rsidRPr="007C5CB9">
        <w:t xml:space="preserve">use of </w:t>
      </w:r>
      <w:r w:rsidRPr="007C5CB9">
        <w:t>visual learning mediums (e.g.</w:t>
      </w:r>
      <w:r w:rsidR="00DD0DAD" w:rsidRPr="007C5CB9">
        <w:t xml:space="preserve"> </w:t>
      </w:r>
      <w:r w:rsidRPr="007C5CB9">
        <w:t>YouTube and DVDs etc), arguing students should have opportunities to (pre)view material in advance and/or be allowed to step out o</w:t>
      </w:r>
      <w:r w:rsidR="00DD0DAD" w:rsidRPr="007C5CB9">
        <w:t xml:space="preserve">f </w:t>
      </w:r>
      <w:r w:rsidRPr="007C5CB9">
        <w:t>classroom</w:t>
      </w:r>
      <w:r w:rsidR="00DD0DAD" w:rsidRPr="007C5CB9">
        <w:t>s</w:t>
      </w:r>
      <w:r w:rsidRPr="007C5CB9">
        <w:t xml:space="preserve"> if required.  Similarly, Carello and Butler (2015, p.270) discuss how to ‘inoculate’ students and assist them in managing trauma-material by providing verbal and/or online warnings ahead of posting electronic links for viewing and/or where planning use of visual and/or verbal learning aids in the classroom.   Written check-ins at the start and end of exposure to trauma-material which offer opportunity to share thoughts, feeling and emotions and/or encourage classroom discussions which invite verbal feedback can empower students to reorientate and/or (re)gain emotional distance following review of difficult subject matter (Carello and Butler</w:t>
      </w:r>
      <w:r w:rsidR="00187F41" w:rsidRPr="007C5CB9">
        <w:t xml:space="preserve">, </w:t>
      </w:r>
      <w:r w:rsidRPr="007C5CB9">
        <w:t xml:space="preserve">2015).  Use of reflective journals recording personal reactions to reading, discussions and viewing of trauma-material to enhance self-awareness and </w:t>
      </w:r>
      <w:r w:rsidR="0080231A" w:rsidRPr="007C5CB9">
        <w:t xml:space="preserve">personal development </w:t>
      </w:r>
      <w:r w:rsidRPr="007C5CB9">
        <w:t xml:space="preserve">have been proposed by Gilin and Kaufmann (2015). </w:t>
      </w:r>
      <w:r w:rsidR="00DD0DAD" w:rsidRPr="007C5CB9">
        <w:t xml:space="preserve"> </w:t>
      </w:r>
      <w:r w:rsidRPr="007C5CB9">
        <w:t xml:space="preserve">However, the authors highlight how, while choice to </w:t>
      </w:r>
      <w:r w:rsidRPr="007C5CB9">
        <w:lastRenderedPageBreak/>
        <w:t xml:space="preserve">collaborate in their preferred </w:t>
      </w:r>
      <w:r w:rsidR="00DD0DAD" w:rsidRPr="007C5CB9">
        <w:t xml:space="preserve">way </w:t>
      </w:r>
      <w:r w:rsidRPr="007C5CB9">
        <w:t xml:space="preserve">needs to be emphasised, students </w:t>
      </w:r>
      <w:r w:rsidR="00DD0DAD" w:rsidRPr="007C5CB9">
        <w:t xml:space="preserve">should not be expected </w:t>
      </w:r>
      <w:r w:rsidRPr="007C5CB9">
        <w:t>to share personal histories and/or thoughts or feelings either in written form or verbally in the classroom.</w:t>
      </w:r>
    </w:p>
    <w:p w14:paraId="44068187" w14:textId="77777777" w:rsidR="006835B5" w:rsidRPr="007C5CB9" w:rsidRDefault="006835B5" w:rsidP="009E0B25">
      <w:pPr>
        <w:spacing w:after="0"/>
        <w:jc w:val="left"/>
      </w:pPr>
    </w:p>
    <w:p w14:paraId="48A3EA50" w14:textId="5262224E" w:rsidR="006835B5" w:rsidRPr="007C5CB9" w:rsidRDefault="009C2D00" w:rsidP="009E0B25">
      <w:pPr>
        <w:spacing w:after="0"/>
      </w:pPr>
      <w:r w:rsidRPr="007C5CB9">
        <w:t>The impact of personal disclosures from students is important to consider within a trauma-informed approach. In re</w:t>
      </w:r>
      <w:r w:rsidR="00834FEC" w:rsidRPr="007C5CB9">
        <w:t xml:space="preserve">lation to </w:t>
      </w:r>
      <w:r w:rsidRPr="007C5CB9">
        <w:t xml:space="preserve">assignments, Carello and Butler (2015) suggest educators should consider how guidance requirements might trigger a traumatic response, for example, where students writing reflective pieces may offer disclosures while seeking to exceed their emotional limits, excel in assignments and/or otherwise influence markers. Additionally, where students are exposed to in-depth verbal accounts and/or detailed graphic imagery about trauma some may become overwhelmed while others may be inspired to engage in classroom disclosure.  Strategies proposed for mixed responses include the provision of support with assignment planning, preparing students for exposure to content in classrooms and setting ground rules. For example, directing students to be appreciative and empathetic of differing views and experiences being shared while avoiding ‘othering’ and/or seeing distress as a ‘normative’ reaction (Carello and Butler, 2015; Catherall, 1995, p. 239).  Attention has been drawn to importance of group dynamics and styles of presentation (Cunningham, 2004).  Cunningham </w:t>
      </w:r>
      <w:r w:rsidR="006071F0" w:rsidRPr="007C5CB9">
        <w:t xml:space="preserve">(2004) </w:t>
      </w:r>
      <w:r w:rsidRPr="007C5CB9">
        <w:t xml:space="preserve">highlights educator presentation styles can risk devaluing the experience of students who may have similar life experiences where trauma-materials are shared in an emotionless and/or detached way.  Defined by Newall and McNeil (2010, p.62) as the ‘utilisation of skills and strategies…to maintain [one’s] own personal, familial, emotional and spiritual needs while attending to…the needs and demands [of others]’, the importance of student and educator personal safety and self-care is underscored in the literature.  In relation to personal safety and self-care, approaches to teaching underpinned by trauma-informed principles can be linked to what Hooks (1994, p.15) calls an ‘engaged pedagogy’ </w:t>
      </w:r>
      <w:r w:rsidR="00E2165B" w:rsidRPr="007C5CB9">
        <w:t xml:space="preserve">which is concerned with </w:t>
      </w:r>
      <w:r w:rsidRPr="007C5CB9">
        <w:t xml:space="preserve">teaching practice </w:t>
      </w:r>
      <w:r w:rsidR="00E2165B" w:rsidRPr="007C5CB9">
        <w:t>that</w:t>
      </w:r>
      <w:r w:rsidRPr="007C5CB9">
        <w:t xml:space="preserve"> ‘emphasises wellbeing’</w:t>
      </w:r>
      <w:r w:rsidR="00E2165B" w:rsidRPr="007C5CB9">
        <w:t xml:space="preserve"> in the classroom.  </w:t>
      </w:r>
    </w:p>
    <w:p w14:paraId="5360E9D6" w14:textId="77777777" w:rsidR="006835B5" w:rsidRPr="007C5CB9" w:rsidRDefault="006835B5" w:rsidP="009E0B25">
      <w:pPr>
        <w:spacing w:after="0"/>
      </w:pPr>
    </w:p>
    <w:p w14:paraId="6960F61F" w14:textId="47CEE305" w:rsidR="00FE0648" w:rsidRPr="007C5CB9" w:rsidRDefault="009C2D00" w:rsidP="00FE0648">
      <w:pPr>
        <w:spacing w:after="240"/>
      </w:pPr>
      <w:r w:rsidRPr="007C5CB9">
        <w:t xml:space="preserve">The literature highlights </w:t>
      </w:r>
      <w:r w:rsidR="00834FEC" w:rsidRPr="007C5CB9">
        <w:t xml:space="preserve">the </w:t>
      </w:r>
      <w:r w:rsidRPr="007C5CB9">
        <w:t xml:space="preserve">importance of incorporating trauma-informed approaches into social work education. However, most examples identified for the purpose of this paper were based on anecdotal approaches where educators offer ideas about how best to apply trauma-informed principles.  </w:t>
      </w:r>
      <w:r w:rsidRPr="007C5CB9">
        <w:rPr>
          <w:shd w:val="clear" w:color="auto" w:fill="FCFCFC"/>
        </w:rPr>
        <w:t xml:space="preserve"> Consequently, a gap </w:t>
      </w:r>
      <w:r w:rsidRPr="007C5CB9">
        <w:t xml:space="preserve">in the evidence-base is identified in relation to </w:t>
      </w:r>
      <w:r w:rsidRPr="007C5CB9">
        <w:lastRenderedPageBreak/>
        <w:t xml:space="preserve">understanding educators’ practical application and students’ experience where pedagogical approaches in social work education involve explicit application of trauma-informed principles within the classroom.   As </w:t>
      </w:r>
      <w:r w:rsidRPr="007C5CB9">
        <w:rPr>
          <w:shd w:val="clear" w:color="auto" w:fill="FCFCFC"/>
        </w:rPr>
        <w:t>Sanders (20</w:t>
      </w:r>
      <w:r w:rsidR="00732DBC" w:rsidRPr="007C5CB9">
        <w:rPr>
          <w:shd w:val="clear" w:color="auto" w:fill="FCFCFC"/>
        </w:rPr>
        <w:t>21</w:t>
      </w:r>
      <w:r w:rsidRPr="007C5CB9">
        <w:rPr>
          <w:shd w:val="clear" w:color="auto" w:fill="FCFCFC"/>
        </w:rPr>
        <w:t xml:space="preserve">, p.4) commented ‘research is required to establish ‘best practice’ guidelines for broad integration of trauma knowledge that fosters an optimum learning environment for all students’. </w:t>
      </w:r>
      <w:r w:rsidRPr="007C5CB9">
        <w:t xml:space="preserve"> To inform research in the subject area a study was designed and conducted across two HEI</w:t>
      </w:r>
      <w:r w:rsidR="0080231A" w:rsidRPr="007C5CB9">
        <w:t>s</w:t>
      </w:r>
      <w:r w:rsidRPr="007C5CB9">
        <w:t xml:space="preserve"> providing </w:t>
      </w:r>
      <w:r w:rsidR="00E2165B" w:rsidRPr="007C5CB9">
        <w:t>Pre</w:t>
      </w:r>
      <w:r w:rsidR="00626F94" w:rsidRPr="007C5CB9">
        <w:t>-</w:t>
      </w:r>
      <w:r w:rsidR="00E2165B" w:rsidRPr="007C5CB9">
        <w:t>Qualifying Social Work Provision (</w:t>
      </w:r>
      <w:r w:rsidRPr="007C5CB9">
        <w:t>PQSWP</w:t>
      </w:r>
      <w:r w:rsidR="00E2165B" w:rsidRPr="007C5CB9">
        <w:t>)</w:t>
      </w:r>
      <w:r w:rsidRPr="007C5CB9">
        <w:t xml:space="preserve"> to undergraduate and postgraduate students.</w:t>
      </w:r>
    </w:p>
    <w:p w14:paraId="2449BDF0" w14:textId="18FE2869" w:rsidR="006835B5" w:rsidRPr="007C5CB9" w:rsidRDefault="009C2D00" w:rsidP="009E0B25">
      <w:pPr>
        <w:spacing w:after="240"/>
        <w:jc w:val="left"/>
      </w:pPr>
      <w:r w:rsidRPr="007C5CB9">
        <w:rPr>
          <w:b/>
          <w:sz w:val="28"/>
          <w:szCs w:val="28"/>
        </w:rPr>
        <w:t>The Study</w:t>
      </w:r>
    </w:p>
    <w:p w14:paraId="3C0875D5" w14:textId="77777777" w:rsidR="006835B5" w:rsidRPr="007C5CB9" w:rsidRDefault="009C2D00" w:rsidP="009E0B25">
      <w:pPr>
        <w:spacing w:after="240"/>
        <w:jc w:val="left"/>
        <w:rPr>
          <w:b/>
        </w:rPr>
      </w:pPr>
      <w:r w:rsidRPr="007C5CB9">
        <w:rPr>
          <w:b/>
          <w:i/>
        </w:rPr>
        <w:t xml:space="preserve">Aims and objectives </w:t>
      </w:r>
    </w:p>
    <w:p w14:paraId="1DB44E71" w14:textId="40A0750C" w:rsidR="00D02829" w:rsidRPr="007C5CB9" w:rsidRDefault="009C2D00" w:rsidP="00A9747C">
      <w:pPr>
        <w:rPr>
          <w:b/>
          <w:i/>
        </w:rPr>
      </w:pPr>
      <w:r w:rsidRPr="007C5CB9">
        <w:t>Beginning in January 2021 the study took place across a three</w:t>
      </w:r>
      <w:r w:rsidR="001E7C94" w:rsidRPr="007C5CB9">
        <w:t>-</w:t>
      </w:r>
      <w:r w:rsidRPr="007C5CB9">
        <w:t xml:space="preserve">month period. The aims of the study were to explore: (1) how potentially distressing topics are presented by educators in PQSWPs and received by students </w:t>
      </w:r>
      <w:r w:rsidR="00EB0C69" w:rsidRPr="007C5CB9">
        <w:t>and</w:t>
      </w:r>
      <w:r w:rsidR="00732DBC" w:rsidRPr="007C5CB9">
        <w:t xml:space="preserve"> understand</w:t>
      </w:r>
      <w:r w:rsidR="00EB0C69" w:rsidRPr="007C5CB9">
        <w:t xml:space="preserve"> </w:t>
      </w:r>
      <w:r w:rsidRPr="007C5CB9">
        <w:t xml:space="preserve">(2) how trauma-informed principles are understood and embedded within social work teaching and learning environments across HEIs.  The </w:t>
      </w:r>
      <w:r w:rsidR="001E7C94" w:rsidRPr="007C5CB9">
        <w:t xml:space="preserve">study </w:t>
      </w:r>
      <w:r w:rsidRPr="007C5CB9">
        <w:t xml:space="preserve">objectives were to: (1) gather evidence to further inform research in the subject area and (2) contribute to enhanced knowledge of </w:t>
      </w:r>
      <w:r w:rsidR="00A9747C" w:rsidRPr="007C5CB9">
        <w:t>‘</w:t>
      </w:r>
      <w:r w:rsidRPr="007C5CB9">
        <w:t>best practice</w:t>
      </w:r>
      <w:r w:rsidR="00A9747C" w:rsidRPr="007C5CB9">
        <w:t>’</w:t>
      </w:r>
      <w:r w:rsidRPr="007C5CB9">
        <w:t xml:space="preserve"> in trauma-informed teaching in social work. </w:t>
      </w:r>
    </w:p>
    <w:p w14:paraId="001A820F" w14:textId="77777777" w:rsidR="00D02829" w:rsidRPr="007C5CB9" w:rsidRDefault="00D02829" w:rsidP="009E0B25">
      <w:pPr>
        <w:spacing w:after="0"/>
        <w:jc w:val="left"/>
        <w:rPr>
          <w:b/>
          <w:i/>
        </w:rPr>
      </w:pPr>
    </w:p>
    <w:p w14:paraId="50C08A62" w14:textId="29320C9C" w:rsidR="006835B5" w:rsidRPr="007C5CB9" w:rsidRDefault="009C2D00" w:rsidP="009E0B25">
      <w:pPr>
        <w:spacing w:after="0"/>
        <w:jc w:val="left"/>
        <w:rPr>
          <w:b/>
          <w:i/>
        </w:rPr>
      </w:pPr>
      <w:r w:rsidRPr="007C5CB9">
        <w:rPr>
          <w:b/>
          <w:i/>
        </w:rPr>
        <w:t>Participant samples and recruitment</w:t>
      </w:r>
    </w:p>
    <w:p w14:paraId="0589A2C1" w14:textId="77777777" w:rsidR="006835B5" w:rsidRPr="007C5CB9" w:rsidRDefault="006835B5" w:rsidP="009E0B25">
      <w:pPr>
        <w:spacing w:after="0"/>
        <w:jc w:val="left"/>
        <w:rPr>
          <w:b/>
          <w:i/>
        </w:rPr>
      </w:pPr>
    </w:p>
    <w:p w14:paraId="721C825E" w14:textId="2301579F" w:rsidR="00FE5416" w:rsidRPr="007C5CB9" w:rsidRDefault="009C2D00" w:rsidP="009E0B25">
      <w:r w:rsidRPr="007C5CB9">
        <w:t xml:space="preserve">Two purposeful sample participant groups were recruited to take part in the study.   Sample one included seven (n=7) social work educators teaching </w:t>
      </w:r>
      <w:r w:rsidR="00A9747C" w:rsidRPr="007C5CB9">
        <w:t xml:space="preserve">distressing topics </w:t>
      </w:r>
      <w:r w:rsidRPr="007C5CB9">
        <w:t xml:space="preserve">at undergraduate and postgraduate levels across two Higher Education Institutes (HEIs) delivering PQSWP approved by Social Work England.  </w:t>
      </w:r>
      <w:r w:rsidR="008D42D1" w:rsidRPr="007C5CB9">
        <w:t>The two HEIs were selected for pragmatic reasons</w:t>
      </w:r>
      <w:r w:rsidR="00F63B3D" w:rsidRPr="007C5CB9">
        <w:t xml:space="preserve">, for example, </w:t>
      </w:r>
      <w:r w:rsidR="008D42D1" w:rsidRPr="007C5CB9">
        <w:t xml:space="preserve">both were local to the researchers, part of </w:t>
      </w:r>
      <w:r w:rsidR="00FE5416" w:rsidRPr="007C5CB9">
        <w:t xml:space="preserve">the same </w:t>
      </w:r>
      <w:r w:rsidR="008D42D1" w:rsidRPr="007C5CB9">
        <w:t>Teaching Partnership</w:t>
      </w:r>
      <w:r w:rsidR="00F63B3D" w:rsidRPr="007C5CB9">
        <w:t xml:space="preserve"> </w:t>
      </w:r>
      <w:r w:rsidR="008D42D1" w:rsidRPr="007C5CB9">
        <w:t>and provide</w:t>
      </w:r>
      <w:r w:rsidR="00F63B3D" w:rsidRPr="007C5CB9">
        <w:t>d</w:t>
      </w:r>
      <w:r w:rsidR="008D42D1" w:rsidRPr="007C5CB9">
        <w:t xml:space="preserve"> pre-qualifying social work education at both </w:t>
      </w:r>
      <w:r w:rsidR="00F63B3D" w:rsidRPr="007C5CB9">
        <w:t>u</w:t>
      </w:r>
      <w:r w:rsidR="008D42D1" w:rsidRPr="007C5CB9">
        <w:t xml:space="preserve">ndergraduate and </w:t>
      </w:r>
      <w:r w:rsidR="00F63B3D" w:rsidRPr="007C5CB9">
        <w:t xml:space="preserve">postgraduate </w:t>
      </w:r>
      <w:r w:rsidR="008D42D1" w:rsidRPr="007C5CB9">
        <w:t xml:space="preserve">level.  </w:t>
      </w:r>
      <w:r w:rsidR="00556590" w:rsidRPr="007C5CB9">
        <w:t xml:space="preserve">The </w:t>
      </w:r>
      <w:r w:rsidR="00240771" w:rsidRPr="007C5CB9">
        <w:t>purposeful sample of educators was selected in recognition of the fact that trauma-material can be presented across modules in multiple teaching contexts</w:t>
      </w:r>
      <w:r w:rsidR="00556590" w:rsidRPr="007C5CB9">
        <w:t xml:space="preserve">.  For the purpose of the study educators’ </w:t>
      </w:r>
      <w:r w:rsidR="00240771" w:rsidRPr="007C5CB9">
        <w:t>personal characteristic including age, gender, experience and ethnicity were not gathered.</w:t>
      </w:r>
      <w:r w:rsidR="00556590" w:rsidRPr="007C5CB9">
        <w:t xml:space="preserve"> </w:t>
      </w:r>
      <w:r w:rsidRPr="007C5CB9">
        <w:t xml:space="preserve">Sample two included a total of eight (n=8) undergraduate and </w:t>
      </w:r>
      <w:r w:rsidRPr="007C5CB9">
        <w:lastRenderedPageBreak/>
        <w:t>postgraduate student social workers enrolled at the same two HEIs</w:t>
      </w:r>
      <w:r w:rsidR="00522D2D" w:rsidRPr="007C5CB9">
        <w:t xml:space="preserve"> with a range of personal characteristics </w:t>
      </w:r>
      <w:r w:rsidR="00556590" w:rsidRPr="007C5CB9">
        <w:t xml:space="preserve">which are </w:t>
      </w:r>
      <w:r w:rsidR="00522D2D" w:rsidRPr="007C5CB9">
        <w:t xml:space="preserve">shown in </w:t>
      </w:r>
      <w:r w:rsidR="00522D2D" w:rsidRPr="007C5CB9">
        <w:rPr>
          <w:b/>
          <w:bCs/>
        </w:rPr>
        <w:t>Table 1:</w:t>
      </w:r>
      <w:r w:rsidRPr="007C5CB9">
        <w:t xml:space="preserve"> </w:t>
      </w:r>
    </w:p>
    <w:p w14:paraId="12D97BD5" w14:textId="756380B4" w:rsidR="00B50A5E" w:rsidRPr="007C5CB9" w:rsidRDefault="00B50A5E" w:rsidP="00522D2D">
      <w:pPr>
        <w:jc w:val="center"/>
        <w:rPr>
          <w:b/>
          <w:bCs/>
        </w:rPr>
      </w:pPr>
      <w:r w:rsidRPr="007C5CB9">
        <w:rPr>
          <w:b/>
          <w:bCs/>
        </w:rPr>
        <w:t>Table 1:  Showing Student participants year of study, age, gender and ethnicity</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704"/>
        <w:gridCol w:w="597"/>
        <w:gridCol w:w="2335"/>
        <w:gridCol w:w="3054"/>
      </w:tblGrid>
      <w:tr w:rsidR="007C5CB9" w:rsidRPr="007C5CB9" w14:paraId="5C008209" w14:textId="77777777" w:rsidTr="00B50A5E">
        <w:trPr>
          <w:trHeight w:val="255"/>
          <w:jc w:val="center"/>
        </w:trPr>
        <w:tc>
          <w:tcPr>
            <w:tcW w:w="1571" w:type="dxa"/>
            <w:vAlign w:val="bottom"/>
          </w:tcPr>
          <w:p w14:paraId="5F2BA3EF" w14:textId="5E31D481" w:rsidR="00B50A5E" w:rsidRPr="007C5CB9" w:rsidRDefault="00B50A5E" w:rsidP="00B50A5E">
            <w:pPr>
              <w:spacing w:after="0" w:line="240" w:lineRule="auto"/>
              <w:jc w:val="center"/>
              <w:rPr>
                <w:rFonts w:asciiTheme="minorHAnsi" w:eastAsia="Times New Roman" w:hAnsiTheme="minorHAnsi" w:cstheme="minorHAnsi"/>
                <w:b/>
                <w:bCs/>
              </w:rPr>
            </w:pPr>
            <w:r w:rsidRPr="007C5CB9">
              <w:rPr>
                <w:rFonts w:asciiTheme="minorHAnsi" w:hAnsiTheme="minorHAnsi" w:cstheme="minorHAnsi"/>
                <w:b/>
                <w:bCs/>
              </w:rPr>
              <w:t>Student pseudonym</w:t>
            </w:r>
          </w:p>
        </w:tc>
        <w:tc>
          <w:tcPr>
            <w:tcW w:w="1697" w:type="dxa"/>
            <w:shd w:val="clear" w:color="auto" w:fill="auto"/>
            <w:noWrap/>
            <w:vAlign w:val="bottom"/>
            <w:hideMark/>
          </w:tcPr>
          <w:p w14:paraId="1DF23EAA" w14:textId="4E604B0A" w:rsidR="00B50A5E" w:rsidRPr="007C5CB9" w:rsidRDefault="00B50A5E" w:rsidP="00B50A5E">
            <w:pPr>
              <w:spacing w:after="0" w:line="240" w:lineRule="auto"/>
              <w:jc w:val="center"/>
              <w:rPr>
                <w:rFonts w:asciiTheme="minorHAnsi" w:eastAsia="Times New Roman" w:hAnsiTheme="minorHAnsi" w:cstheme="minorHAnsi"/>
                <w:b/>
                <w:bCs/>
              </w:rPr>
            </w:pPr>
            <w:r w:rsidRPr="007C5CB9">
              <w:rPr>
                <w:rFonts w:asciiTheme="minorHAnsi" w:eastAsia="Times New Roman" w:hAnsiTheme="minorHAnsi" w:cstheme="minorHAnsi"/>
                <w:b/>
                <w:bCs/>
              </w:rPr>
              <w:t>Year of study</w:t>
            </w:r>
          </w:p>
        </w:tc>
        <w:tc>
          <w:tcPr>
            <w:tcW w:w="595" w:type="dxa"/>
            <w:shd w:val="clear" w:color="auto" w:fill="auto"/>
            <w:noWrap/>
            <w:vAlign w:val="bottom"/>
            <w:hideMark/>
          </w:tcPr>
          <w:p w14:paraId="715AB255" w14:textId="774BA2B0" w:rsidR="00B50A5E" w:rsidRPr="007C5CB9" w:rsidRDefault="00B50A5E" w:rsidP="00B50A5E">
            <w:pPr>
              <w:spacing w:after="0" w:line="240" w:lineRule="auto"/>
              <w:jc w:val="center"/>
              <w:rPr>
                <w:rFonts w:asciiTheme="minorHAnsi" w:eastAsia="Times New Roman" w:hAnsiTheme="minorHAnsi" w:cstheme="minorHAnsi"/>
                <w:b/>
                <w:bCs/>
              </w:rPr>
            </w:pPr>
            <w:r w:rsidRPr="007C5CB9">
              <w:rPr>
                <w:rFonts w:asciiTheme="minorHAnsi" w:eastAsia="Times New Roman" w:hAnsiTheme="minorHAnsi" w:cstheme="minorHAnsi"/>
                <w:b/>
                <w:bCs/>
              </w:rPr>
              <w:t>Age</w:t>
            </w:r>
          </w:p>
        </w:tc>
        <w:tc>
          <w:tcPr>
            <w:tcW w:w="2335" w:type="dxa"/>
            <w:shd w:val="clear" w:color="auto" w:fill="auto"/>
            <w:noWrap/>
            <w:vAlign w:val="bottom"/>
            <w:hideMark/>
          </w:tcPr>
          <w:p w14:paraId="3F785805" w14:textId="2D969666" w:rsidR="00B50A5E" w:rsidRPr="007C5CB9" w:rsidRDefault="00B50A5E" w:rsidP="00B50A5E">
            <w:pPr>
              <w:spacing w:after="0" w:line="240" w:lineRule="auto"/>
              <w:jc w:val="center"/>
              <w:rPr>
                <w:rFonts w:asciiTheme="minorHAnsi" w:eastAsia="Times New Roman" w:hAnsiTheme="minorHAnsi" w:cstheme="minorHAnsi"/>
                <w:b/>
                <w:bCs/>
              </w:rPr>
            </w:pPr>
            <w:r w:rsidRPr="007C5CB9">
              <w:rPr>
                <w:rFonts w:asciiTheme="minorHAnsi" w:eastAsia="Times New Roman" w:hAnsiTheme="minorHAnsi" w:cstheme="minorHAnsi"/>
                <w:b/>
                <w:bCs/>
              </w:rPr>
              <w:t>Gender</w:t>
            </w:r>
          </w:p>
        </w:tc>
        <w:tc>
          <w:tcPr>
            <w:tcW w:w="3054" w:type="dxa"/>
            <w:shd w:val="clear" w:color="auto" w:fill="auto"/>
            <w:noWrap/>
            <w:vAlign w:val="bottom"/>
            <w:hideMark/>
          </w:tcPr>
          <w:p w14:paraId="4BDF9914" w14:textId="20DC905B" w:rsidR="00B50A5E" w:rsidRPr="007C5CB9" w:rsidRDefault="00B50A5E" w:rsidP="00B50A5E">
            <w:pPr>
              <w:spacing w:after="0" w:line="240" w:lineRule="auto"/>
              <w:jc w:val="center"/>
              <w:rPr>
                <w:rFonts w:asciiTheme="minorHAnsi" w:eastAsia="Times New Roman" w:hAnsiTheme="minorHAnsi" w:cstheme="minorHAnsi"/>
                <w:b/>
                <w:bCs/>
              </w:rPr>
            </w:pPr>
            <w:r w:rsidRPr="007C5CB9">
              <w:rPr>
                <w:rFonts w:asciiTheme="minorHAnsi" w:eastAsia="Times New Roman" w:hAnsiTheme="minorHAnsi" w:cstheme="minorHAnsi"/>
                <w:b/>
                <w:bCs/>
              </w:rPr>
              <w:t>Ethnicity</w:t>
            </w:r>
          </w:p>
        </w:tc>
      </w:tr>
      <w:tr w:rsidR="007C5CB9" w:rsidRPr="007C5CB9" w14:paraId="1CEA61F8" w14:textId="77777777" w:rsidTr="00B50A5E">
        <w:trPr>
          <w:trHeight w:val="300"/>
          <w:jc w:val="center"/>
        </w:trPr>
        <w:tc>
          <w:tcPr>
            <w:tcW w:w="1571" w:type="dxa"/>
            <w:vAlign w:val="bottom"/>
          </w:tcPr>
          <w:p w14:paraId="45FCE226" w14:textId="71312719"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Alice</w:t>
            </w:r>
          </w:p>
        </w:tc>
        <w:tc>
          <w:tcPr>
            <w:tcW w:w="1697" w:type="dxa"/>
            <w:shd w:val="clear" w:color="auto" w:fill="auto"/>
            <w:noWrap/>
            <w:vAlign w:val="bottom"/>
            <w:hideMark/>
          </w:tcPr>
          <w:p w14:paraId="1A897115" w14:textId="283CF7D8"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second year</w:t>
            </w:r>
          </w:p>
        </w:tc>
        <w:tc>
          <w:tcPr>
            <w:tcW w:w="595" w:type="dxa"/>
            <w:shd w:val="clear" w:color="auto" w:fill="auto"/>
            <w:noWrap/>
            <w:vAlign w:val="bottom"/>
            <w:hideMark/>
          </w:tcPr>
          <w:p w14:paraId="25C3F5FE"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35 - 44</w:t>
            </w:r>
          </w:p>
        </w:tc>
        <w:tc>
          <w:tcPr>
            <w:tcW w:w="2335" w:type="dxa"/>
            <w:shd w:val="clear" w:color="auto" w:fill="auto"/>
            <w:noWrap/>
            <w:vAlign w:val="bottom"/>
            <w:hideMark/>
          </w:tcPr>
          <w:p w14:paraId="69C0D010"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46393D1D"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7C5CB9" w:rsidRPr="007C5CB9" w14:paraId="30F8E216" w14:textId="77777777" w:rsidTr="00B50A5E">
        <w:trPr>
          <w:trHeight w:val="255"/>
          <w:jc w:val="center"/>
        </w:trPr>
        <w:tc>
          <w:tcPr>
            <w:tcW w:w="1571" w:type="dxa"/>
            <w:vAlign w:val="bottom"/>
          </w:tcPr>
          <w:p w14:paraId="77052FF0" w14:textId="05B5D409"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Cassandra</w:t>
            </w:r>
          </w:p>
        </w:tc>
        <w:tc>
          <w:tcPr>
            <w:tcW w:w="1697" w:type="dxa"/>
            <w:shd w:val="clear" w:color="auto" w:fill="auto"/>
            <w:noWrap/>
            <w:vAlign w:val="bottom"/>
            <w:hideMark/>
          </w:tcPr>
          <w:p w14:paraId="66BD382A" w14:textId="117CACFD"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final year</w:t>
            </w:r>
          </w:p>
        </w:tc>
        <w:tc>
          <w:tcPr>
            <w:tcW w:w="595" w:type="dxa"/>
            <w:shd w:val="clear" w:color="auto" w:fill="auto"/>
            <w:noWrap/>
            <w:vAlign w:val="bottom"/>
            <w:hideMark/>
          </w:tcPr>
          <w:p w14:paraId="042091A2"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25 - 34</w:t>
            </w:r>
          </w:p>
        </w:tc>
        <w:tc>
          <w:tcPr>
            <w:tcW w:w="2335" w:type="dxa"/>
            <w:shd w:val="clear" w:color="auto" w:fill="auto"/>
            <w:noWrap/>
            <w:vAlign w:val="bottom"/>
            <w:hideMark/>
          </w:tcPr>
          <w:p w14:paraId="707F9651"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1BD40CB9"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7C5CB9" w:rsidRPr="007C5CB9" w14:paraId="4A9245B2" w14:textId="77777777" w:rsidTr="00B50A5E">
        <w:trPr>
          <w:trHeight w:val="255"/>
          <w:jc w:val="center"/>
        </w:trPr>
        <w:tc>
          <w:tcPr>
            <w:tcW w:w="1571" w:type="dxa"/>
            <w:vAlign w:val="bottom"/>
          </w:tcPr>
          <w:p w14:paraId="153B13C6" w14:textId="2B940AC1"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Kerry</w:t>
            </w:r>
          </w:p>
        </w:tc>
        <w:tc>
          <w:tcPr>
            <w:tcW w:w="1697" w:type="dxa"/>
            <w:shd w:val="clear" w:color="auto" w:fill="auto"/>
            <w:noWrap/>
            <w:vAlign w:val="bottom"/>
            <w:hideMark/>
          </w:tcPr>
          <w:p w14:paraId="57062767" w14:textId="1D0CF5B6"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final year</w:t>
            </w:r>
          </w:p>
        </w:tc>
        <w:tc>
          <w:tcPr>
            <w:tcW w:w="595" w:type="dxa"/>
            <w:shd w:val="clear" w:color="auto" w:fill="auto"/>
            <w:noWrap/>
            <w:vAlign w:val="bottom"/>
            <w:hideMark/>
          </w:tcPr>
          <w:p w14:paraId="22228A37"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25 - 34</w:t>
            </w:r>
          </w:p>
        </w:tc>
        <w:tc>
          <w:tcPr>
            <w:tcW w:w="2335" w:type="dxa"/>
            <w:shd w:val="clear" w:color="auto" w:fill="auto"/>
            <w:noWrap/>
            <w:vAlign w:val="bottom"/>
            <w:hideMark/>
          </w:tcPr>
          <w:p w14:paraId="221D13C2"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1C6ADC4D"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7C5CB9" w:rsidRPr="007C5CB9" w14:paraId="24147EB5" w14:textId="77777777" w:rsidTr="00B50A5E">
        <w:trPr>
          <w:trHeight w:val="255"/>
          <w:jc w:val="center"/>
        </w:trPr>
        <w:tc>
          <w:tcPr>
            <w:tcW w:w="1571" w:type="dxa"/>
            <w:vAlign w:val="bottom"/>
          </w:tcPr>
          <w:p w14:paraId="37F8817B" w14:textId="2E390FEB"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 </w:t>
            </w:r>
            <w:r w:rsidR="00522D2D" w:rsidRPr="007C5CB9">
              <w:rPr>
                <w:rFonts w:asciiTheme="minorHAnsi" w:hAnsiTheme="minorHAnsi" w:cstheme="minorHAnsi"/>
                <w:b/>
                <w:bCs/>
              </w:rPr>
              <w:t>None</w:t>
            </w:r>
          </w:p>
        </w:tc>
        <w:tc>
          <w:tcPr>
            <w:tcW w:w="1697" w:type="dxa"/>
            <w:shd w:val="clear" w:color="auto" w:fill="auto"/>
            <w:noWrap/>
            <w:vAlign w:val="bottom"/>
            <w:hideMark/>
          </w:tcPr>
          <w:p w14:paraId="6888A1B1" w14:textId="16723F71"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Masters - second year</w:t>
            </w:r>
          </w:p>
        </w:tc>
        <w:tc>
          <w:tcPr>
            <w:tcW w:w="595" w:type="dxa"/>
            <w:shd w:val="clear" w:color="auto" w:fill="auto"/>
            <w:noWrap/>
            <w:vAlign w:val="bottom"/>
            <w:hideMark/>
          </w:tcPr>
          <w:p w14:paraId="5CAFEFF2"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35 - 44</w:t>
            </w:r>
          </w:p>
        </w:tc>
        <w:tc>
          <w:tcPr>
            <w:tcW w:w="2335" w:type="dxa"/>
            <w:shd w:val="clear" w:color="auto" w:fill="auto"/>
            <w:noWrap/>
            <w:vAlign w:val="bottom"/>
            <w:hideMark/>
          </w:tcPr>
          <w:p w14:paraId="6494FF4A"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Male</w:t>
            </w:r>
          </w:p>
        </w:tc>
        <w:tc>
          <w:tcPr>
            <w:tcW w:w="3054" w:type="dxa"/>
            <w:shd w:val="clear" w:color="auto" w:fill="auto"/>
            <w:noWrap/>
            <w:vAlign w:val="bottom"/>
            <w:hideMark/>
          </w:tcPr>
          <w:p w14:paraId="3ADF5033"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7C5CB9" w:rsidRPr="007C5CB9" w14:paraId="48666F25" w14:textId="77777777" w:rsidTr="00B50A5E">
        <w:trPr>
          <w:trHeight w:val="255"/>
          <w:jc w:val="center"/>
        </w:trPr>
        <w:tc>
          <w:tcPr>
            <w:tcW w:w="1571" w:type="dxa"/>
            <w:vAlign w:val="bottom"/>
          </w:tcPr>
          <w:p w14:paraId="4268B8C6" w14:textId="20F29E96"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Lily</w:t>
            </w:r>
          </w:p>
        </w:tc>
        <w:tc>
          <w:tcPr>
            <w:tcW w:w="1697" w:type="dxa"/>
            <w:shd w:val="clear" w:color="auto" w:fill="auto"/>
            <w:noWrap/>
            <w:vAlign w:val="bottom"/>
            <w:hideMark/>
          </w:tcPr>
          <w:p w14:paraId="414DB8DA" w14:textId="538C24B3"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final year</w:t>
            </w:r>
          </w:p>
        </w:tc>
        <w:tc>
          <w:tcPr>
            <w:tcW w:w="595" w:type="dxa"/>
            <w:shd w:val="clear" w:color="auto" w:fill="auto"/>
            <w:noWrap/>
            <w:vAlign w:val="bottom"/>
            <w:hideMark/>
          </w:tcPr>
          <w:p w14:paraId="5DB94787"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35 - 44</w:t>
            </w:r>
          </w:p>
        </w:tc>
        <w:tc>
          <w:tcPr>
            <w:tcW w:w="2335" w:type="dxa"/>
            <w:shd w:val="clear" w:color="auto" w:fill="auto"/>
            <w:noWrap/>
            <w:vAlign w:val="bottom"/>
            <w:hideMark/>
          </w:tcPr>
          <w:p w14:paraId="27F9F90F"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63582A95"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7C5CB9" w:rsidRPr="007C5CB9" w14:paraId="69079FA7" w14:textId="77777777" w:rsidTr="00B50A5E">
        <w:trPr>
          <w:trHeight w:val="255"/>
          <w:jc w:val="center"/>
        </w:trPr>
        <w:tc>
          <w:tcPr>
            <w:tcW w:w="1571" w:type="dxa"/>
            <w:vAlign w:val="bottom"/>
          </w:tcPr>
          <w:p w14:paraId="066534FE" w14:textId="16BAB71D"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Sheila</w:t>
            </w:r>
          </w:p>
        </w:tc>
        <w:tc>
          <w:tcPr>
            <w:tcW w:w="1697" w:type="dxa"/>
            <w:shd w:val="clear" w:color="auto" w:fill="auto"/>
            <w:noWrap/>
            <w:vAlign w:val="bottom"/>
            <w:hideMark/>
          </w:tcPr>
          <w:p w14:paraId="1CC2B031" w14:textId="4685644A"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Masters - second year</w:t>
            </w:r>
          </w:p>
        </w:tc>
        <w:tc>
          <w:tcPr>
            <w:tcW w:w="595" w:type="dxa"/>
            <w:shd w:val="clear" w:color="auto" w:fill="auto"/>
            <w:noWrap/>
            <w:vAlign w:val="bottom"/>
            <w:hideMark/>
          </w:tcPr>
          <w:p w14:paraId="73EE01CB"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45 - 54</w:t>
            </w:r>
          </w:p>
        </w:tc>
        <w:tc>
          <w:tcPr>
            <w:tcW w:w="2335" w:type="dxa"/>
            <w:shd w:val="clear" w:color="auto" w:fill="auto"/>
            <w:noWrap/>
            <w:vAlign w:val="bottom"/>
            <w:hideMark/>
          </w:tcPr>
          <w:p w14:paraId="0CC7B938"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1499BD80"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Asian/ Asian British</w:t>
            </w:r>
          </w:p>
        </w:tc>
      </w:tr>
      <w:tr w:rsidR="007C5CB9" w:rsidRPr="007C5CB9" w14:paraId="2CBBE54B" w14:textId="77777777" w:rsidTr="00B50A5E">
        <w:trPr>
          <w:trHeight w:val="255"/>
          <w:jc w:val="center"/>
        </w:trPr>
        <w:tc>
          <w:tcPr>
            <w:tcW w:w="1571" w:type="dxa"/>
            <w:vAlign w:val="bottom"/>
          </w:tcPr>
          <w:p w14:paraId="0C583A18" w14:textId="140F861D"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Lex</w:t>
            </w:r>
          </w:p>
        </w:tc>
        <w:tc>
          <w:tcPr>
            <w:tcW w:w="1697" w:type="dxa"/>
            <w:shd w:val="clear" w:color="auto" w:fill="auto"/>
            <w:noWrap/>
            <w:vAlign w:val="bottom"/>
            <w:hideMark/>
          </w:tcPr>
          <w:p w14:paraId="6484C6CC" w14:textId="73AE9A09"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first year</w:t>
            </w:r>
          </w:p>
        </w:tc>
        <w:tc>
          <w:tcPr>
            <w:tcW w:w="595" w:type="dxa"/>
            <w:shd w:val="clear" w:color="auto" w:fill="auto"/>
            <w:noWrap/>
            <w:vAlign w:val="bottom"/>
            <w:hideMark/>
          </w:tcPr>
          <w:p w14:paraId="54CB66FC"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35 - 44</w:t>
            </w:r>
          </w:p>
        </w:tc>
        <w:tc>
          <w:tcPr>
            <w:tcW w:w="2335" w:type="dxa"/>
            <w:shd w:val="clear" w:color="auto" w:fill="auto"/>
            <w:noWrap/>
            <w:vAlign w:val="bottom"/>
            <w:hideMark/>
          </w:tcPr>
          <w:p w14:paraId="1A3ABA73"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219358A1"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r w:rsidR="00B50A5E" w:rsidRPr="007C5CB9" w14:paraId="6C9E3771" w14:textId="77777777" w:rsidTr="00B50A5E">
        <w:trPr>
          <w:trHeight w:val="255"/>
          <w:jc w:val="center"/>
        </w:trPr>
        <w:tc>
          <w:tcPr>
            <w:tcW w:w="1571" w:type="dxa"/>
            <w:vAlign w:val="bottom"/>
          </w:tcPr>
          <w:p w14:paraId="735A0D1D" w14:textId="3298D151" w:rsidR="00B50A5E" w:rsidRPr="007C5CB9" w:rsidRDefault="00B50A5E" w:rsidP="00B50A5E">
            <w:pPr>
              <w:spacing w:after="0" w:line="240" w:lineRule="auto"/>
              <w:jc w:val="left"/>
              <w:rPr>
                <w:rFonts w:asciiTheme="minorHAnsi" w:eastAsia="Times New Roman" w:hAnsiTheme="minorHAnsi" w:cstheme="minorHAnsi"/>
                <w:b/>
                <w:bCs/>
              </w:rPr>
            </w:pPr>
            <w:r w:rsidRPr="007C5CB9">
              <w:rPr>
                <w:rFonts w:asciiTheme="minorHAnsi" w:hAnsiTheme="minorHAnsi" w:cstheme="minorHAnsi"/>
                <w:b/>
                <w:bCs/>
              </w:rPr>
              <w:t>Ruth</w:t>
            </w:r>
          </w:p>
        </w:tc>
        <w:tc>
          <w:tcPr>
            <w:tcW w:w="1697" w:type="dxa"/>
            <w:shd w:val="clear" w:color="auto" w:fill="auto"/>
            <w:noWrap/>
            <w:vAlign w:val="bottom"/>
            <w:hideMark/>
          </w:tcPr>
          <w:p w14:paraId="3F5828B1" w14:textId="2FB950B5"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Undergraduate - final year</w:t>
            </w:r>
          </w:p>
        </w:tc>
        <w:tc>
          <w:tcPr>
            <w:tcW w:w="595" w:type="dxa"/>
            <w:shd w:val="clear" w:color="auto" w:fill="auto"/>
            <w:noWrap/>
            <w:vAlign w:val="bottom"/>
            <w:hideMark/>
          </w:tcPr>
          <w:p w14:paraId="341DDBDA"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45 - 54</w:t>
            </w:r>
          </w:p>
        </w:tc>
        <w:tc>
          <w:tcPr>
            <w:tcW w:w="2335" w:type="dxa"/>
            <w:shd w:val="clear" w:color="auto" w:fill="auto"/>
            <w:noWrap/>
            <w:vAlign w:val="bottom"/>
            <w:hideMark/>
          </w:tcPr>
          <w:p w14:paraId="788813F5"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Female</w:t>
            </w:r>
          </w:p>
        </w:tc>
        <w:tc>
          <w:tcPr>
            <w:tcW w:w="3054" w:type="dxa"/>
            <w:shd w:val="clear" w:color="auto" w:fill="auto"/>
            <w:noWrap/>
            <w:vAlign w:val="bottom"/>
            <w:hideMark/>
          </w:tcPr>
          <w:p w14:paraId="20E78320" w14:textId="77777777" w:rsidR="00B50A5E" w:rsidRPr="007C5CB9" w:rsidRDefault="00B50A5E" w:rsidP="00B50A5E">
            <w:pPr>
              <w:spacing w:after="0" w:line="240" w:lineRule="auto"/>
              <w:jc w:val="left"/>
              <w:rPr>
                <w:rFonts w:asciiTheme="minorHAnsi" w:eastAsia="Times New Roman" w:hAnsiTheme="minorHAnsi" w:cstheme="minorHAnsi"/>
              </w:rPr>
            </w:pPr>
            <w:r w:rsidRPr="007C5CB9">
              <w:rPr>
                <w:rFonts w:asciiTheme="minorHAnsi" w:eastAsia="Times New Roman" w:hAnsiTheme="minorHAnsi" w:cstheme="minorHAnsi"/>
              </w:rPr>
              <w:t>White</w:t>
            </w:r>
          </w:p>
        </w:tc>
      </w:tr>
    </w:tbl>
    <w:p w14:paraId="190D7B6A" w14:textId="77777777" w:rsidR="00FE5416" w:rsidRPr="007C5CB9" w:rsidRDefault="00FE5416" w:rsidP="009E0B25"/>
    <w:p w14:paraId="189DE13D" w14:textId="5A9C12B3" w:rsidR="00FE5416" w:rsidRPr="007C5CB9" w:rsidRDefault="0046262E" w:rsidP="009E0B25">
      <w:r w:rsidRPr="007C5CB9">
        <w:t xml:space="preserve">Programme directors is the term used here to describe educators who were in a position of overseeing all social work programmes within the HEI. </w:t>
      </w:r>
      <w:r w:rsidR="009C2D00" w:rsidRPr="007C5CB9">
        <w:t>Recruitment for educators was undertaken via the programme directors</w:t>
      </w:r>
      <w:r w:rsidRPr="007C5CB9">
        <w:rPr>
          <w:vertAlign w:val="superscript"/>
        </w:rPr>
        <w:t xml:space="preserve"> </w:t>
      </w:r>
      <w:r w:rsidR="009C2D00" w:rsidRPr="007C5CB9">
        <w:t xml:space="preserve">and/or senior staff at each HEIs.  Invitation emails with information sheets attached were disseminated through the social work teaching teams and interested parties invited to contact the researchers directly.  Students were recruited via senior staff including Programme Leaders who had responsibility to oversee individual social work programmes and who shared information about the study posted electronically on main Programme sites.  Students were also contacted directly via their HEI email addresses. </w:t>
      </w:r>
    </w:p>
    <w:p w14:paraId="1B5C854A" w14:textId="2E72105F" w:rsidR="006835B5" w:rsidRPr="007C5CB9" w:rsidRDefault="009C2D00" w:rsidP="009E0B25">
      <w:pPr>
        <w:rPr>
          <w:b/>
          <w:i/>
        </w:rPr>
      </w:pPr>
      <w:r w:rsidRPr="007C5CB9">
        <w:rPr>
          <w:b/>
          <w:i/>
        </w:rPr>
        <w:t>Research questions</w:t>
      </w:r>
    </w:p>
    <w:p w14:paraId="47722626" w14:textId="77777777" w:rsidR="006835B5" w:rsidRPr="007C5CB9" w:rsidRDefault="009C2D00" w:rsidP="009E0B25">
      <w:pPr>
        <w:spacing w:after="0"/>
      </w:pPr>
      <w:r w:rsidRPr="007C5CB9">
        <w:t xml:space="preserve">Based on a review of the literature, the questions guiding the study were: </w:t>
      </w:r>
    </w:p>
    <w:p w14:paraId="012E577A" w14:textId="77777777" w:rsidR="006835B5" w:rsidRPr="007C5CB9" w:rsidRDefault="006835B5" w:rsidP="009E0B25">
      <w:pPr>
        <w:spacing w:after="0"/>
      </w:pPr>
    </w:p>
    <w:p w14:paraId="69DE845D" w14:textId="3FD33B25" w:rsidR="006835B5" w:rsidRPr="007C5CB9" w:rsidRDefault="009C2D00" w:rsidP="009E0B25">
      <w:pPr>
        <w:numPr>
          <w:ilvl w:val="0"/>
          <w:numId w:val="2"/>
        </w:numPr>
        <w:spacing w:after="0"/>
        <w:ind w:firstLine="0"/>
        <w:rPr>
          <w:b/>
          <w:i/>
        </w:rPr>
      </w:pPr>
      <w:r w:rsidRPr="007C5CB9">
        <w:rPr>
          <w:b/>
          <w:i/>
        </w:rPr>
        <w:t xml:space="preserve">How do social work educators teach </w:t>
      </w:r>
      <w:r w:rsidR="00522D2D" w:rsidRPr="007C5CB9">
        <w:rPr>
          <w:b/>
          <w:i/>
        </w:rPr>
        <w:t xml:space="preserve">and help students learn about </w:t>
      </w:r>
      <w:r w:rsidRPr="007C5CB9">
        <w:rPr>
          <w:b/>
          <w:i/>
        </w:rPr>
        <w:t xml:space="preserve">potentially distressing topics </w:t>
      </w:r>
      <w:r w:rsidR="007A42DA" w:rsidRPr="007C5CB9">
        <w:rPr>
          <w:b/>
          <w:i/>
        </w:rPr>
        <w:t>in the classroom</w:t>
      </w:r>
      <w:r w:rsidRPr="007C5CB9">
        <w:rPr>
          <w:b/>
          <w:i/>
        </w:rPr>
        <w:t>?</w:t>
      </w:r>
    </w:p>
    <w:p w14:paraId="1888C199" w14:textId="77777777" w:rsidR="006835B5" w:rsidRPr="007C5CB9" w:rsidRDefault="006835B5" w:rsidP="009E0B25">
      <w:pPr>
        <w:spacing w:after="0"/>
        <w:ind w:left="1080"/>
        <w:rPr>
          <w:b/>
          <w:i/>
        </w:rPr>
      </w:pPr>
    </w:p>
    <w:p w14:paraId="5177D968" w14:textId="77777777" w:rsidR="006835B5" w:rsidRPr="007C5CB9" w:rsidRDefault="009C2D00" w:rsidP="009E0B25">
      <w:pPr>
        <w:numPr>
          <w:ilvl w:val="0"/>
          <w:numId w:val="2"/>
        </w:numPr>
        <w:spacing w:after="0"/>
        <w:ind w:firstLine="0"/>
        <w:rPr>
          <w:b/>
          <w:i/>
        </w:rPr>
      </w:pPr>
      <w:r w:rsidRPr="007C5CB9">
        <w:rPr>
          <w:b/>
          <w:i/>
        </w:rPr>
        <w:t>How/Do social work educators utilise trauma-informed teaching principles in teaching practice?</w:t>
      </w:r>
    </w:p>
    <w:p w14:paraId="7DDC47EA" w14:textId="77777777" w:rsidR="006835B5" w:rsidRPr="007C5CB9" w:rsidRDefault="006835B5" w:rsidP="009E0B25">
      <w:pPr>
        <w:spacing w:after="0"/>
        <w:rPr>
          <w:b/>
          <w:i/>
        </w:rPr>
      </w:pPr>
    </w:p>
    <w:p w14:paraId="3DFB11EA" w14:textId="64E30B92" w:rsidR="001E7C94" w:rsidRPr="007C5CB9" w:rsidRDefault="009C2D00" w:rsidP="00DD0DAD">
      <w:pPr>
        <w:numPr>
          <w:ilvl w:val="0"/>
          <w:numId w:val="2"/>
        </w:numPr>
        <w:spacing w:after="0"/>
        <w:ind w:firstLine="0"/>
        <w:rPr>
          <w:b/>
          <w:i/>
        </w:rPr>
      </w:pPr>
      <w:r w:rsidRPr="007C5CB9">
        <w:rPr>
          <w:b/>
          <w:i/>
        </w:rPr>
        <w:t>What are social work students’ experiences of teaching and learning where exposed to trauma-material?</w:t>
      </w:r>
    </w:p>
    <w:p w14:paraId="4D748C33" w14:textId="77777777" w:rsidR="001E7C94" w:rsidRPr="007C5CB9" w:rsidRDefault="001E7C94" w:rsidP="009E0B25">
      <w:pPr>
        <w:spacing w:after="0"/>
        <w:jc w:val="left"/>
        <w:rPr>
          <w:b/>
          <w:i/>
        </w:rPr>
      </w:pPr>
    </w:p>
    <w:p w14:paraId="4C562586" w14:textId="63EB1AEB" w:rsidR="006835B5" w:rsidRPr="007C5CB9" w:rsidRDefault="009C2D00" w:rsidP="009E0B25">
      <w:pPr>
        <w:spacing w:after="0"/>
        <w:jc w:val="left"/>
        <w:rPr>
          <w:b/>
          <w:i/>
        </w:rPr>
      </w:pPr>
      <w:r w:rsidRPr="007C5CB9">
        <w:rPr>
          <w:b/>
          <w:i/>
        </w:rPr>
        <w:t>Methods</w:t>
      </w:r>
    </w:p>
    <w:p w14:paraId="1FEA6092" w14:textId="77777777" w:rsidR="006835B5" w:rsidRPr="007C5CB9" w:rsidRDefault="006835B5" w:rsidP="009E0B25">
      <w:pPr>
        <w:spacing w:after="0"/>
        <w:jc w:val="left"/>
      </w:pPr>
    </w:p>
    <w:p w14:paraId="1CC021B8" w14:textId="2590D661" w:rsidR="006835B5" w:rsidRPr="007C5CB9" w:rsidRDefault="009C2D00" w:rsidP="009E0B25">
      <w:pPr>
        <w:spacing w:after="0"/>
      </w:pPr>
      <w:r w:rsidRPr="007C5CB9">
        <w:t>Educators were invited to take part in semi-structured interviews to explore their views and experiences in depth. Interviews were conducted via Microsoft Teams as the Covid-19 pandemic and associated lockdown restrictions meant researchers were not able to meet face to face with participants.  Participants were asked questions about their teaching practice and how they dealt with teaching difficult topics. They were also asked to share their existing knowledge of trauma, ACE and trauma</w:t>
      </w:r>
      <w:r w:rsidR="00F63B3D" w:rsidRPr="007C5CB9">
        <w:t>-</w:t>
      </w:r>
      <w:r w:rsidRPr="007C5CB9">
        <w:t xml:space="preserve">informed principles and how these might be embedded within teaching practice.  Social work students were invited to complete an online survey. </w:t>
      </w:r>
      <w:r w:rsidR="00D02829" w:rsidRPr="007C5CB9">
        <w:t xml:space="preserve"> </w:t>
      </w:r>
      <w:r w:rsidRPr="007C5CB9">
        <w:t>This provided an opportunity for students to take part in the research and offer their views anonymously, without the need to take part in face to face data collection. The survey was used to collect predominantly qualitative data with some descriptive data capture. Questions were focused on students’ experiences of learning about potentially distressing topics as part of their course including the strategies educators used with them and what support they were offered or received.</w:t>
      </w:r>
    </w:p>
    <w:p w14:paraId="531C2CFB" w14:textId="75DC47C5" w:rsidR="00DD0DAD" w:rsidRPr="007C5CB9" w:rsidRDefault="00DD0DAD" w:rsidP="009E0B25">
      <w:pPr>
        <w:spacing w:after="0"/>
      </w:pPr>
    </w:p>
    <w:p w14:paraId="6DF87908" w14:textId="77777777" w:rsidR="00F500DE" w:rsidRPr="007C5CB9" w:rsidRDefault="00F500DE" w:rsidP="00F500DE">
      <w:pPr>
        <w:jc w:val="left"/>
        <w:rPr>
          <w:b/>
          <w:i/>
        </w:rPr>
      </w:pPr>
      <w:r w:rsidRPr="007C5CB9">
        <w:rPr>
          <w:b/>
          <w:i/>
        </w:rPr>
        <w:t>Ethical considerations</w:t>
      </w:r>
    </w:p>
    <w:p w14:paraId="70481227" w14:textId="3A0EDE9C" w:rsidR="00F500DE" w:rsidRPr="007C5CB9" w:rsidRDefault="00F500DE" w:rsidP="00F500DE">
      <w:pPr>
        <w:spacing w:after="0"/>
      </w:pPr>
      <w:r w:rsidRPr="007C5CB9">
        <w:rPr>
          <w:shd w:val="clear" w:color="auto" w:fill="FCFCFC"/>
        </w:rPr>
        <w:t xml:space="preserve">The study received ethical approval by one of the researcher's University Ethics Committees.  Research adhered to standards agreed by the Committee and ethical considerations included: (1)  use of an information sheet explaining the study aims and objectives to ensure participants were fully informed in advance of interviews and surveys (2) use of a consent form. All data was anonymised and extracts presented within this paper use pseudonyms to protect </w:t>
      </w:r>
      <w:r w:rsidR="00D31FDF" w:rsidRPr="007C5CB9">
        <w:rPr>
          <w:shd w:val="clear" w:color="auto" w:fill="FCFCFC"/>
        </w:rPr>
        <w:t xml:space="preserve">all study </w:t>
      </w:r>
      <w:r w:rsidRPr="007C5CB9">
        <w:rPr>
          <w:shd w:val="clear" w:color="auto" w:fill="FCFCFC"/>
        </w:rPr>
        <w:t xml:space="preserve">participants’ identities. As the study created conditions for </w:t>
      </w:r>
      <w:r w:rsidR="00D31FDF" w:rsidRPr="007C5CB9">
        <w:rPr>
          <w:shd w:val="clear" w:color="auto" w:fill="FCFCFC"/>
        </w:rPr>
        <w:t xml:space="preserve">all </w:t>
      </w:r>
      <w:r w:rsidRPr="007C5CB9">
        <w:rPr>
          <w:shd w:val="clear" w:color="auto" w:fill="FCFCFC"/>
        </w:rPr>
        <w:t xml:space="preserve">participants to share personal experience, the researchers were alert to the possibility of risk of secondary </w:t>
      </w:r>
      <w:r w:rsidRPr="007C5CB9">
        <w:rPr>
          <w:shd w:val="clear" w:color="auto" w:fill="FCFCFC"/>
        </w:rPr>
        <w:lastRenderedPageBreak/>
        <w:t>traumatic</w:t>
      </w:r>
      <w:r w:rsidRPr="007C5CB9">
        <w:t xml:space="preserve"> stress. As such, the principles of trauma-informed practice were embedded within the research design and as researchers we continued to critically reflect on the work and the ethical implications throughout the study process. </w:t>
      </w:r>
      <w:r w:rsidR="00C849B4" w:rsidRPr="007C5CB9">
        <w:t xml:space="preserve"> </w:t>
      </w:r>
      <w:r w:rsidRPr="007C5CB9">
        <w:t>Students were reminded that they could access support through their personal tutors and through university student support systems</w:t>
      </w:r>
      <w:r w:rsidR="00E97689" w:rsidRPr="007C5CB9">
        <w:t>,</w:t>
      </w:r>
      <w:r w:rsidRPr="007C5CB9">
        <w:t xml:space="preserve"> with the links for this provided within the information sheet and </w:t>
      </w:r>
      <w:r w:rsidR="00E97689" w:rsidRPr="007C5CB9">
        <w:t>within the</w:t>
      </w:r>
      <w:r w:rsidRPr="007C5CB9">
        <w:t xml:space="preserve"> survey which they completed.</w:t>
      </w:r>
      <w:r w:rsidR="00E97689" w:rsidRPr="007C5CB9">
        <w:t xml:space="preserve"> Educators were also signposted to additional support which they could access</w:t>
      </w:r>
      <w:r w:rsidR="00D02829" w:rsidRPr="007C5CB9">
        <w:t xml:space="preserve"> via staff wellbeing services.</w:t>
      </w:r>
    </w:p>
    <w:p w14:paraId="4E85961A" w14:textId="77777777" w:rsidR="00F500DE" w:rsidRPr="007C5CB9" w:rsidRDefault="00F500DE" w:rsidP="009E0B25">
      <w:pPr>
        <w:spacing w:after="0"/>
      </w:pPr>
    </w:p>
    <w:p w14:paraId="11DA3E9B" w14:textId="77777777" w:rsidR="006835B5" w:rsidRPr="007C5CB9" w:rsidRDefault="009C2D00" w:rsidP="009E0B25">
      <w:pPr>
        <w:spacing w:after="0"/>
        <w:rPr>
          <w:b/>
          <w:i/>
        </w:rPr>
      </w:pPr>
      <w:r w:rsidRPr="007C5CB9">
        <w:rPr>
          <w:b/>
          <w:i/>
        </w:rPr>
        <w:t>Data analysis</w:t>
      </w:r>
    </w:p>
    <w:p w14:paraId="7CA0719C" w14:textId="77777777" w:rsidR="006835B5" w:rsidRPr="007C5CB9" w:rsidRDefault="006835B5" w:rsidP="009E0B25">
      <w:pPr>
        <w:spacing w:after="0"/>
        <w:rPr>
          <w:b/>
          <w:i/>
        </w:rPr>
      </w:pPr>
    </w:p>
    <w:p w14:paraId="79A23469" w14:textId="3E2E8E4A" w:rsidR="00A4660D" w:rsidRPr="007C5CB9" w:rsidRDefault="009C2D00" w:rsidP="009E0B25">
      <w:pPr>
        <w:pBdr>
          <w:top w:val="nil"/>
          <w:left w:val="nil"/>
          <w:bottom w:val="nil"/>
          <w:right w:val="nil"/>
          <w:between w:val="nil"/>
        </w:pBdr>
        <w:spacing w:after="0"/>
        <w:rPr>
          <w:b/>
          <w:bCs/>
          <w:shd w:val="clear" w:color="auto" w:fill="FCFCFC"/>
        </w:rPr>
      </w:pPr>
      <w:r w:rsidRPr="007C5CB9">
        <w:rPr>
          <w:shd w:val="clear" w:color="auto" w:fill="FCFCFC"/>
        </w:rPr>
        <w:t xml:space="preserve">Based on ideas for data analysis taken from Fereday and Muir-Cochrane (2006), a </w:t>
      </w:r>
      <w:r w:rsidR="007A42DA" w:rsidRPr="007C5CB9">
        <w:rPr>
          <w:shd w:val="clear" w:color="auto" w:fill="FCFCFC"/>
        </w:rPr>
        <w:t xml:space="preserve">hybrid </w:t>
      </w:r>
      <w:r w:rsidRPr="007C5CB9">
        <w:rPr>
          <w:shd w:val="clear" w:color="auto" w:fill="FCFCFC"/>
        </w:rPr>
        <w:t xml:space="preserve">deductive-inductive thematic approach was utilised.  The approach complemented study questions and starting with deductive analysis used what Crabtree and Miller (1999, p. 165) describe as a ‘template organising style’.  </w:t>
      </w:r>
      <w:r w:rsidR="00542760" w:rsidRPr="007C5CB9">
        <w:rPr>
          <w:shd w:val="clear" w:color="auto" w:fill="FCFCFC"/>
        </w:rPr>
        <w:t xml:space="preserve">Deductive data analysis </w:t>
      </w:r>
      <w:r w:rsidRPr="007C5CB9">
        <w:rPr>
          <w:shd w:val="clear" w:color="auto" w:fill="FCFCFC"/>
        </w:rPr>
        <w:t xml:space="preserve">entailed a four-stage process beginning </w:t>
      </w:r>
      <w:r w:rsidR="00542760" w:rsidRPr="007C5CB9">
        <w:rPr>
          <w:shd w:val="clear" w:color="auto" w:fill="FCFCFC"/>
        </w:rPr>
        <w:t xml:space="preserve">at stage one </w:t>
      </w:r>
      <w:r w:rsidRPr="007C5CB9">
        <w:rPr>
          <w:shd w:val="clear" w:color="auto" w:fill="FCFCFC"/>
        </w:rPr>
        <w:t xml:space="preserve">with development of an ‘a priori’ coding template </w:t>
      </w:r>
      <w:r w:rsidR="007A42DA" w:rsidRPr="007C5CB9">
        <w:rPr>
          <w:shd w:val="clear" w:color="auto" w:fill="FCFCFC"/>
        </w:rPr>
        <w:t xml:space="preserve">which </w:t>
      </w:r>
      <w:r w:rsidRPr="007C5CB9">
        <w:rPr>
          <w:shd w:val="clear" w:color="auto" w:fill="FCFCFC"/>
        </w:rPr>
        <w:t>utilis</w:t>
      </w:r>
      <w:r w:rsidR="007A42DA" w:rsidRPr="007C5CB9">
        <w:rPr>
          <w:shd w:val="clear" w:color="auto" w:fill="FCFCFC"/>
        </w:rPr>
        <w:t xml:space="preserve">ed </w:t>
      </w:r>
      <w:r w:rsidRPr="007C5CB9">
        <w:rPr>
          <w:shd w:val="clear" w:color="auto" w:fill="FCFCFC"/>
        </w:rPr>
        <w:t xml:space="preserve">trauma-informed principles including: (1) </w:t>
      </w:r>
      <w:r w:rsidRPr="007C5CB9">
        <w:rPr>
          <w:i/>
          <w:shd w:val="clear" w:color="auto" w:fill="FCFCFC"/>
        </w:rPr>
        <w:t>ensuring safety</w:t>
      </w:r>
      <w:r w:rsidRPr="007C5CB9">
        <w:rPr>
          <w:shd w:val="clear" w:color="auto" w:fill="FCFCFC"/>
        </w:rPr>
        <w:t xml:space="preserve"> (2) </w:t>
      </w:r>
      <w:r w:rsidRPr="007C5CB9">
        <w:rPr>
          <w:i/>
          <w:shd w:val="clear" w:color="auto" w:fill="FCFCFC"/>
        </w:rPr>
        <w:t>establishing trustworthiness</w:t>
      </w:r>
      <w:r w:rsidRPr="007C5CB9">
        <w:rPr>
          <w:shd w:val="clear" w:color="auto" w:fill="FCFCFC"/>
        </w:rPr>
        <w:t xml:space="preserve"> (3) </w:t>
      </w:r>
      <w:r w:rsidRPr="007C5CB9">
        <w:rPr>
          <w:i/>
          <w:shd w:val="clear" w:color="auto" w:fill="FCFCFC"/>
        </w:rPr>
        <w:t>maximising choice</w:t>
      </w:r>
      <w:r w:rsidRPr="007C5CB9">
        <w:rPr>
          <w:shd w:val="clear" w:color="auto" w:fill="FCFCFC"/>
        </w:rPr>
        <w:t xml:space="preserve"> (4) </w:t>
      </w:r>
      <w:r w:rsidRPr="007C5CB9">
        <w:rPr>
          <w:i/>
          <w:shd w:val="clear" w:color="auto" w:fill="FCFCFC"/>
        </w:rPr>
        <w:t>encouraging collaboration</w:t>
      </w:r>
      <w:r w:rsidRPr="007C5CB9">
        <w:rPr>
          <w:shd w:val="clear" w:color="auto" w:fill="FCFCFC"/>
        </w:rPr>
        <w:t xml:space="preserve"> and (5) </w:t>
      </w:r>
      <w:r w:rsidRPr="007C5CB9">
        <w:rPr>
          <w:i/>
          <w:shd w:val="clear" w:color="auto" w:fill="FCFCFC"/>
        </w:rPr>
        <w:t>prioritising empowerment</w:t>
      </w:r>
      <w:r w:rsidR="007A42DA" w:rsidRPr="007C5CB9">
        <w:rPr>
          <w:shd w:val="clear" w:color="auto" w:fill="FCFCFC"/>
        </w:rPr>
        <w:t xml:space="preserve"> as code categorisations.  </w:t>
      </w:r>
      <w:r w:rsidRPr="007C5CB9">
        <w:rPr>
          <w:shd w:val="clear" w:color="auto" w:fill="FCFCFC"/>
        </w:rPr>
        <w:t xml:space="preserve"> </w:t>
      </w:r>
      <w:r w:rsidR="00542760" w:rsidRPr="007C5CB9">
        <w:rPr>
          <w:shd w:val="clear" w:color="auto" w:fill="FCFCFC"/>
        </w:rPr>
        <w:t>S</w:t>
      </w:r>
      <w:r w:rsidRPr="007C5CB9">
        <w:rPr>
          <w:shd w:val="clear" w:color="auto" w:fill="FCFCFC"/>
        </w:rPr>
        <w:t xml:space="preserve">tage </w:t>
      </w:r>
      <w:r w:rsidR="00542760" w:rsidRPr="007C5CB9">
        <w:rPr>
          <w:shd w:val="clear" w:color="auto" w:fill="FCFCFC"/>
        </w:rPr>
        <w:t xml:space="preserve">two of deductive data analysis </w:t>
      </w:r>
      <w:r w:rsidRPr="007C5CB9">
        <w:rPr>
          <w:shd w:val="clear" w:color="auto" w:fill="FCFCFC"/>
        </w:rPr>
        <w:t>involved development of a ‘de</w:t>
      </w:r>
      <w:r w:rsidR="001E7C94" w:rsidRPr="007C5CB9">
        <w:rPr>
          <w:shd w:val="clear" w:color="auto" w:fill="FCFCFC"/>
        </w:rPr>
        <w:t>scription</w:t>
      </w:r>
      <w:r w:rsidRPr="007C5CB9">
        <w:rPr>
          <w:shd w:val="clear" w:color="auto" w:fill="FCFCFC"/>
        </w:rPr>
        <w:t xml:space="preserve">’ of individual trauma-informed principles to complement each </w:t>
      </w:r>
      <w:r w:rsidR="007A42DA" w:rsidRPr="007C5CB9">
        <w:rPr>
          <w:shd w:val="clear" w:color="auto" w:fill="FCFCFC"/>
        </w:rPr>
        <w:t xml:space="preserve">a priori </w:t>
      </w:r>
      <w:r w:rsidRPr="007C5CB9">
        <w:rPr>
          <w:shd w:val="clear" w:color="auto" w:fill="FCFCFC"/>
        </w:rPr>
        <w:t>code.  Concerned with identifying ‘qualitatively rich’ descriptions of the different trauma-informed principles as these were described by participants as applied to their teaching</w:t>
      </w:r>
      <w:r w:rsidR="00D04D1A" w:rsidRPr="007C5CB9">
        <w:rPr>
          <w:shd w:val="clear" w:color="auto" w:fill="FCFCFC"/>
        </w:rPr>
        <w:t xml:space="preserve"> and learning</w:t>
      </w:r>
      <w:r w:rsidRPr="007C5CB9">
        <w:rPr>
          <w:shd w:val="clear" w:color="auto" w:fill="FCFCFC"/>
        </w:rPr>
        <w:t xml:space="preserve">, </w:t>
      </w:r>
      <w:r w:rsidR="00542760" w:rsidRPr="007C5CB9">
        <w:rPr>
          <w:shd w:val="clear" w:color="auto" w:fill="FCFCFC"/>
        </w:rPr>
        <w:t xml:space="preserve">stage three of deductive data analysis </w:t>
      </w:r>
      <w:r w:rsidRPr="007C5CB9">
        <w:rPr>
          <w:shd w:val="clear" w:color="auto" w:fill="FCFCFC"/>
        </w:rPr>
        <w:t xml:space="preserve">involving a search for ‘legitimising samples’ within the transcribed data was undertaken.  Within individual transcripts, legitimising samples representing participants’ descriptions of how, for example, </w:t>
      </w:r>
      <w:r w:rsidR="00C849B4" w:rsidRPr="007C5CB9">
        <w:rPr>
          <w:shd w:val="clear" w:color="auto" w:fill="FCFCFC"/>
        </w:rPr>
        <w:t>how educators</w:t>
      </w:r>
      <w:r w:rsidRPr="007C5CB9">
        <w:rPr>
          <w:shd w:val="clear" w:color="auto" w:fill="FCFCFC"/>
        </w:rPr>
        <w:t xml:space="preserve"> </w:t>
      </w:r>
      <w:r w:rsidRPr="007C5CB9">
        <w:rPr>
          <w:i/>
          <w:shd w:val="clear" w:color="auto" w:fill="FCFCFC"/>
        </w:rPr>
        <w:t>‘ensured</w:t>
      </w:r>
      <w:r w:rsidR="00D04D1A" w:rsidRPr="007C5CB9">
        <w:rPr>
          <w:i/>
          <w:shd w:val="clear" w:color="auto" w:fill="FCFCFC"/>
        </w:rPr>
        <w:t xml:space="preserve">’, </w:t>
      </w:r>
      <w:r w:rsidR="00C849B4" w:rsidRPr="007C5CB9">
        <w:rPr>
          <w:i/>
          <w:shd w:val="clear" w:color="auto" w:fill="FCFCFC"/>
        </w:rPr>
        <w:t>and/</w:t>
      </w:r>
      <w:r w:rsidR="00D04D1A" w:rsidRPr="007C5CB9">
        <w:rPr>
          <w:i/>
          <w:shd w:val="clear" w:color="auto" w:fill="FCFCFC"/>
        </w:rPr>
        <w:t xml:space="preserve">or </w:t>
      </w:r>
      <w:r w:rsidR="00C849B4" w:rsidRPr="007C5CB9">
        <w:rPr>
          <w:i/>
          <w:shd w:val="clear" w:color="auto" w:fill="FCFCFC"/>
        </w:rPr>
        <w:t xml:space="preserve"> how students </w:t>
      </w:r>
      <w:r w:rsidR="00D04D1A" w:rsidRPr="007C5CB9">
        <w:rPr>
          <w:i/>
          <w:shd w:val="clear" w:color="auto" w:fill="FCFCFC"/>
        </w:rPr>
        <w:t>‘experienced’</w:t>
      </w:r>
      <w:r w:rsidRPr="007C5CB9">
        <w:rPr>
          <w:i/>
          <w:shd w:val="clear" w:color="auto" w:fill="FCFCFC"/>
        </w:rPr>
        <w:t xml:space="preserve"> safety</w:t>
      </w:r>
      <w:r w:rsidRPr="007C5CB9">
        <w:rPr>
          <w:shd w:val="clear" w:color="auto" w:fill="FCFCFC"/>
        </w:rPr>
        <w:t xml:space="preserve"> in the classroom were highlighted.  </w:t>
      </w:r>
      <w:r w:rsidR="00542760" w:rsidRPr="007C5CB9">
        <w:rPr>
          <w:shd w:val="clear" w:color="auto" w:fill="FCFCFC"/>
        </w:rPr>
        <w:t xml:space="preserve">The </w:t>
      </w:r>
      <w:r w:rsidRPr="007C5CB9">
        <w:rPr>
          <w:shd w:val="clear" w:color="auto" w:fill="FCFCFC"/>
        </w:rPr>
        <w:t xml:space="preserve">fourth stage </w:t>
      </w:r>
      <w:r w:rsidR="00542760" w:rsidRPr="007C5CB9">
        <w:rPr>
          <w:shd w:val="clear" w:color="auto" w:fill="FCFCFC"/>
        </w:rPr>
        <w:t xml:space="preserve">of deductive data analysis </w:t>
      </w:r>
      <w:r w:rsidRPr="007C5CB9">
        <w:rPr>
          <w:shd w:val="clear" w:color="auto" w:fill="FCFCFC"/>
        </w:rPr>
        <w:t>involved cross-referencing legitimising samples of participants’ application of individual trauma-informed princip</w:t>
      </w:r>
      <w:r w:rsidR="00EE4047" w:rsidRPr="007C5CB9">
        <w:rPr>
          <w:shd w:val="clear" w:color="auto" w:fill="FCFCFC"/>
        </w:rPr>
        <w:t xml:space="preserve">les </w:t>
      </w:r>
      <w:r w:rsidRPr="007C5CB9">
        <w:rPr>
          <w:shd w:val="clear" w:color="auto" w:fill="FCFCFC"/>
        </w:rPr>
        <w:t>across transcripts and clustering together data extracts including student survey</w:t>
      </w:r>
      <w:r w:rsidR="001E7C94" w:rsidRPr="007C5CB9">
        <w:rPr>
          <w:shd w:val="clear" w:color="auto" w:fill="FCFCFC"/>
        </w:rPr>
        <w:t>s</w:t>
      </w:r>
      <w:r w:rsidRPr="007C5CB9">
        <w:rPr>
          <w:shd w:val="clear" w:color="auto" w:fill="FCFCFC"/>
        </w:rPr>
        <w:t xml:space="preserve"> which offered comp</w:t>
      </w:r>
      <w:r w:rsidR="001E7C94" w:rsidRPr="007C5CB9">
        <w:rPr>
          <w:shd w:val="clear" w:color="auto" w:fill="FCFCFC"/>
        </w:rPr>
        <w:t>arative</w:t>
      </w:r>
      <w:r w:rsidRPr="007C5CB9">
        <w:rPr>
          <w:shd w:val="clear" w:color="auto" w:fill="FCFCFC"/>
        </w:rPr>
        <w:t xml:space="preserve"> examples of each a priori code.    A deductive code example is presented in </w:t>
      </w:r>
      <w:r w:rsidR="009E0B25" w:rsidRPr="007C5CB9">
        <w:rPr>
          <w:b/>
          <w:bCs/>
          <w:shd w:val="clear" w:color="auto" w:fill="FCFCFC"/>
        </w:rPr>
        <w:t>F</w:t>
      </w:r>
      <w:r w:rsidRPr="007C5CB9">
        <w:rPr>
          <w:b/>
          <w:bCs/>
          <w:shd w:val="clear" w:color="auto" w:fill="FCFCFC"/>
        </w:rPr>
        <w:t>igure 1:</w:t>
      </w:r>
    </w:p>
    <w:p w14:paraId="69483CDE" w14:textId="1353F894" w:rsidR="00AB2834" w:rsidRPr="007C5CB9" w:rsidRDefault="00AB2834" w:rsidP="009E0B25">
      <w:pPr>
        <w:pBdr>
          <w:top w:val="nil"/>
          <w:left w:val="nil"/>
          <w:bottom w:val="nil"/>
          <w:right w:val="nil"/>
          <w:between w:val="nil"/>
        </w:pBdr>
        <w:spacing w:after="0"/>
        <w:rPr>
          <w:b/>
          <w:bCs/>
          <w:shd w:val="clear" w:color="auto" w:fill="FCFCFC"/>
        </w:rPr>
      </w:pPr>
    </w:p>
    <w:p w14:paraId="1773F6C6" w14:textId="77777777" w:rsidR="00AB2834" w:rsidRPr="007C5CB9" w:rsidRDefault="00AB2834" w:rsidP="009E0B25">
      <w:pPr>
        <w:pBdr>
          <w:top w:val="nil"/>
          <w:left w:val="nil"/>
          <w:bottom w:val="nil"/>
          <w:right w:val="nil"/>
          <w:between w:val="nil"/>
        </w:pBdr>
        <w:spacing w:after="0"/>
        <w:rPr>
          <w:shd w:val="clear" w:color="auto" w:fill="FCFCFC"/>
        </w:rPr>
      </w:pPr>
    </w:p>
    <w:p w14:paraId="03EB6429" w14:textId="77777777" w:rsidR="00A14340" w:rsidRPr="007C5CB9" w:rsidRDefault="00A14340" w:rsidP="00A14340">
      <w:pPr>
        <w:pBdr>
          <w:top w:val="nil"/>
          <w:left w:val="nil"/>
          <w:bottom w:val="nil"/>
          <w:right w:val="nil"/>
          <w:between w:val="nil"/>
        </w:pBdr>
        <w:spacing w:after="0" w:line="240" w:lineRule="auto"/>
        <w:jc w:val="center"/>
        <w:rPr>
          <w:b/>
          <w:bCs/>
          <w:shd w:val="clear" w:color="auto" w:fill="FCFCFC"/>
        </w:rPr>
      </w:pPr>
      <w:r w:rsidRPr="007C5CB9">
        <w:rPr>
          <w:b/>
          <w:bCs/>
          <w:shd w:val="clear" w:color="auto" w:fill="FCFCFC"/>
        </w:rPr>
        <w:lastRenderedPageBreak/>
        <w:t>Figure 1: Deductive Code Sample</w:t>
      </w:r>
    </w:p>
    <w:p w14:paraId="786E3A74" w14:textId="77777777" w:rsidR="00A14340" w:rsidRPr="007C5CB9" w:rsidRDefault="00A14340" w:rsidP="00A14340">
      <w:pPr>
        <w:pBdr>
          <w:top w:val="nil"/>
          <w:left w:val="nil"/>
          <w:bottom w:val="nil"/>
          <w:right w:val="nil"/>
          <w:between w:val="nil"/>
        </w:pBdr>
        <w:spacing w:after="0" w:line="240" w:lineRule="auto"/>
        <w:jc w:val="left"/>
      </w:pPr>
    </w:p>
    <w:tbl>
      <w:tblPr>
        <w:tblW w:w="9049" w:type="dxa"/>
        <w:tblInd w:w="-1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2250"/>
        <w:gridCol w:w="6799"/>
      </w:tblGrid>
      <w:tr w:rsidR="007C5CB9" w:rsidRPr="007C5CB9" w14:paraId="355BF751" w14:textId="77777777" w:rsidTr="00774608">
        <w:trPr>
          <w:trHeight w:val="391"/>
        </w:trPr>
        <w:tc>
          <w:tcPr>
            <w:tcW w:w="2250" w:type="dxa"/>
            <w:tcBorders>
              <w:top w:val="single" w:sz="8" w:space="0" w:color="FFFFFF"/>
              <w:left w:val="single" w:sz="8" w:space="0" w:color="FFFFFF"/>
              <w:bottom w:val="single" w:sz="24" w:space="0" w:color="FFFFFF"/>
              <w:right w:val="single" w:sz="8" w:space="0" w:color="FFFFFF"/>
            </w:tcBorders>
            <w:shd w:val="clear" w:color="auto" w:fill="E7E6E6"/>
            <w:tcMar>
              <w:top w:w="15" w:type="dxa"/>
              <w:left w:w="108" w:type="dxa"/>
              <w:bottom w:w="0" w:type="dxa"/>
              <w:right w:w="108" w:type="dxa"/>
            </w:tcMar>
          </w:tcPr>
          <w:p w14:paraId="37C571DF" w14:textId="77777777" w:rsidR="00A14340" w:rsidRPr="007C5CB9" w:rsidRDefault="00A14340" w:rsidP="00A14340">
            <w:pPr>
              <w:spacing w:after="200" w:line="240" w:lineRule="auto"/>
              <w:jc w:val="left"/>
            </w:pPr>
            <w:r w:rsidRPr="007C5CB9">
              <w:rPr>
                <w:b/>
              </w:rPr>
              <w:t>Deductive Code: 1</w:t>
            </w:r>
          </w:p>
        </w:tc>
        <w:tc>
          <w:tcPr>
            <w:tcW w:w="6799" w:type="dxa"/>
            <w:tcBorders>
              <w:top w:val="single" w:sz="8" w:space="0" w:color="FFFFFF"/>
              <w:left w:val="single" w:sz="8" w:space="0" w:color="FFFFFF"/>
              <w:bottom w:val="single" w:sz="24" w:space="0" w:color="FFFFFF"/>
              <w:right w:val="single" w:sz="8" w:space="0" w:color="FFFFFF"/>
            </w:tcBorders>
            <w:shd w:val="clear" w:color="auto" w:fill="E7E6E6"/>
            <w:tcMar>
              <w:top w:w="15" w:type="dxa"/>
              <w:left w:w="108" w:type="dxa"/>
              <w:bottom w:w="0" w:type="dxa"/>
              <w:right w:w="108" w:type="dxa"/>
            </w:tcMar>
          </w:tcPr>
          <w:p w14:paraId="2CAE4A0F" w14:textId="77777777" w:rsidR="00A14340" w:rsidRPr="007C5CB9" w:rsidRDefault="00A14340" w:rsidP="00A14340">
            <w:pPr>
              <w:spacing w:after="200" w:line="240" w:lineRule="auto"/>
              <w:jc w:val="left"/>
              <w:rPr>
                <w:i/>
              </w:rPr>
            </w:pPr>
            <w:r w:rsidRPr="007C5CB9">
              <w:rPr>
                <w:b/>
              </w:rPr>
              <w:t>Category:</w:t>
            </w:r>
            <w:r w:rsidRPr="007C5CB9">
              <w:rPr>
                <w:b/>
                <w:i/>
              </w:rPr>
              <w:t xml:space="preserve"> Ensuring Safety </w:t>
            </w:r>
          </w:p>
        </w:tc>
      </w:tr>
      <w:tr w:rsidR="007C5CB9" w:rsidRPr="007C5CB9" w14:paraId="517AA58E" w14:textId="77777777" w:rsidTr="00774608">
        <w:trPr>
          <w:trHeight w:val="841"/>
        </w:trPr>
        <w:tc>
          <w:tcPr>
            <w:tcW w:w="2250"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242BBE69" w14:textId="77777777" w:rsidR="00A14340" w:rsidRPr="007C5CB9" w:rsidRDefault="00A14340" w:rsidP="00A14340">
            <w:pPr>
              <w:spacing w:after="200" w:line="240" w:lineRule="auto"/>
              <w:jc w:val="left"/>
              <w:rPr>
                <w:sz w:val="20"/>
                <w:szCs w:val="20"/>
              </w:rPr>
            </w:pPr>
            <w:r w:rsidRPr="007C5CB9">
              <w:rPr>
                <w:b/>
                <w:sz w:val="20"/>
                <w:szCs w:val="20"/>
              </w:rPr>
              <w:t>Description:</w:t>
            </w:r>
          </w:p>
        </w:tc>
        <w:tc>
          <w:tcPr>
            <w:tcW w:w="67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3D348FC5" w14:textId="77777777" w:rsidR="00A14340" w:rsidRPr="007C5CB9" w:rsidRDefault="00A14340" w:rsidP="00A14340">
            <w:pPr>
              <w:spacing w:after="200" w:line="240" w:lineRule="auto"/>
              <w:rPr>
                <w:sz w:val="20"/>
                <w:szCs w:val="20"/>
              </w:rPr>
            </w:pPr>
            <w:r w:rsidRPr="007C5CB9">
              <w:rPr>
                <w:b/>
                <w:i/>
                <w:sz w:val="20"/>
                <w:szCs w:val="20"/>
              </w:rPr>
              <w:t xml:space="preserve">Ensuring safety </w:t>
            </w:r>
            <w:r w:rsidRPr="007C5CB9">
              <w:rPr>
                <w:sz w:val="20"/>
                <w:szCs w:val="20"/>
              </w:rPr>
              <w:t xml:space="preserve"> (Educator) - Descriptions in interview data sample where educators have sought to ensure the physical and emotional safety of students and, for example describe where they have created a structured and predictable learning environment, which fosters and allows students to experience a personal and/or shared sense of safety</w:t>
            </w:r>
          </w:p>
          <w:p w14:paraId="247C594D" w14:textId="77777777" w:rsidR="00A14340" w:rsidRPr="007C5CB9" w:rsidRDefault="00A14340" w:rsidP="00A14340">
            <w:pPr>
              <w:spacing w:after="200" w:line="240" w:lineRule="auto"/>
              <w:rPr>
                <w:sz w:val="20"/>
                <w:szCs w:val="20"/>
              </w:rPr>
            </w:pPr>
            <w:r w:rsidRPr="007C5CB9">
              <w:rPr>
                <w:b/>
                <w:i/>
                <w:sz w:val="20"/>
                <w:szCs w:val="20"/>
              </w:rPr>
              <w:t>Ensuring safety</w:t>
            </w:r>
            <w:r w:rsidRPr="007C5CB9">
              <w:rPr>
                <w:b/>
                <w:sz w:val="20"/>
                <w:szCs w:val="20"/>
              </w:rPr>
              <w:t xml:space="preserve"> </w:t>
            </w:r>
            <w:r w:rsidRPr="007C5CB9">
              <w:rPr>
                <w:sz w:val="20"/>
                <w:szCs w:val="20"/>
              </w:rPr>
              <w:t>(Student) - Descriptions in survey data samples where students have shared a sense of having been prepared for subject material and communicate a sense of feeling physically and emotionally safe.</w:t>
            </w:r>
          </w:p>
        </w:tc>
      </w:tr>
      <w:tr w:rsidR="007C5CB9" w:rsidRPr="007C5CB9" w14:paraId="6068AAAD" w14:textId="77777777" w:rsidTr="00774608">
        <w:trPr>
          <w:trHeight w:val="1050"/>
        </w:trPr>
        <w:tc>
          <w:tcPr>
            <w:tcW w:w="2250"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692E1678" w14:textId="77777777" w:rsidR="00A14340" w:rsidRPr="007C5CB9" w:rsidRDefault="00A14340" w:rsidP="00A14340">
            <w:pPr>
              <w:spacing w:after="200" w:line="240" w:lineRule="auto"/>
              <w:jc w:val="left"/>
              <w:rPr>
                <w:b/>
                <w:sz w:val="20"/>
                <w:szCs w:val="20"/>
              </w:rPr>
            </w:pPr>
            <w:r w:rsidRPr="007C5CB9">
              <w:rPr>
                <w:b/>
                <w:sz w:val="20"/>
                <w:szCs w:val="20"/>
              </w:rPr>
              <w:t>Interview transcript legitimising sample:</w:t>
            </w:r>
          </w:p>
          <w:p w14:paraId="2820EA4A" w14:textId="77777777" w:rsidR="00A14340" w:rsidRPr="007C5CB9" w:rsidRDefault="00A14340" w:rsidP="00A14340">
            <w:pPr>
              <w:spacing w:after="200" w:line="240" w:lineRule="auto"/>
              <w:jc w:val="left"/>
              <w:rPr>
                <w:sz w:val="20"/>
                <w:szCs w:val="20"/>
              </w:rPr>
            </w:pPr>
            <w:r w:rsidRPr="007C5CB9">
              <w:rPr>
                <w:b/>
                <w:sz w:val="20"/>
                <w:szCs w:val="20"/>
              </w:rPr>
              <w:t>Educator</w:t>
            </w:r>
          </w:p>
        </w:tc>
        <w:tc>
          <w:tcPr>
            <w:tcW w:w="67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11C8D38E" w14:textId="77777777" w:rsidR="00A14340" w:rsidRPr="007C5CB9" w:rsidRDefault="00A14340" w:rsidP="00A14340">
            <w:pPr>
              <w:spacing w:after="200" w:line="240" w:lineRule="auto"/>
              <w:jc w:val="left"/>
              <w:rPr>
                <w:sz w:val="20"/>
                <w:szCs w:val="20"/>
              </w:rPr>
            </w:pPr>
            <w:r w:rsidRPr="007C5CB9">
              <w:rPr>
                <w:sz w:val="20"/>
                <w:szCs w:val="20"/>
              </w:rPr>
              <w:t>‘</w:t>
            </w:r>
            <w:r w:rsidRPr="007C5CB9">
              <w:rPr>
                <w:i/>
                <w:sz w:val="20"/>
                <w:szCs w:val="20"/>
              </w:rPr>
              <w:t>My intention is always with the best… [...] to try and make it as comfortable and safe as possible</w:t>
            </w:r>
            <w:r w:rsidRPr="007C5CB9">
              <w:rPr>
                <w:sz w:val="20"/>
                <w:szCs w:val="20"/>
              </w:rPr>
              <w:t>’</w:t>
            </w:r>
          </w:p>
        </w:tc>
      </w:tr>
      <w:tr w:rsidR="007C5CB9" w:rsidRPr="007C5CB9" w14:paraId="3335CD32" w14:textId="77777777" w:rsidTr="00774608">
        <w:trPr>
          <w:trHeight w:val="1312"/>
        </w:trPr>
        <w:tc>
          <w:tcPr>
            <w:tcW w:w="2250"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2A68A29D" w14:textId="77777777" w:rsidR="00A14340" w:rsidRPr="007C5CB9" w:rsidRDefault="00A14340" w:rsidP="00A14340">
            <w:pPr>
              <w:spacing w:after="200" w:line="240" w:lineRule="auto"/>
              <w:jc w:val="left"/>
              <w:rPr>
                <w:b/>
                <w:sz w:val="20"/>
                <w:szCs w:val="20"/>
              </w:rPr>
            </w:pPr>
            <w:r w:rsidRPr="007C5CB9">
              <w:rPr>
                <w:b/>
                <w:sz w:val="20"/>
                <w:szCs w:val="20"/>
              </w:rPr>
              <w:t xml:space="preserve">Student survey legitimising sample: </w:t>
            </w:r>
          </w:p>
          <w:p w14:paraId="0B332CDE" w14:textId="77777777" w:rsidR="00A14340" w:rsidRPr="007C5CB9" w:rsidRDefault="00A14340" w:rsidP="00A14340">
            <w:pPr>
              <w:spacing w:after="200" w:line="240" w:lineRule="auto"/>
              <w:jc w:val="left"/>
              <w:rPr>
                <w:b/>
                <w:sz w:val="20"/>
                <w:szCs w:val="20"/>
              </w:rPr>
            </w:pPr>
            <w:r w:rsidRPr="007C5CB9">
              <w:rPr>
                <w:b/>
                <w:sz w:val="20"/>
                <w:szCs w:val="20"/>
              </w:rPr>
              <w:t xml:space="preserve">Student </w:t>
            </w:r>
          </w:p>
        </w:tc>
        <w:tc>
          <w:tcPr>
            <w:tcW w:w="67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tcPr>
          <w:p w14:paraId="454CED3B" w14:textId="77777777" w:rsidR="00A14340" w:rsidRPr="007C5CB9" w:rsidRDefault="00A14340" w:rsidP="00A14340">
            <w:pPr>
              <w:spacing w:after="200" w:line="240" w:lineRule="auto"/>
              <w:rPr>
                <w:i/>
                <w:sz w:val="20"/>
                <w:szCs w:val="20"/>
              </w:rPr>
            </w:pPr>
            <w:r w:rsidRPr="007C5CB9">
              <w:rPr>
                <w:i/>
                <w:sz w:val="20"/>
                <w:szCs w:val="20"/>
              </w:rPr>
              <w:t xml:space="preserve">‘I have found the topics covered in a sensitive way, tutors usually give an indication that the information may be distressing and therefore equips students to be prepared for discussions around traumatic or distressing situations … I feel tutors do acknowledge this and also the fact that it may touch on our own negative experiences’ </w:t>
            </w:r>
          </w:p>
        </w:tc>
      </w:tr>
    </w:tbl>
    <w:p w14:paraId="355FBD03" w14:textId="77777777" w:rsidR="006835B5" w:rsidRPr="007C5CB9" w:rsidRDefault="006835B5" w:rsidP="009E0B25">
      <w:pPr>
        <w:pBdr>
          <w:top w:val="nil"/>
          <w:left w:val="nil"/>
          <w:bottom w:val="nil"/>
          <w:right w:val="nil"/>
          <w:between w:val="nil"/>
        </w:pBdr>
        <w:spacing w:after="0"/>
        <w:jc w:val="left"/>
      </w:pPr>
    </w:p>
    <w:p w14:paraId="5558A193" w14:textId="57EC56A7" w:rsidR="00DE3B60" w:rsidRPr="007C5CB9" w:rsidRDefault="009C2D00" w:rsidP="00D31FDF">
      <w:pPr>
        <w:rPr>
          <w:shd w:val="clear" w:color="auto" w:fill="FCFCFC"/>
        </w:rPr>
      </w:pPr>
      <w:r w:rsidRPr="007C5CB9">
        <w:rPr>
          <w:shd w:val="clear" w:color="auto" w:fill="FCFCFC"/>
        </w:rPr>
        <w:t xml:space="preserve">While deductive data analysis was guided by a </w:t>
      </w:r>
      <w:r w:rsidR="00E70651" w:rsidRPr="007C5CB9">
        <w:rPr>
          <w:shd w:val="clear" w:color="auto" w:fill="FCFCFC"/>
        </w:rPr>
        <w:t>pre-</w:t>
      </w:r>
      <w:r w:rsidRPr="007C5CB9">
        <w:rPr>
          <w:shd w:val="clear" w:color="auto" w:fill="FCFCFC"/>
        </w:rPr>
        <w:t xml:space="preserve">organising </w:t>
      </w:r>
      <w:r w:rsidR="00E70651" w:rsidRPr="007C5CB9">
        <w:rPr>
          <w:shd w:val="clear" w:color="auto" w:fill="FCFCFC"/>
        </w:rPr>
        <w:t>template</w:t>
      </w:r>
      <w:r w:rsidRPr="007C5CB9">
        <w:rPr>
          <w:shd w:val="clear" w:color="auto" w:fill="FCFCFC"/>
        </w:rPr>
        <w:t xml:space="preserve">, among themes identified via inductive analysis </w:t>
      </w:r>
      <w:r w:rsidR="00E70651" w:rsidRPr="007C5CB9">
        <w:rPr>
          <w:shd w:val="clear" w:color="auto" w:fill="FCFCFC"/>
        </w:rPr>
        <w:t xml:space="preserve">as separate from a priori codes </w:t>
      </w:r>
      <w:r w:rsidRPr="007C5CB9">
        <w:rPr>
          <w:shd w:val="clear" w:color="auto" w:fill="FCFCFC"/>
        </w:rPr>
        <w:t xml:space="preserve">was the </w:t>
      </w:r>
      <w:r w:rsidR="00E70651" w:rsidRPr="007C5CB9">
        <w:rPr>
          <w:shd w:val="clear" w:color="auto" w:fill="FCFCFC"/>
        </w:rPr>
        <w:t xml:space="preserve">trauma-informed </w:t>
      </w:r>
      <w:r w:rsidRPr="007C5CB9">
        <w:rPr>
          <w:shd w:val="clear" w:color="auto" w:fill="FCFCFC"/>
        </w:rPr>
        <w:t xml:space="preserve">principle of </w:t>
      </w:r>
      <w:r w:rsidRPr="007C5CB9">
        <w:rPr>
          <w:i/>
          <w:shd w:val="clear" w:color="auto" w:fill="FCFCFC"/>
        </w:rPr>
        <w:t>‘promoting resilience’</w:t>
      </w:r>
      <w:r w:rsidRPr="007C5CB9">
        <w:rPr>
          <w:shd w:val="clear" w:color="auto" w:fill="FCFCFC"/>
        </w:rPr>
        <w:t xml:space="preserve">. </w:t>
      </w:r>
      <w:r w:rsidR="00E70651" w:rsidRPr="007C5CB9">
        <w:rPr>
          <w:shd w:val="clear" w:color="auto" w:fill="FCFCFC"/>
        </w:rPr>
        <w:t xml:space="preserve"> </w:t>
      </w:r>
      <w:r w:rsidRPr="007C5CB9">
        <w:rPr>
          <w:shd w:val="clear" w:color="auto" w:fill="FCFCFC"/>
        </w:rPr>
        <w:t xml:space="preserve">The inductive </w:t>
      </w:r>
      <w:r w:rsidR="00DE3B60" w:rsidRPr="007C5CB9">
        <w:rPr>
          <w:shd w:val="clear" w:color="auto" w:fill="FCFCFC"/>
        </w:rPr>
        <w:t xml:space="preserve">data </w:t>
      </w:r>
      <w:r w:rsidRPr="007C5CB9">
        <w:rPr>
          <w:shd w:val="clear" w:color="auto" w:fill="FCFCFC"/>
        </w:rPr>
        <w:t xml:space="preserve">analysis </w:t>
      </w:r>
      <w:r w:rsidR="00542760" w:rsidRPr="007C5CB9">
        <w:rPr>
          <w:shd w:val="clear" w:color="auto" w:fill="FCFCFC"/>
        </w:rPr>
        <w:t xml:space="preserve">also </w:t>
      </w:r>
      <w:r w:rsidRPr="007C5CB9">
        <w:rPr>
          <w:shd w:val="clear" w:color="auto" w:fill="FCFCFC"/>
        </w:rPr>
        <w:t>used a four-stage process with stage</w:t>
      </w:r>
      <w:r w:rsidR="00542760" w:rsidRPr="007C5CB9">
        <w:rPr>
          <w:shd w:val="clear" w:color="auto" w:fill="FCFCFC"/>
        </w:rPr>
        <w:t xml:space="preserve"> one</w:t>
      </w:r>
      <w:r w:rsidRPr="007C5CB9">
        <w:rPr>
          <w:shd w:val="clear" w:color="auto" w:fill="FCFCFC"/>
        </w:rPr>
        <w:t xml:space="preserve"> involving a review of individual transcripts and surveys without reference to the </w:t>
      </w:r>
      <w:r w:rsidR="00E70651" w:rsidRPr="007C5CB9">
        <w:rPr>
          <w:shd w:val="clear" w:color="auto" w:fill="FCFCFC"/>
        </w:rPr>
        <w:t xml:space="preserve">existing </w:t>
      </w:r>
      <w:r w:rsidRPr="007C5CB9">
        <w:rPr>
          <w:shd w:val="clear" w:color="auto" w:fill="FCFCFC"/>
        </w:rPr>
        <w:t xml:space="preserve">a priori coded template. </w:t>
      </w:r>
      <w:r w:rsidR="00542760" w:rsidRPr="007C5CB9">
        <w:rPr>
          <w:shd w:val="clear" w:color="auto" w:fill="FCFCFC"/>
        </w:rPr>
        <w:t xml:space="preserve"> The </w:t>
      </w:r>
      <w:r w:rsidRPr="007C5CB9">
        <w:rPr>
          <w:shd w:val="clear" w:color="auto" w:fill="FCFCFC"/>
        </w:rPr>
        <w:t xml:space="preserve">second stage </w:t>
      </w:r>
      <w:r w:rsidR="00542760" w:rsidRPr="007C5CB9">
        <w:rPr>
          <w:shd w:val="clear" w:color="auto" w:fill="FCFCFC"/>
        </w:rPr>
        <w:t xml:space="preserve">of inductive </w:t>
      </w:r>
      <w:r w:rsidR="00DE3B60" w:rsidRPr="007C5CB9">
        <w:rPr>
          <w:shd w:val="clear" w:color="auto" w:fill="FCFCFC"/>
        </w:rPr>
        <w:t xml:space="preserve">data </w:t>
      </w:r>
      <w:r w:rsidR="00542760" w:rsidRPr="007C5CB9">
        <w:rPr>
          <w:shd w:val="clear" w:color="auto" w:fill="FCFCFC"/>
        </w:rPr>
        <w:t xml:space="preserve">analysis </w:t>
      </w:r>
      <w:r w:rsidRPr="007C5CB9">
        <w:rPr>
          <w:shd w:val="clear" w:color="auto" w:fill="FCFCFC"/>
        </w:rPr>
        <w:t xml:space="preserve">involved recognition of data patterns of ‘rich descriptions’ identified as separate from </w:t>
      </w:r>
      <w:r w:rsidR="00E70651" w:rsidRPr="007C5CB9">
        <w:rPr>
          <w:shd w:val="clear" w:color="auto" w:fill="FCFCFC"/>
        </w:rPr>
        <w:t xml:space="preserve">those noted within </w:t>
      </w:r>
      <w:r w:rsidRPr="007C5CB9">
        <w:rPr>
          <w:shd w:val="clear" w:color="auto" w:fill="FCFCFC"/>
        </w:rPr>
        <w:t>deductive analysis.   The third stage</w:t>
      </w:r>
      <w:r w:rsidR="00DE3B60" w:rsidRPr="007C5CB9">
        <w:rPr>
          <w:shd w:val="clear" w:color="auto" w:fill="FCFCFC"/>
        </w:rPr>
        <w:t xml:space="preserve"> of inductive data analysis </w:t>
      </w:r>
      <w:r w:rsidRPr="007C5CB9">
        <w:rPr>
          <w:shd w:val="clear" w:color="auto" w:fill="FCFCFC"/>
        </w:rPr>
        <w:t>involved development of a ‘de</w:t>
      </w:r>
      <w:r w:rsidR="001E7C94" w:rsidRPr="007C5CB9">
        <w:rPr>
          <w:shd w:val="clear" w:color="auto" w:fill="FCFCFC"/>
        </w:rPr>
        <w:t>scription</w:t>
      </w:r>
      <w:r w:rsidRPr="007C5CB9">
        <w:rPr>
          <w:shd w:val="clear" w:color="auto" w:fill="FCFCFC"/>
        </w:rPr>
        <w:t xml:space="preserve">’ to complement each new theme to be used as a guide to identify ‘legitimising samples’ (Fereday and Muir-Cochrane, 2006, p. 4) across the data set. The fourth stage </w:t>
      </w:r>
      <w:r w:rsidR="00DE3B60" w:rsidRPr="007C5CB9">
        <w:rPr>
          <w:shd w:val="clear" w:color="auto" w:fill="FCFCFC"/>
        </w:rPr>
        <w:t xml:space="preserve">of inductive data analysis </w:t>
      </w:r>
      <w:r w:rsidRPr="007C5CB9">
        <w:rPr>
          <w:shd w:val="clear" w:color="auto" w:fill="FCFCFC"/>
        </w:rPr>
        <w:t>involved cross-referencing legitimising samples of the inductive theme clustering together those extracts from across the data including student survey and educator interview transcripts which offered compa</w:t>
      </w:r>
      <w:r w:rsidR="001E7C94" w:rsidRPr="007C5CB9">
        <w:rPr>
          <w:shd w:val="clear" w:color="auto" w:fill="FCFCFC"/>
        </w:rPr>
        <w:t xml:space="preserve">rative </w:t>
      </w:r>
      <w:r w:rsidRPr="007C5CB9">
        <w:rPr>
          <w:shd w:val="clear" w:color="auto" w:fill="FCFCFC"/>
        </w:rPr>
        <w:t xml:space="preserve">examples.  </w:t>
      </w:r>
    </w:p>
    <w:p w14:paraId="7567254C" w14:textId="66CCCBB7" w:rsidR="006835B5" w:rsidRPr="007C5CB9" w:rsidRDefault="009C2D00" w:rsidP="009E0B25">
      <w:pPr>
        <w:spacing w:after="0"/>
        <w:jc w:val="left"/>
        <w:rPr>
          <w:b/>
          <w:sz w:val="28"/>
          <w:szCs w:val="28"/>
        </w:rPr>
      </w:pPr>
      <w:r w:rsidRPr="007C5CB9">
        <w:rPr>
          <w:b/>
          <w:sz w:val="28"/>
          <w:szCs w:val="28"/>
        </w:rPr>
        <w:t>Findings</w:t>
      </w:r>
    </w:p>
    <w:p w14:paraId="110EC9CD" w14:textId="77777777" w:rsidR="006835B5" w:rsidRPr="007C5CB9" w:rsidRDefault="006835B5" w:rsidP="009E0B25">
      <w:pPr>
        <w:spacing w:after="0"/>
        <w:jc w:val="left"/>
        <w:rPr>
          <w:b/>
          <w:i/>
        </w:rPr>
      </w:pPr>
    </w:p>
    <w:p w14:paraId="0457D603" w14:textId="3943B1D0"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Study findings revealed a range of strategies used by educators that fit within a trauma-informed framework. However, during the course of interviews and data analysis it became </w:t>
      </w:r>
      <w:r w:rsidRPr="007C5CB9">
        <w:lastRenderedPageBreak/>
        <w:t>clear educators had differing levels of knowledge and awareness around the concept of vicarious trauma and secondary traumatic stress and in relation to the principles of trauma-informed pedagogical practice. Despite this, it was evident there was an implicit use of the principles in examples educators provided about how they taught difficult topics.  This was supported by the students’ responses.  Representative samples of each of the themes identified in the data are presented below.</w:t>
      </w:r>
    </w:p>
    <w:p w14:paraId="38B9D103"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4B94221A" w14:textId="77777777" w:rsidR="006835B5" w:rsidRPr="007C5CB9" w:rsidRDefault="009C2D00" w:rsidP="009E0B25">
      <w:pPr>
        <w:numPr>
          <w:ilvl w:val="0"/>
          <w:numId w:val="3"/>
        </w:numPr>
        <w:spacing w:after="0"/>
        <w:jc w:val="left"/>
        <w:rPr>
          <w:b/>
          <w:i/>
        </w:rPr>
      </w:pPr>
      <w:r w:rsidRPr="007C5CB9">
        <w:rPr>
          <w:b/>
          <w:i/>
        </w:rPr>
        <w:t>Understanding trauma and trauma-informed principles</w:t>
      </w:r>
    </w:p>
    <w:p w14:paraId="0CED1A43" w14:textId="77777777" w:rsidR="006835B5" w:rsidRPr="007C5CB9" w:rsidRDefault="006835B5" w:rsidP="009E0B25">
      <w:pPr>
        <w:spacing w:after="0"/>
        <w:jc w:val="left"/>
        <w:rPr>
          <w:b/>
        </w:rPr>
      </w:pPr>
    </w:p>
    <w:p w14:paraId="7F153582" w14:textId="77777777" w:rsidR="006835B5" w:rsidRPr="007C5CB9" w:rsidRDefault="009C2D00" w:rsidP="009E0B25">
      <w:pPr>
        <w:spacing w:after="0"/>
      </w:pPr>
      <w:r w:rsidRPr="007C5CB9">
        <w:t xml:space="preserve">As noted, it was clear that educators had different levels of knowledge and understanding of different types of trauma, and there was little explicit knowledge of trauma-informed principles and how these can be applied to inform practice: </w:t>
      </w:r>
    </w:p>
    <w:p w14:paraId="6BB2ACC4" w14:textId="77777777" w:rsidR="006835B5" w:rsidRPr="007C5CB9" w:rsidRDefault="006835B5" w:rsidP="009E0B25">
      <w:pPr>
        <w:spacing w:after="0"/>
        <w:jc w:val="left"/>
        <w:rPr>
          <w:i/>
        </w:rPr>
      </w:pPr>
    </w:p>
    <w:p w14:paraId="409AD4D0" w14:textId="6B46CF7B" w:rsidR="006835B5" w:rsidRPr="007C5CB9" w:rsidRDefault="009C2D00" w:rsidP="009E0B25">
      <w:pPr>
        <w:spacing w:after="0"/>
        <w:ind w:firstLine="720"/>
      </w:pPr>
      <w:r w:rsidRPr="007C5CB9">
        <w:rPr>
          <w:i/>
        </w:rPr>
        <w:t xml:space="preserve">‘in terms of an actual method of </w:t>
      </w:r>
      <w:r w:rsidR="002958E5" w:rsidRPr="007C5CB9">
        <w:rPr>
          <w:i/>
        </w:rPr>
        <w:t>…</w:t>
      </w:r>
      <w:r w:rsidRPr="007C5CB9">
        <w:rPr>
          <w:i/>
        </w:rPr>
        <w:t xml:space="preserve"> trauma-informed teaching</w:t>
      </w:r>
      <w:r w:rsidR="002958E5" w:rsidRPr="007C5CB9">
        <w:rPr>
          <w:i/>
        </w:rPr>
        <w:t xml:space="preserve"> …</w:t>
      </w:r>
      <w:r w:rsidRPr="007C5CB9">
        <w:rPr>
          <w:i/>
        </w:rPr>
        <w:t xml:space="preserve"> I [don’t] have... really any knowledge of that’ </w:t>
      </w:r>
      <w:r w:rsidRPr="007C5CB9">
        <w:t xml:space="preserve">(Becky, social work educator).  </w:t>
      </w:r>
    </w:p>
    <w:p w14:paraId="0EE301E9" w14:textId="77777777" w:rsidR="006835B5" w:rsidRPr="007C5CB9" w:rsidRDefault="006835B5" w:rsidP="009E0B25">
      <w:pPr>
        <w:spacing w:after="0"/>
        <w:jc w:val="left"/>
      </w:pPr>
    </w:p>
    <w:p w14:paraId="35CD1306" w14:textId="77777777" w:rsidR="006835B5" w:rsidRPr="007C5CB9" w:rsidRDefault="009C2D00" w:rsidP="009E0B25">
      <w:pPr>
        <w:spacing w:after="0"/>
      </w:pPr>
      <w:r w:rsidRPr="007C5CB9">
        <w:t>However, when considering the impact of trauma in the classroom, educators were very conscious of the need to acknowledge this and described how they took steps to manage this while sharing how this could be difficult. Consequently, highlighted is how trauma-informed principles were implicitly being used within teaching practice:</w:t>
      </w:r>
    </w:p>
    <w:p w14:paraId="175F9CAE"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4A0A8E56" w14:textId="34A4D696"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w:t>
      </w:r>
      <w:r w:rsidR="002958E5" w:rsidRPr="007C5CB9">
        <w:rPr>
          <w:i/>
        </w:rPr>
        <w:t>…</w:t>
      </w:r>
      <w:r w:rsidRPr="007C5CB9">
        <w:rPr>
          <w:i/>
        </w:rPr>
        <w:t xml:space="preserve"> I don’t use it explicitly</w:t>
      </w:r>
      <w:r w:rsidR="002958E5" w:rsidRPr="007C5CB9">
        <w:rPr>
          <w:i/>
        </w:rPr>
        <w:t>…</w:t>
      </w:r>
      <w:r w:rsidRPr="007C5CB9">
        <w:rPr>
          <w:i/>
        </w:rPr>
        <w:t xml:space="preserve">. it is implicit within the way in which it works… part of everything else… in the way that I do my teaching’ </w:t>
      </w:r>
      <w:r w:rsidRPr="007C5CB9">
        <w:t>(Bob, social work educator).</w:t>
      </w:r>
    </w:p>
    <w:p w14:paraId="12034BE4"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3832AB8"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It was also clear students appreciated the need for difficult topics to be handled sensitively:</w:t>
      </w:r>
    </w:p>
    <w:p w14:paraId="7A0A93DB"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i/>
        </w:rPr>
      </w:pPr>
    </w:p>
    <w:p w14:paraId="02D72F8C" w14:textId="2E79C5D1" w:rsidR="006835B5" w:rsidRPr="007C5CB9" w:rsidRDefault="009C2D00" w:rsidP="009E0B25">
      <w:pPr>
        <w:spacing w:after="0"/>
        <w:ind w:firstLine="720"/>
        <w:jc w:val="left"/>
      </w:pPr>
      <w:r w:rsidRPr="007C5CB9">
        <w:rPr>
          <w:i/>
        </w:rPr>
        <w:t xml:space="preserve">‘It's important to understand traumatic situations or experiences may trigger emotions/feelings of past events </w:t>
      </w:r>
      <w:r w:rsidR="007307EF" w:rsidRPr="007C5CB9">
        <w:rPr>
          <w:i/>
        </w:rPr>
        <w:t xml:space="preserve">in </w:t>
      </w:r>
      <w:r w:rsidRPr="007C5CB9">
        <w:rPr>
          <w:i/>
        </w:rPr>
        <w:t xml:space="preserve">our own lives’ </w:t>
      </w:r>
      <w:r w:rsidRPr="007C5CB9">
        <w:t>(Sheila, social work student).</w:t>
      </w:r>
    </w:p>
    <w:p w14:paraId="1447D26C" w14:textId="77777777" w:rsidR="006835B5" w:rsidRPr="007C5CB9" w:rsidRDefault="006835B5" w:rsidP="009E0B25">
      <w:pPr>
        <w:spacing w:after="0"/>
        <w:jc w:val="left"/>
      </w:pPr>
    </w:p>
    <w:p w14:paraId="2260346F" w14:textId="77777777" w:rsidR="006835B5" w:rsidRPr="007C5CB9" w:rsidRDefault="009C2D00" w:rsidP="009E0B25">
      <w:pPr>
        <w:spacing w:after="0"/>
        <w:rPr>
          <w:sz w:val="28"/>
          <w:szCs w:val="28"/>
        </w:rPr>
      </w:pPr>
      <w:r w:rsidRPr="007C5CB9">
        <w:t>Although direct knowledge of different trauma types or of a trauma-informed framework were limited, there was clear recognition of the need ‘</w:t>
      </w:r>
      <w:r w:rsidRPr="007C5CB9">
        <w:rPr>
          <w:i/>
        </w:rPr>
        <w:t xml:space="preserve">to always be aware of the fact that </w:t>
      </w:r>
      <w:r w:rsidRPr="007C5CB9">
        <w:rPr>
          <w:i/>
        </w:rPr>
        <w:lastRenderedPageBreak/>
        <w:t xml:space="preserve">anybody could have had any kind of trauma when… and not just obviously childhood, but at any point’ </w:t>
      </w:r>
      <w:r w:rsidRPr="007C5CB9">
        <w:t>(Tom, social work educator).</w:t>
      </w:r>
    </w:p>
    <w:p w14:paraId="1FEB18CF"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rPr>
      </w:pPr>
    </w:p>
    <w:p w14:paraId="19238C7A" w14:textId="77777777" w:rsidR="006835B5" w:rsidRPr="007C5CB9" w:rsidRDefault="009C2D00" w:rsidP="009E0B2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i/>
        </w:rPr>
      </w:pPr>
      <w:r w:rsidRPr="007C5CB9">
        <w:rPr>
          <w:b/>
          <w:i/>
        </w:rPr>
        <w:t>Ensuring safety</w:t>
      </w:r>
    </w:p>
    <w:p w14:paraId="03D0DE8B"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rPr>
      </w:pPr>
    </w:p>
    <w:p w14:paraId="7EF63323" w14:textId="77777777" w:rsidR="006835B5" w:rsidRPr="007C5CB9" w:rsidRDefault="009C2D00"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Ensuring safety includes examples of where educators have created a structured and predictable learning environment, which fosters and allows students to experience a shared sense of safety.  Educators actively took steps to create this environment: </w:t>
      </w:r>
    </w:p>
    <w:p w14:paraId="4614D235"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7D104E9" w14:textId="77777777" w:rsidR="006835B5" w:rsidRPr="007C5CB9" w:rsidRDefault="009C2D00"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t>‘</w:t>
      </w:r>
      <w:r w:rsidRPr="007C5CB9">
        <w:rPr>
          <w:i/>
        </w:rPr>
        <w:t>My intention is always with the best… to try and make it as comfortable and safe as possible</w:t>
      </w:r>
      <w:r w:rsidRPr="007C5CB9">
        <w:t>’ (Bob, social work tutor).</w:t>
      </w:r>
    </w:p>
    <w:p w14:paraId="18B62754"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1F0F7C56" w14:textId="2EC26219"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Safety was established in a number of ways. These included, for example</w:t>
      </w:r>
      <w:r w:rsidRPr="007C5CB9">
        <w:rPr>
          <w:i/>
        </w:rPr>
        <w:t xml:space="preserve">, ‘alerting them [the students] to the nature that it could be a sensitive topic’ </w:t>
      </w:r>
      <w:r w:rsidRPr="007C5CB9">
        <w:t xml:space="preserve"> (Bob, social work educator). </w:t>
      </w:r>
      <w:r w:rsidRPr="007C5CB9">
        <w:rPr>
          <w:i/>
        </w:rPr>
        <w:t xml:space="preserve"> ‘So that people are prepared for what that’s going to be [explored]’</w:t>
      </w:r>
      <w:r w:rsidRPr="007C5CB9">
        <w:t xml:space="preserve"> (Alice, social work educator).  Educators also shared how they provided debriefs at the session end. These included space to discuss what they had learned about so students had a safe space to </w:t>
      </w:r>
      <w:r w:rsidRPr="007C5CB9">
        <w:rPr>
          <w:i/>
        </w:rPr>
        <w:t>‘express shock, or upset, or whatever emotion it is’</w:t>
      </w:r>
      <w:r w:rsidRPr="007C5CB9">
        <w:t xml:space="preserve"> (Tom, social work educator).  Other</w:t>
      </w:r>
      <w:r w:rsidR="001E7C94" w:rsidRPr="007C5CB9">
        <w:t xml:space="preserve"> </w:t>
      </w:r>
      <w:r w:rsidRPr="007C5CB9">
        <w:t xml:space="preserve">participants spoke about the need to share emotions as being an important aspect of creating a safe learning environment: </w:t>
      </w:r>
    </w:p>
    <w:p w14:paraId="3021B946"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i/>
        </w:rPr>
      </w:pPr>
    </w:p>
    <w:p w14:paraId="18CD7797"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rPr>
          <w:i/>
        </w:rPr>
        <w:tab/>
        <w:t xml:space="preserve">‘I think showing emotion is really important in a safe space’ </w:t>
      </w:r>
      <w:r w:rsidRPr="007C5CB9">
        <w:t>(Sally, social work educator).</w:t>
      </w:r>
    </w:p>
    <w:p w14:paraId="1D71A86F"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C57763A" w14:textId="77777777" w:rsidR="006835B5" w:rsidRPr="007C5CB9" w:rsidRDefault="009C2D00"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Students' responses included references to </w:t>
      </w:r>
      <w:r w:rsidRPr="007C5CB9">
        <w:rPr>
          <w:i/>
        </w:rPr>
        <w:t xml:space="preserve">‘disclaimers’ </w:t>
      </w:r>
      <w:r w:rsidRPr="007C5CB9">
        <w:t xml:space="preserve">(Cassandra, social work student) being given before sessions and students being </w:t>
      </w:r>
      <w:r w:rsidRPr="007C5CB9">
        <w:rPr>
          <w:i/>
        </w:rPr>
        <w:t xml:space="preserve">‘told there may be sensitive topics before the session is delivered’ </w:t>
      </w:r>
      <w:r w:rsidRPr="007C5CB9">
        <w:t>(Alice, social work student)</w:t>
      </w:r>
      <w:r w:rsidRPr="007C5CB9">
        <w:rPr>
          <w:i/>
        </w:rPr>
        <w:t xml:space="preserve">. </w:t>
      </w:r>
      <w:r w:rsidRPr="007C5CB9">
        <w:t>It was clear from student responses they recognised and appreciated steps educators took to create a shared sense of safety and they commented on how they had</w:t>
      </w:r>
      <w:r w:rsidRPr="007C5CB9">
        <w:tab/>
        <w:t xml:space="preserve"> ‘...</w:t>
      </w:r>
      <w:r w:rsidRPr="007C5CB9">
        <w:rPr>
          <w:i/>
        </w:rPr>
        <w:t>found the topics covered in a sensitive way’</w:t>
      </w:r>
      <w:r w:rsidRPr="007C5CB9">
        <w:t xml:space="preserve"> (Sheila, social work student).</w:t>
      </w:r>
    </w:p>
    <w:p w14:paraId="325F68FC"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114B6431" w14:textId="41231B7C"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lastRenderedPageBreak/>
        <w:t xml:space="preserve">Safety was also created through opportunities for additional support. For example,  signposting students to </w:t>
      </w:r>
      <w:r w:rsidR="00402481" w:rsidRPr="007C5CB9">
        <w:t xml:space="preserve">University student support and wellbeing </w:t>
      </w:r>
      <w:r w:rsidRPr="007C5CB9">
        <w:t xml:space="preserve">services and ensuring online module pages included </w:t>
      </w:r>
      <w:r w:rsidRPr="007C5CB9">
        <w:rPr>
          <w:i/>
        </w:rPr>
        <w:t xml:space="preserve">‘a link to wellbeing </w:t>
      </w:r>
      <w:r w:rsidR="00B657F6" w:rsidRPr="007C5CB9">
        <w:rPr>
          <w:i/>
        </w:rPr>
        <w:t xml:space="preserve">[services]’ </w:t>
      </w:r>
      <w:r w:rsidRPr="007C5CB9">
        <w:rPr>
          <w:i/>
        </w:rPr>
        <w:t xml:space="preserve"> </w:t>
      </w:r>
      <w:r w:rsidRPr="007C5CB9">
        <w:t xml:space="preserve">(Bob, social work educator). Tutors were also very aware of what was happening in the classroom so they could be </w:t>
      </w:r>
      <w:r w:rsidRPr="007C5CB9">
        <w:rPr>
          <w:i/>
        </w:rPr>
        <w:t>‘quick to spot the signs that somebody is becoming distressed or someone’s having difficulties’</w:t>
      </w:r>
      <w:r w:rsidRPr="007C5CB9">
        <w:t xml:space="preserve"> (Bob, social work educator). In these circumstances, educators would often offer one-to-one support for students, as well as signposting to other services:</w:t>
      </w:r>
    </w:p>
    <w:p w14:paraId="144F5AB5"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4357A05B"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 xml:space="preserve">‘If necessary people can come and talk to me afterwards or… talk to their personal tutor’ </w:t>
      </w:r>
      <w:r w:rsidRPr="007C5CB9">
        <w:t xml:space="preserve"> (Kenny, social work educator)</w:t>
      </w:r>
    </w:p>
    <w:p w14:paraId="13AF8B4B"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07F739E"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Again, student responses echoed this with students reporting they were signposted to services and were aware of the </w:t>
      </w:r>
      <w:r w:rsidRPr="007C5CB9">
        <w:rPr>
          <w:i/>
        </w:rPr>
        <w:t xml:space="preserve">‘Support from all tutors, personal tutors and through the University well-being team...’ </w:t>
      </w:r>
      <w:r w:rsidRPr="007C5CB9">
        <w:t xml:space="preserve">(Alice, social work student) they could access, should they need to do so. </w:t>
      </w:r>
      <w:r w:rsidRPr="007C5CB9">
        <w:rPr>
          <w:i/>
        </w:rPr>
        <w:t>‘Peer support from other students’</w:t>
      </w:r>
      <w:r w:rsidRPr="007C5CB9">
        <w:t xml:space="preserve"> (Ruth, social work student) and the students’ own personal networks, while mentioned less by educators, was something students referenced when asked about support: </w:t>
      </w:r>
    </w:p>
    <w:p w14:paraId="44835727"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7DB35C70"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ab/>
      </w:r>
      <w:r w:rsidRPr="007C5CB9">
        <w:rPr>
          <w:i/>
        </w:rPr>
        <w:t>‘I have my peers to discuss information with and if the learning is distressing I also have my own family/ partner to talk to’</w:t>
      </w:r>
      <w:r w:rsidRPr="007C5CB9">
        <w:t xml:space="preserve"> (Sheila, social work student).</w:t>
      </w:r>
      <w:r w:rsidRPr="007C5CB9">
        <w:tab/>
      </w:r>
    </w:p>
    <w:p w14:paraId="64EE3CC1"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0A5F4959" w14:textId="563C47A9" w:rsidR="006835B5" w:rsidRPr="007C5CB9" w:rsidRDefault="009C2D00" w:rsidP="00E70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There was an acknowledgement </w:t>
      </w:r>
      <w:r w:rsidRPr="007C5CB9">
        <w:rPr>
          <w:i/>
        </w:rPr>
        <w:t xml:space="preserve">‘It has been a difficult year with the pandemic” </w:t>
      </w:r>
      <w:r w:rsidRPr="007C5CB9">
        <w:t xml:space="preserve"> (Les, social work student) and the associated shift to online teaching had made provision of support harder. For example, online teaching made it ‘</w:t>
      </w:r>
      <w:r w:rsidRPr="007C5CB9">
        <w:rPr>
          <w:i/>
        </w:rPr>
        <w:t>more difficult...to recognise and identify somebody might be distressed by something!’</w:t>
      </w:r>
      <w:r w:rsidRPr="007C5CB9">
        <w:t xml:space="preserve"> (Alice, social work educator). However, some educators commented on how this could help to establish trust and safety when teaching about difficult topics as it offered students the chance to </w:t>
      </w:r>
      <w:r w:rsidRPr="007C5CB9">
        <w:rPr>
          <w:i/>
        </w:rPr>
        <w:t xml:space="preserve">‘...easily kind of just go out of the room or switch off you know their camera or just log-off completely’ </w:t>
      </w:r>
      <w:r w:rsidRPr="007C5CB9">
        <w:t xml:space="preserve"> (Alice, social work educator).</w:t>
      </w:r>
    </w:p>
    <w:p w14:paraId="6195FDC7" w14:textId="52359DE6" w:rsidR="00E70651" w:rsidRPr="007C5CB9" w:rsidRDefault="00E70651" w:rsidP="00E70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6DF75BE4" w14:textId="458D23C7" w:rsidR="00E70651" w:rsidRPr="007C5CB9" w:rsidRDefault="00E70651" w:rsidP="00E70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52A25D23" w14:textId="77777777" w:rsidR="00E70651" w:rsidRPr="007C5CB9" w:rsidRDefault="00E70651" w:rsidP="00E70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048D8E96" w14:textId="77777777" w:rsidR="006835B5" w:rsidRPr="007C5CB9" w:rsidRDefault="009C2D00" w:rsidP="009E0B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i/>
        </w:rPr>
      </w:pPr>
      <w:r w:rsidRPr="007C5CB9">
        <w:rPr>
          <w:b/>
          <w:i/>
        </w:rPr>
        <w:lastRenderedPageBreak/>
        <w:t>Maximising Choice</w:t>
      </w:r>
    </w:p>
    <w:p w14:paraId="45A3CD42"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rPr>
      </w:pPr>
    </w:p>
    <w:p w14:paraId="380642BB"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Maximising choice includes examples of where students are offered choice and control over their engagement with difficult topics. This mainly related to choice over participation in class when difficult topics were being discussed, for example, as shared by one educator:</w:t>
      </w:r>
    </w:p>
    <w:p w14:paraId="633ACD08"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61D8A896" w14:textId="5497A5B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 xml:space="preserve">‘I did all my safety stuff, I did all of the… announcements beforehand, saying please look through, this is a very difficult topic, </w:t>
      </w:r>
      <w:r w:rsidR="007E08D4" w:rsidRPr="007C5CB9">
        <w:rPr>
          <w:i/>
        </w:rPr>
        <w:t>…</w:t>
      </w:r>
      <w:r w:rsidRPr="007C5CB9">
        <w:rPr>
          <w:i/>
        </w:rPr>
        <w:t xml:space="preserve"> don’t attend if you feel you're not able to’</w:t>
      </w:r>
      <w:r w:rsidRPr="007C5CB9">
        <w:t xml:space="preserve"> (Sally, social work educator).</w:t>
      </w:r>
    </w:p>
    <w:p w14:paraId="4FC865EC"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5FAE9FF"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Maximising choice also meant offering other ways to catch up, should a student feel unable to participate in a particular session with the need “</w:t>
      </w:r>
      <w:r w:rsidRPr="007C5CB9">
        <w:rPr>
          <w:i/>
        </w:rPr>
        <w:t>to be flexible</w:t>
      </w:r>
      <w:r w:rsidRPr="007C5CB9">
        <w:t>” highlighted by educators (Tom, social work educator). Again, it was clear from student responses they were aware of choices they were offered:</w:t>
      </w:r>
    </w:p>
    <w:p w14:paraId="15EFBE9F"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9708B37"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ab/>
      </w:r>
      <w:r w:rsidRPr="007C5CB9">
        <w:rPr>
          <w:i/>
        </w:rPr>
        <w:t>‘I feel most lessons have been delivered with students allowed choice’</w:t>
      </w:r>
      <w:r w:rsidRPr="007C5CB9">
        <w:t xml:space="preserve"> (Sheila, social work student).</w:t>
      </w:r>
    </w:p>
    <w:p w14:paraId="5D999253"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678F4FB8"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ab/>
      </w:r>
      <w:r w:rsidRPr="007C5CB9">
        <w:rPr>
          <w:i/>
        </w:rPr>
        <w:t xml:space="preserve">‘They [lecturers] advise us [topics may be distressing] and offer us an opportunity not to participate’ </w:t>
      </w:r>
      <w:r w:rsidRPr="007C5CB9">
        <w:t xml:space="preserve">(Lex, student social worker). </w:t>
      </w:r>
    </w:p>
    <w:p w14:paraId="7FF23050"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0934718A"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However, educators indicated they would not do this for every session, for example, if they did not perceive  the topic being covered would raise any difficulties for people:</w:t>
      </w:r>
    </w:p>
    <w:p w14:paraId="3BF47401"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C131F09"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‘I don’t give people the option of that for every session...I suppose I do make a judgement about whether the teaching is going to have any potential emotional impact’</w:t>
      </w:r>
      <w:r w:rsidRPr="007C5CB9">
        <w:t xml:space="preserve"> (Lucy, social work educator).</w:t>
      </w:r>
    </w:p>
    <w:p w14:paraId="749A597C"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6067D33F" w14:textId="77777777" w:rsidR="006835B5" w:rsidRPr="007C5CB9" w:rsidRDefault="009C2D00"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 xml:space="preserve">However, educators also recognised this could be a problematic approach as any topic could potentially cause upset: </w:t>
      </w:r>
    </w:p>
    <w:p w14:paraId="0A1FF2A1"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06ABBCB2" w14:textId="77777777" w:rsidR="006835B5" w:rsidRPr="007C5CB9" w:rsidRDefault="009C2D00" w:rsidP="009E0B25">
      <w:pPr>
        <w:spacing w:after="0"/>
        <w:ind w:firstLine="720"/>
      </w:pPr>
      <w:r w:rsidRPr="007C5CB9">
        <w:rPr>
          <w:i/>
        </w:rPr>
        <w:lastRenderedPageBreak/>
        <w:t xml:space="preserve">‘...any topic that I would teach I think has the potential to… to strike a chord with a person. And in a way you’ve got to be even more wary of those topics! They may seem innocuous on the surface’ </w:t>
      </w:r>
      <w:r w:rsidRPr="007C5CB9">
        <w:t>(Tom, social work educator).</w:t>
      </w:r>
    </w:p>
    <w:p w14:paraId="127495FB"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i/>
        </w:rPr>
      </w:pPr>
    </w:p>
    <w:p w14:paraId="1DAA7914" w14:textId="77777777" w:rsidR="006835B5" w:rsidRPr="007C5CB9" w:rsidRDefault="009C2D00" w:rsidP="009E0B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i/>
        </w:rPr>
      </w:pPr>
      <w:r w:rsidRPr="007C5CB9">
        <w:rPr>
          <w:b/>
          <w:i/>
        </w:rPr>
        <w:t>Encouraging Collaboration</w:t>
      </w:r>
    </w:p>
    <w:p w14:paraId="2FF3C544"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35E382BE"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Encouraging collaboration relates to examples where students were offered opportunities to engage in learning and collaborate with educators and peers around the topic. For example, educators spoke about the need for student feedback to help inform the way they approached and taught difficult topics: ‘</w:t>
      </w:r>
      <w:r w:rsidRPr="007C5CB9">
        <w:rPr>
          <w:i/>
        </w:rPr>
        <w:t>I ask for feedback constantly actually’</w:t>
      </w:r>
      <w:r w:rsidRPr="007C5CB9">
        <w:t xml:space="preserve"> (Bob, social work educator). Feedback from colleagues was also identified as a useful way to review teaching:</w:t>
      </w:r>
    </w:p>
    <w:p w14:paraId="741B7FF9"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E096233" w14:textId="40A3EE91"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 xml:space="preserve">‘...if there’s two of you </w:t>
      </w:r>
      <w:r w:rsidR="00402481" w:rsidRPr="007C5CB9">
        <w:rPr>
          <w:i/>
        </w:rPr>
        <w:t>[</w:t>
      </w:r>
      <w:r w:rsidR="00447B6A" w:rsidRPr="007C5CB9">
        <w:rPr>
          <w:i/>
        </w:rPr>
        <w:t xml:space="preserve">two </w:t>
      </w:r>
      <w:r w:rsidR="00402481" w:rsidRPr="007C5CB9">
        <w:rPr>
          <w:i/>
        </w:rPr>
        <w:t xml:space="preserve">educators team teaching together] </w:t>
      </w:r>
      <w:r w:rsidRPr="007C5CB9">
        <w:rPr>
          <w:i/>
        </w:rPr>
        <w:t>in a session</w:t>
      </w:r>
      <w:r w:rsidR="007E08D4" w:rsidRPr="007C5CB9">
        <w:rPr>
          <w:i/>
        </w:rPr>
        <w:t xml:space="preserve"> …</w:t>
      </w:r>
      <w:r w:rsidRPr="007C5CB9">
        <w:rPr>
          <w:i/>
        </w:rPr>
        <w:t xml:space="preserve"> you could </w:t>
      </w:r>
      <w:r w:rsidR="00402481" w:rsidRPr="007C5CB9">
        <w:rPr>
          <w:i/>
        </w:rPr>
        <w:t xml:space="preserve">[reflect with each other and] </w:t>
      </w:r>
      <w:r w:rsidRPr="007C5CB9">
        <w:rPr>
          <w:i/>
        </w:rPr>
        <w:t xml:space="preserve">sort of say, well did I do a good job of explaining those principles at the beginning of the session?’ </w:t>
      </w:r>
      <w:r w:rsidRPr="007C5CB9">
        <w:t xml:space="preserve"> (Alice, social work educator).</w:t>
      </w:r>
    </w:p>
    <w:p w14:paraId="29092A5A"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FAA80C8"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The students supported this commenting on how this was included within their teaching:</w:t>
      </w:r>
    </w:p>
    <w:p w14:paraId="2B1B5A70"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3695619" w14:textId="6C1FD63C" w:rsidR="006835B5" w:rsidRPr="007C5CB9" w:rsidRDefault="009C2D00" w:rsidP="009E0B25">
      <w:pPr>
        <w:spacing w:after="200"/>
        <w:ind w:firstLine="720"/>
        <w:jc w:val="left"/>
        <w:rPr>
          <w:i/>
        </w:rPr>
      </w:pPr>
      <w:r w:rsidRPr="007C5CB9">
        <w:rPr>
          <w:i/>
        </w:rPr>
        <w:t xml:space="preserve">‘There is a briefing </w:t>
      </w:r>
      <w:r w:rsidR="00447B6A" w:rsidRPr="007C5CB9">
        <w:rPr>
          <w:i/>
        </w:rPr>
        <w:t xml:space="preserve">[about the teaching material content] </w:t>
      </w:r>
      <w:r w:rsidRPr="007C5CB9">
        <w:rPr>
          <w:i/>
        </w:rPr>
        <w:t>at the start of session and discussions have allowed collaboration</w:t>
      </w:r>
      <w:r w:rsidR="00447B6A" w:rsidRPr="007C5CB9">
        <w:rPr>
          <w:i/>
        </w:rPr>
        <w:t xml:space="preserve"> [about how best students wish to engage with the material]</w:t>
      </w:r>
      <w:r w:rsidRPr="007C5CB9">
        <w:rPr>
          <w:i/>
        </w:rPr>
        <w:t>’ (Sheila, social work student)</w:t>
      </w:r>
    </w:p>
    <w:p w14:paraId="0EAFBE1C" w14:textId="39DBEB5F" w:rsidR="00B657F6" w:rsidRPr="007C5CB9" w:rsidRDefault="009C2D00" w:rsidP="009E0B25">
      <w:pPr>
        <w:spacing w:before="280" w:after="280"/>
      </w:pPr>
      <w:r w:rsidRPr="007C5CB9">
        <w:t>References to peer support students made (noted above) also demonstrate collaboration was an important aspect of working with difficult topics and one which students engaged with outside of systems and spaces set up by the educators.</w:t>
      </w:r>
    </w:p>
    <w:p w14:paraId="05CCEE80" w14:textId="77777777" w:rsidR="006835B5" w:rsidRPr="007C5CB9" w:rsidRDefault="009C2D00" w:rsidP="009E0B25">
      <w:pPr>
        <w:numPr>
          <w:ilvl w:val="0"/>
          <w:numId w:val="3"/>
        </w:numPr>
        <w:spacing w:before="280" w:after="280"/>
        <w:jc w:val="left"/>
        <w:rPr>
          <w:b/>
          <w:i/>
        </w:rPr>
      </w:pPr>
      <w:r w:rsidRPr="007C5CB9">
        <w:rPr>
          <w:b/>
          <w:i/>
        </w:rPr>
        <w:t>Establishing Trustworthiness</w:t>
      </w:r>
    </w:p>
    <w:p w14:paraId="21E64CAA" w14:textId="76AC811D" w:rsidR="006835B5" w:rsidRPr="007C5CB9" w:rsidRDefault="009C2D00" w:rsidP="009E0B25">
      <w:pPr>
        <w:spacing w:before="280" w:after="280"/>
        <w:rPr>
          <w:i/>
        </w:rPr>
      </w:pPr>
      <w:r w:rsidRPr="007C5CB9">
        <w:t xml:space="preserve">This theme encompasses examples of where </w:t>
      </w:r>
      <w:r w:rsidR="00EE4047" w:rsidRPr="007C5CB9">
        <w:t xml:space="preserve">educators </w:t>
      </w:r>
      <w:r w:rsidRPr="007C5CB9">
        <w:t>took measures to establish trust with their groups of students. For example, educators discussed how they used ground rules to establish trust within their teaching groups:</w:t>
      </w:r>
    </w:p>
    <w:p w14:paraId="7CA0BCAB" w14:textId="572509B8" w:rsidR="006835B5" w:rsidRPr="007C5CB9" w:rsidRDefault="009C2D00" w:rsidP="009E0B25">
      <w:pPr>
        <w:spacing w:before="280" w:after="280"/>
        <w:jc w:val="left"/>
      </w:pPr>
      <w:r w:rsidRPr="007C5CB9">
        <w:rPr>
          <w:i/>
        </w:rPr>
        <w:lastRenderedPageBreak/>
        <w:tab/>
        <w:t xml:space="preserve">‘And we do establish the ground rules in those sessions saying </w:t>
      </w:r>
      <w:r w:rsidR="007E08D4" w:rsidRPr="007C5CB9">
        <w:rPr>
          <w:i/>
        </w:rPr>
        <w:t>…</w:t>
      </w:r>
      <w:r w:rsidRPr="007C5CB9">
        <w:rPr>
          <w:i/>
        </w:rPr>
        <w:t xml:space="preserve"> this is for within the room, it’s confidential, you can challenge each other’s ideas, but </w:t>
      </w:r>
      <w:r w:rsidR="007E08D4" w:rsidRPr="007C5CB9">
        <w:rPr>
          <w:i/>
        </w:rPr>
        <w:t>…</w:t>
      </w:r>
      <w:r w:rsidRPr="007C5CB9">
        <w:rPr>
          <w:i/>
        </w:rPr>
        <w:t xml:space="preserve"> I suppose I won’t tolerate you challenging each other … the person. … that’s kind of the first thing they learn as well. So it’s setting that right at the very beginning…’ (</w:t>
      </w:r>
      <w:r w:rsidRPr="007C5CB9">
        <w:t>Alice, social work educator).</w:t>
      </w:r>
    </w:p>
    <w:p w14:paraId="3D72F4DE"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The development of relationships between students and educators was an important aspect of building trust:</w:t>
      </w:r>
    </w:p>
    <w:p w14:paraId="7E28AF27"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79D46872"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‘Something I think we need to [do] much more on...in the induction process, [is] to start building up that kind of trust’</w:t>
      </w:r>
      <w:r w:rsidRPr="007C5CB9">
        <w:t xml:space="preserve"> (Alice, social worker).</w:t>
      </w:r>
    </w:p>
    <w:p w14:paraId="64B7D23A"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7B08DBCD"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The development of trust was linked to discussions about transparency in teaching, for example, being open about the topics that need to be covered and the realities of practice:</w:t>
      </w:r>
    </w:p>
    <w:p w14:paraId="1DE5346C"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p>
    <w:p w14:paraId="7D18CAE7"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“I think what also helps though is… being really honest with students and using examples from my own practice”</w:t>
      </w:r>
      <w:r w:rsidRPr="007C5CB9">
        <w:t xml:space="preserve"> (Becky, social work educator).</w:t>
      </w:r>
    </w:p>
    <w:p w14:paraId="3B2CFE8C"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482E19CD"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Students also acknowledged the need for this:</w:t>
      </w:r>
    </w:p>
    <w:p w14:paraId="2BA09841"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430C0768" w14:textId="122F5101" w:rsidR="006835B5" w:rsidRPr="007C5CB9" w:rsidRDefault="009C2D00" w:rsidP="0080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“...social work is about protecting vulnerable [people] so some sensitive case studies are to be expected”</w:t>
      </w:r>
      <w:r w:rsidRPr="007C5CB9">
        <w:t xml:space="preserve"> (Ruth, social work student).</w:t>
      </w:r>
    </w:p>
    <w:p w14:paraId="3F84FDD8"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i/>
        </w:rPr>
      </w:pPr>
    </w:p>
    <w:p w14:paraId="6C0B28E0" w14:textId="77777777" w:rsidR="006835B5" w:rsidRPr="007C5CB9" w:rsidRDefault="009C2D00" w:rsidP="009E0B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i/>
        </w:rPr>
      </w:pPr>
      <w:r w:rsidRPr="007C5CB9">
        <w:rPr>
          <w:b/>
          <w:i/>
        </w:rPr>
        <w:t>Prioritising Empowerment</w:t>
      </w:r>
    </w:p>
    <w:p w14:paraId="032BF850"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48E1CDEF" w14:textId="5AEC0112"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Educators provided examples of techniques and approaches used to empower their students. Students expressed feelings of self-confidence in their ability to manage di</w:t>
      </w:r>
      <w:r w:rsidR="00B657F6" w:rsidRPr="007C5CB9">
        <w:t xml:space="preserve">stressing </w:t>
      </w:r>
      <w:r w:rsidRPr="007C5CB9">
        <w:t>topics and emphasised the importance of being able to manage different situations:</w:t>
      </w:r>
    </w:p>
    <w:p w14:paraId="19A61E80"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14ECC25C"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t>‘</w:t>
      </w:r>
      <w:r w:rsidRPr="007C5CB9">
        <w:rPr>
          <w:i/>
        </w:rPr>
        <w:t>I feel the desire to become  a social worker requires me to be exposed to information on every type of difficult scenario or situation that will help develop my understanding of potential cases in future practice</w:t>
      </w:r>
      <w:r w:rsidRPr="007C5CB9">
        <w:t>’ (Sheila, social work student).</w:t>
      </w:r>
    </w:p>
    <w:p w14:paraId="59E8FD31"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4EBAF446" w14:textId="2BDC20BB"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lastRenderedPageBreak/>
        <w:t>Educators discussed ways in which they empowered, or enabled, students to be able to work with difficult areas, for example, by adopting a strength based approach in interactions with students:</w:t>
      </w:r>
    </w:p>
    <w:p w14:paraId="36E074C2" w14:textId="77777777" w:rsidR="00FE2A3C" w:rsidRPr="007C5CB9" w:rsidRDefault="00FE2A3C"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14:paraId="753A0F1F" w14:textId="77777777" w:rsidR="006835B5" w:rsidRPr="007C5CB9" w:rsidRDefault="009C2D00" w:rsidP="009E0B25">
      <w:pPr>
        <w:spacing w:after="200"/>
        <w:ind w:firstLine="720"/>
      </w:pPr>
      <w:r w:rsidRPr="007C5CB9">
        <w:rPr>
          <w:i/>
        </w:rPr>
        <w:t> ’So what I tend to do with anyone who’s interacting with me… always looking for…where is the positive thing that they're doing that I can draw attention to?’ (Bob, social work educator).</w:t>
      </w:r>
    </w:p>
    <w:p w14:paraId="273B6427" w14:textId="5BEC139C" w:rsidR="006835B5" w:rsidRPr="007C5CB9" w:rsidRDefault="009C2D00" w:rsidP="009E0B25">
      <w:pPr>
        <w:spacing w:after="200"/>
      </w:pPr>
      <w:r w:rsidRPr="007C5CB9">
        <w:t>Other educators echoed this approach and emphasised the importance of reminding students it was okay to ‘</w:t>
      </w:r>
      <w:r w:rsidRPr="007C5CB9">
        <w:rPr>
          <w:i/>
        </w:rPr>
        <w:t>struggle</w:t>
      </w:r>
      <w:r w:rsidRPr="007C5CB9">
        <w:t>’ sometimes, that this was natural and ‘...</w:t>
      </w:r>
      <w:r w:rsidRPr="007C5CB9">
        <w:rPr>
          <w:i/>
        </w:rPr>
        <w:t xml:space="preserve">human nature and everybody struggles sometimes and actually being reflective and identifying and recognising that is a strength. And just reminding students of that message and… and reiterating it’ </w:t>
      </w:r>
      <w:r w:rsidRPr="007C5CB9">
        <w:t>(Tom, social work educator). Prioritising empowerment was something educators had at the heart of their practice which was closely linked to promoting resilience.</w:t>
      </w:r>
    </w:p>
    <w:p w14:paraId="2C7DF18E" w14:textId="77777777" w:rsidR="006835B5" w:rsidRPr="007C5CB9" w:rsidRDefault="009C2D00" w:rsidP="009E0B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i/>
        </w:rPr>
      </w:pPr>
      <w:r w:rsidRPr="007C5CB9">
        <w:rPr>
          <w:b/>
          <w:i/>
        </w:rPr>
        <w:t>Promoting Resilience</w:t>
      </w:r>
    </w:p>
    <w:p w14:paraId="76A88FB4"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b/>
        </w:rPr>
      </w:pPr>
    </w:p>
    <w:p w14:paraId="3B9DD24B" w14:textId="745043FD" w:rsidR="006835B5" w:rsidRPr="007C5CB9" w:rsidRDefault="009C2D00" w:rsidP="009E0B25">
      <w:pPr>
        <w:spacing w:after="0"/>
      </w:pPr>
      <w:r w:rsidRPr="007C5CB9">
        <w:t>Promoting resilience includes examples where educators and students spoke about how they developed resilience and ability to cope with difficult topics and experiences</w:t>
      </w:r>
      <w:r w:rsidR="008B676F" w:rsidRPr="007C5CB9">
        <w:t>, for example,  by sharing emotions</w:t>
      </w:r>
      <w:r w:rsidRPr="007C5CB9">
        <w:t xml:space="preserve">. Promoting resilience was discussed as the ability to be absorbed in and work with these topics.  Particularly important to students was how, during discussion, emotions were identified and used to acknowledge and manage their own previous experiences and reactions to the material. Educators spoke about the need to support the development of resilience and students’ ability to talk about and work with trauma and difficult areas of practice.  Also the promotion of resilience was linked to </w:t>
      </w:r>
      <w:r w:rsidRPr="007C5CB9">
        <w:rPr>
          <w:i/>
        </w:rPr>
        <w:t xml:space="preserve">‘the importance of self-reflection...and knowing what you can deal with and what you can't’ </w:t>
      </w:r>
      <w:r w:rsidRPr="007C5CB9">
        <w:t xml:space="preserve">(Becky, social work educator).  Students also commented on the need to </w:t>
      </w:r>
      <w:r w:rsidRPr="007C5CB9">
        <w:rPr>
          <w:i/>
        </w:rPr>
        <w:t xml:space="preserve">‘be able to attend topics, learn about situations and hear stories that may be the most horrific situation’ </w:t>
      </w:r>
      <w:r w:rsidRPr="007C5CB9">
        <w:t>(Sheila, social work student).  Educators and students spoke of the strategies used to promote resilience:</w:t>
      </w:r>
    </w:p>
    <w:p w14:paraId="30996249"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075C5899" w14:textId="251F3BF9"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‘...I  would start with...exploring their current understanding of… vicarious trauma  or abuse</w:t>
      </w:r>
      <w:r w:rsidR="00AB2834" w:rsidRPr="007C5CB9">
        <w:rPr>
          <w:i/>
        </w:rPr>
        <w:t>..</w:t>
      </w:r>
      <w:r w:rsidRPr="007C5CB9">
        <w:rPr>
          <w:i/>
        </w:rPr>
        <w:t xml:space="preserve">. And then talk about how it feels to talk about those things, why we don’t talk about them…’ </w:t>
      </w:r>
      <w:r w:rsidRPr="007C5CB9">
        <w:t>(Kenny, social work educator).</w:t>
      </w:r>
    </w:p>
    <w:p w14:paraId="7CBFA365"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EEC5446" w14:textId="77777777" w:rsidR="006835B5" w:rsidRPr="007C5CB9" w:rsidRDefault="009C2D00" w:rsidP="009E0B25">
      <w:pPr>
        <w:ind w:firstLine="720"/>
      </w:pPr>
      <w:r w:rsidRPr="007C5CB9">
        <w:rPr>
          <w:i/>
        </w:rPr>
        <w:t>‘We are given lots of advice by the lecturers on coping mechanisms and self-care’ (</w:t>
      </w:r>
      <w:r w:rsidRPr="007C5CB9">
        <w:t>Cassandra, social work student).</w:t>
      </w:r>
    </w:p>
    <w:p w14:paraId="2B69E190" w14:textId="694750E2"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sidRPr="007C5CB9">
        <w:t>The use of humour was also cited by some as a way of learning to deal with difficult topics</w:t>
      </w:r>
      <w:r w:rsidR="002958E5" w:rsidRPr="007C5CB9">
        <w:t>:</w:t>
      </w:r>
    </w:p>
    <w:p w14:paraId="17FF2CE1"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336965DE" w14:textId="7F84A326"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‘...there is a lot of...</w:t>
      </w:r>
      <w:r w:rsidR="002958E5" w:rsidRPr="007C5CB9">
        <w:rPr>
          <w:i/>
        </w:rPr>
        <w:t xml:space="preserve"> </w:t>
      </w:r>
      <w:r w:rsidRPr="007C5CB9">
        <w:rPr>
          <w:i/>
        </w:rPr>
        <w:t xml:space="preserve">humour </w:t>
      </w:r>
      <w:r w:rsidR="002958E5" w:rsidRPr="007C5CB9">
        <w:rPr>
          <w:i/>
        </w:rPr>
        <w:t>…</w:t>
      </w:r>
      <w:r w:rsidRPr="007C5CB9">
        <w:rPr>
          <w:i/>
        </w:rPr>
        <w:t xml:space="preserve"> and I think people </w:t>
      </w:r>
      <w:r w:rsidR="00DC4D0F" w:rsidRPr="007C5CB9">
        <w:rPr>
          <w:i/>
        </w:rPr>
        <w:t xml:space="preserve">[educators and students] </w:t>
      </w:r>
      <w:r w:rsidRPr="007C5CB9">
        <w:rPr>
          <w:i/>
        </w:rPr>
        <w:t>do use</w:t>
      </w:r>
      <w:r w:rsidR="00425779" w:rsidRPr="007C5CB9">
        <w:rPr>
          <w:i/>
        </w:rPr>
        <w:t>…</w:t>
      </w:r>
      <w:r w:rsidRPr="007C5CB9">
        <w:rPr>
          <w:i/>
        </w:rPr>
        <w:t xml:space="preserve">humour sometimes as a way of coping with things’  </w:t>
      </w:r>
      <w:r w:rsidRPr="007C5CB9">
        <w:t>(Alice, social work educator).</w:t>
      </w:r>
    </w:p>
    <w:p w14:paraId="6D75BCFA"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58DFC006" w14:textId="77777777" w:rsidR="006835B5" w:rsidRPr="007C5CB9" w:rsidRDefault="009C2D00"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The role of emotions was discussed and educators and students acknowledged the importance of being able to share emotions and feel supported to do so:</w:t>
      </w:r>
    </w:p>
    <w:p w14:paraId="1AD6941A"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34FC6ED4"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‘[I]...make it clear that it’s upsetting, make it clear that maybe I get upset by it as well and that that’s fine, and that's natural… it isn’t something that will be you know overly picked upon or frowned upon or anything like that’ (</w:t>
      </w:r>
      <w:r w:rsidRPr="007C5CB9">
        <w:t>Sally, social work educator).</w:t>
      </w:r>
    </w:p>
    <w:p w14:paraId="53349C7F"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4649A0B"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ab/>
      </w:r>
      <w:r w:rsidRPr="007C5CB9">
        <w:rPr>
          <w:i/>
        </w:rPr>
        <w:t>‘I feel listened to and understood. Staff always thank students for sharing’</w:t>
      </w:r>
      <w:r w:rsidRPr="007C5CB9">
        <w:t xml:space="preserve"> (Kerry, social work student).</w:t>
      </w:r>
    </w:p>
    <w:p w14:paraId="42764CAC"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4F68308F"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However, there were caveats to this and it was clear from responses there were limitations in when and how people felt able to share emotion. For example, one student commented they would not always feel comfortable sharing emotions in case this reflected badly on their professional status and suitability for the role:</w:t>
      </w:r>
    </w:p>
    <w:p w14:paraId="6B1BC220"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68F31162" w14:textId="0120AB01" w:rsidR="006835B5" w:rsidRPr="007C5CB9" w:rsidRDefault="009C2D00" w:rsidP="00AB2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highlight w:val="white"/>
        </w:rPr>
      </w:pPr>
      <w:r w:rsidRPr="007C5CB9">
        <w:rPr>
          <w:highlight w:val="white"/>
        </w:rPr>
        <w:tab/>
      </w:r>
      <w:r w:rsidRPr="007C5CB9">
        <w:rPr>
          <w:i/>
          <w:highlight w:val="white"/>
        </w:rPr>
        <w:t xml:space="preserve">‘I feel that it is okay, but it carries a risk of appearing to be fragile and as a student, possibly not suited for the profession’ </w:t>
      </w:r>
      <w:r w:rsidRPr="007C5CB9">
        <w:rPr>
          <w:highlight w:val="white"/>
        </w:rPr>
        <w:t>(Brian, social work student).</w:t>
      </w:r>
    </w:p>
    <w:p w14:paraId="4FEEDE87" w14:textId="77777777"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highlight w:val="white"/>
        </w:rPr>
      </w:pPr>
      <w:r w:rsidRPr="007C5CB9">
        <w:rPr>
          <w:highlight w:val="white"/>
        </w:rPr>
        <w:t>This student went on to say:</w:t>
      </w:r>
    </w:p>
    <w:p w14:paraId="19DBB989"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highlight w:val="white"/>
        </w:rPr>
      </w:pPr>
    </w:p>
    <w:p w14:paraId="73FDB049" w14:textId="5B15C736" w:rsidR="006835B5" w:rsidRPr="007C5CB9" w:rsidRDefault="009C2D00" w:rsidP="009E0B25">
      <w:r w:rsidRPr="007C5CB9">
        <w:rPr>
          <w:highlight w:val="white"/>
        </w:rPr>
        <w:tab/>
      </w:r>
      <w:r w:rsidRPr="007C5CB9">
        <w:rPr>
          <w:i/>
          <w:highlight w:val="white"/>
        </w:rPr>
        <w:t>‘</w:t>
      </w:r>
      <w:r w:rsidRPr="007C5CB9">
        <w:rPr>
          <w:i/>
        </w:rPr>
        <w:t>[Educators]...did acknowledge particularly difficult and distressing aspects of their previous work. I found this to be insightful, helpful and honest. I feel [they] were in a better position to disclose previous feelings of distress as they had already proven their competence and ability to cope as a social work practitioner</w:t>
      </w:r>
      <w:r w:rsidRPr="007C5CB9">
        <w:t>’ (Brian, social work student).</w:t>
      </w:r>
    </w:p>
    <w:p w14:paraId="6660CE5D" w14:textId="19EC407F" w:rsidR="006835B5" w:rsidRPr="007C5CB9" w:rsidRDefault="009C2D00" w:rsidP="009E0B25">
      <w:pPr>
        <w:widowControl w:val="0"/>
        <w:spacing w:after="0"/>
      </w:pPr>
      <w:r w:rsidRPr="007C5CB9">
        <w:lastRenderedPageBreak/>
        <w:t xml:space="preserve">Educators acknowledged this was an important area, but one of balance. Sally (social work educator), for example, did not want students to feel </w:t>
      </w:r>
      <w:r w:rsidRPr="007C5CB9">
        <w:rPr>
          <w:i/>
        </w:rPr>
        <w:t>‘they have to be hard’,</w:t>
      </w:r>
      <w:r w:rsidRPr="007C5CB9">
        <w:t xml:space="preserve"> but also commented on the need to be professional when sharing emotions</w:t>
      </w:r>
      <w:r w:rsidR="00F34BEF" w:rsidRPr="007C5CB9">
        <w:t xml:space="preserve"> with educators and other students</w:t>
      </w:r>
      <w:r w:rsidRPr="007C5CB9">
        <w:t>:</w:t>
      </w:r>
    </w:p>
    <w:p w14:paraId="2AD9AAB7" w14:textId="77777777" w:rsidR="006835B5" w:rsidRPr="007C5CB9" w:rsidRDefault="006835B5" w:rsidP="009E0B25">
      <w:pPr>
        <w:widowControl w:val="0"/>
        <w:spacing w:after="0"/>
        <w:jc w:val="left"/>
      </w:pPr>
    </w:p>
    <w:p w14:paraId="7B76FBA7" w14:textId="77777777" w:rsidR="006835B5" w:rsidRPr="007C5CB9" w:rsidRDefault="009C2D00" w:rsidP="009E0B25">
      <w:pPr>
        <w:widowControl w:val="0"/>
        <w:spacing w:after="0"/>
        <w:ind w:firstLine="720"/>
        <w:jc w:val="left"/>
      </w:pPr>
      <w:r w:rsidRPr="007C5CB9">
        <w:rPr>
          <w:i/>
        </w:rPr>
        <w:t xml:space="preserve">‘Obviously it needs to be professional and… the right time and the right place, but I think showing emotion is really important in a safe space’ </w:t>
      </w:r>
      <w:r w:rsidRPr="007C5CB9">
        <w:t xml:space="preserve"> (Sally, social work educator).</w:t>
      </w:r>
    </w:p>
    <w:p w14:paraId="1EA13952" w14:textId="77777777" w:rsidR="006835B5" w:rsidRPr="007C5CB9" w:rsidRDefault="006835B5"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2A20B7D0" w14:textId="6C840BE0" w:rsidR="006835B5"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7C5CB9">
        <w:t xml:space="preserve">This ‘balance’ that needed to be struck was one where educators sought to teach to their students it is alright to show emotion, but it should be done in a way that does not </w:t>
      </w:r>
      <w:r w:rsidRPr="007C5CB9">
        <w:rPr>
          <w:i/>
        </w:rPr>
        <w:t>‘make it all about you [as that]...doesn’t help or encourage people’</w:t>
      </w:r>
      <w:r w:rsidRPr="007C5CB9">
        <w:t xml:space="preserve"> (Bob, social work educator). One student was concerned that the space to share emotion and experience was often dominated by </w:t>
      </w:r>
      <w:r w:rsidRPr="007C5CB9">
        <w:rPr>
          <w:i/>
        </w:rPr>
        <w:t>‘oversharers in class</w:t>
      </w:r>
      <w:r w:rsidR="00FE2A3C" w:rsidRPr="007C5CB9">
        <w:rPr>
          <w:i/>
        </w:rPr>
        <w:t>…</w:t>
      </w:r>
      <w:r w:rsidRPr="007C5CB9">
        <w:rPr>
          <w:i/>
        </w:rPr>
        <w:t>’</w:t>
      </w:r>
      <w:r w:rsidRPr="007C5CB9">
        <w:t xml:space="preserve"> (Lily, social work student), again supporting the need to find a ‘balance’ in when and how sharing takes place.</w:t>
      </w:r>
    </w:p>
    <w:p w14:paraId="4233542C" w14:textId="77777777" w:rsidR="006835B5" w:rsidRPr="007C5CB9" w:rsidRDefault="006835B5" w:rsidP="009E0B25">
      <w:pPr>
        <w:spacing w:after="0"/>
        <w:jc w:val="left"/>
        <w:rPr>
          <w:b/>
          <w:sz w:val="28"/>
          <w:szCs w:val="28"/>
        </w:rPr>
      </w:pPr>
    </w:p>
    <w:p w14:paraId="463105EF" w14:textId="77777777" w:rsidR="006835B5" w:rsidRPr="007C5CB9" w:rsidRDefault="009C2D00" w:rsidP="009E0B25">
      <w:pPr>
        <w:spacing w:after="0"/>
        <w:jc w:val="left"/>
        <w:rPr>
          <w:b/>
          <w:sz w:val="28"/>
          <w:szCs w:val="28"/>
        </w:rPr>
      </w:pPr>
      <w:r w:rsidRPr="007C5CB9">
        <w:rPr>
          <w:b/>
          <w:sz w:val="28"/>
          <w:szCs w:val="28"/>
        </w:rPr>
        <w:t>Discussion</w:t>
      </w:r>
    </w:p>
    <w:p w14:paraId="61BD7584" w14:textId="77777777" w:rsidR="006835B5" w:rsidRPr="007C5CB9" w:rsidRDefault="006835B5" w:rsidP="009E0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p>
    <w:p w14:paraId="0A55D2BE" w14:textId="766C0540" w:rsidR="0080231A" w:rsidRPr="007C5CB9" w:rsidRDefault="009C2D00" w:rsidP="009E0B25">
      <w:pPr>
        <w:spacing w:after="0"/>
      </w:pPr>
      <w:r w:rsidRPr="007C5CB9">
        <w:t xml:space="preserve">As the starting point for developing ‘best practice’ in trauma-informed social work teaching, a review of literature highlighted how educators need to develop and/or enhance knowledge of vicarious trauma, secondary traumatic stress and the potential longer-term effects of these phenomena on students' wellbeing. Linked to this is the importance of considering risk of (re)traumatisation during teaching of trauma-related material for all students, especially those who have experienced </w:t>
      </w:r>
      <w:r w:rsidR="008B676F" w:rsidRPr="007C5CB9">
        <w:t xml:space="preserve">several </w:t>
      </w:r>
      <w:r w:rsidRPr="007C5CB9">
        <w:t xml:space="preserve">ACE (Newell and McNeil, 2010).   The </w:t>
      </w:r>
      <w:r w:rsidR="00FE2A3C" w:rsidRPr="007C5CB9">
        <w:t xml:space="preserve">present study </w:t>
      </w:r>
      <w:r w:rsidRPr="007C5CB9">
        <w:t>findings</w:t>
      </w:r>
      <w:r w:rsidR="00FE2A3C" w:rsidRPr="007C5CB9">
        <w:t xml:space="preserve"> </w:t>
      </w:r>
      <w:r w:rsidRPr="007C5CB9">
        <w:t xml:space="preserve">revealed educators were aware of the potential for their students to have experienced various ACE and/or traumatic events, and the potential impact of learning about difficult topics on their students’ wellbeing. However, there was a lack of explicit, in-depth knowledge and understanding of these areas and in particular about the different types of trauma and of trauma-informed principles and pedagogical practices.  As noted in the literature, critical understanding and application of knowledge about vicarious trauma, secondary traumatic stress and ACE and safely facilitating exposure to other trauma-material utilising trauma-informed principles is essential to support students’ professional learning </w:t>
      </w:r>
      <w:r w:rsidRPr="007C5CB9">
        <w:lastRenderedPageBreak/>
        <w:t xml:space="preserve">and personal development (Carello and Butler, 2015).  The present study revealed, whilst not working to an explicit framework, educators implicitly </w:t>
      </w:r>
      <w:r w:rsidR="00FE2A3C" w:rsidRPr="007C5CB9">
        <w:t xml:space="preserve">applied </w:t>
      </w:r>
      <w:r w:rsidRPr="007C5CB9">
        <w:t>strategies and techniques which aligned with the five trauma-informed principles of</w:t>
      </w:r>
      <w:r w:rsidRPr="007C5CB9">
        <w:rPr>
          <w:i/>
        </w:rPr>
        <w:t xml:space="preserve"> safety, trustworthiness, choice, collaboration </w:t>
      </w:r>
      <w:r w:rsidRPr="007C5CB9">
        <w:t xml:space="preserve">and </w:t>
      </w:r>
      <w:r w:rsidRPr="007C5CB9">
        <w:rPr>
          <w:i/>
        </w:rPr>
        <w:t>empowerment</w:t>
      </w:r>
      <w:r w:rsidRPr="007C5CB9">
        <w:t xml:space="preserve"> </w:t>
      </w:r>
      <w:r w:rsidR="00FE2A3C" w:rsidRPr="007C5CB9">
        <w:t xml:space="preserve">presented in the literature </w:t>
      </w:r>
      <w:r w:rsidRPr="007C5CB9">
        <w:t xml:space="preserve">and a sixth principle, </w:t>
      </w:r>
      <w:r w:rsidRPr="007C5CB9">
        <w:rPr>
          <w:i/>
        </w:rPr>
        <w:t>promoting resilience</w:t>
      </w:r>
      <w:r w:rsidRPr="007C5CB9">
        <w:t xml:space="preserve"> which was identified through data analysis. </w:t>
      </w:r>
    </w:p>
    <w:p w14:paraId="3B2F3C51" w14:textId="77777777" w:rsidR="006835B5" w:rsidRPr="007C5CB9" w:rsidRDefault="006835B5" w:rsidP="009E0B25">
      <w:pPr>
        <w:spacing w:after="0"/>
        <w:jc w:val="left"/>
      </w:pPr>
    </w:p>
    <w:p w14:paraId="4382AE3B" w14:textId="69DE35E4" w:rsidR="006835B5" w:rsidRPr="007C5CB9" w:rsidRDefault="009C2D00" w:rsidP="009E0B25">
      <w:pPr>
        <w:spacing w:after="0"/>
        <w:ind w:firstLine="720"/>
        <w:jc w:val="left"/>
        <w:rPr>
          <w:b/>
        </w:rPr>
      </w:pPr>
      <w:r w:rsidRPr="007C5CB9">
        <w:rPr>
          <w:b/>
        </w:rPr>
        <w:t>Trauma informed principles in the classroom</w:t>
      </w:r>
    </w:p>
    <w:p w14:paraId="0762DB10" w14:textId="77777777" w:rsidR="006835B5" w:rsidRPr="007C5CB9" w:rsidRDefault="006835B5" w:rsidP="009E0B25">
      <w:pPr>
        <w:spacing w:after="0"/>
        <w:jc w:val="left"/>
      </w:pPr>
    </w:p>
    <w:p w14:paraId="40B16D17" w14:textId="47725200" w:rsidR="00FE2A3C" w:rsidRPr="007C5CB9" w:rsidRDefault="009C2D0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rPr>
      </w:pPr>
      <w:r w:rsidRPr="007C5CB9">
        <w:t xml:space="preserve">Whilst educators’ knowledge of trauma was disparate, all were ethically aware of the potential for trauma-related material to be distressing to students and each took steps to address and manage this sensitively. </w:t>
      </w:r>
      <w:r w:rsidR="00FE2A3C" w:rsidRPr="007C5CB9">
        <w:t xml:space="preserve"> </w:t>
      </w:r>
      <w:r w:rsidRPr="007C5CB9">
        <w:t xml:space="preserve">Likewise, students recognised the importance of learning about these topics and appreciated ways subjects were approached and taught.  While none of the </w:t>
      </w:r>
      <w:r w:rsidR="00515A95" w:rsidRPr="007C5CB9">
        <w:t xml:space="preserve">educators </w:t>
      </w:r>
      <w:r w:rsidRPr="007C5CB9">
        <w:t xml:space="preserve">framed their responses within an explicit trauma-informed approach, it was apparent this was implicit in their teaching. Overall, it is clear a range of strategies and techniques are adopted by social work educators to support their students. Although they are linked to particular principles it should also be noted each of these also intersect.  For example, it would be very difficult to ensure safety without also establishing trust. As such, there is considerable overlap between strategies educators adopted.    Promoting resilience was not part of the original framework considered within this research. However, it was an important aspect of the data, particularly in relation to how emotions are managed when learning and working with difficult scenarios.  An overview of the principles of a trauma-informed approach and the techniques and strategies adopted that fit within this is provided below in </w:t>
      </w:r>
      <w:r w:rsidRPr="007C5CB9">
        <w:rPr>
          <w:b/>
          <w:bCs/>
        </w:rPr>
        <w:t xml:space="preserve">Table </w:t>
      </w:r>
      <w:r w:rsidR="00F63B3D" w:rsidRPr="007C5CB9">
        <w:rPr>
          <w:b/>
          <w:bCs/>
        </w:rPr>
        <w:t>2</w:t>
      </w:r>
      <w:r w:rsidRPr="007C5CB9">
        <w:rPr>
          <w:b/>
          <w:bCs/>
        </w:rPr>
        <w:t>:</w:t>
      </w:r>
    </w:p>
    <w:p w14:paraId="0F4F4128" w14:textId="77777777" w:rsidR="00DE3B60" w:rsidRPr="007C5CB9" w:rsidRDefault="00DE3B60" w:rsidP="009E0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rPr>
      </w:pPr>
    </w:p>
    <w:p w14:paraId="0A1733F5" w14:textId="0A0B76B4" w:rsidR="00A14340" w:rsidRPr="007C5CB9" w:rsidRDefault="00A14340" w:rsidP="00A14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rPr>
      </w:pPr>
      <w:r w:rsidRPr="007C5CB9">
        <w:rPr>
          <w:b/>
        </w:rPr>
        <w:t xml:space="preserve">Table </w:t>
      </w:r>
      <w:r w:rsidR="00F63B3D" w:rsidRPr="007C5CB9">
        <w:rPr>
          <w:b/>
        </w:rPr>
        <w:t>2</w:t>
      </w:r>
      <w:r w:rsidRPr="007C5CB9">
        <w:rPr>
          <w:b/>
        </w:rPr>
        <w:t>: Trauma-informed principles and application</w:t>
      </w:r>
    </w:p>
    <w:p w14:paraId="3730E33E" w14:textId="77777777" w:rsidR="00A14340" w:rsidRPr="007C5CB9" w:rsidRDefault="00A14340" w:rsidP="00A14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pPr>
    </w:p>
    <w:tbl>
      <w:tblPr>
        <w:tblW w:w="9015"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955"/>
        <w:gridCol w:w="6060"/>
      </w:tblGrid>
      <w:tr w:rsidR="007C5CB9" w:rsidRPr="007C5CB9" w14:paraId="0087847B" w14:textId="77777777" w:rsidTr="00774608">
        <w:tc>
          <w:tcPr>
            <w:tcW w:w="2955" w:type="dxa"/>
          </w:tcPr>
          <w:p w14:paraId="698AA5ED" w14:textId="77777777" w:rsidR="00A14340" w:rsidRPr="007C5CB9" w:rsidRDefault="00A14340" w:rsidP="00A14340">
            <w:pPr>
              <w:spacing w:after="0" w:line="240" w:lineRule="auto"/>
              <w:jc w:val="left"/>
              <w:rPr>
                <w:b/>
              </w:rPr>
            </w:pPr>
            <w:r w:rsidRPr="007C5CB9">
              <w:rPr>
                <w:b/>
              </w:rPr>
              <w:t>Trauma-informed principle:</w:t>
            </w:r>
          </w:p>
        </w:tc>
        <w:tc>
          <w:tcPr>
            <w:tcW w:w="6060" w:type="dxa"/>
          </w:tcPr>
          <w:p w14:paraId="070C5E3A" w14:textId="77777777" w:rsidR="00A14340" w:rsidRPr="007C5CB9" w:rsidRDefault="00A14340" w:rsidP="00A14340">
            <w:pPr>
              <w:spacing w:after="0" w:line="240" w:lineRule="auto"/>
              <w:jc w:val="left"/>
              <w:rPr>
                <w:b/>
              </w:rPr>
            </w:pPr>
            <w:r w:rsidRPr="007C5CB9">
              <w:rPr>
                <w:b/>
              </w:rPr>
              <w:t>Examples of principle application:</w:t>
            </w:r>
          </w:p>
        </w:tc>
      </w:tr>
      <w:tr w:rsidR="007C5CB9" w:rsidRPr="007C5CB9" w14:paraId="3FA9DECB" w14:textId="77777777" w:rsidTr="00774608">
        <w:tc>
          <w:tcPr>
            <w:tcW w:w="2955" w:type="dxa"/>
          </w:tcPr>
          <w:p w14:paraId="69F21901" w14:textId="77777777" w:rsidR="00A14340" w:rsidRPr="007C5CB9" w:rsidRDefault="00A14340" w:rsidP="00A14340">
            <w:pPr>
              <w:spacing w:after="0" w:line="240" w:lineRule="auto"/>
              <w:jc w:val="left"/>
              <w:rPr>
                <w:b/>
                <w:sz w:val="20"/>
                <w:szCs w:val="20"/>
              </w:rPr>
            </w:pPr>
          </w:p>
          <w:p w14:paraId="07B62FA8" w14:textId="77777777" w:rsidR="00A14340" w:rsidRPr="007C5CB9" w:rsidRDefault="00A14340" w:rsidP="00A14340">
            <w:pPr>
              <w:spacing w:after="0" w:line="240" w:lineRule="auto"/>
              <w:jc w:val="left"/>
              <w:rPr>
                <w:b/>
                <w:sz w:val="20"/>
                <w:szCs w:val="20"/>
              </w:rPr>
            </w:pPr>
            <w:r w:rsidRPr="007C5CB9">
              <w:rPr>
                <w:b/>
                <w:sz w:val="20"/>
                <w:szCs w:val="20"/>
              </w:rPr>
              <w:t>Ensuring safety</w:t>
            </w:r>
          </w:p>
        </w:tc>
        <w:tc>
          <w:tcPr>
            <w:tcW w:w="6060" w:type="dxa"/>
          </w:tcPr>
          <w:p w14:paraId="734EFB5F" w14:textId="77777777" w:rsidR="00A14340" w:rsidRPr="007C5CB9" w:rsidRDefault="00A14340" w:rsidP="00A14340">
            <w:pPr>
              <w:numPr>
                <w:ilvl w:val="0"/>
                <w:numId w:val="6"/>
              </w:numPr>
              <w:spacing w:after="0" w:line="240" w:lineRule="auto"/>
              <w:jc w:val="left"/>
              <w:rPr>
                <w:sz w:val="20"/>
                <w:szCs w:val="20"/>
              </w:rPr>
            </w:pPr>
            <w:r w:rsidRPr="007C5CB9">
              <w:rPr>
                <w:sz w:val="20"/>
                <w:szCs w:val="20"/>
              </w:rPr>
              <w:t>Telling students ahead of time what topics are to be discussed</w:t>
            </w:r>
          </w:p>
          <w:p w14:paraId="380E6652" w14:textId="77777777" w:rsidR="00A14340" w:rsidRPr="007C5CB9" w:rsidRDefault="00A14340" w:rsidP="00A14340">
            <w:pPr>
              <w:numPr>
                <w:ilvl w:val="0"/>
                <w:numId w:val="6"/>
              </w:numPr>
              <w:spacing w:after="0" w:line="240" w:lineRule="auto"/>
              <w:jc w:val="left"/>
              <w:rPr>
                <w:sz w:val="20"/>
                <w:szCs w:val="20"/>
              </w:rPr>
            </w:pPr>
            <w:r w:rsidRPr="007C5CB9">
              <w:rPr>
                <w:sz w:val="20"/>
                <w:szCs w:val="20"/>
              </w:rPr>
              <w:t>Making space to express reactions to topics and express emotions</w:t>
            </w:r>
          </w:p>
          <w:p w14:paraId="1B78268B" w14:textId="77777777" w:rsidR="00A14340" w:rsidRPr="007C5CB9" w:rsidRDefault="00A14340" w:rsidP="00A14340">
            <w:pPr>
              <w:numPr>
                <w:ilvl w:val="0"/>
                <w:numId w:val="6"/>
              </w:numPr>
              <w:spacing w:after="0" w:line="240" w:lineRule="auto"/>
              <w:jc w:val="left"/>
              <w:rPr>
                <w:sz w:val="20"/>
                <w:szCs w:val="20"/>
              </w:rPr>
            </w:pPr>
            <w:r w:rsidRPr="007C5CB9">
              <w:rPr>
                <w:sz w:val="20"/>
                <w:szCs w:val="20"/>
              </w:rPr>
              <w:t>Acknowledging that topics and content may touch on students' personal experiences</w:t>
            </w:r>
          </w:p>
          <w:p w14:paraId="6B6B524C" w14:textId="77777777" w:rsidR="00A14340" w:rsidRPr="007C5CB9" w:rsidRDefault="00A14340" w:rsidP="00A14340">
            <w:pPr>
              <w:numPr>
                <w:ilvl w:val="0"/>
                <w:numId w:val="6"/>
              </w:numPr>
              <w:spacing w:after="0" w:line="240" w:lineRule="auto"/>
              <w:jc w:val="left"/>
              <w:rPr>
                <w:sz w:val="20"/>
                <w:szCs w:val="20"/>
              </w:rPr>
            </w:pPr>
            <w:r w:rsidRPr="007C5CB9">
              <w:rPr>
                <w:sz w:val="20"/>
                <w:szCs w:val="20"/>
              </w:rPr>
              <w:t>Providing support - including a range of different options and ensuring students are aware of them</w:t>
            </w:r>
          </w:p>
          <w:p w14:paraId="0F412978" w14:textId="77777777" w:rsidR="00A14340" w:rsidRPr="007C5CB9" w:rsidRDefault="00A14340" w:rsidP="00A14340">
            <w:pPr>
              <w:numPr>
                <w:ilvl w:val="0"/>
                <w:numId w:val="6"/>
              </w:numPr>
              <w:spacing w:after="0" w:line="240" w:lineRule="auto"/>
              <w:jc w:val="left"/>
              <w:rPr>
                <w:sz w:val="20"/>
                <w:szCs w:val="20"/>
              </w:rPr>
            </w:pPr>
            <w:r w:rsidRPr="007C5CB9">
              <w:rPr>
                <w:sz w:val="20"/>
                <w:szCs w:val="20"/>
              </w:rPr>
              <w:lastRenderedPageBreak/>
              <w:t>Being very aware of what is happening in the classroom so that can quickly spot signs of someone becoming upset or distressed</w:t>
            </w:r>
          </w:p>
          <w:p w14:paraId="51E09DCF" w14:textId="77777777" w:rsidR="00A14340" w:rsidRPr="007C5CB9" w:rsidRDefault="00A14340" w:rsidP="00A14340">
            <w:pPr>
              <w:numPr>
                <w:ilvl w:val="0"/>
                <w:numId w:val="6"/>
              </w:numPr>
              <w:spacing w:after="0" w:line="240" w:lineRule="auto"/>
              <w:jc w:val="left"/>
              <w:rPr>
                <w:sz w:val="20"/>
                <w:szCs w:val="20"/>
              </w:rPr>
            </w:pPr>
            <w:r w:rsidRPr="007C5CB9">
              <w:rPr>
                <w:sz w:val="20"/>
                <w:szCs w:val="20"/>
              </w:rPr>
              <w:t>Peer support between students</w:t>
            </w:r>
          </w:p>
          <w:p w14:paraId="3112F766" w14:textId="77777777" w:rsidR="00A14340" w:rsidRPr="007C5CB9" w:rsidRDefault="00A14340" w:rsidP="00A14340">
            <w:pPr>
              <w:spacing w:after="0" w:line="240" w:lineRule="auto"/>
              <w:rPr>
                <w:sz w:val="20"/>
                <w:szCs w:val="20"/>
              </w:rPr>
            </w:pPr>
          </w:p>
        </w:tc>
      </w:tr>
      <w:tr w:rsidR="007C5CB9" w:rsidRPr="007C5CB9" w14:paraId="1E17694C" w14:textId="77777777" w:rsidTr="00774608">
        <w:tc>
          <w:tcPr>
            <w:tcW w:w="2955" w:type="dxa"/>
          </w:tcPr>
          <w:p w14:paraId="72D4EA4F" w14:textId="77777777" w:rsidR="00A14340" w:rsidRPr="007C5CB9" w:rsidRDefault="00A14340" w:rsidP="00A14340">
            <w:pPr>
              <w:spacing w:after="0" w:line="240" w:lineRule="auto"/>
              <w:jc w:val="left"/>
              <w:rPr>
                <w:b/>
                <w:sz w:val="20"/>
                <w:szCs w:val="20"/>
              </w:rPr>
            </w:pPr>
          </w:p>
          <w:p w14:paraId="6D2DCD5C" w14:textId="77777777" w:rsidR="00A14340" w:rsidRPr="007C5CB9" w:rsidRDefault="00A14340" w:rsidP="00A14340">
            <w:pPr>
              <w:spacing w:after="0" w:line="240" w:lineRule="auto"/>
              <w:jc w:val="left"/>
              <w:rPr>
                <w:b/>
                <w:sz w:val="20"/>
                <w:szCs w:val="20"/>
              </w:rPr>
            </w:pPr>
            <w:r w:rsidRPr="007C5CB9">
              <w:rPr>
                <w:b/>
                <w:sz w:val="20"/>
                <w:szCs w:val="20"/>
              </w:rPr>
              <w:t>Maximising choice</w:t>
            </w:r>
          </w:p>
        </w:tc>
        <w:tc>
          <w:tcPr>
            <w:tcW w:w="6060" w:type="dxa"/>
          </w:tcPr>
          <w:p w14:paraId="112C3B96" w14:textId="77777777" w:rsidR="00A14340" w:rsidRPr="007C5CB9" w:rsidRDefault="00A14340" w:rsidP="00A14340">
            <w:pPr>
              <w:numPr>
                <w:ilvl w:val="0"/>
                <w:numId w:val="7"/>
              </w:numPr>
              <w:spacing w:after="0" w:line="240" w:lineRule="auto"/>
              <w:jc w:val="left"/>
              <w:rPr>
                <w:sz w:val="20"/>
                <w:szCs w:val="20"/>
              </w:rPr>
            </w:pPr>
            <w:r w:rsidRPr="007C5CB9">
              <w:rPr>
                <w:sz w:val="20"/>
                <w:szCs w:val="20"/>
              </w:rPr>
              <w:t>Choice over participation in class</w:t>
            </w:r>
          </w:p>
          <w:p w14:paraId="68F69207" w14:textId="77777777" w:rsidR="00A14340" w:rsidRPr="007C5CB9" w:rsidRDefault="00A14340" w:rsidP="00A14340">
            <w:pPr>
              <w:numPr>
                <w:ilvl w:val="0"/>
                <w:numId w:val="7"/>
              </w:numPr>
              <w:spacing w:after="0" w:line="240" w:lineRule="auto"/>
              <w:jc w:val="left"/>
              <w:rPr>
                <w:sz w:val="20"/>
                <w:szCs w:val="20"/>
              </w:rPr>
            </w:pPr>
            <w:r w:rsidRPr="007C5CB9">
              <w:rPr>
                <w:sz w:val="20"/>
                <w:szCs w:val="20"/>
              </w:rPr>
              <w:t>Different options for engaging with the class and the content of the class</w:t>
            </w:r>
          </w:p>
          <w:p w14:paraId="564CFAA5" w14:textId="77777777" w:rsidR="00A14340" w:rsidRPr="007C5CB9" w:rsidRDefault="00A14340" w:rsidP="00A14340">
            <w:pPr>
              <w:numPr>
                <w:ilvl w:val="0"/>
                <w:numId w:val="7"/>
              </w:numPr>
              <w:spacing w:after="0" w:line="240" w:lineRule="auto"/>
              <w:jc w:val="left"/>
              <w:rPr>
                <w:sz w:val="20"/>
                <w:szCs w:val="20"/>
              </w:rPr>
            </w:pPr>
            <w:r w:rsidRPr="007C5CB9">
              <w:rPr>
                <w:sz w:val="20"/>
                <w:szCs w:val="20"/>
              </w:rPr>
              <w:t>Flexibility in the classroom and different options for engaging students in their learning</w:t>
            </w:r>
          </w:p>
          <w:p w14:paraId="62387F8E" w14:textId="77777777" w:rsidR="00A14340" w:rsidRPr="007C5CB9" w:rsidRDefault="00A14340" w:rsidP="00A14340">
            <w:pPr>
              <w:numPr>
                <w:ilvl w:val="0"/>
                <w:numId w:val="7"/>
              </w:numPr>
              <w:spacing w:after="0" w:line="240" w:lineRule="auto"/>
              <w:jc w:val="left"/>
              <w:rPr>
                <w:sz w:val="20"/>
                <w:szCs w:val="20"/>
              </w:rPr>
            </w:pPr>
            <w:r w:rsidRPr="007C5CB9">
              <w:rPr>
                <w:sz w:val="20"/>
                <w:szCs w:val="20"/>
              </w:rPr>
              <w:t>Offering different types of support</w:t>
            </w:r>
          </w:p>
          <w:p w14:paraId="2C824ED7" w14:textId="77777777" w:rsidR="00A14340" w:rsidRPr="007C5CB9" w:rsidRDefault="00A14340" w:rsidP="00A14340">
            <w:pPr>
              <w:spacing w:after="0" w:line="240" w:lineRule="auto"/>
              <w:rPr>
                <w:sz w:val="20"/>
                <w:szCs w:val="20"/>
              </w:rPr>
            </w:pPr>
          </w:p>
        </w:tc>
      </w:tr>
      <w:tr w:rsidR="007C5CB9" w:rsidRPr="007C5CB9" w14:paraId="5F314E17" w14:textId="77777777" w:rsidTr="00774608">
        <w:tc>
          <w:tcPr>
            <w:tcW w:w="2955" w:type="dxa"/>
          </w:tcPr>
          <w:p w14:paraId="032F3E43" w14:textId="77777777" w:rsidR="00A14340" w:rsidRPr="007C5CB9" w:rsidRDefault="00A14340" w:rsidP="00A14340">
            <w:pPr>
              <w:spacing w:after="0" w:line="240" w:lineRule="auto"/>
              <w:jc w:val="left"/>
              <w:rPr>
                <w:b/>
                <w:sz w:val="20"/>
                <w:szCs w:val="20"/>
              </w:rPr>
            </w:pPr>
          </w:p>
          <w:p w14:paraId="467445EA" w14:textId="77777777" w:rsidR="00A14340" w:rsidRPr="007C5CB9" w:rsidRDefault="00A14340" w:rsidP="00A14340">
            <w:pPr>
              <w:spacing w:after="0" w:line="240" w:lineRule="auto"/>
              <w:jc w:val="left"/>
              <w:rPr>
                <w:b/>
                <w:sz w:val="20"/>
                <w:szCs w:val="20"/>
              </w:rPr>
            </w:pPr>
            <w:r w:rsidRPr="007C5CB9">
              <w:rPr>
                <w:b/>
                <w:sz w:val="20"/>
                <w:szCs w:val="20"/>
              </w:rPr>
              <w:t>Encouraging collaboration</w:t>
            </w:r>
          </w:p>
        </w:tc>
        <w:tc>
          <w:tcPr>
            <w:tcW w:w="6060" w:type="dxa"/>
          </w:tcPr>
          <w:p w14:paraId="75AAF6FA" w14:textId="77777777" w:rsidR="00A14340" w:rsidRPr="007C5CB9" w:rsidRDefault="00A14340" w:rsidP="00A14340">
            <w:pPr>
              <w:numPr>
                <w:ilvl w:val="0"/>
                <w:numId w:val="8"/>
              </w:numPr>
              <w:spacing w:after="0" w:line="240" w:lineRule="auto"/>
              <w:jc w:val="left"/>
              <w:rPr>
                <w:sz w:val="20"/>
                <w:szCs w:val="20"/>
              </w:rPr>
            </w:pPr>
            <w:r w:rsidRPr="007C5CB9">
              <w:rPr>
                <w:sz w:val="20"/>
                <w:szCs w:val="20"/>
              </w:rPr>
              <w:t>Gaining and making use of feedback - from students and other educators</w:t>
            </w:r>
          </w:p>
          <w:p w14:paraId="3AD1C4EA" w14:textId="77777777" w:rsidR="00A14340" w:rsidRPr="007C5CB9" w:rsidRDefault="00A14340" w:rsidP="00A14340">
            <w:pPr>
              <w:numPr>
                <w:ilvl w:val="0"/>
                <w:numId w:val="8"/>
              </w:numPr>
              <w:spacing w:after="0" w:line="240" w:lineRule="auto"/>
              <w:jc w:val="left"/>
              <w:rPr>
                <w:sz w:val="20"/>
                <w:szCs w:val="20"/>
              </w:rPr>
            </w:pPr>
            <w:r w:rsidRPr="007C5CB9">
              <w:rPr>
                <w:sz w:val="20"/>
                <w:szCs w:val="20"/>
              </w:rPr>
              <w:t>Encouraging discussion of the topics and how to approach them</w:t>
            </w:r>
          </w:p>
          <w:p w14:paraId="1C7C14A9" w14:textId="77777777" w:rsidR="00A14340" w:rsidRPr="007C5CB9" w:rsidRDefault="00A14340" w:rsidP="00A14340">
            <w:pPr>
              <w:spacing w:after="0" w:line="240" w:lineRule="auto"/>
              <w:rPr>
                <w:sz w:val="20"/>
                <w:szCs w:val="20"/>
              </w:rPr>
            </w:pPr>
          </w:p>
        </w:tc>
      </w:tr>
      <w:tr w:rsidR="007C5CB9" w:rsidRPr="007C5CB9" w14:paraId="69527E07" w14:textId="77777777" w:rsidTr="00774608">
        <w:tc>
          <w:tcPr>
            <w:tcW w:w="2955" w:type="dxa"/>
          </w:tcPr>
          <w:p w14:paraId="018DB920" w14:textId="77777777" w:rsidR="00A14340" w:rsidRPr="007C5CB9" w:rsidRDefault="00A14340" w:rsidP="00A14340">
            <w:pPr>
              <w:spacing w:after="0" w:line="240" w:lineRule="auto"/>
              <w:jc w:val="left"/>
              <w:rPr>
                <w:b/>
                <w:sz w:val="20"/>
                <w:szCs w:val="20"/>
              </w:rPr>
            </w:pPr>
          </w:p>
          <w:p w14:paraId="3503C243" w14:textId="77777777" w:rsidR="00A14340" w:rsidRPr="007C5CB9" w:rsidRDefault="00A14340" w:rsidP="00A14340">
            <w:pPr>
              <w:spacing w:after="0" w:line="240" w:lineRule="auto"/>
              <w:jc w:val="left"/>
              <w:rPr>
                <w:b/>
                <w:sz w:val="20"/>
                <w:szCs w:val="20"/>
              </w:rPr>
            </w:pPr>
          </w:p>
          <w:p w14:paraId="6C4062AC" w14:textId="77777777" w:rsidR="00A14340" w:rsidRPr="007C5CB9" w:rsidRDefault="00A14340" w:rsidP="00A14340">
            <w:pPr>
              <w:spacing w:after="0" w:line="240" w:lineRule="auto"/>
              <w:jc w:val="left"/>
              <w:rPr>
                <w:b/>
                <w:sz w:val="20"/>
                <w:szCs w:val="20"/>
              </w:rPr>
            </w:pPr>
            <w:r w:rsidRPr="007C5CB9">
              <w:rPr>
                <w:b/>
                <w:sz w:val="20"/>
                <w:szCs w:val="20"/>
              </w:rPr>
              <w:t>Establishing trustworthiness</w:t>
            </w:r>
          </w:p>
        </w:tc>
        <w:tc>
          <w:tcPr>
            <w:tcW w:w="6060" w:type="dxa"/>
          </w:tcPr>
          <w:p w14:paraId="7D16601F" w14:textId="77777777" w:rsidR="00A14340" w:rsidRPr="007C5CB9" w:rsidRDefault="00A14340" w:rsidP="00A14340">
            <w:pPr>
              <w:numPr>
                <w:ilvl w:val="0"/>
                <w:numId w:val="1"/>
              </w:numPr>
              <w:spacing w:after="0" w:line="240" w:lineRule="auto"/>
              <w:jc w:val="left"/>
              <w:rPr>
                <w:sz w:val="20"/>
                <w:szCs w:val="20"/>
              </w:rPr>
            </w:pPr>
            <w:r w:rsidRPr="007C5CB9">
              <w:rPr>
                <w:sz w:val="20"/>
                <w:szCs w:val="20"/>
              </w:rPr>
              <w:t>Use of ground rules in teaching</w:t>
            </w:r>
          </w:p>
          <w:p w14:paraId="5E72829D" w14:textId="77777777" w:rsidR="00A14340" w:rsidRPr="007C5CB9" w:rsidRDefault="00A14340" w:rsidP="00A14340">
            <w:pPr>
              <w:numPr>
                <w:ilvl w:val="0"/>
                <w:numId w:val="1"/>
              </w:numPr>
              <w:spacing w:after="0" w:line="240" w:lineRule="auto"/>
              <w:jc w:val="left"/>
              <w:rPr>
                <w:sz w:val="20"/>
                <w:szCs w:val="20"/>
              </w:rPr>
            </w:pPr>
            <w:r w:rsidRPr="007C5CB9">
              <w:rPr>
                <w:sz w:val="20"/>
                <w:szCs w:val="20"/>
              </w:rPr>
              <w:t>Development of trusting relationships between educators and students and amongst the student cohort</w:t>
            </w:r>
          </w:p>
          <w:p w14:paraId="6A09BCE4" w14:textId="77777777" w:rsidR="00A14340" w:rsidRPr="007C5CB9" w:rsidRDefault="00A14340" w:rsidP="00A14340">
            <w:pPr>
              <w:numPr>
                <w:ilvl w:val="0"/>
                <w:numId w:val="1"/>
              </w:numPr>
              <w:spacing w:after="0" w:line="240" w:lineRule="auto"/>
              <w:jc w:val="left"/>
              <w:rPr>
                <w:sz w:val="20"/>
                <w:szCs w:val="20"/>
              </w:rPr>
            </w:pPr>
            <w:r w:rsidRPr="007C5CB9">
              <w:rPr>
                <w:sz w:val="20"/>
                <w:szCs w:val="20"/>
              </w:rPr>
              <w:t>Transparency in teaching - e.g. being upfront about topics to be covered and the need to speak about them</w:t>
            </w:r>
          </w:p>
          <w:p w14:paraId="12A05A56" w14:textId="77777777" w:rsidR="00A14340" w:rsidRPr="007C5CB9" w:rsidRDefault="00A14340" w:rsidP="00A14340">
            <w:pPr>
              <w:numPr>
                <w:ilvl w:val="0"/>
                <w:numId w:val="1"/>
              </w:numPr>
              <w:spacing w:after="0" w:line="240" w:lineRule="auto"/>
              <w:jc w:val="left"/>
              <w:rPr>
                <w:sz w:val="20"/>
                <w:szCs w:val="20"/>
              </w:rPr>
            </w:pPr>
            <w:r w:rsidRPr="007C5CB9">
              <w:rPr>
                <w:sz w:val="20"/>
                <w:szCs w:val="20"/>
              </w:rPr>
              <w:t>Being open and honest with students - about their learning and about the realities of practice</w:t>
            </w:r>
          </w:p>
          <w:p w14:paraId="2CB6511D" w14:textId="77777777" w:rsidR="00A14340" w:rsidRPr="007C5CB9" w:rsidRDefault="00A14340" w:rsidP="00A14340">
            <w:pPr>
              <w:spacing w:after="0" w:line="240" w:lineRule="auto"/>
              <w:rPr>
                <w:sz w:val="20"/>
                <w:szCs w:val="20"/>
              </w:rPr>
            </w:pPr>
          </w:p>
        </w:tc>
      </w:tr>
      <w:tr w:rsidR="007C5CB9" w:rsidRPr="007C5CB9" w14:paraId="12A92960" w14:textId="77777777" w:rsidTr="00774608">
        <w:tc>
          <w:tcPr>
            <w:tcW w:w="2955" w:type="dxa"/>
          </w:tcPr>
          <w:p w14:paraId="1CB9D119" w14:textId="77777777" w:rsidR="00A14340" w:rsidRPr="007C5CB9" w:rsidRDefault="00A14340" w:rsidP="00A14340">
            <w:pPr>
              <w:spacing w:after="0" w:line="240" w:lineRule="auto"/>
              <w:jc w:val="left"/>
              <w:rPr>
                <w:b/>
                <w:sz w:val="20"/>
                <w:szCs w:val="20"/>
              </w:rPr>
            </w:pPr>
          </w:p>
          <w:p w14:paraId="1F977DE8" w14:textId="77777777" w:rsidR="00A14340" w:rsidRPr="007C5CB9" w:rsidRDefault="00A14340" w:rsidP="00A14340">
            <w:pPr>
              <w:spacing w:after="0" w:line="240" w:lineRule="auto"/>
              <w:jc w:val="left"/>
              <w:rPr>
                <w:b/>
                <w:sz w:val="20"/>
                <w:szCs w:val="20"/>
              </w:rPr>
            </w:pPr>
            <w:r w:rsidRPr="007C5CB9">
              <w:rPr>
                <w:b/>
                <w:sz w:val="20"/>
                <w:szCs w:val="20"/>
              </w:rPr>
              <w:t>Prioritising empowerment</w:t>
            </w:r>
          </w:p>
        </w:tc>
        <w:tc>
          <w:tcPr>
            <w:tcW w:w="6060" w:type="dxa"/>
          </w:tcPr>
          <w:p w14:paraId="11C5EE3F" w14:textId="77777777" w:rsidR="00A14340" w:rsidRPr="007C5CB9" w:rsidRDefault="00A14340" w:rsidP="00A14340">
            <w:pPr>
              <w:numPr>
                <w:ilvl w:val="0"/>
                <w:numId w:val="4"/>
              </w:numPr>
              <w:spacing w:after="0" w:line="240" w:lineRule="auto"/>
              <w:jc w:val="left"/>
              <w:rPr>
                <w:sz w:val="20"/>
                <w:szCs w:val="20"/>
              </w:rPr>
            </w:pPr>
            <w:r w:rsidRPr="007C5CB9">
              <w:rPr>
                <w:sz w:val="20"/>
                <w:szCs w:val="20"/>
              </w:rPr>
              <w:t>Use of a strength-based approach with students</w:t>
            </w:r>
          </w:p>
          <w:p w14:paraId="7151ACDE" w14:textId="77777777" w:rsidR="00A14340" w:rsidRPr="007C5CB9" w:rsidRDefault="00A14340" w:rsidP="00A14340">
            <w:pPr>
              <w:numPr>
                <w:ilvl w:val="0"/>
                <w:numId w:val="4"/>
              </w:numPr>
              <w:spacing w:after="0" w:line="240" w:lineRule="auto"/>
              <w:jc w:val="left"/>
              <w:rPr>
                <w:sz w:val="20"/>
                <w:szCs w:val="20"/>
              </w:rPr>
            </w:pPr>
            <w:r w:rsidRPr="007C5CB9">
              <w:rPr>
                <w:sz w:val="20"/>
                <w:szCs w:val="20"/>
              </w:rPr>
              <w:t>Reminding students that it is okay and natural to struggle sometimes or to be upset by the content</w:t>
            </w:r>
          </w:p>
          <w:p w14:paraId="6561B383" w14:textId="77777777" w:rsidR="00A14340" w:rsidRPr="007C5CB9" w:rsidRDefault="00A14340" w:rsidP="00A14340">
            <w:pPr>
              <w:numPr>
                <w:ilvl w:val="0"/>
                <w:numId w:val="4"/>
              </w:numPr>
              <w:spacing w:after="0" w:line="240" w:lineRule="auto"/>
              <w:jc w:val="left"/>
              <w:rPr>
                <w:sz w:val="20"/>
                <w:szCs w:val="20"/>
              </w:rPr>
            </w:pPr>
            <w:r w:rsidRPr="007C5CB9">
              <w:rPr>
                <w:sz w:val="20"/>
                <w:szCs w:val="20"/>
              </w:rPr>
              <w:t>Enabling students to take some control over their learning journey</w:t>
            </w:r>
          </w:p>
          <w:p w14:paraId="703093F6" w14:textId="77777777" w:rsidR="00A14340" w:rsidRPr="007C5CB9" w:rsidRDefault="00A14340" w:rsidP="00A14340">
            <w:pPr>
              <w:spacing w:after="0" w:line="240" w:lineRule="auto"/>
              <w:rPr>
                <w:sz w:val="20"/>
                <w:szCs w:val="20"/>
              </w:rPr>
            </w:pPr>
          </w:p>
        </w:tc>
      </w:tr>
      <w:tr w:rsidR="00A14340" w:rsidRPr="007C5CB9" w14:paraId="336D8F3A" w14:textId="77777777" w:rsidTr="00774608">
        <w:tc>
          <w:tcPr>
            <w:tcW w:w="2955" w:type="dxa"/>
          </w:tcPr>
          <w:p w14:paraId="7EA4F5A7" w14:textId="77777777" w:rsidR="00A14340" w:rsidRPr="007C5CB9" w:rsidRDefault="00A14340" w:rsidP="00A14340">
            <w:pPr>
              <w:spacing w:after="0" w:line="240" w:lineRule="auto"/>
              <w:jc w:val="left"/>
              <w:rPr>
                <w:b/>
                <w:sz w:val="20"/>
                <w:szCs w:val="20"/>
              </w:rPr>
            </w:pPr>
          </w:p>
          <w:p w14:paraId="19710733" w14:textId="77777777" w:rsidR="00A14340" w:rsidRPr="007C5CB9" w:rsidRDefault="00A14340" w:rsidP="00A14340">
            <w:pPr>
              <w:spacing w:after="0" w:line="240" w:lineRule="auto"/>
              <w:jc w:val="left"/>
              <w:rPr>
                <w:b/>
                <w:sz w:val="20"/>
                <w:szCs w:val="20"/>
              </w:rPr>
            </w:pPr>
            <w:r w:rsidRPr="007C5CB9">
              <w:rPr>
                <w:b/>
                <w:sz w:val="20"/>
                <w:szCs w:val="20"/>
              </w:rPr>
              <w:t>Promoting resilience</w:t>
            </w:r>
          </w:p>
        </w:tc>
        <w:tc>
          <w:tcPr>
            <w:tcW w:w="6060" w:type="dxa"/>
          </w:tcPr>
          <w:p w14:paraId="202DE900" w14:textId="77777777" w:rsidR="00A14340" w:rsidRPr="007C5CB9" w:rsidRDefault="00A14340" w:rsidP="00A14340">
            <w:pPr>
              <w:numPr>
                <w:ilvl w:val="0"/>
                <w:numId w:val="5"/>
              </w:numPr>
              <w:spacing w:after="0" w:line="240" w:lineRule="auto"/>
              <w:jc w:val="left"/>
              <w:rPr>
                <w:sz w:val="20"/>
                <w:szCs w:val="20"/>
              </w:rPr>
            </w:pPr>
            <w:r w:rsidRPr="007C5CB9">
              <w:rPr>
                <w:sz w:val="20"/>
                <w:szCs w:val="20"/>
              </w:rPr>
              <w:t>Not shying away from working with and teaching difficult topics - giving students the chance to learn about them in a safe environment</w:t>
            </w:r>
          </w:p>
          <w:p w14:paraId="1C5064B1" w14:textId="77777777" w:rsidR="00A14340" w:rsidRPr="007C5CB9" w:rsidRDefault="00A14340" w:rsidP="00A14340">
            <w:pPr>
              <w:numPr>
                <w:ilvl w:val="0"/>
                <w:numId w:val="5"/>
              </w:numPr>
              <w:spacing w:after="0" w:line="240" w:lineRule="auto"/>
              <w:jc w:val="left"/>
              <w:rPr>
                <w:sz w:val="20"/>
                <w:szCs w:val="20"/>
              </w:rPr>
            </w:pPr>
            <w:r w:rsidRPr="007C5CB9">
              <w:rPr>
                <w:sz w:val="20"/>
                <w:szCs w:val="20"/>
              </w:rPr>
              <w:t>Developing students’ ability to be reflective and self-aware</w:t>
            </w:r>
          </w:p>
          <w:p w14:paraId="53339CE9" w14:textId="77777777" w:rsidR="00A14340" w:rsidRPr="007C5CB9" w:rsidRDefault="00A14340" w:rsidP="00A14340">
            <w:pPr>
              <w:numPr>
                <w:ilvl w:val="0"/>
                <w:numId w:val="5"/>
              </w:numPr>
              <w:spacing w:after="0" w:line="240" w:lineRule="auto"/>
              <w:jc w:val="left"/>
              <w:rPr>
                <w:sz w:val="20"/>
                <w:szCs w:val="20"/>
              </w:rPr>
            </w:pPr>
            <w:r w:rsidRPr="007C5CB9">
              <w:rPr>
                <w:sz w:val="20"/>
                <w:szCs w:val="20"/>
              </w:rPr>
              <w:t>Teaching students about various coping and self-care strategies</w:t>
            </w:r>
          </w:p>
          <w:p w14:paraId="7E1782D6" w14:textId="664C56D9" w:rsidR="00A14340" w:rsidRPr="007C5CB9" w:rsidRDefault="00A14340" w:rsidP="00A14340">
            <w:pPr>
              <w:numPr>
                <w:ilvl w:val="0"/>
                <w:numId w:val="5"/>
              </w:numPr>
              <w:spacing w:after="0" w:line="240" w:lineRule="auto"/>
              <w:jc w:val="left"/>
              <w:rPr>
                <w:sz w:val="20"/>
                <w:szCs w:val="20"/>
              </w:rPr>
            </w:pPr>
            <w:r w:rsidRPr="007C5CB9">
              <w:rPr>
                <w:sz w:val="20"/>
                <w:szCs w:val="20"/>
              </w:rPr>
              <w:t xml:space="preserve">The use of humour </w:t>
            </w:r>
          </w:p>
          <w:p w14:paraId="67035708" w14:textId="77777777" w:rsidR="00A14340" w:rsidRPr="007C5CB9" w:rsidRDefault="00A14340" w:rsidP="00A14340">
            <w:pPr>
              <w:numPr>
                <w:ilvl w:val="0"/>
                <w:numId w:val="5"/>
              </w:numPr>
              <w:spacing w:after="0" w:line="240" w:lineRule="auto"/>
              <w:jc w:val="left"/>
              <w:rPr>
                <w:sz w:val="20"/>
                <w:szCs w:val="20"/>
              </w:rPr>
            </w:pPr>
            <w:r w:rsidRPr="007C5CB9">
              <w:rPr>
                <w:sz w:val="20"/>
                <w:szCs w:val="20"/>
              </w:rPr>
              <w:t>Supporting students to understand when and how to share emotion and personal experiences - helping them to find a balance with this</w:t>
            </w:r>
          </w:p>
          <w:p w14:paraId="062EC186" w14:textId="77777777" w:rsidR="00A14340" w:rsidRPr="007C5CB9" w:rsidRDefault="00A14340" w:rsidP="00A14340">
            <w:pPr>
              <w:numPr>
                <w:ilvl w:val="0"/>
                <w:numId w:val="5"/>
              </w:numPr>
              <w:spacing w:after="0" w:line="240" w:lineRule="auto"/>
              <w:jc w:val="left"/>
              <w:rPr>
                <w:sz w:val="20"/>
                <w:szCs w:val="20"/>
              </w:rPr>
            </w:pPr>
            <w:r w:rsidRPr="007C5CB9">
              <w:rPr>
                <w:sz w:val="20"/>
                <w:szCs w:val="20"/>
              </w:rPr>
              <w:t>Supporting students when they did share emotions or experiences</w:t>
            </w:r>
          </w:p>
          <w:p w14:paraId="4AC2EF92" w14:textId="77777777" w:rsidR="00A14340" w:rsidRPr="007C5CB9" w:rsidRDefault="00A14340" w:rsidP="00A14340">
            <w:pPr>
              <w:spacing w:after="0" w:line="240" w:lineRule="auto"/>
              <w:rPr>
                <w:sz w:val="20"/>
                <w:szCs w:val="20"/>
              </w:rPr>
            </w:pPr>
          </w:p>
        </w:tc>
      </w:tr>
    </w:tbl>
    <w:p w14:paraId="4C723C61" w14:textId="77777777" w:rsidR="006835B5" w:rsidRPr="007C5CB9" w:rsidRDefault="006835B5" w:rsidP="009E0B25">
      <w:pPr>
        <w:spacing w:after="0"/>
        <w:jc w:val="left"/>
      </w:pPr>
      <w:bookmarkStart w:id="1" w:name="_heading=h.2et92p0" w:colFirst="0" w:colLast="0"/>
      <w:bookmarkStart w:id="2" w:name="_heading=h.32ah8490zjsm" w:colFirst="0" w:colLast="0"/>
      <w:bookmarkEnd w:id="1"/>
      <w:bookmarkEnd w:id="2"/>
    </w:p>
    <w:p w14:paraId="558334C5" w14:textId="61CDB757" w:rsidR="006835B5" w:rsidRPr="007C5CB9" w:rsidRDefault="009C2D00" w:rsidP="009E0B25">
      <w:pPr>
        <w:spacing w:after="0"/>
      </w:pPr>
      <w:r w:rsidRPr="007C5CB9">
        <w:t xml:space="preserve">As presented within the </w:t>
      </w:r>
      <w:r w:rsidR="00E70651" w:rsidRPr="007C5CB9">
        <w:t xml:space="preserve">existing </w:t>
      </w:r>
      <w:r w:rsidRPr="007C5CB9">
        <w:t xml:space="preserve">literature, some of the above examples have been proposed by other authors and the present study suggests they are being adopted in teaching practice, regardless of whether a trauma-informed approach is explicitly applied. For example, the literature suggested educators should instruct on </w:t>
      </w:r>
      <w:r w:rsidR="00FE2A3C" w:rsidRPr="007C5CB9">
        <w:t>self-care</w:t>
      </w:r>
      <w:r w:rsidRPr="007C5CB9">
        <w:t>, check in at the start and end of teaching, and ensure students have choice in how they engage with taught material (Carello</w:t>
      </w:r>
      <w:r w:rsidR="002B6766" w:rsidRPr="007C5CB9">
        <w:t xml:space="preserve"> and </w:t>
      </w:r>
      <w:r w:rsidRPr="007C5CB9">
        <w:t>Butler, 2015; Gilin</w:t>
      </w:r>
      <w:r w:rsidR="002B6766" w:rsidRPr="007C5CB9">
        <w:t xml:space="preserve"> and </w:t>
      </w:r>
      <w:r w:rsidRPr="007C5CB9">
        <w:t xml:space="preserve">Kaufman, 1995). </w:t>
      </w:r>
      <w:r w:rsidR="00F34BEF" w:rsidRPr="007C5CB9">
        <w:t xml:space="preserve"> </w:t>
      </w:r>
      <w:r w:rsidRPr="007C5CB9">
        <w:t xml:space="preserve">Each of these strategies was  present within our </w:t>
      </w:r>
      <w:r w:rsidRPr="007C5CB9">
        <w:lastRenderedPageBreak/>
        <w:t>own data. Additionally, Carello</w:t>
      </w:r>
      <w:r w:rsidR="002B6766" w:rsidRPr="007C5CB9">
        <w:t xml:space="preserve"> and </w:t>
      </w:r>
      <w:r w:rsidRPr="007C5CB9">
        <w:t xml:space="preserve">Butler (2015) suggested having knowledge of individual students was useful in this context and our participants also highlighted the importance of developing relationships with students which would allow for greater awareness of the potential impact of their learning </w:t>
      </w:r>
      <w:r w:rsidR="00DC5754" w:rsidRPr="007C5CB9">
        <w:t xml:space="preserve">so </w:t>
      </w:r>
      <w:r w:rsidR="00232B1C" w:rsidRPr="007C5CB9">
        <w:t xml:space="preserve">that </w:t>
      </w:r>
      <w:r w:rsidR="00DC5754" w:rsidRPr="007C5CB9">
        <w:t xml:space="preserve">educators can quickly </w:t>
      </w:r>
      <w:r w:rsidRPr="007C5CB9">
        <w:t xml:space="preserve">spot signs and symptoms of existent or emergent trauma and distress within the classroom. </w:t>
      </w:r>
      <w:r w:rsidR="00DC5754" w:rsidRPr="007C5CB9">
        <w:t xml:space="preserve"> </w:t>
      </w:r>
      <w:r w:rsidRPr="007C5CB9">
        <w:t xml:space="preserve">To mediate and/or ‘buffer’ any potential temporary (dis)stress responses students may have on exposure to trauma-material, educators need to use relationship-based strategies which encourage </w:t>
      </w:r>
      <w:r w:rsidR="00F0223F" w:rsidRPr="007C5CB9">
        <w:rPr>
          <w:szCs w:val="21"/>
        </w:rPr>
        <w:t>choice over participation and extent of participation in class</w:t>
      </w:r>
      <w:r w:rsidR="00F0223F" w:rsidRPr="007C5CB9">
        <w:t xml:space="preserve"> </w:t>
      </w:r>
      <w:r w:rsidR="00DC5754" w:rsidRPr="007C5CB9">
        <w:t>to</w:t>
      </w:r>
      <w:r w:rsidRPr="007C5CB9">
        <w:t xml:space="preserve"> </w:t>
      </w:r>
      <w:r w:rsidR="00DC5754" w:rsidRPr="007C5CB9">
        <w:t xml:space="preserve">help </w:t>
      </w:r>
      <w:r w:rsidRPr="007C5CB9">
        <w:t xml:space="preserve">promote a sense of trust and safety.  These may include a range of classroom-based activities including agreeing ground rules at the start of teaching, for example, </w:t>
      </w:r>
      <w:r w:rsidR="006A1D90" w:rsidRPr="007C5CB9">
        <w:t xml:space="preserve">agreeing </w:t>
      </w:r>
      <w:r w:rsidRPr="007C5CB9">
        <w:t>students</w:t>
      </w:r>
      <w:r w:rsidR="006A1D90" w:rsidRPr="007C5CB9">
        <w:t xml:space="preserve"> must be </w:t>
      </w:r>
      <w:r w:rsidRPr="007C5CB9">
        <w:t>respectful in their response where other participants may be observed as upset and/or where group members may feel willing/compelled to share lived personal experience(s) and/or otherwise become anxious and/or (dis)stressed.  Self-awareness regarding presentation style in the classroom is important where response to material content should be appropriate, open and proportional.  Written and dialogical group reflection activities are useful at the start, mid-point and end of sessions to ‘check the temperature’ of group members and these alongside other self-care exercises can offer an opportunity for students to communicate, process and manage (dis)stress and/or powerful emotions while feeling, safe respected and supported (Cunningham, 2004; Carello and Butler, 2015; Sanders, 20</w:t>
      </w:r>
      <w:r w:rsidR="00146EAC" w:rsidRPr="007C5CB9">
        <w:t>21</w:t>
      </w:r>
      <w:r w:rsidRPr="007C5CB9">
        <w:t xml:space="preserve">).  </w:t>
      </w:r>
    </w:p>
    <w:p w14:paraId="258C5A1C" w14:textId="77777777" w:rsidR="006835B5" w:rsidRPr="007C5CB9" w:rsidRDefault="006835B5" w:rsidP="009E0B25">
      <w:pPr>
        <w:spacing w:after="0"/>
        <w:jc w:val="left"/>
      </w:pPr>
    </w:p>
    <w:p w14:paraId="1DA11065" w14:textId="408B35E9" w:rsidR="009E0B25" w:rsidRPr="007C5CB9" w:rsidRDefault="009C2D00" w:rsidP="0080231A">
      <w:pPr>
        <w:spacing w:after="0"/>
      </w:pPr>
      <w:r w:rsidRPr="007C5CB9">
        <w:t xml:space="preserve">Findings from this research also add to existing literature in a number of ways. For example, there were strategies and approaches adopted by educators that were not found in our review of the literature on trauma-informed approaches. Adopting a strength-based approach was one important aspect of teaching difficult materials in a sensitive and trauma-informed manner. Strength-based approaches focus on the inherent strengths, capacity and potential of the person and seek to support </w:t>
      </w:r>
      <w:r w:rsidR="00146EAC" w:rsidRPr="007C5CB9">
        <w:t xml:space="preserve">students </w:t>
      </w:r>
      <w:r w:rsidRPr="007C5CB9">
        <w:t>in acknowledging and drawing upon them (Smith, Dressel</w:t>
      </w:r>
      <w:r w:rsidR="006071F0" w:rsidRPr="007C5CB9">
        <w:t xml:space="preserve"> and </w:t>
      </w:r>
      <w:r w:rsidRPr="007C5CB9">
        <w:t xml:space="preserve">Brannan, 2018). </w:t>
      </w:r>
      <w:r w:rsidR="008C3B3B" w:rsidRPr="007C5CB9">
        <w:t>This links to social work practice where strength</w:t>
      </w:r>
      <w:r w:rsidR="006A1D90" w:rsidRPr="007C5CB9">
        <w:t>-</w:t>
      </w:r>
      <w:r w:rsidR="008C3B3B" w:rsidRPr="007C5CB9">
        <w:t>based approaches are common</w:t>
      </w:r>
      <w:r w:rsidR="008867B8" w:rsidRPr="007C5CB9">
        <w:t>ly advocated</w:t>
      </w:r>
      <w:r w:rsidR="008C3B3B" w:rsidRPr="007C5CB9">
        <w:t xml:space="preserve"> and where empowerment is a key </w:t>
      </w:r>
      <w:r w:rsidR="008867B8" w:rsidRPr="007C5CB9">
        <w:t xml:space="preserve">practice </w:t>
      </w:r>
      <w:r w:rsidR="008C3B3B" w:rsidRPr="007C5CB9">
        <w:t>principle</w:t>
      </w:r>
      <w:r w:rsidR="006A1D90" w:rsidRPr="007C5CB9">
        <w:t>.</w:t>
      </w:r>
      <w:r w:rsidR="008C3B3B" w:rsidRPr="007C5CB9">
        <w:t xml:space="preserve"> </w:t>
      </w:r>
      <w:r w:rsidRPr="007C5CB9">
        <w:t xml:space="preserve">Participants in this research talked about taking a strength-based </w:t>
      </w:r>
      <w:r w:rsidR="00B478ED" w:rsidRPr="007C5CB9">
        <w:t xml:space="preserve">approach in </w:t>
      </w:r>
      <w:r w:rsidR="00B478ED" w:rsidRPr="007C5CB9">
        <w:rPr>
          <w:szCs w:val="21"/>
        </w:rPr>
        <w:t>discussion of the topics together</w:t>
      </w:r>
      <w:r w:rsidR="00B478ED" w:rsidRPr="007C5CB9">
        <w:t xml:space="preserve"> </w:t>
      </w:r>
      <w:r w:rsidRPr="007C5CB9">
        <w:t>through direct acknowledgement of the positives in students’ learning journeys</w:t>
      </w:r>
      <w:r w:rsidR="00F45E34" w:rsidRPr="007C5CB9">
        <w:t>.</w:t>
      </w:r>
    </w:p>
    <w:p w14:paraId="492583EA" w14:textId="77777777" w:rsidR="009E0B25" w:rsidRPr="007C5CB9" w:rsidRDefault="009E0B25" w:rsidP="009E0B25">
      <w:pPr>
        <w:spacing w:after="0"/>
        <w:ind w:firstLine="720"/>
        <w:jc w:val="left"/>
        <w:rPr>
          <w:b/>
        </w:rPr>
      </w:pPr>
    </w:p>
    <w:p w14:paraId="0B6FED17" w14:textId="00A4B0F6" w:rsidR="006835B5" w:rsidRPr="007C5CB9" w:rsidRDefault="009C2D00" w:rsidP="009E0B25">
      <w:pPr>
        <w:spacing w:after="0"/>
        <w:ind w:firstLine="720"/>
        <w:jc w:val="left"/>
        <w:rPr>
          <w:b/>
        </w:rPr>
      </w:pPr>
      <w:r w:rsidRPr="007C5CB9">
        <w:rPr>
          <w:b/>
        </w:rPr>
        <w:lastRenderedPageBreak/>
        <w:t>Promoting resilience</w:t>
      </w:r>
    </w:p>
    <w:p w14:paraId="5FE74C04" w14:textId="77777777" w:rsidR="006835B5" w:rsidRPr="007C5CB9" w:rsidRDefault="006835B5" w:rsidP="009E0B25">
      <w:pPr>
        <w:spacing w:after="0"/>
        <w:ind w:left="720"/>
        <w:jc w:val="left"/>
      </w:pPr>
    </w:p>
    <w:p w14:paraId="475C2C4A" w14:textId="16547DC4" w:rsidR="006835B5" w:rsidRPr="007C5CB9" w:rsidRDefault="009C2D00" w:rsidP="009E0B25">
      <w:pPr>
        <w:spacing w:after="0"/>
        <w:rPr>
          <w:b/>
        </w:rPr>
      </w:pPr>
      <w:r w:rsidRPr="007C5CB9">
        <w:t xml:space="preserve">Educators acknowledged </w:t>
      </w:r>
      <w:r w:rsidR="00B478ED" w:rsidRPr="007C5CB9">
        <w:rPr>
          <w:szCs w:val="21"/>
        </w:rPr>
        <w:t>the importance of learning about the realities of trauma-informed practice</w:t>
      </w:r>
      <w:r w:rsidR="00B478ED" w:rsidRPr="007C5CB9">
        <w:t xml:space="preserve"> and the need </w:t>
      </w:r>
      <w:r w:rsidRPr="007C5CB9">
        <w:t xml:space="preserve">to support students in developing resilience so they can manage the demands of the course and the profession. Others have also considered the role educators play in promoting resilience (e.g. Grant </w:t>
      </w:r>
      <w:r w:rsidR="002B6766" w:rsidRPr="007C5CB9">
        <w:t xml:space="preserve">and </w:t>
      </w:r>
      <w:r w:rsidRPr="007C5CB9">
        <w:t xml:space="preserve">Kinman, 2012).  However, this paper adds to the literature by positioning this within the context of a trauma-informed approach, aimed at reducing/eliminating vicarious trauma and/or secondary traumatic stress. The concept of resilience has been much debated within the </w:t>
      </w:r>
      <w:r w:rsidR="00220974" w:rsidRPr="007C5CB9">
        <w:t>literature but</w:t>
      </w:r>
      <w:r w:rsidRPr="007C5CB9">
        <w:t xml:space="preserve"> is often defined as ‘the ability to adapt to stress and adversity’ and understood as ‘a trajectory of coping that defies expectation of negative outcomes’ (Liu, Reed </w:t>
      </w:r>
      <w:r w:rsidR="002B6766" w:rsidRPr="007C5CB9">
        <w:t xml:space="preserve">and </w:t>
      </w:r>
      <w:r w:rsidRPr="007C5CB9">
        <w:t xml:space="preserve">Girard, 2017, p.111). Strategies employed by </w:t>
      </w:r>
      <w:r w:rsidR="001F4BC3" w:rsidRPr="007C5CB9">
        <w:t>e</w:t>
      </w:r>
      <w:r w:rsidRPr="007C5CB9">
        <w:t xml:space="preserve">ducators to promote resilience included supporting students to be reflective and </w:t>
      </w:r>
      <w:r w:rsidR="00220974" w:rsidRPr="007C5CB9">
        <w:t>self-aware</w:t>
      </w:r>
      <w:r w:rsidRPr="007C5CB9">
        <w:t xml:space="preserve">, teaching about </w:t>
      </w:r>
      <w:r w:rsidR="00220974" w:rsidRPr="007C5CB9">
        <w:t>self-care</w:t>
      </w:r>
      <w:r w:rsidRPr="007C5CB9">
        <w:t xml:space="preserve"> </w:t>
      </w:r>
      <w:r w:rsidR="00D458AC" w:rsidRPr="007C5CB9">
        <w:t xml:space="preserve">(see Grant and Kinman, 2012) </w:t>
      </w:r>
      <w:r w:rsidRPr="007C5CB9">
        <w:t>and coping strategies and the use of humour. The role of emotion in promoting resilience was also highlighted</w:t>
      </w:r>
      <w:r w:rsidR="00D458AC" w:rsidRPr="007C5CB9">
        <w:t xml:space="preserve"> in the study</w:t>
      </w:r>
      <w:r w:rsidRPr="007C5CB9">
        <w:t>. The importance of managing emotions</w:t>
      </w:r>
      <w:r w:rsidR="00D458AC" w:rsidRPr="007C5CB9">
        <w:t xml:space="preserve"> is </w:t>
      </w:r>
      <w:r w:rsidRPr="007C5CB9">
        <w:t xml:space="preserve">raised by Grant </w:t>
      </w:r>
      <w:r w:rsidR="00D458AC" w:rsidRPr="007C5CB9">
        <w:t xml:space="preserve">and </w:t>
      </w:r>
      <w:r w:rsidRPr="007C5CB9">
        <w:t>Kinman (2012) who</w:t>
      </w:r>
      <w:r w:rsidR="00D458AC" w:rsidRPr="007C5CB9">
        <w:t xml:space="preserve"> argue </w:t>
      </w:r>
      <w:r w:rsidRPr="007C5CB9">
        <w:t xml:space="preserve">emotional intelligence </w:t>
      </w:r>
      <w:r w:rsidR="00D458AC" w:rsidRPr="007C5CB9">
        <w:t xml:space="preserve">is </w:t>
      </w:r>
      <w:r w:rsidRPr="007C5CB9">
        <w:t xml:space="preserve">an important predictor of resilience. </w:t>
      </w:r>
    </w:p>
    <w:p w14:paraId="361BEFDF" w14:textId="77777777" w:rsidR="006835B5" w:rsidRPr="007C5CB9" w:rsidRDefault="006835B5" w:rsidP="009E0B25">
      <w:pPr>
        <w:spacing w:after="0"/>
        <w:ind w:firstLine="720"/>
        <w:jc w:val="left"/>
      </w:pPr>
    </w:p>
    <w:p w14:paraId="421A5E89" w14:textId="22A6709F" w:rsidR="006835B5" w:rsidRPr="007C5CB9" w:rsidRDefault="009C2D00" w:rsidP="009977D7">
      <w:pPr>
        <w:spacing w:after="0"/>
      </w:pPr>
      <w:r w:rsidRPr="007C5CB9">
        <w:t xml:space="preserve">The role of emotion in the classroom in relation to trauma-related material was an important aspect of the findings. </w:t>
      </w:r>
      <w:r w:rsidR="0044632E" w:rsidRPr="007C5CB9">
        <w:t xml:space="preserve"> Students who participated </w:t>
      </w:r>
      <w:r w:rsidRPr="007C5CB9">
        <w:t>broadly agreed that showing emotion was important, but this could be challenging for a number of reasons. For example, concerns were raised by a student about whether openly showing emotion in reaction to classroom teaching content would cause them to be viewed as lacking competency and the ‘resilience’ required to undertake the role. The importance of acknowledging and allowing</w:t>
      </w:r>
      <w:r w:rsidR="008C3B3B" w:rsidRPr="007C5CB9">
        <w:t xml:space="preserve"> a range of</w:t>
      </w:r>
      <w:r w:rsidRPr="007C5CB9">
        <w:t xml:space="preserve"> </w:t>
      </w:r>
      <w:r w:rsidR="008C3B3B" w:rsidRPr="007C5CB9">
        <w:t xml:space="preserve">positive and negative </w:t>
      </w:r>
      <w:r w:rsidRPr="007C5CB9">
        <w:t xml:space="preserve">emotions has been raised previously, for example, in relation to research when difficult topics are discussed (e.g. Author, date; Wilcock </w:t>
      </w:r>
      <w:r w:rsidR="002B6766" w:rsidRPr="007C5CB9">
        <w:t xml:space="preserve">and </w:t>
      </w:r>
      <w:r w:rsidRPr="007C5CB9">
        <w:t>Quaid, 2018).  Barlow</w:t>
      </w:r>
      <w:r w:rsidR="001F4BC3" w:rsidRPr="007C5CB9">
        <w:t xml:space="preserve"> and </w:t>
      </w:r>
      <w:r w:rsidRPr="007C5CB9">
        <w:t xml:space="preserve">Hall (2007, p. 400) also argued emotions are a key aspect of learning and ‘empathy’ is ‘an essential aspect of social work practice’. </w:t>
      </w:r>
    </w:p>
    <w:p w14:paraId="5AC7C7BB" w14:textId="77777777" w:rsidR="0044632E" w:rsidRPr="007C5CB9" w:rsidRDefault="0044632E" w:rsidP="0080231A">
      <w:pPr>
        <w:spacing w:after="0"/>
      </w:pPr>
    </w:p>
    <w:p w14:paraId="6B62563A" w14:textId="58695722" w:rsidR="006835B5" w:rsidRPr="007C5CB9" w:rsidRDefault="009C2D00" w:rsidP="0080231A">
      <w:pPr>
        <w:spacing w:after="0"/>
      </w:pPr>
      <w:r w:rsidRPr="007C5CB9">
        <w:t xml:space="preserve">This research highlighted, whilst </w:t>
      </w:r>
      <w:r w:rsidR="004E0287" w:rsidRPr="007C5CB9">
        <w:t xml:space="preserve">educator </w:t>
      </w:r>
      <w:r w:rsidRPr="007C5CB9">
        <w:t>participants felt emotions should be expressed within the classroom, there were caveats to this. For example, m</w:t>
      </w:r>
      <w:r w:rsidR="0044632E" w:rsidRPr="007C5CB9">
        <w:t xml:space="preserve">ost educators </w:t>
      </w:r>
      <w:r w:rsidRPr="007C5CB9">
        <w:t>s</w:t>
      </w:r>
      <w:r w:rsidR="0044632E" w:rsidRPr="007C5CB9">
        <w:t xml:space="preserve">hared </w:t>
      </w:r>
      <w:r w:rsidRPr="007C5CB9">
        <w:t>there needed to be a balance and students needed to understand when and how it was appropriate to share emotion.  Such a balance has been widely discussed and as Grant, Kinman</w:t>
      </w:r>
      <w:r w:rsidR="002B6766" w:rsidRPr="007C5CB9">
        <w:t xml:space="preserve"> and</w:t>
      </w:r>
      <w:r w:rsidR="00F45E34" w:rsidRPr="007C5CB9">
        <w:t xml:space="preserve"> </w:t>
      </w:r>
      <w:r w:rsidRPr="007C5CB9">
        <w:lastRenderedPageBreak/>
        <w:t xml:space="preserve">Alexander (2014) pointed out, this has created some ambiguity in terms of how a balance between acknowledging emotion and limiting the impact of emotional reactions is to be achieved. One way in which this might be addressed is through educators modelling this behaviour to students, as was the case in this research as educators primarily agreed on the need for them to show emotion to students. Students’ responses suggested they valued it when educators were open about their emotional reactions to learning content and previous research has suggested not doing so can cause stress. For example, in Barlow and Hall’s study (2007, p.409), students in their sample who participated in relation to their practice-based learning expressed feeling confused in situations where they experienced distress while their </w:t>
      </w:r>
      <w:r w:rsidR="00146EAC" w:rsidRPr="007C5CB9">
        <w:t>‘</w:t>
      </w:r>
      <w:r w:rsidRPr="007C5CB9">
        <w:t xml:space="preserve">field instructors’ did not. </w:t>
      </w:r>
    </w:p>
    <w:p w14:paraId="3692F258" w14:textId="77777777" w:rsidR="006835B5" w:rsidRPr="007C5CB9" w:rsidRDefault="006835B5" w:rsidP="009E0B25">
      <w:pPr>
        <w:spacing w:after="0"/>
        <w:ind w:firstLine="720"/>
        <w:jc w:val="left"/>
      </w:pPr>
    </w:p>
    <w:p w14:paraId="3E67FCCD" w14:textId="77777777" w:rsidR="006835B5" w:rsidRPr="007C5CB9" w:rsidRDefault="009C2D00" w:rsidP="009E0B25">
      <w:pPr>
        <w:spacing w:after="0"/>
        <w:jc w:val="left"/>
        <w:rPr>
          <w:b/>
          <w:i/>
        </w:rPr>
      </w:pPr>
      <w:r w:rsidRPr="007C5CB9">
        <w:rPr>
          <w:b/>
          <w:i/>
        </w:rPr>
        <w:t xml:space="preserve">Study strengths and limitations </w:t>
      </w:r>
    </w:p>
    <w:p w14:paraId="365A0E5A" w14:textId="77777777" w:rsidR="006835B5" w:rsidRPr="007C5CB9" w:rsidRDefault="006835B5" w:rsidP="009E0B25">
      <w:pPr>
        <w:spacing w:after="0"/>
        <w:jc w:val="left"/>
        <w:rPr>
          <w:b/>
          <w:i/>
        </w:rPr>
      </w:pPr>
    </w:p>
    <w:p w14:paraId="35D8F0E7" w14:textId="1477EA3F" w:rsidR="00220974" w:rsidRPr="007C5CB9" w:rsidRDefault="009C2D00" w:rsidP="00D02829">
      <w:pPr>
        <w:spacing w:after="0"/>
      </w:pPr>
      <w:r w:rsidRPr="007C5CB9">
        <w:t>This was an exploratory study with a small participant sample</w:t>
      </w:r>
      <w:r w:rsidR="000C52EC" w:rsidRPr="007C5CB9">
        <w:t xml:space="preserve"> </w:t>
      </w:r>
      <w:r w:rsidR="00232B1C" w:rsidRPr="007C5CB9">
        <w:t xml:space="preserve">exploring teaching practice </w:t>
      </w:r>
      <w:r w:rsidR="000C52EC" w:rsidRPr="007C5CB9">
        <w:t>within two HEIs</w:t>
      </w:r>
      <w:r w:rsidRPr="007C5CB9">
        <w:t xml:space="preserve">.  Therefore, findings are not generalisable across all HEIs delivering PQSWPs.   However, the study captured ‘rich data’ in the descriptions of participants which offered a range of examples of </w:t>
      </w:r>
      <w:r w:rsidR="00220974" w:rsidRPr="007C5CB9">
        <w:t>‘</w:t>
      </w:r>
      <w:r w:rsidRPr="007C5CB9">
        <w:t>best practice</w:t>
      </w:r>
      <w:r w:rsidR="00220974" w:rsidRPr="007C5CB9">
        <w:t>’</w:t>
      </w:r>
      <w:r w:rsidRPr="007C5CB9">
        <w:t xml:space="preserve"> identified within and beyond the scope of the existing literature.   Due to the pandemic the approach to gathering data was limited to student surveys and gathering evidence from educators via semi-structured interviews conducted live online.  Consequently, opportunities for a wider triangulation of data, for example, through classroom-based focus groups with either participant samples, while limited for the purpose of this study, </w:t>
      </w:r>
      <w:r w:rsidR="00220974" w:rsidRPr="007C5CB9">
        <w:t xml:space="preserve">is </w:t>
      </w:r>
      <w:r w:rsidRPr="007C5CB9">
        <w:t xml:space="preserve">encouraged as an approach to future research in the subject area.   </w:t>
      </w:r>
      <w:r w:rsidR="000C52EC" w:rsidRPr="007C5CB9">
        <w:t>Future research could be undertaken across other locations and include a more diverse sample.</w:t>
      </w:r>
    </w:p>
    <w:p w14:paraId="4DF4F336" w14:textId="77777777" w:rsidR="00515A95" w:rsidRPr="007C5CB9" w:rsidRDefault="00515A95" w:rsidP="009E0B25">
      <w:pPr>
        <w:spacing w:after="0"/>
        <w:jc w:val="left"/>
        <w:rPr>
          <w:b/>
          <w:sz w:val="28"/>
          <w:szCs w:val="28"/>
        </w:rPr>
      </w:pPr>
    </w:p>
    <w:p w14:paraId="4B0F97F9" w14:textId="2E13F043" w:rsidR="006835B5" w:rsidRPr="007C5CB9" w:rsidRDefault="009C2D00" w:rsidP="009E0B25">
      <w:pPr>
        <w:spacing w:after="0"/>
        <w:jc w:val="left"/>
        <w:rPr>
          <w:b/>
          <w:sz w:val="28"/>
          <w:szCs w:val="28"/>
        </w:rPr>
      </w:pPr>
      <w:r w:rsidRPr="007C5CB9">
        <w:rPr>
          <w:b/>
          <w:sz w:val="28"/>
          <w:szCs w:val="28"/>
        </w:rPr>
        <w:t xml:space="preserve">Conclusion </w:t>
      </w:r>
    </w:p>
    <w:p w14:paraId="6BAA385C" w14:textId="77777777" w:rsidR="00232B1C" w:rsidRPr="007C5CB9" w:rsidRDefault="009C2D00" w:rsidP="009E0B25">
      <w:pPr>
        <w:spacing w:before="240" w:after="240"/>
      </w:pPr>
      <w:r w:rsidRPr="007C5CB9">
        <w:t>Highlighting essential knowledge for promoting ‘best practice’ where teaching about trauma, this paper examined literature (e.g. Carello and Butler, 2015) which discusses links between students’ life histories including ACE, choice to undertake social work training and risk of (re)traumatisation</w:t>
      </w:r>
      <w:r w:rsidR="000C7345" w:rsidRPr="007C5CB9">
        <w:t>.</w:t>
      </w:r>
      <w:r w:rsidRPr="007C5CB9">
        <w:t xml:space="preserve">  Carello and Butler (20</w:t>
      </w:r>
      <w:r w:rsidR="00FD4A86" w:rsidRPr="007C5CB9">
        <w:t>1</w:t>
      </w:r>
      <w:r w:rsidRPr="007C5CB9">
        <w:t xml:space="preserve">5) </w:t>
      </w:r>
      <w:r w:rsidR="009977D7" w:rsidRPr="007C5CB9">
        <w:t xml:space="preserve">identified </w:t>
      </w:r>
      <w:r w:rsidRPr="007C5CB9">
        <w:t xml:space="preserve">the importance of incorporating trauma-informed principles into social work education which include: (1) </w:t>
      </w:r>
      <w:r w:rsidRPr="007C5CB9">
        <w:rPr>
          <w:i/>
        </w:rPr>
        <w:t>ensuring safety</w:t>
      </w:r>
      <w:r w:rsidRPr="007C5CB9">
        <w:t xml:space="preserve"> (2) </w:t>
      </w:r>
      <w:r w:rsidRPr="007C5CB9">
        <w:rPr>
          <w:i/>
        </w:rPr>
        <w:t>establishing trustworthiness</w:t>
      </w:r>
      <w:r w:rsidRPr="007C5CB9">
        <w:t xml:space="preserve"> (3) </w:t>
      </w:r>
      <w:r w:rsidRPr="007C5CB9">
        <w:rPr>
          <w:i/>
        </w:rPr>
        <w:t xml:space="preserve">maximising choice </w:t>
      </w:r>
      <w:r w:rsidRPr="007C5CB9">
        <w:t xml:space="preserve">(4) </w:t>
      </w:r>
      <w:r w:rsidRPr="007C5CB9">
        <w:rPr>
          <w:i/>
        </w:rPr>
        <w:t>encouraging collaboration</w:t>
      </w:r>
      <w:r w:rsidRPr="007C5CB9">
        <w:t xml:space="preserve"> and (5) </w:t>
      </w:r>
      <w:r w:rsidRPr="007C5CB9">
        <w:rPr>
          <w:i/>
        </w:rPr>
        <w:lastRenderedPageBreak/>
        <w:t>prioritising empowerment.</w:t>
      </w:r>
      <w:r w:rsidRPr="007C5CB9">
        <w:t xml:space="preserve">  Also identified in this study is the importance of</w:t>
      </w:r>
      <w:r w:rsidRPr="007C5CB9">
        <w:rPr>
          <w:i/>
        </w:rPr>
        <w:t xml:space="preserve"> promoting resilience</w:t>
      </w:r>
      <w:r w:rsidRPr="007C5CB9">
        <w:t xml:space="preserve"> and how exposure to trauma in preparation for practice is acknowledged as essential learning (see also Strand, Abramovitz, Layne, Robinson and Way, 2014; Gilin and Kaufmann, 2015).  Teaching </w:t>
      </w:r>
      <w:r w:rsidR="00E45472" w:rsidRPr="007C5CB9">
        <w:t xml:space="preserve">and learning experience </w:t>
      </w:r>
      <w:r w:rsidRPr="007C5CB9">
        <w:t xml:space="preserve">approaches underpinned by trauma-informed principles can be likened to an ‘engaged pedagogy’ (Hooks, 1994).  </w:t>
      </w:r>
    </w:p>
    <w:p w14:paraId="0A59F9DF" w14:textId="7C4117CE" w:rsidR="006835B5" w:rsidRPr="007C5CB9" w:rsidRDefault="009C2D00" w:rsidP="009E0B25">
      <w:pPr>
        <w:spacing w:before="240" w:after="240"/>
      </w:pPr>
      <w:r w:rsidRPr="007C5CB9">
        <w:t xml:space="preserve">‘Engaged’ pedagogical practices focus on the empowerment of students and educators as well as actively working in an informed way to avoid risk. </w:t>
      </w:r>
      <w:r w:rsidR="00220974" w:rsidRPr="007C5CB9">
        <w:t xml:space="preserve"> </w:t>
      </w:r>
      <w:r w:rsidRPr="007C5CB9">
        <w:t xml:space="preserve">This requires a degree of vulnerability from students and educators through </w:t>
      </w:r>
      <w:r w:rsidR="00220974" w:rsidRPr="007C5CB9">
        <w:t xml:space="preserve">a </w:t>
      </w:r>
      <w:r w:rsidRPr="007C5CB9">
        <w:t xml:space="preserve">willingness to be </w:t>
      </w:r>
      <w:r w:rsidR="00D02829" w:rsidRPr="007C5CB9">
        <w:t>open</w:t>
      </w:r>
      <w:r w:rsidR="00DD0CE5" w:rsidRPr="007C5CB9">
        <w:t xml:space="preserve"> </w:t>
      </w:r>
      <w:r w:rsidRPr="007C5CB9">
        <w:t xml:space="preserve">to </w:t>
      </w:r>
      <w:r w:rsidR="00220974" w:rsidRPr="007C5CB9">
        <w:t xml:space="preserve">learning about and </w:t>
      </w:r>
      <w:r w:rsidRPr="007C5CB9">
        <w:t xml:space="preserve">sharing </w:t>
      </w:r>
      <w:r w:rsidR="00220974" w:rsidRPr="007C5CB9">
        <w:t xml:space="preserve">trauma-material and life </w:t>
      </w:r>
      <w:r w:rsidRPr="007C5CB9">
        <w:t xml:space="preserve">experiences which was something we found within this study.  </w:t>
      </w:r>
      <w:r w:rsidR="00C708B2" w:rsidRPr="007C5CB9">
        <w:t xml:space="preserve">However, there is </w:t>
      </w:r>
      <w:r w:rsidRPr="007C5CB9">
        <w:t>some complexity and uncertainty around</w:t>
      </w:r>
      <w:r w:rsidR="00220974" w:rsidRPr="007C5CB9">
        <w:t xml:space="preserve"> </w:t>
      </w:r>
      <w:r w:rsidRPr="007C5CB9">
        <w:t xml:space="preserve">how </w:t>
      </w:r>
      <w:r w:rsidR="0080231A" w:rsidRPr="007C5CB9">
        <w:t xml:space="preserve">best to </w:t>
      </w:r>
      <w:r w:rsidRPr="007C5CB9">
        <w:t>navigate vulnerability</w:t>
      </w:r>
      <w:r w:rsidR="00220974" w:rsidRPr="007C5CB9">
        <w:t xml:space="preserve"> </w:t>
      </w:r>
      <w:r w:rsidRPr="007C5CB9">
        <w:t xml:space="preserve">and risk to self and others </w:t>
      </w:r>
      <w:r w:rsidR="00220974" w:rsidRPr="007C5CB9">
        <w:t>at different times and under different circumstances within the classroom</w:t>
      </w:r>
      <w:r w:rsidRPr="007C5CB9">
        <w:t xml:space="preserve">.  </w:t>
      </w:r>
      <w:r w:rsidR="00F25A87" w:rsidRPr="007C5CB9">
        <w:t>Nevertheless, as found in the study,</w:t>
      </w:r>
      <w:r w:rsidR="00220974" w:rsidRPr="007C5CB9">
        <w:t xml:space="preserve"> an ‘</w:t>
      </w:r>
      <w:r w:rsidRPr="007C5CB9">
        <w:t>engaged pedagogy</w:t>
      </w:r>
      <w:r w:rsidR="00220974" w:rsidRPr="007C5CB9">
        <w:t>’</w:t>
      </w:r>
      <w:r w:rsidRPr="007C5CB9">
        <w:t xml:space="preserve"> reinforces educators</w:t>
      </w:r>
      <w:r w:rsidR="00F25A87" w:rsidRPr="007C5CB9">
        <w:t>’ role</w:t>
      </w:r>
      <w:r w:rsidRPr="007C5CB9">
        <w:t xml:space="preserve"> in </w:t>
      </w:r>
      <w:r w:rsidRPr="007C5CB9">
        <w:rPr>
          <w:i/>
          <w:iCs/>
        </w:rPr>
        <w:t>ensuring safety</w:t>
      </w:r>
      <w:r w:rsidRPr="007C5CB9">
        <w:t xml:space="preserve"> while having essential knowledge and skill to deliver trauma-material, alongside self-awareness and ability to respond ethically and expertly to </w:t>
      </w:r>
      <w:r w:rsidR="00F25A87" w:rsidRPr="007C5CB9">
        <w:t xml:space="preserve">students </w:t>
      </w:r>
      <w:r w:rsidRPr="007C5CB9">
        <w:t>willing to share their emotions, concerns, beliefs and lived experiences.</w:t>
      </w:r>
      <w:r w:rsidR="00010616" w:rsidRPr="007C5CB9">
        <w:t xml:space="preserve"> </w:t>
      </w:r>
      <w:r w:rsidR="00C708B2" w:rsidRPr="007C5CB9">
        <w:t xml:space="preserve"> </w:t>
      </w:r>
      <w:r w:rsidR="00393409" w:rsidRPr="007C5CB9">
        <w:t xml:space="preserve">As educator Bell Hooks </w:t>
      </w:r>
      <w:r w:rsidR="00BC2F3F" w:rsidRPr="007C5CB9">
        <w:t xml:space="preserve">suggests </w:t>
      </w:r>
      <w:r w:rsidR="00393409" w:rsidRPr="007C5CB9">
        <w:t>teaching difficult material should facil</w:t>
      </w:r>
      <w:r w:rsidR="00DD0CE5" w:rsidRPr="007C5CB9">
        <w:t>itate</w:t>
      </w:r>
      <w:r w:rsidR="00393409" w:rsidRPr="007C5CB9">
        <w:t xml:space="preserve"> a process of empowerment and transformation through students’ development of critical self-awareness as they are </w:t>
      </w:r>
      <w:r w:rsidR="00DD0CE5" w:rsidRPr="007C5CB9">
        <w:t xml:space="preserve">safely </w:t>
      </w:r>
      <w:r w:rsidR="00393409" w:rsidRPr="007C5CB9">
        <w:t xml:space="preserve">encouraged to </w:t>
      </w:r>
      <w:r w:rsidR="00BC2F3F" w:rsidRPr="007C5CB9">
        <w:t xml:space="preserve">make sense of and </w:t>
      </w:r>
      <w:r w:rsidR="00393409" w:rsidRPr="007C5CB9">
        <w:t xml:space="preserve">revise the meaning of their lived experience.  </w:t>
      </w:r>
    </w:p>
    <w:p w14:paraId="38D3870D" w14:textId="253CC5A0" w:rsidR="006835B5" w:rsidRPr="007C5CB9" w:rsidRDefault="009C2D00" w:rsidP="009E0B25">
      <w:pPr>
        <w:spacing w:before="240" w:after="240"/>
      </w:pPr>
      <w:r w:rsidRPr="007C5CB9">
        <w:t xml:space="preserve"> ‘There are times when I walk into classrooms overflowing with students who feel terribly wounded in their psyches</w:t>
      </w:r>
      <w:r w:rsidR="00F25A87" w:rsidRPr="007C5CB9">
        <w:t>…</w:t>
      </w:r>
      <w:r w:rsidRPr="007C5CB9">
        <w:t>yet I do not think that they want therapy from me. They want an education that is healing to the uninformed, unknowing spirit.</w:t>
      </w:r>
      <w:r w:rsidR="00EB0C69" w:rsidRPr="007C5CB9">
        <w:t xml:space="preserve">  </w:t>
      </w:r>
      <w:r w:rsidRPr="007C5CB9">
        <w:t>They do want knowledge that is meaningful. They rightfully expect</w:t>
      </w:r>
      <w:r w:rsidR="0080231A" w:rsidRPr="007C5CB9">
        <w:t>…</w:t>
      </w:r>
      <w:r w:rsidRPr="007C5CB9">
        <w:t>my colleagues and I will not offer them information without addressing the connection between what they are learning and their overall life experiences</w:t>
      </w:r>
      <w:r w:rsidR="00EB0C69" w:rsidRPr="007C5CB9">
        <w:t xml:space="preserve"> </w:t>
      </w:r>
      <w:r w:rsidRPr="007C5CB9">
        <w:t>(Hooks, 1994, p.75).</w:t>
      </w:r>
    </w:p>
    <w:p w14:paraId="11D064DB" w14:textId="77777777" w:rsidR="00A14340" w:rsidRPr="007C5CB9" w:rsidRDefault="009C2D00" w:rsidP="00A14340">
      <w:pPr>
        <w:spacing w:before="240" w:after="240"/>
      </w:pPr>
      <w:r w:rsidRPr="007C5CB9">
        <w:t>Adopting trauma-informed principles in social work education offers a way to address this connection and this paper has shared</w:t>
      </w:r>
      <w:r w:rsidR="0080231A" w:rsidRPr="007C5CB9">
        <w:t xml:space="preserve"> </w:t>
      </w:r>
      <w:r w:rsidRPr="007C5CB9">
        <w:t>insight</w:t>
      </w:r>
      <w:r w:rsidR="0080231A" w:rsidRPr="007C5CB9">
        <w:t>s</w:t>
      </w:r>
      <w:r w:rsidRPr="007C5CB9">
        <w:t xml:space="preserve"> into how these principles should be and are enacted in practice.</w:t>
      </w:r>
      <w:bookmarkStart w:id="3" w:name="_heading=h.h9hm3zysdv1b" w:colFirst="0" w:colLast="0"/>
      <w:bookmarkStart w:id="4" w:name="_heading=h.1fob9te" w:colFirst="0" w:colLast="0"/>
      <w:bookmarkEnd w:id="3"/>
      <w:bookmarkEnd w:id="4"/>
    </w:p>
    <w:p w14:paraId="001EBE59" w14:textId="77777777" w:rsidR="00E70651" w:rsidRPr="007C5CB9" w:rsidRDefault="00E70651" w:rsidP="00A14340">
      <w:pPr>
        <w:spacing w:before="240" w:after="240"/>
        <w:rPr>
          <w:b/>
          <w:sz w:val="28"/>
          <w:szCs w:val="28"/>
        </w:rPr>
      </w:pPr>
    </w:p>
    <w:p w14:paraId="5BE4DAF1" w14:textId="77777777" w:rsidR="00E70651" w:rsidRPr="007C5CB9" w:rsidRDefault="00E70651" w:rsidP="00A14340">
      <w:pPr>
        <w:spacing w:before="240" w:after="240"/>
        <w:rPr>
          <w:b/>
          <w:sz w:val="28"/>
          <w:szCs w:val="28"/>
        </w:rPr>
      </w:pPr>
    </w:p>
    <w:p w14:paraId="0CCE65D1" w14:textId="367905EB" w:rsidR="006835B5" w:rsidRPr="007C5CB9" w:rsidRDefault="009C2D00" w:rsidP="00A14340">
      <w:pPr>
        <w:spacing w:before="240" w:after="240"/>
      </w:pPr>
      <w:r w:rsidRPr="007C5CB9">
        <w:rPr>
          <w:b/>
          <w:sz w:val="28"/>
          <w:szCs w:val="28"/>
        </w:rPr>
        <w:lastRenderedPageBreak/>
        <w:t>References</w:t>
      </w:r>
    </w:p>
    <w:p w14:paraId="4CC3FB99" w14:textId="1D081205" w:rsidR="006835B5" w:rsidRPr="007C5CB9" w:rsidRDefault="009C2D00">
      <w:pPr>
        <w:spacing w:line="240" w:lineRule="auto"/>
        <w:rPr>
          <w:rFonts w:ascii="Arial" w:eastAsia="Arial" w:hAnsi="Arial" w:cs="Arial"/>
        </w:rPr>
      </w:pPr>
      <w:r w:rsidRPr="007C5CB9">
        <w:t xml:space="preserve">Barlow, C. and Hall, B. H. (2007) ‘What about feelings?’: A study of emotion and tension in social work field education. </w:t>
      </w:r>
      <w:r w:rsidRPr="007C5CB9">
        <w:rPr>
          <w:i/>
          <w:iCs/>
        </w:rPr>
        <w:t>Social Work Education,</w:t>
      </w:r>
      <w:r w:rsidRPr="007C5CB9">
        <w:t xml:space="preserve"> 26 (4), pp. 399-413. </w:t>
      </w:r>
      <w:hyperlink r:id="rId9">
        <w:r w:rsidRPr="007C5CB9">
          <w:rPr>
            <w:rFonts w:ascii="Arial" w:eastAsia="Arial" w:hAnsi="Arial" w:cs="Arial"/>
            <w:u w:val="single"/>
          </w:rPr>
          <w:t>https://doi.org/10.1080/02615470601081712</w:t>
        </w:r>
      </w:hyperlink>
    </w:p>
    <w:p w14:paraId="1597F9CC" w14:textId="77777777" w:rsidR="006835B5" w:rsidRPr="007C5CB9" w:rsidRDefault="009C2D00">
      <w:pPr>
        <w:pBdr>
          <w:top w:val="nil"/>
          <w:left w:val="nil"/>
          <w:bottom w:val="nil"/>
          <w:right w:val="nil"/>
          <w:between w:val="nil"/>
        </w:pBdr>
        <w:spacing w:before="280" w:after="280" w:line="240" w:lineRule="auto"/>
        <w:rPr>
          <w:u w:val="single"/>
        </w:rPr>
      </w:pPr>
      <w:r w:rsidRPr="007C5CB9">
        <w:t xml:space="preserve">Black, P. N., Jeffreys, D. and Hartley, E. K. (1993) Personal History of Psychosocial Trauma in the Early Life of Social Work and Business Students.  </w:t>
      </w:r>
      <w:r w:rsidRPr="007C5CB9">
        <w:rPr>
          <w:i/>
        </w:rPr>
        <w:t>Journal of Social Work Education,</w:t>
      </w:r>
      <w:r w:rsidRPr="007C5CB9">
        <w:t xml:space="preserve"> 29 (2), pp.171 - 180 </w:t>
      </w:r>
      <w:hyperlink r:id="rId10">
        <w:r w:rsidRPr="007C5CB9">
          <w:rPr>
            <w:u w:val="single"/>
          </w:rPr>
          <w:t>https://doi.org/10.1080/10437797.1993.10778812</w:t>
        </w:r>
      </w:hyperlink>
    </w:p>
    <w:p w14:paraId="0256B917" w14:textId="5CE24240" w:rsidR="006835B5" w:rsidRPr="007C5CB9" w:rsidRDefault="009C2D00">
      <w:pPr>
        <w:pBdr>
          <w:top w:val="nil"/>
          <w:left w:val="nil"/>
          <w:bottom w:val="nil"/>
          <w:right w:val="nil"/>
          <w:between w:val="nil"/>
        </w:pBdr>
        <w:spacing w:before="280" w:after="280" w:line="240" w:lineRule="auto"/>
      </w:pPr>
      <w:r w:rsidRPr="007C5CB9">
        <w:t>Blakemore, T. and Agllias, K. (2019) Student reflections on vulnerability and self-awareness in social work skills course.</w:t>
      </w:r>
      <w:r w:rsidRPr="007C5CB9">
        <w:rPr>
          <w:i/>
        </w:rPr>
        <w:t xml:space="preserve"> Australian Social Work, </w:t>
      </w:r>
      <w:r w:rsidRPr="007C5CB9">
        <w:t xml:space="preserve">72 (1). pp. 21-33. </w:t>
      </w:r>
      <w:hyperlink r:id="rId11">
        <w:r w:rsidRPr="007C5CB9">
          <w:rPr>
            <w:rFonts w:ascii="Arial" w:eastAsia="Arial" w:hAnsi="Arial" w:cs="Arial"/>
            <w:u w:val="single"/>
          </w:rPr>
          <w:t>https://doi.org/10.1080/0312407X.2018.1516793</w:t>
        </w:r>
      </w:hyperlink>
    </w:p>
    <w:p w14:paraId="540760C0" w14:textId="6F1466BE" w:rsidR="006835B5" w:rsidRPr="007C5CB9" w:rsidRDefault="009C2D00">
      <w:pPr>
        <w:pBdr>
          <w:top w:val="nil"/>
          <w:left w:val="nil"/>
          <w:bottom w:val="nil"/>
          <w:right w:val="nil"/>
          <w:between w:val="nil"/>
        </w:pBdr>
        <w:spacing w:before="280" w:after="280" w:line="240" w:lineRule="auto"/>
      </w:pPr>
      <w:r w:rsidRPr="007C5CB9">
        <w:t xml:space="preserve">Butler, L. D., Carello, J. and Maguin, E. (2016) Trauma, stress, and self-care in clinical training: Predictors of burnout, decline in health status, secondary traumatic stress symptoms, and compassion satisfaction. </w:t>
      </w:r>
      <w:r w:rsidRPr="007C5CB9">
        <w:rPr>
          <w:i/>
        </w:rPr>
        <w:t>Psychological Trauma: Theory, Research, Practice, and Policy.</w:t>
      </w:r>
      <w:r w:rsidRPr="007C5CB9">
        <w:t xml:space="preserve"> Advance online publication. </w:t>
      </w:r>
      <w:r w:rsidRPr="007C5CB9">
        <w:rPr>
          <w:u w:val="single"/>
        </w:rPr>
        <w:t>doi:10.1037/tra0000187</w:t>
      </w:r>
      <w:r w:rsidRPr="007C5CB9">
        <w:t xml:space="preserve"> </w:t>
      </w:r>
    </w:p>
    <w:p w14:paraId="3A1784D6" w14:textId="3E054EE4" w:rsidR="006835B5" w:rsidRPr="007C5CB9" w:rsidRDefault="009C2D00">
      <w:pPr>
        <w:pBdr>
          <w:top w:val="nil"/>
          <w:left w:val="nil"/>
          <w:bottom w:val="nil"/>
          <w:right w:val="nil"/>
          <w:between w:val="nil"/>
        </w:pBdr>
        <w:spacing w:before="280" w:after="280" w:line="240" w:lineRule="auto"/>
      </w:pPr>
      <w:r w:rsidRPr="007C5CB9">
        <w:t>Butler, L. D., Maguin, E. and Carello, J. (2017)</w:t>
      </w:r>
      <w:r w:rsidR="009F18C7" w:rsidRPr="007C5CB9">
        <w:t xml:space="preserve"> </w:t>
      </w:r>
      <w:r w:rsidRPr="007C5CB9">
        <w:t xml:space="preserve">Retraumatization mediates the effect of adverse childhood experiences on clinical training-related secondary traumatic stress symptoms. </w:t>
      </w:r>
      <w:r w:rsidRPr="007C5CB9">
        <w:rPr>
          <w:i/>
        </w:rPr>
        <w:t>Journal of Trauma &amp; Dissociation,</w:t>
      </w:r>
      <w:r w:rsidRPr="007C5CB9">
        <w:t xml:space="preserve"> pp.1–14 </w:t>
      </w:r>
      <w:r w:rsidRPr="007C5CB9">
        <w:rPr>
          <w:u w:val="single"/>
        </w:rPr>
        <w:t>doi:10.1080/15299732.2017.1304488</w:t>
      </w:r>
      <w:r w:rsidRPr="007C5CB9">
        <w:t xml:space="preserve"> </w:t>
      </w:r>
    </w:p>
    <w:p w14:paraId="334FE37B" w14:textId="77777777" w:rsidR="006835B5" w:rsidRPr="007C5CB9" w:rsidRDefault="009C2D00">
      <w:pPr>
        <w:pBdr>
          <w:top w:val="nil"/>
          <w:left w:val="nil"/>
          <w:bottom w:val="nil"/>
          <w:right w:val="nil"/>
          <w:between w:val="nil"/>
        </w:pBdr>
        <w:spacing w:before="280" w:after="280" w:line="240" w:lineRule="auto"/>
      </w:pPr>
      <w:r w:rsidRPr="007C5CB9">
        <w:t xml:space="preserve">Carello, J. and Butler, L. D. (2014) Potentially Perilous Pedagogies: Teaching Trauma is Not the Same as Trauma-Informed Teaching.  </w:t>
      </w:r>
      <w:r w:rsidRPr="007C5CB9">
        <w:rPr>
          <w:i/>
        </w:rPr>
        <w:t xml:space="preserve">Journal of Trauma and Disassociation, </w:t>
      </w:r>
      <w:r w:rsidRPr="007C5CB9">
        <w:t xml:space="preserve">15, pp.153 – 168  </w:t>
      </w:r>
      <w:hyperlink r:id="rId12">
        <w:r w:rsidRPr="007C5CB9">
          <w:rPr>
            <w:u w:val="single"/>
          </w:rPr>
          <w:t>https://doi.org/10.1080/15299732.2014.867571</w:t>
        </w:r>
      </w:hyperlink>
    </w:p>
    <w:p w14:paraId="1AD6A214" w14:textId="77777777" w:rsidR="006835B5" w:rsidRPr="007C5CB9" w:rsidRDefault="009C2D00">
      <w:pPr>
        <w:pBdr>
          <w:top w:val="nil"/>
          <w:left w:val="nil"/>
          <w:bottom w:val="nil"/>
          <w:right w:val="nil"/>
          <w:between w:val="nil"/>
        </w:pBdr>
        <w:spacing w:before="280" w:after="280" w:line="240" w:lineRule="auto"/>
        <w:rPr>
          <w:u w:val="single"/>
        </w:rPr>
      </w:pPr>
      <w:r w:rsidRPr="007C5CB9">
        <w:t xml:space="preserve">Carello, J. and Butler, L. D. (2015) Practicing What We Teach: Trauma-Informed Educational Practice. </w:t>
      </w:r>
      <w:r w:rsidRPr="007C5CB9">
        <w:rPr>
          <w:i/>
        </w:rPr>
        <w:t>Journal of Teaching in Social Work</w:t>
      </w:r>
      <w:r w:rsidRPr="007C5CB9">
        <w:t xml:space="preserve">, 35 (3), pp.265 - 275 </w:t>
      </w:r>
      <w:hyperlink r:id="rId13">
        <w:r w:rsidRPr="007C5CB9">
          <w:rPr>
            <w:u w:val="single"/>
          </w:rPr>
          <w:t>https://doi.org/10.1080/08841233.2015.1030059</w:t>
        </w:r>
      </w:hyperlink>
    </w:p>
    <w:p w14:paraId="37149C2D" w14:textId="77777777" w:rsidR="006835B5" w:rsidRPr="007C5CB9" w:rsidRDefault="009C2D00">
      <w:pPr>
        <w:spacing w:after="0" w:line="240" w:lineRule="auto"/>
        <w:rPr>
          <w:u w:val="single"/>
        </w:rPr>
      </w:pPr>
      <w:r w:rsidRPr="007C5CB9">
        <w:t>Caringi, J. C., Hardiman, E. R., Weldon, P., Fletcher, S., Devlin, M. and Stanick, C. (2017) Secondary traumatic stress and licensed clinical social workers. </w:t>
      </w:r>
      <w:r w:rsidRPr="007C5CB9">
        <w:rPr>
          <w:i/>
        </w:rPr>
        <w:t>Traumatology, 23</w:t>
      </w:r>
      <w:r w:rsidRPr="007C5CB9">
        <w:t>(2), pp.186 –195 </w:t>
      </w:r>
      <w:hyperlink r:id="rId14">
        <w:r w:rsidRPr="007C5CB9">
          <w:rPr>
            <w:u w:val="single"/>
          </w:rPr>
          <w:t>https://doi.org/10.1037/trm0000061</w:t>
        </w:r>
      </w:hyperlink>
    </w:p>
    <w:p w14:paraId="2CB84C0E" w14:textId="77777777" w:rsidR="006835B5" w:rsidRPr="007C5CB9" w:rsidRDefault="006835B5">
      <w:pPr>
        <w:spacing w:after="0" w:line="240" w:lineRule="auto"/>
      </w:pPr>
    </w:p>
    <w:p w14:paraId="354A8988" w14:textId="4EA33876" w:rsidR="006835B5" w:rsidRPr="007C5CB9" w:rsidRDefault="009C2D00">
      <w:pPr>
        <w:spacing w:after="0" w:line="240" w:lineRule="auto"/>
        <w:rPr>
          <w:u w:val="single"/>
        </w:rPr>
      </w:pPr>
      <w:r w:rsidRPr="007C5CB9">
        <w:t xml:space="preserve">Catherall, D. R. (1995) Coping with secondary traumatic stress: The importance of the therapist's professional peer group.  In Stamm, B. H.  (Ed.) </w:t>
      </w:r>
      <w:r w:rsidRPr="007C5CB9">
        <w:rPr>
          <w:i/>
        </w:rPr>
        <w:t xml:space="preserve">Secondary traumatic stress: Self-care issues for clinicians, researchers, and educators.  </w:t>
      </w:r>
      <w:r w:rsidRPr="007C5CB9">
        <w:t>Lutherville, MD: Sidran Press.</w:t>
      </w:r>
    </w:p>
    <w:p w14:paraId="078AF516" w14:textId="77777777" w:rsidR="006835B5" w:rsidRPr="007C5CB9" w:rsidRDefault="006835B5">
      <w:pPr>
        <w:spacing w:after="0" w:line="240" w:lineRule="auto"/>
      </w:pPr>
    </w:p>
    <w:p w14:paraId="78E8F5D3" w14:textId="06890954" w:rsidR="006835B5" w:rsidRPr="007C5CB9" w:rsidRDefault="009C2D00">
      <w:pPr>
        <w:spacing w:after="0" w:line="240" w:lineRule="auto"/>
      </w:pPr>
      <w:r w:rsidRPr="007C5CB9">
        <w:t>Conrad, D. and Keller-Guenther, Y. (2006)</w:t>
      </w:r>
      <w:r w:rsidR="009F18C7" w:rsidRPr="007C5CB9">
        <w:t xml:space="preserve"> </w:t>
      </w:r>
      <w:r w:rsidRPr="007C5CB9">
        <w:t xml:space="preserve">Compassion fatigue, burnout, and compassion satisfaction among Colorado child protection workers. </w:t>
      </w:r>
      <w:r w:rsidRPr="007C5CB9">
        <w:rPr>
          <w:i/>
        </w:rPr>
        <w:t xml:space="preserve">Child Abuse and Neglect, </w:t>
      </w:r>
      <w:r w:rsidRPr="007C5CB9">
        <w:t>30, pp.1071 – 1080</w:t>
      </w:r>
    </w:p>
    <w:p w14:paraId="1FCE5A0B" w14:textId="77777777" w:rsidR="00F25A87" w:rsidRPr="007C5CB9" w:rsidRDefault="00F25A87">
      <w:pPr>
        <w:spacing w:after="0" w:line="240" w:lineRule="auto"/>
      </w:pPr>
    </w:p>
    <w:p w14:paraId="1C2B9FA2" w14:textId="3897F665" w:rsidR="006835B5" w:rsidRPr="007C5CB9" w:rsidRDefault="009C2D00">
      <w:pPr>
        <w:spacing w:after="0" w:line="240" w:lineRule="auto"/>
      </w:pPr>
      <w:r w:rsidRPr="007C5CB9">
        <w:t>Crabtree, B. and Miller, W. (1999)</w:t>
      </w:r>
      <w:r w:rsidR="009F18C7" w:rsidRPr="007C5CB9">
        <w:t xml:space="preserve"> </w:t>
      </w:r>
      <w:r w:rsidRPr="007C5CB9">
        <w:t xml:space="preserve"> A template approach to text analysis: Developing and using code books.  In Crabtree, B. and Miller, W. (Eds) </w:t>
      </w:r>
      <w:r w:rsidRPr="007C5CB9">
        <w:rPr>
          <w:i/>
        </w:rPr>
        <w:t xml:space="preserve">Doing Qualitative Research.  </w:t>
      </w:r>
      <w:r w:rsidRPr="007C5CB9">
        <w:t xml:space="preserve">Newbury Park, CA: Sage. </w:t>
      </w:r>
    </w:p>
    <w:p w14:paraId="5097C69E" w14:textId="4F93BD0E" w:rsidR="006835B5" w:rsidRPr="007C5CB9" w:rsidRDefault="009C2D00">
      <w:pPr>
        <w:pBdr>
          <w:top w:val="nil"/>
          <w:left w:val="nil"/>
          <w:bottom w:val="nil"/>
          <w:right w:val="nil"/>
          <w:between w:val="nil"/>
        </w:pBdr>
        <w:spacing w:before="280" w:after="280" w:line="240" w:lineRule="auto"/>
        <w:rPr>
          <w:u w:val="single"/>
        </w:rPr>
      </w:pPr>
      <w:r w:rsidRPr="007C5CB9">
        <w:lastRenderedPageBreak/>
        <w:t>Cunningham, M. (2004) Teaching social workers about trauma: Reducing the risks of vicarious trauma in the classroom. </w:t>
      </w:r>
      <w:r w:rsidR="0080231A" w:rsidRPr="007C5CB9">
        <w:t xml:space="preserve"> </w:t>
      </w:r>
      <w:r w:rsidRPr="007C5CB9">
        <w:rPr>
          <w:i/>
        </w:rPr>
        <w:t>Journal of Social Work Education</w:t>
      </w:r>
      <w:r w:rsidRPr="007C5CB9">
        <w:t>, </w:t>
      </w:r>
      <w:r w:rsidRPr="007C5CB9">
        <w:rPr>
          <w:i/>
        </w:rPr>
        <w:t>40</w:t>
      </w:r>
      <w:r w:rsidRPr="007C5CB9">
        <w:t>, pp.305–317 </w:t>
      </w:r>
      <w:hyperlink r:id="rId15">
        <w:r w:rsidRPr="007C5CB9">
          <w:rPr>
            <w:u w:val="single"/>
          </w:rPr>
          <w:t>https://doi.org/10.1080/10437797.2004.10778495</w:t>
        </w:r>
      </w:hyperlink>
    </w:p>
    <w:p w14:paraId="69AB8126" w14:textId="77777777" w:rsidR="006835B5" w:rsidRPr="007C5CB9" w:rsidRDefault="009C2D00">
      <w:pPr>
        <w:spacing w:after="0" w:line="240" w:lineRule="auto"/>
      </w:pPr>
      <w:r w:rsidRPr="007C5CB9">
        <w:t>DePanfilis, D. (2006) Invited commentary – Compassion fatigue, burnout, and compassion</w:t>
      </w:r>
    </w:p>
    <w:p w14:paraId="73868244" w14:textId="77777777" w:rsidR="006835B5" w:rsidRPr="007C5CB9" w:rsidRDefault="009C2D00">
      <w:pPr>
        <w:spacing w:after="0" w:line="240" w:lineRule="auto"/>
        <w:rPr>
          <w:u w:val="single"/>
        </w:rPr>
      </w:pPr>
      <w:r w:rsidRPr="007C5CB9">
        <w:t xml:space="preserve">satisfaction: Implications for retention of workers. </w:t>
      </w:r>
      <w:r w:rsidRPr="007C5CB9">
        <w:rPr>
          <w:i/>
        </w:rPr>
        <w:t>Child Abuse &amp; Neglect,</w:t>
      </w:r>
      <w:r w:rsidRPr="007C5CB9">
        <w:t xml:space="preserve"> 30 (10), pp.1067 –1069 </w:t>
      </w:r>
      <w:r w:rsidRPr="007C5CB9">
        <w:rPr>
          <w:u w:val="single"/>
        </w:rPr>
        <w:t>doi:10.1016/j.chiabu.2006.08.002</w:t>
      </w:r>
    </w:p>
    <w:p w14:paraId="0A406763" w14:textId="77777777" w:rsidR="006835B5" w:rsidRPr="007C5CB9" w:rsidRDefault="006835B5">
      <w:pPr>
        <w:spacing w:after="0" w:line="240" w:lineRule="auto"/>
        <w:rPr>
          <w:u w:val="single"/>
        </w:rPr>
      </w:pPr>
    </w:p>
    <w:p w14:paraId="63CAFE08" w14:textId="77777777" w:rsidR="006835B5" w:rsidRPr="007C5CB9" w:rsidRDefault="009C2D00">
      <w:pPr>
        <w:spacing w:after="0" w:line="240" w:lineRule="auto"/>
      </w:pPr>
      <w:r w:rsidRPr="007C5CB9">
        <w:t xml:space="preserve">Didham, S., Dromgol, L., Csiernik, R., Karley, M. L. and  Hurley, D.  (2011) Trauma Exposure and the Social Work Practicum.  </w:t>
      </w:r>
      <w:r w:rsidRPr="007C5CB9">
        <w:rPr>
          <w:i/>
        </w:rPr>
        <w:t>Journal of Teaching in Social Work,</w:t>
      </w:r>
      <w:r w:rsidRPr="007C5CB9">
        <w:t xml:space="preserve"> 31 (5), pp.523 - 537  </w:t>
      </w:r>
    </w:p>
    <w:p w14:paraId="7D80542A" w14:textId="77777777" w:rsidR="006835B5" w:rsidRPr="007C5CB9" w:rsidRDefault="006835B5">
      <w:pPr>
        <w:spacing w:after="0" w:line="240" w:lineRule="auto"/>
      </w:pPr>
    </w:p>
    <w:p w14:paraId="3F29D89A" w14:textId="77777777" w:rsidR="006835B5" w:rsidRPr="007C5CB9" w:rsidRDefault="009C2D00">
      <w:pPr>
        <w:spacing w:after="0" w:line="240" w:lineRule="auto"/>
      </w:pPr>
      <w:r w:rsidRPr="007C5CB9">
        <w:t xml:space="preserve">Dykes, G. (2011) The implications of adverse childhood experiences for the professional requirements of social work. </w:t>
      </w:r>
      <w:r w:rsidRPr="007C5CB9">
        <w:rPr>
          <w:i/>
        </w:rPr>
        <w:t>Social Work/Maatskaplike Werk</w:t>
      </w:r>
      <w:r w:rsidRPr="007C5CB9">
        <w:t>, 47(4), pp.521 – 533.</w:t>
      </w:r>
    </w:p>
    <w:p w14:paraId="436763D6" w14:textId="77777777" w:rsidR="006835B5" w:rsidRPr="007C5CB9" w:rsidRDefault="006835B5">
      <w:pPr>
        <w:spacing w:after="0" w:line="240" w:lineRule="auto"/>
      </w:pPr>
    </w:p>
    <w:p w14:paraId="706DE50D" w14:textId="77777777" w:rsidR="006835B5" w:rsidRPr="007C5CB9" w:rsidRDefault="009C2D00">
      <w:pPr>
        <w:spacing w:after="0" w:line="240" w:lineRule="auto"/>
        <w:rPr>
          <w:i/>
        </w:rPr>
      </w:pPr>
      <w:r w:rsidRPr="007C5CB9">
        <w:t xml:space="preserve">Dykes, G. (2012) Phronesis and adverse childhood experiences of social work students. </w:t>
      </w:r>
      <w:r w:rsidRPr="007C5CB9">
        <w:rPr>
          <w:i/>
        </w:rPr>
        <w:t>The</w:t>
      </w:r>
    </w:p>
    <w:p w14:paraId="42F91B88" w14:textId="77777777" w:rsidR="006835B5" w:rsidRPr="007C5CB9" w:rsidRDefault="009C2D00">
      <w:pPr>
        <w:spacing w:after="0" w:line="240" w:lineRule="auto"/>
      </w:pPr>
      <w:r w:rsidRPr="007C5CB9">
        <w:rPr>
          <w:i/>
        </w:rPr>
        <w:t>Social Work Practitioner-Researcher</w:t>
      </w:r>
      <w:r w:rsidRPr="007C5CB9">
        <w:t>, 24 (3), pp.331 – 348</w:t>
      </w:r>
    </w:p>
    <w:p w14:paraId="69A21B54" w14:textId="77777777" w:rsidR="006835B5" w:rsidRPr="007C5CB9" w:rsidRDefault="006835B5">
      <w:pPr>
        <w:spacing w:after="0" w:line="240" w:lineRule="auto"/>
      </w:pPr>
    </w:p>
    <w:p w14:paraId="0AFF4713" w14:textId="77777777" w:rsidR="006835B5" w:rsidRPr="007C5CB9" w:rsidRDefault="009C2D00">
      <w:pPr>
        <w:spacing w:after="0" w:line="240" w:lineRule="auto"/>
      </w:pPr>
      <w:r w:rsidRPr="007C5CB9">
        <w:t>Egan, M., Neely-Barnes, S.L. and Combs-Orme, T. (2011) Integrating neuroscience knowledge into social work education: A case-based approach. </w:t>
      </w:r>
      <w:r w:rsidRPr="007C5CB9">
        <w:rPr>
          <w:i/>
        </w:rPr>
        <w:t>Journal of Social Work Education</w:t>
      </w:r>
      <w:r w:rsidRPr="007C5CB9">
        <w:t xml:space="preserve"> , 47(2), 269–282. </w:t>
      </w:r>
      <w:r w:rsidRPr="007C5CB9">
        <w:rPr>
          <w:u w:val="single"/>
        </w:rPr>
        <w:t>doi:10.5175/JSWE.2011.200900109</w:t>
      </w:r>
    </w:p>
    <w:p w14:paraId="7E566A68" w14:textId="77777777" w:rsidR="006835B5" w:rsidRPr="007C5CB9" w:rsidRDefault="006835B5">
      <w:pPr>
        <w:spacing w:after="0" w:line="240" w:lineRule="auto"/>
      </w:pPr>
    </w:p>
    <w:p w14:paraId="543D150F" w14:textId="6F5B6551" w:rsidR="006835B5" w:rsidRPr="007C5CB9" w:rsidRDefault="009C2D00">
      <w:pPr>
        <w:spacing w:after="0" w:line="240" w:lineRule="auto"/>
      </w:pPr>
      <w:r w:rsidRPr="007C5CB9">
        <w:t>Felitti, V. J., Anda, R. F., Nordenberg, D., Williamson, D. F., Spitz, A. M., Edwards, V., Koss, M. and Marks, J. S. (1998)</w:t>
      </w:r>
      <w:r w:rsidR="009F18C7" w:rsidRPr="007C5CB9">
        <w:t xml:space="preserve"> </w:t>
      </w:r>
      <w:r w:rsidRPr="007C5CB9">
        <w:t xml:space="preserve">Relationship of childhood abuse and household dysfunction to many of the leading causes of death in adults: The Adverse Childhood Experiences (ACE) Study.  </w:t>
      </w:r>
      <w:r w:rsidRPr="007C5CB9">
        <w:rPr>
          <w:i/>
        </w:rPr>
        <w:t xml:space="preserve">American Journal of Preventive Medicine, </w:t>
      </w:r>
      <w:r w:rsidRPr="007C5CB9">
        <w:t>14 (4), pp.245 – 258.</w:t>
      </w:r>
    </w:p>
    <w:p w14:paraId="465DD543" w14:textId="77777777" w:rsidR="006835B5" w:rsidRPr="007C5CB9" w:rsidRDefault="006835B5">
      <w:pPr>
        <w:spacing w:line="240" w:lineRule="auto"/>
      </w:pPr>
    </w:p>
    <w:p w14:paraId="18CB4C00" w14:textId="216316F6" w:rsidR="006835B5" w:rsidRPr="007C5CB9" w:rsidRDefault="009C2D00">
      <w:pPr>
        <w:spacing w:line="240" w:lineRule="auto"/>
      </w:pPr>
      <w:r w:rsidRPr="007C5CB9">
        <w:t>Fereday, J. and Muir-Cochrane, E. (2006)</w:t>
      </w:r>
      <w:r w:rsidR="009F18C7" w:rsidRPr="007C5CB9">
        <w:t xml:space="preserve"> </w:t>
      </w:r>
      <w:r w:rsidRPr="007C5CB9">
        <w:t xml:space="preserve">Demonstrating Rigor Using Thematic Analysis: A Hybrid Approach of Inductive and Deductive Coding and Theme Development. </w:t>
      </w:r>
      <w:r w:rsidRPr="007C5CB9">
        <w:rPr>
          <w:i/>
        </w:rPr>
        <w:t>International Journal of Qualitative Methods,</w:t>
      </w:r>
      <w:r w:rsidRPr="007C5CB9">
        <w:t xml:space="preserve"> 5 (1), 1-11.  </w:t>
      </w:r>
      <w:hyperlink r:id="rId16">
        <w:r w:rsidRPr="007C5CB9">
          <w:rPr>
            <w:u w:val="single"/>
          </w:rPr>
          <w:t>https://doi.org/10.1177/160940690600500107</w:t>
        </w:r>
      </w:hyperlink>
    </w:p>
    <w:p w14:paraId="4A2F5B9D" w14:textId="77777777" w:rsidR="006835B5" w:rsidRPr="007C5CB9" w:rsidRDefault="009C2D00">
      <w:pPr>
        <w:pBdr>
          <w:top w:val="nil"/>
          <w:left w:val="nil"/>
          <w:bottom w:val="nil"/>
          <w:right w:val="nil"/>
          <w:between w:val="nil"/>
        </w:pBdr>
        <w:spacing w:before="280" w:after="280" w:line="240" w:lineRule="auto"/>
      </w:pPr>
      <w:r w:rsidRPr="007C5CB9">
        <w:t xml:space="preserve">Figley, C. R. (1983) Catastrophes: An overview of family reactions. In C. R. Figley &amp; H. I. McCubbin (Eds.) </w:t>
      </w:r>
      <w:r w:rsidRPr="007C5CB9">
        <w:rPr>
          <w:i/>
        </w:rPr>
        <w:t>Stress and the family: Vol. 2. Coping with catastrophe</w:t>
      </w:r>
      <w:r w:rsidRPr="007C5CB9">
        <w:t>.  New York. NY: Brunner/ Mazel</w:t>
      </w:r>
    </w:p>
    <w:p w14:paraId="15DA780B" w14:textId="1F0363FF" w:rsidR="006835B5" w:rsidRPr="007C5CB9" w:rsidRDefault="009C2D00">
      <w:pPr>
        <w:pBdr>
          <w:top w:val="nil"/>
          <w:left w:val="nil"/>
          <w:bottom w:val="nil"/>
          <w:right w:val="nil"/>
          <w:between w:val="nil"/>
        </w:pBdr>
        <w:spacing w:before="280" w:after="280" w:line="240" w:lineRule="auto"/>
      </w:pPr>
      <w:r w:rsidRPr="007C5CB9">
        <w:t xml:space="preserve">Figley, C. R. (1995) Compassion fatigue as secondary traumatic stress disorder: An overview. In C. R. Figley (Ed.) </w:t>
      </w:r>
      <w:r w:rsidRPr="007C5CB9">
        <w:rPr>
          <w:i/>
        </w:rPr>
        <w:t>Compassion fatigue: Coping with secondary traumatic stress disorder in those who treat the traumatized.</w:t>
      </w:r>
      <w:r w:rsidRPr="007C5CB9">
        <w:t xml:space="preserve">  New York, NY: Brunner/Mazel</w:t>
      </w:r>
    </w:p>
    <w:p w14:paraId="601FE8E7" w14:textId="4E760A77" w:rsidR="00377361" w:rsidRPr="007C5CB9" w:rsidRDefault="00377361" w:rsidP="00377361">
      <w:pPr>
        <w:pStyle w:val="nova-legacy-e-listitem"/>
        <w:shd w:val="clear" w:color="auto" w:fill="FFFFFF"/>
        <w:spacing w:before="0" w:after="0"/>
        <w:jc w:val="both"/>
        <w:rPr>
          <w:rFonts w:asciiTheme="minorHAnsi" w:hAnsiTheme="minorHAnsi" w:cstheme="minorHAnsi"/>
          <w:sz w:val="21"/>
          <w:szCs w:val="21"/>
        </w:rPr>
      </w:pPr>
      <w:r w:rsidRPr="007C5CB9">
        <w:rPr>
          <w:rFonts w:asciiTheme="minorHAnsi" w:hAnsiTheme="minorHAnsi" w:cstheme="minorHAnsi"/>
        </w:rPr>
        <w:t xml:space="preserve">Gilin, B. and Kauffman, K. (2015) Strategies for teaching about trauma to graduate social work students, </w:t>
      </w:r>
      <w:r w:rsidRPr="007C5CB9">
        <w:rPr>
          <w:rFonts w:asciiTheme="minorHAnsi" w:hAnsiTheme="minorHAnsi" w:cstheme="minorHAnsi"/>
          <w:i/>
          <w:iCs/>
        </w:rPr>
        <w:t>Journal of Teaching in Social Work,</w:t>
      </w:r>
      <w:r w:rsidRPr="007C5CB9">
        <w:rPr>
          <w:rFonts w:asciiTheme="minorHAnsi" w:hAnsiTheme="minorHAnsi" w:cstheme="minorHAnsi"/>
        </w:rPr>
        <w:t xml:space="preserve"> 34 (4), pp.378 – 396.  </w:t>
      </w:r>
      <w:hyperlink r:id="rId17" w:tgtFrame="_blank" w:history="1">
        <w:r w:rsidRPr="007C5CB9">
          <w:rPr>
            <w:rFonts w:asciiTheme="minorHAnsi" w:hAnsiTheme="minorHAnsi" w:cstheme="minorHAnsi"/>
            <w:sz w:val="21"/>
            <w:szCs w:val="21"/>
            <w:u w:val="single"/>
            <w:bdr w:val="none" w:sz="0" w:space="0" w:color="auto" w:frame="1"/>
          </w:rPr>
          <w:t>10.1080/08841233.2015.1065945</w:t>
        </w:r>
      </w:hyperlink>
    </w:p>
    <w:p w14:paraId="0F09D9D6" w14:textId="7174B1E8" w:rsidR="006835B5" w:rsidRPr="007C5CB9" w:rsidRDefault="009C2D00">
      <w:pPr>
        <w:pBdr>
          <w:top w:val="nil"/>
          <w:left w:val="nil"/>
          <w:bottom w:val="nil"/>
          <w:right w:val="nil"/>
          <w:between w:val="nil"/>
        </w:pBdr>
        <w:spacing w:before="280" w:after="280" w:line="240" w:lineRule="auto"/>
        <w:rPr>
          <w:rFonts w:ascii="Arial" w:eastAsia="Arial" w:hAnsi="Arial" w:cs="Arial"/>
        </w:rPr>
      </w:pPr>
      <w:r w:rsidRPr="007C5CB9">
        <w:t>Grant, L.</w:t>
      </w:r>
      <w:r w:rsidR="009F18C7" w:rsidRPr="007C5CB9">
        <w:t xml:space="preserve"> and </w:t>
      </w:r>
      <w:r w:rsidRPr="007C5CB9">
        <w:t xml:space="preserve">Kinman, G. (2012) Enhancing Wellbeing in Social Work Students: Building Resilience in the Next Generation. </w:t>
      </w:r>
      <w:r w:rsidRPr="007C5CB9">
        <w:rPr>
          <w:i/>
          <w:iCs/>
        </w:rPr>
        <w:t>Social Work Education</w:t>
      </w:r>
      <w:r w:rsidRPr="007C5CB9">
        <w:t xml:space="preserve">, 31 (5), pp. 605-621. </w:t>
      </w:r>
      <w:hyperlink r:id="rId18">
        <w:r w:rsidRPr="007C5CB9">
          <w:rPr>
            <w:rFonts w:ascii="Arial" w:eastAsia="Arial" w:hAnsi="Arial" w:cs="Arial"/>
            <w:u w:val="single"/>
          </w:rPr>
          <w:t>https://doi.org/10.1080/02615479.2011.590931</w:t>
        </w:r>
      </w:hyperlink>
    </w:p>
    <w:p w14:paraId="07F6913B" w14:textId="5F411261" w:rsidR="006835B5" w:rsidRPr="007C5CB9" w:rsidRDefault="009C2D00">
      <w:pPr>
        <w:pBdr>
          <w:top w:val="nil"/>
          <w:left w:val="nil"/>
          <w:bottom w:val="nil"/>
          <w:right w:val="nil"/>
          <w:between w:val="nil"/>
        </w:pBdr>
        <w:spacing w:before="280" w:after="280" w:line="240" w:lineRule="auto"/>
        <w:rPr>
          <w:rFonts w:ascii="Arial" w:eastAsia="Arial" w:hAnsi="Arial" w:cs="Arial"/>
        </w:rPr>
      </w:pPr>
      <w:r w:rsidRPr="007C5CB9">
        <w:lastRenderedPageBreak/>
        <w:t xml:space="preserve">Grant, L. Kinman, G. and Alexander, K. (2014) What’s all this talk about emotion? Developing emotional intelligence in social work students. </w:t>
      </w:r>
      <w:r w:rsidRPr="007C5CB9">
        <w:rPr>
          <w:i/>
        </w:rPr>
        <w:t>Social Work Education</w:t>
      </w:r>
      <w:r w:rsidRPr="007C5CB9">
        <w:t>, 33 (7), pp. 874-889.</w:t>
      </w:r>
      <w:hyperlink r:id="rId19">
        <w:r w:rsidRPr="007C5CB9">
          <w:rPr>
            <w:rFonts w:ascii="Arial" w:eastAsia="Arial" w:hAnsi="Arial" w:cs="Arial"/>
            <w:u w:val="single"/>
          </w:rPr>
          <w:t>https://doi.org/10.1080/02615479.2014.891012</w:t>
        </w:r>
      </w:hyperlink>
    </w:p>
    <w:p w14:paraId="192E378A" w14:textId="77777777" w:rsidR="006835B5" w:rsidRPr="007C5CB9" w:rsidRDefault="009C2D00">
      <w:pPr>
        <w:pBdr>
          <w:top w:val="nil"/>
          <w:left w:val="nil"/>
          <w:bottom w:val="nil"/>
          <w:right w:val="nil"/>
          <w:between w:val="nil"/>
        </w:pBdr>
        <w:spacing w:before="280" w:after="280" w:line="240" w:lineRule="auto"/>
      </w:pPr>
      <w:r w:rsidRPr="007C5CB9">
        <w:t xml:space="preserve">Greeno, E. J., Ting, L., Pecukonis, Hodorowicz, M. and Wade, K. (2017) The role of empathy in training social work students in motivational interviewing. </w:t>
      </w:r>
      <w:r w:rsidRPr="007C5CB9">
        <w:rPr>
          <w:i/>
        </w:rPr>
        <w:t>Social Work Education,</w:t>
      </w:r>
      <w:r w:rsidRPr="007C5CB9">
        <w:t xml:space="preserve"> 36 (7), pp. 794-808. </w:t>
      </w:r>
      <w:r w:rsidRPr="007C5CB9">
        <w:rPr>
          <w:u w:val="single"/>
        </w:rPr>
        <w:t>DOI: 10.1080/02615479.2017.1346071</w:t>
      </w:r>
    </w:p>
    <w:p w14:paraId="1D1557F7" w14:textId="77777777" w:rsidR="006835B5" w:rsidRPr="007C5CB9" w:rsidRDefault="009C2D00">
      <w:pPr>
        <w:spacing w:after="0" w:line="240" w:lineRule="auto"/>
        <w:rPr>
          <w:u w:val="single"/>
        </w:rPr>
      </w:pPr>
      <w:r w:rsidRPr="007C5CB9">
        <w:t xml:space="preserve">Hernández, P., Engstrom, D. and Gangsei, D. (2010) Exploring the impact of trauma on therapists: Vicarious resilience and related concepts in training. </w:t>
      </w:r>
      <w:r w:rsidRPr="007C5CB9">
        <w:rPr>
          <w:i/>
        </w:rPr>
        <w:t>Journal of Systemic Therapies</w:t>
      </w:r>
      <w:r w:rsidRPr="007C5CB9">
        <w:t xml:space="preserve">, </w:t>
      </w:r>
      <w:r w:rsidRPr="007C5CB9">
        <w:rPr>
          <w:i/>
        </w:rPr>
        <w:t xml:space="preserve">29 </w:t>
      </w:r>
      <w:r w:rsidRPr="007C5CB9">
        <w:t xml:space="preserve">(1), pp.67–83 </w:t>
      </w:r>
      <w:r w:rsidRPr="007C5CB9">
        <w:rPr>
          <w:u w:val="single"/>
        </w:rPr>
        <w:t>doi:10.1521/jsyt.2010.29.1.67</w:t>
      </w:r>
    </w:p>
    <w:p w14:paraId="56DC665C" w14:textId="77777777" w:rsidR="006835B5" w:rsidRPr="007C5CB9" w:rsidRDefault="006835B5">
      <w:pPr>
        <w:spacing w:after="0" w:line="240" w:lineRule="auto"/>
      </w:pPr>
    </w:p>
    <w:p w14:paraId="604FCA23" w14:textId="009D2476" w:rsidR="006835B5" w:rsidRPr="007C5CB9" w:rsidRDefault="009C2D00">
      <w:pPr>
        <w:spacing w:after="0" w:line="240" w:lineRule="auto"/>
      </w:pPr>
      <w:r w:rsidRPr="007C5CB9">
        <w:t>Hitchcock, C. Hughes, M., McPherson, L.</w:t>
      </w:r>
      <w:r w:rsidR="009F18C7" w:rsidRPr="007C5CB9">
        <w:t xml:space="preserve"> and </w:t>
      </w:r>
      <w:r w:rsidRPr="007C5CB9">
        <w:t>Whitaker, L. (2020)</w:t>
      </w:r>
      <w:r w:rsidR="009F18C7" w:rsidRPr="007C5CB9">
        <w:t xml:space="preserve"> </w:t>
      </w:r>
      <w:r w:rsidRPr="007C5CB9">
        <w:t xml:space="preserve">The role of education in developing students’ professional resilience for social work practice: A systematic scoping review. </w:t>
      </w:r>
      <w:r w:rsidRPr="007C5CB9">
        <w:rPr>
          <w:i/>
          <w:iCs/>
        </w:rPr>
        <w:t>The British Journal of Social Work</w:t>
      </w:r>
      <w:r w:rsidRPr="007C5CB9">
        <w:t xml:space="preserve">, </w:t>
      </w:r>
      <w:hyperlink r:id="rId20">
        <w:r w:rsidRPr="007C5CB9">
          <w:rPr>
            <w:rFonts w:ascii="Arial" w:eastAsia="Arial" w:hAnsi="Arial" w:cs="Arial"/>
            <w:u w:val="single"/>
          </w:rPr>
          <w:t>https://doi.org/10.1093/bjsw/bcaa054</w:t>
        </w:r>
      </w:hyperlink>
    </w:p>
    <w:p w14:paraId="700A7E13" w14:textId="77777777" w:rsidR="006835B5" w:rsidRPr="007C5CB9" w:rsidRDefault="006835B5">
      <w:pPr>
        <w:spacing w:after="0" w:line="240" w:lineRule="auto"/>
      </w:pPr>
    </w:p>
    <w:p w14:paraId="0E645201" w14:textId="5E6AFDC9" w:rsidR="00BC2F3F" w:rsidRPr="007C5CB9" w:rsidRDefault="00BC2F3F">
      <w:pPr>
        <w:spacing w:after="0" w:line="240" w:lineRule="auto"/>
      </w:pPr>
      <w:r w:rsidRPr="007C5CB9">
        <w:t xml:space="preserve">Hooks, B. (1994) </w:t>
      </w:r>
      <w:r w:rsidRPr="007C5CB9">
        <w:rPr>
          <w:i/>
          <w:iCs/>
        </w:rPr>
        <w:t>Teaching to Transgress: Education as the Practice of Freedom.</w:t>
      </w:r>
      <w:r w:rsidRPr="007C5CB9">
        <w:t xml:space="preserve">  London Routledge.  </w:t>
      </w:r>
    </w:p>
    <w:p w14:paraId="65F9E4CA" w14:textId="77777777" w:rsidR="00BC2F3F" w:rsidRPr="007C5CB9" w:rsidRDefault="00BC2F3F">
      <w:pPr>
        <w:spacing w:after="0" w:line="240" w:lineRule="auto"/>
      </w:pPr>
    </w:p>
    <w:p w14:paraId="5D93852E" w14:textId="39AABBF8" w:rsidR="006835B5" w:rsidRPr="007C5CB9" w:rsidRDefault="009C2D00">
      <w:pPr>
        <w:spacing w:after="0" w:line="240" w:lineRule="auto"/>
      </w:pPr>
      <w:r w:rsidRPr="007C5CB9">
        <w:t xml:space="preserve">Jenkins, S. R. and Baird, S. (2002) Secondary Traumatic Stress and vicarious trauma:  A Validational Study.  </w:t>
      </w:r>
      <w:r w:rsidRPr="007C5CB9">
        <w:rPr>
          <w:i/>
        </w:rPr>
        <w:t>Journal of Traumatic Stress,</w:t>
      </w:r>
      <w:r w:rsidRPr="007C5CB9">
        <w:t xml:space="preserve">  15 (5), pp.423 – 432 </w:t>
      </w:r>
    </w:p>
    <w:p w14:paraId="7F690D4C" w14:textId="77777777" w:rsidR="006835B5" w:rsidRPr="007C5CB9" w:rsidRDefault="009C2D00">
      <w:pPr>
        <w:spacing w:after="0" w:line="240" w:lineRule="auto"/>
      </w:pPr>
      <w:r w:rsidRPr="007C5CB9">
        <w:rPr>
          <w:u w:val="single"/>
        </w:rPr>
        <w:t xml:space="preserve">doi: 10.1023/A:1020193526843. </w:t>
      </w:r>
    </w:p>
    <w:p w14:paraId="7C3029C5" w14:textId="77777777" w:rsidR="006835B5" w:rsidRPr="007C5CB9" w:rsidRDefault="006835B5">
      <w:pPr>
        <w:spacing w:after="0" w:line="240" w:lineRule="auto"/>
      </w:pPr>
    </w:p>
    <w:p w14:paraId="5EBF72DC" w14:textId="77777777" w:rsidR="006835B5" w:rsidRPr="007C5CB9" w:rsidRDefault="009C2D00">
      <w:pPr>
        <w:spacing w:after="0" w:line="240" w:lineRule="auto"/>
        <w:rPr>
          <w:u w:val="single"/>
        </w:rPr>
      </w:pPr>
      <w:r w:rsidRPr="007C5CB9">
        <w:t xml:space="preserve">Knight, C. (2015) Trauma-Informed Social Work Practice: Practice Considerations and Challenges.  </w:t>
      </w:r>
      <w:r w:rsidRPr="007C5CB9">
        <w:rPr>
          <w:i/>
        </w:rPr>
        <w:t>Journal of Clinical Social Work</w:t>
      </w:r>
      <w:r w:rsidRPr="007C5CB9">
        <w:t xml:space="preserve">. </w:t>
      </w:r>
      <w:r w:rsidRPr="007C5CB9">
        <w:rPr>
          <w:u w:val="single"/>
        </w:rPr>
        <w:t xml:space="preserve">doi: 10.1007/s10615-014-0481-6 </w:t>
      </w:r>
    </w:p>
    <w:p w14:paraId="71A64B58" w14:textId="77777777" w:rsidR="006835B5" w:rsidRPr="007C5CB9" w:rsidRDefault="006835B5">
      <w:pPr>
        <w:spacing w:after="0" w:line="240" w:lineRule="auto"/>
      </w:pPr>
    </w:p>
    <w:p w14:paraId="13A55E9D" w14:textId="278C6184" w:rsidR="006835B5" w:rsidRPr="007C5CB9" w:rsidRDefault="009C2D00">
      <w:pPr>
        <w:spacing w:after="0" w:line="240" w:lineRule="auto"/>
      </w:pPr>
      <w:r w:rsidRPr="007C5CB9">
        <w:t>Lloyd, C., King, R. and Chenoweth, L. (2002) Social work, stress and burnout: A review.</w:t>
      </w:r>
    </w:p>
    <w:p w14:paraId="4A2B7963" w14:textId="77777777" w:rsidR="006835B5" w:rsidRPr="007C5CB9" w:rsidRDefault="009C2D00">
      <w:pPr>
        <w:spacing w:after="0" w:line="240" w:lineRule="auto"/>
        <w:rPr>
          <w:u w:val="single"/>
        </w:rPr>
      </w:pPr>
      <w:r w:rsidRPr="007C5CB9">
        <w:rPr>
          <w:i/>
        </w:rPr>
        <w:t>Journal of Mental Health,</w:t>
      </w:r>
      <w:r w:rsidRPr="007C5CB9">
        <w:t xml:space="preserve"> 11(3), pp.255 – 265. </w:t>
      </w:r>
      <w:r w:rsidRPr="007C5CB9">
        <w:rPr>
          <w:u w:val="single"/>
        </w:rPr>
        <w:t>doi:10.1080/09638230020023642</w:t>
      </w:r>
    </w:p>
    <w:p w14:paraId="2C325E6E" w14:textId="77777777" w:rsidR="006835B5" w:rsidRPr="007C5CB9" w:rsidRDefault="006835B5">
      <w:pPr>
        <w:spacing w:after="0" w:line="240" w:lineRule="auto"/>
        <w:rPr>
          <w:u w:val="single"/>
        </w:rPr>
      </w:pPr>
    </w:p>
    <w:p w14:paraId="235D797B" w14:textId="6FC26F22" w:rsidR="006835B5" w:rsidRPr="007C5CB9" w:rsidRDefault="009C2D00">
      <w:pPr>
        <w:spacing w:after="0" w:line="240" w:lineRule="auto"/>
        <w:rPr>
          <w:u w:val="single"/>
        </w:rPr>
      </w:pPr>
      <w:r w:rsidRPr="007C5CB9">
        <w:t>Liu, J.J.W., Reed, M.</w:t>
      </w:r>
      <w:r w:rsidR="009F18C7" w:rsidRPr="007C5CB9">
        <w:t xml:space="preserve"> and </w:t>
      </w:r>
      <w:r w:rsidRPr="007C5CB9">
        <w:t>Girard, T.A (2017)</w:t>
      </w:r>
      <w:r w:rsidR="009F18C7" w:rsidRPr="007C5CB9">
        <w:t xml:space="preserve"> </w:t>
      </w:r>
      <w:r w:rsidRPr="007C5CB9">
        <w:t xml:space="preserve">Advancing resilience: An integrative, multi-system model of resilience. Personality and Individual Differences, 111, pp. 111-118. </w:t>
      </w:r>
      <w:r w:rsidRPr="007C5CB9">
        <w:rPr>
          <w:u w:val="single"/>
        </w:rPr>
        <w:t>http://dx.doi.org/10.1016/j.paid.2017.02.007</w:t>
      </w:r>
    </w:p>
    <w:p w14:paraId="540A28A7" w14:textId="77777777" w:rsidR="006835B5" w:rsidRPr="007C5CB9" w:rsidRDefault="009C2D00">
      <w:pPr>
        <w:pBdr>
          <w:top w:val="nil"/>
          <w:left w:val="nil"/>
          <w:bottom w:val="nil"/>
          <w:right w:val="nil"/>
          <w:between w:val="nil"/>
        </w:pBdr>
        <w:spacing w:before="280" w:after="280" w:line="240" w:lineRule="auto"/>
      </w:pPr>
      <w:r w:rsidRPr="007C5CB9">
        <w:t>Littrell, J. (2009) Expression of emotion: When it causes trauma and when it helps. </w:t>
      </w:r>
      <w:r w:rsidRPr="007C5CB9">
        <w:rPr>
          <w:i/>
        </w:rPr>
        <w:t>Journal of Evidence-Based Social Work</w:t>
      </w:r>
      <w:r w:rsidRPr="007C5CB9">
        <w:t xml:space="preserve"> , 6(3), pp.300 – 320 </w:t>
      </w:r>
      <w:hyperlink r:id="rId21">
        <w:r w:rsidRPr="007C5CB9">
          <w:rPr>
            <w:u w:val="single"/>
          </w:rPr>
          <w:t>https://doi.org/10.1080/15433710802686922</w:t>
        </w:r>
      </w:hyperlink>
    </w:p>
    <w:p w14:paraId="24C6835F" w14:textId="77777777" w:rsidR="006835B5" w:rsidRPr="007C5CB9" w:rsidRDefault="009C2D00">
      <w:pPr>
        <w:spacing w:after="0" w:line="240" w:lineRule="auto"/>
      </w:pPr>
      <w:r w:rsidRPr="007C5CB9">
        <w:t xml:space="preserve">Newell, J. M, and McNeil, G. A. (2010) Professional Burnout, vicarious trauma, Secondary Traumatic Stress and Compassion Fatigue.  </w:t>
      </w:r>
      <w:r w:rsidRPr="007C5CB9">
        <w:rPr>
          <w:i/>
        </w:rPr>
        <w:t>Best Practices in Mental Health</w:t>
      </w:r>
      <w:r w:rsidRPr="007C5CB9">
        <w:t>, 2 (12), pp.57 – 68</w:t>
      </w:r>
    </w:p>
    <w:p w14:paraId="6EAA967F" w14:textId="77777777" w:rsidR="006835B5" w:rsidRPr="007C5CB9" w:rsidRDefault="009C2D00">
      <w:pPr>
        <w:spacing w:after="0" w:line="240" w:lineRule="auto"/>
      </w:pPr>
      <w:r w:rsidRPr="007C5CB9">
        <w:t>Mattar, S. (2011) Educating and training the next generations of traumatologists: Development of cultural competencies. </w:t>
      </w:r>
      <w:r w:rsidRPr="007C5CB9">
        <w:rPr>
          <w:i/>
        </w:rPr>
        <w:t>Psychological Trauma: Theory, Research, Practice, and Policy</w:t>
      </w:r>
      <w:r w:rsidRPr="007C5CB9">
        <w:t xml:space="preserve">, 3 (3), pp.258 –265 </w:t>
      </w:r>
      <w:hyperlink r:id="rId22">
        <w:r w:rsidRPr="007C5CB9">
          <w:rPr>
            <w:u w:val="single"/>
          </w:rPr>
          <w:t>https://doi.org/10.1037/a0024477</w:t>
        </w:r>
      </w:hyperlink>
    </w:p>
    <w:p w14:paraId="215C6ED0" w14:textId="77777777" w:rsidR="006835B5" w:rsidRPr="007C5CB9" w:rsidRDefault="006835B5">
      <w:pPr>
        <w:spacing w:after="0" w:line="240" w:lineRule="auto"/>
      </w:pPr>
    </w:p>
    <w:p w14:paraId="7213F1F5" w14:textId="2CA5D006" w:rsidR="006835B5" w:rsidRPr="007C5CB9" w:rsidRDefault="009C2D00">
      <w:pPr>
        <w:spacing w:after="0" w:line="240" w:lineRule="auto"/>
      </w:pPr>
      <w:r w:rsidRPr="007C5CB9">
        <w:t>McCann, L.</w:t>
      </w:r>
      <w:r w:rsidR="002B6766" w:rsidRPr="007C5CB9">
        <w:t xml:space="preserve"> and </w:t>
      </w:r>
      <w:r w:rsidRPr="007C5CB9">
        <w:t>Pearlman, L. (1990) vicarious traumatization: A framework for understanding</w:t>
      </w:r>
    </w:p>
    <w:p w14:paraId="02364064" w14:textId="77777777" w:rsidR="006835B5" w:rsidRPr="007C5CB9" w:rsidRDefault="009C2D00">
      <w:pPr>
        <w:spacing w:after="0" w:line="240" w:lineRule="auto"/>
        <w:rPr>
          <w:i/>
        </w:rPr>
      </w:pPr>
      <w:r w:rsidRPr="007C5CB9">
        <w:t xml:space="preserve">the psychological effects of working with victims. </w:t>
      </w:r>
      <w:r w:rsidRPr="007C5CB9">
        <w:rPr>
          <w:i/>
        </w:rPr>
        <w:t>Journal of Traumatic Stress</w:t>
      </w:r>
      <w:r w:rsidRPr="007C5CB9">
        <w:t xml:space="preserve">, </w:t>
      </w:r>
      <w:r w:rsidRPr="007C5CB9">
        <w:rPr>
          <w:i/>
        </w:rPr>
        <w:t>3</w:t>
      </w:r>
      <w:r w:rsidRPr="007C5CB9">
        <w:t xml:space="preserve">, pp.131–149 </w:t>
      </w:r>
      <w:hyperlink r:id="rId23">
        <w:r w:rsidRPr="007C5CB9">
          <w:rPr>
            <w:u w:val="single"/>
          </w:rPr>
          <w:t>https://doi.org/10.1002/jts.2490030110</w:t>
        </w:r>
      </w:hyperlink>
      <w:r w:rsidRPr="007C5CB9">
        <w:t xml:space="preserve"> </w:t>
      </w:r>
    </w:p>
    <w:p w14:paraId="7650DD85" w14:textId="77777777" w:rsidR="006835B5" w:rsidRPr="007C5CB9" w:rsidRDefault="006835B5">
      <w:pPr>
        <w:spacing w:after="0" w:line="240" w:lineRule="auto"/>
      </w:pPr>
    </w:p>
    <w:p w14:paraId="174F2312" w14:textId="77777777" w:rsidR="006835B5" w:rsidRPr="007C5CB9" w:rsidRDefault="009C2D00">
      <w:pPr>
        <w:spacing w:after="0" w:line="240" w:lineRule="auto"/>
        <w:rPr>
          <w:u w:val="single"/>
        </w:rPr>
      </w:pPr>
      <w:r w:rsidRPr="007C5CB9">
        <w:lastRenderedPageBreak/>
        <w:t xml:space="preserve">Mersky, J. P., Topitzes, J. and Britz, L. (2019) Promoting Evidence-Based, Trauma-Informed Social Work Practice.  </w:t>
      </w:r>
      <w:r w:rsidRPr="007C5CB9">
        <w:rPr>
          <w:i/>
        </w:rPr>
        <w:t>Journal of Social Work Education,</w:t>
      </w:r>
      <w:r w:rsidRPr="007C5CB9">
        <w:t xml:space="preserve"> 55 (4), pp.645 – 657 </w:t>
      </w:r>
      <w:hyperlink r:id="rId24">
        <w:r w:rsidRPr="007C5CB9">
          <w:rPr>
            <w:u w:val="single"/>
          </w:rPr>
          <w:t>https://doi.org/10.1080/10437797.2019.1627261</w:t>
        </w:r>
      </w:hyperlink>
    </w:p>
    <w:p w14:paraId="5201155F" w14:textId="77777777" w:rsidR="006835B5" w:rsidRPr="007C5CB9" w:rsidRDefault="006835B5">
      <w:pPr>
        <w:spacing w:after="0" w:line="240" w:lineRule="auto"/>
        <w:rPr>
          <w:u w:val="single"/>
        </w:rPr>
      </w:pPr>
    </w:p>
    <w:p w14:paraId="0E9DC152" w14:textId="77777777" w:rsidR="006835B5" w:rsidRPr="007C5CB9" w:rsidRDefault="009C2D00">
      <w:pPr>
        <w:spacing w:after="0" w:line="240" w:lineRule="auto"/>
        <w:rPr>
          <w:u w:val="single"/>
        </w:rPr>
      </w:pPr>
      <w:r w:rsidRPr="007C5CB9">
        <w:t xml:space="preserve">Pearlman, L. A. and Saakvitne, K. (1995) </w:t>
      </w:r>
      <w:r w:rsidRPr="007C5CB9">
        <w:rPr>
          <w:i/>
        </w:rPr>
        <w:t>Trauma and the therapist: Countertransference and vicarious traumatization in psychotherapy with incest survivors.</w:t>
      </w:r>
      <w:r w:rsidRPr="007C5CB9">
        <w:t xml:space="preserve"> New York: W. W. Norton.</w:t>
      </w:r>
    </w:p>
    <w:p w14:paraId="550E182A" w14:textId="77777777" w:rsidR="006835B5" w:rsidRPr="007C5CB9" w:rsidRDefault="006835B5">
      <w:pPr>
        <w:spacing w:after="0" w:line="240" w:lineRule="auto"/>
      </w:pPr>
    </w:p>
    <w:p w14:paraId="18C1F800" w14:textId="77777777" w:rsidR="006835B5" w:rsidRPr="007C5CB9" w:rsidRDefault="009C2D00">
      <w:pPr>
        <w:spacing w:after="0" w:line="240" w:lineRule="auto"/>
        <w:rPr>
          <w:u w:val="single"/>
        </w:rPr>
      </w:pPr>
      <w:r w:rsidRPr="007C5CB9">
        <w:t xml:space="preserve">Pearlman, L. A. (1999) Self-care for trauma therapists: Ameliorating vicarious traumatization. In B. Hundall Stamm (Ed.) Secondary traumatic stress: </w:t>
      </w:r>
      <w:r w:rsidRPr="007C5CB9">
        <w:rPr>
          <w:i/>
        </w:rPr>
        <w:t>Self-Care issues for Clinicians, Researchers, and Educators</w:t>
      </w:r>
      <w:r w:rsidRPr="007C5CB9">
        <w:t>.  Baltimore, MD: Sidram Press.</w:t>
      </w:r>
    </w:p>
    <w:p w14:paraId="6453CB53" w14:textId="77777777" w:rsidR="006835B5" w:rsidRPr="007C5CB9" w:rsidRDefault="006835B5">
      <w:pPr>
        <w:spacing w:after="0" w:line="240" w:lineRule="auto"/>
        <w:rPr>
          <w:u w:val="single"/>
        </w:rPr>
      </w:pPr>
    </w:p>
    <w:p w14:paraId="7DAC193F" w14:textId="4DB4988F" w:rsidR="006835B5" w:rsidRPr="007C5CB9" w:rsidRDefault="009C2D00">
      <w:pPr>
        <w:spacing w:after="0" w:line="240" w:lineRule="auto"/>
      </w:pPr>
      <w:r w:rsidRPr="007C5CB9">
        <w:t>Pearlman, L. A. and McCann, P. S. (1995)</w:t>
      </w:r>
      <w:r w:rsidR="009F18C7" w:rsidRPr="007C5CB9">
        <w:t xml:space="preserve"> Vi</w:t>
      </w:r>
      <w:r w:rsidRPr="007C5CB9">
        <w:t xml:space="preserve">carious traumatization: An empirical study of the effects of trauma work on trauma therapists. </w:t>
      </w:r>
      <w:r w:rsidRPr="007C5CB9">
        <w:rPr>
          <w:i/>
        </w:rPr>
        <w:t>Journal of Psychology Research and Practice</w:t>
      </w:r>
      <w:r w:rsidRPr="007C5CB9">
        <w:t>, 26 (6), pp.558–565.</w:t>
      </w:r>
    </w:p>
    <w:p w14:paraId="4E518DE2" w14:textId="77777777" w:rsidR="006835B5" w:rsidRPr="007C5CB9" w:rsidRDefault="006835B5">
      <w:pPr>
        <w:spacing w:after="0" w:line="240" w:lineRule="auto"/>
      </w:pPr>
    </w:p>
    <w:p w14:paraId="29BCE4A7" w14:textId="77777777" w:rsidR="006835B5" w:rsidRPr="007C5CB9" w:rsidRDefault="009C2D00">
      <w:pPr>
        <w:spacing w:after="0" w:line="240" w:lineRule="auto"/>
      </w:pPr>
      <w:r w:rsidRPr="007C5CB9">
        <w:t xml:space="preserve">Quaid, S. and Williams, H. (2021) Troubling knowledge and difficult pedagogical moments for students’ learning. </w:t>
      </w:r>
      <w:r w:rsidRPr="007C5CB9">
        <w:rPr>
          <w:i/>
        </w:rPr>
        <w:t>International Journal of Inclusive Education,</w:t>
      </w:r>
      <w:r w:rsidRPr="007C5CB9">
        <w:t xml:space="preserve">  </w:t>
      </w:r>
      <w:hyperlink r:id="rId25">
        <w:r w:rsidRPr="007C5CB9">
          <w:rPr>
            <w:u w:val="single"/>
          </w:rPr>
          <w:t>https://doi.org/10.1080/13603116.2021.1916110</w:t>
        </w:r>
      </w:hyperlink>
      <w:r w:rsidRPr="007C5CB9">
        <w:t xml:space="preserve"> </w:t>
      </w:r>
    </w:p>
    <w:p w14:paraId="4E9CB46E" w14:textId="77777777" w:rsidR="006835B5" w:rsidRPr="007C5CB9" w:rsidRDefault="006835B5">
      <w:pPr>
        <w:spacing w:after="0" w:line="240" w:lineRule="auto"/>
      </w:pPr>
    </w:p>
    <w:p w14:paraId="6CC2D106" w14:textId="244D75E6" w:rsidR="006835B5" w:rsidRPr="007C5CB9" w:rsidRDefault="009C2D00">
      <w:pPr>
        <w:spacing w:after="0" w:line="240" w:lineRule="auto"/>
      </w:pPr>
      <w:r w:rsidRPr="007C5CB9">
        <w:t xml:space="preserve">Rudolph, J. M., Stamm, B. H. and Stamm, H. E. (1997) </w:t>
      </w:r>
      <w:r w:rsidRPr="007C5CB9">
        <w:rPr>
          <w:i/>
        </w:rPr>
        <w:t xml:space="preserve">Compassion fatigue: A concern for mental health policy, providers and administration. </w:t>
      </w:r>
      <w:r w:rsidRPr="007C5CB9">
        <w:t>Paper presented at the 13th annual meeting of the International Society for Traumatic Stress Studies, Montreal, PQ, Canada</w:t>
      </w:r>
    </w:p>
    <w:p w14:paraId="08D9D70F" w14:textId="77777777" w:rsidR="006835B5" w:rsidRPr="007C5CB9" w:rsidRDefault="009C2D00">
      <w:pPr>
        <w:pBdr>
          <w:top w:val="nil"/>
          <w:left w:val="nil"/>
          <w:bottom w:val="nil"/>
          <w:right w:val="nil"/>
          <w:between w:val="nil"/>
        </w:pBdr>
        <w:spacing w:before="280" w:after="280" w:line="240" w:lineRule="auto"/>
      </w:pPr>
      <w:r w:rsidRPr="007C5CB9">
        <w:t xml:space="preserve">Russel, R., Gill, P., Coyne, A. and Woody, J. (1993) Dysfunction in the Family of Origin of MSW and other Graduate Students.  </w:t>
      </w:r>
      <w:r w:rsidRPr="007C5CB9">
        <w:rPr>
          <w:i/>
        </w:rPr>
        <w:t>Journal of Social Work Education,</w:t>
      </w:r>
      <w:r w:rsidRPr="007C5CB9">
        <w:t xml:space="preserve"> 1, pp.121 - 129 </w:t>
      </w:r>
      <w:hyperlink r:id="rId26">
        <w:r w:rsidRPr="007C5CB9">
          <w:rPr>
            <w:u w:val="single"/>
          </w:rPr>
          <w:t>https://doi.org/10.1080/10437797.1993.10778804</w:t>
        </w:r>
      </w:hyperlink>
      <w:r w:rsidRPr="007C5CB9">
        <w:t xml:space="preserve"> </w:t>
      </w:r>
    </w:p>
    <w:p w14:paraId="281C01F0" w14:textId="77777777" w:rsidR="006835B5" w:rsidRPr="007C5CB9" w:rsidRDefault="009C2D00">
      <w:pPr>
        <w:pBdr>
          <w:top w:val="nil"/>
          <w:left w:val="nil"/>
          <w:bottom w:val="nil"/>
          <w:right w:val="nil"/>
          <w:between w:val="nil"/>
        </w:pBdr>
        <w:spacing w:before="280" w:after="280" w:line="240" w:lineRule="auto"/>
      </w:pPr>
      <w:r w:rsidRPr="007C5CB9">
        <w:t xml:space="preserve">Sanders, J. E. (2021) Teaching Note – Trauma-Informed Teaching in Social Work Education.  </w:t>
      </w:r>
      <w:r w:rsidRPr="007C5CB9">
        <w:rPr>
          <w:i/>
        </w:rPr>
        <w:t>Journal of Social Work Education,</w:t>
      </w:r>
      <w:r w:rsidRPr="007C5CB9">
        <w:t xml:space="preserve"> 57 (1), pp.197 – 204 </w:t>
      </w:r>
      <w:hyperlink r:id="rId27">
        <w:r w:rsidRPr="007C5CB9">
          <w:rPr>
            <w:u w:val="single"/>
          </w:rPr>
          <w:t>https://doi.org/10.1080/10437797.2019.1661923</w:t>
        </w:r>
      </w:hyperlink>
    </w:p>
    <w:p w14:paraId="22F44674" w14:textId="2FAB2FC8" w:rsidR="006835B5" w:rsidRPr="007C5CB9" w:rsidRDefault="009C2D00">
      <w:pPr>
        <w:pBdr>
          <w:top w:val="nil"/>
          <w:left w:val="nil"/>
          <w:bottom w:val="nil"/>
          <w:right w:val="nil"/>
          <w:between w:val="nil"/>
        </w:pBdr>
        <w:spacing w:before="280" w:after="280" w:line="240" w:lineRule="auto"/>
      </w:pPr>
      <w:r w:rsidRPr="007C5CB9">
        <w:t>Sewell, K. M. (2020)</w:t>
      </w:r>
      <w:r w:rsidR="009F18C7" w:rsidRPr="007C5CB9">
        <w:t xml:space="preserve"> </w:t>
      </w:r>
      <w:r w:rsidRPr="007C5CB9">
        <w:t>Examining the place of emotions, affect, and regulation in social work education.</w:t>
      </w:r>
      <w:r w:rsidRPr="007C5CB9">
        <w:rPr>
          <w:i/>
        </w:rPr>
        <w:t xml:space="preserve"> Journal of social work education,</w:t>
      </w:r>
      <w:r w:rsidRPr="007C5CB9">
        <w:t xml:space="preserve"> 56 (1), pp. 5-16. </w:t>
      </w:r>
      <w:hyperlink r:id="rId28">
        <w:r w:rsidRPr="007C5CB9">
          <w:rPr>
            <w:rFonts w:ascii="Arial" w:eastAsia="Arial" w:hAnsi="Arial" w:cs="Arial"/>
            <w:u w:val="single"/>
          </w:rPr>
          <w:t>https://doi.org/10.1080/10437797.2019.1627262</w:t>
        </w:r>
      </w:hyperlink>
      <w:r w:rsidRPr="007C5CB9">
        <w:t xml:space="preserve">  </w:t>
      </w:r>
    </w:p>
    <w:p w14:paraId="103F88CA" w14:textId="77777777" w:rsidR="006835B5" w:rsidRPr="007C5CB9" w:rsidRDefault="009C2D00">
      <w:pPr>
        <w:spacing w:after="0" w:line="240" w:lineRule="auto"/>
      </w:pPr>
      <w:r w:rsidRPr="007C5CB9">
        <w:t xml:space="preserve">Shonkoff, J. P. and Garner, A. S. (2012) The Lifelong Effects of Early Childhood Adversity and Toxic Stress.  </w:t>
      </w:r>
      <w:r w:rsidRPr="007C5CB9">
        <w:rPr>
          <w:i/>
        </w:rPr>
        <w:t>Paediatrics: Official Journal of the American Academy of Paediatrics</w:t>
      </w:r>
      <w:r w:rsidRPr="007C5CB9">
        <w:t xml:space="preserve">.  129 (2), pp.232 – 246 </w:t>
      </w:r>
    </w:p>
    <w:p w14:paraId="706F6D25" w14:textId="77777777" w:rsidR="006835B5" w:rsidRPr="007C5CB9" w:rsidRDefault="006835B5">
      <w:pPr>
        <w:spacing w:after="0" w:line="240" w:lineRule="auto"/>
      </w:pPr>
    </w:p>
    <w:p w14:paraId="7DBB1461" w14:textId="77777777" w:rsidR="006835B5" w:rsidRPr="007C5CB9" w:rsidRDefault="009C2D00">
      <w:pPr>
        <w:spacing w:after="0" w:line="240" w:lineRule="auto"/>
      </w:pPr>
      <w:bookmarkStart w:id="5" w:name="_heading=h.3znysh7" w:colFirst="0" w:colLast="0"/>
      <w:bookmarkEnd w:id="5"/>
      <w:r w:rsidRPr="007C5CB9">
        <w:t>Siebert, D. C. (2006) Personal and occupational factors in burnout among practicing social</w:t>
      </w:r>
    </w:p>
    <w:p w14:paraId="0D09DBD5" w14:textId="77777777" w:rsidR="006835B5" w:rsidRPr="007C5CB9" w:rsidRDefault="009C2D00">
      <w:pPr>
        <w:spacing w:after="0" w:line="240" w:lineRule="auto"/>
      </w:pPr>
      <w:r w:rsidRPr="007C5CB9">
        <w:t xml:space="preserve">workers: Implications for researchers, practitioners, and managers. </w:t>
      </w:r>
      <w:r w:rsidRPr="007C5CB9">
        <w:rPr>
          <w:i/>
        </w:rPr>
        <w:t>Journal of Social Service Research,</w:t>
      </w:r>
      <w:r w:rsidRPr="007C5CB9">
        <w:t xml:space="preserve"> 32(2), 25–44. </w:t>
      </w:r>
      <w:r w:rsidRPr="007C5CB9">
        <w:rPr>
          <w:u w:val="single"/>
        </w:rPr>
        <w:t>doi:10.1300/J079v32n02_02</w:t>
      </w:r>
      <w:r w:rsidRPr="007C5CB9">
        <w:t xml:space="preserve"> </w:t>
      </w:r>
    </w:p>
    <w:p w14:paraId="4E4320F7" w14:textId="1C3D2F3E" w:rsidR="006835B5" w:rsidRPr="007C5CB9" w:rsidRDefault="009C2D00">
      <w:pPr>
        <w:pBdr>
          <w:top w:val="nil"/>
          <w:left w:val="nil"/>
          <w:bottom w:val="nil"/>
          <w:right w:val="nil"/>
          <w:between w:val="nil"/>
        </w:pBdr>
        <w:spacing w:before="280" w:after="280" w:line="240" w:lineRule="auto"/>
      </w:pPr>
      <w:r w:rsidRPr="007C5CB9">
        <w:t>Smith, S., Dressel, J.</w:t>
      </w:r>
      <w:r w:rsidR="009F18C7" w:rsidRPr="007C5CB9">
        <w:t xml:space="preserve"> and </w:t>
      </w:r>
      <w:r w:rsidRPr="007C5CB9">
        <w:t xml:space="preserve">Brannan, J. (2018) </w:t>
      </w:r>
      <w:r w:rsidRPr="007C5CB9">
        <w:rPr>
          <w:i/>
        </w:rPr>
        <w:t>The Solution-focused Approach</w:t>
      </w:r>
      <w:r w:rsidRPr="007C5CB9">
        <w:t>. In Lishman, J., Yuill, C., Brannan, J., &amp; Gibson, A. (eds.)  Social Work: An Introduction (2nd edition). London: Sage Publications.</w:t>
      </w:r>
    </w:p>
    <w:p w14:paraId="0054927B" w14:textId="77777777" w:rsidR="006835B5" w:rsidRPr="007C5CB9" w:rsidRDefault="009C2D00">
      <w:pPr>
        <w:spacing w:after="0" w:line="240" w:lineRule="auto"/>
      </w:pPr>
      <w:r w:rsidRPr="007C5CB9">
        <w:lastRenderedPageBreak/>
        <w:t>Strand, V., Abramovitz, R., Layne, C., Robinson, H. and Way, I. (2014) Meeting the critical need for trauma education in social work: A problem-based learning approach.</w:t>
      </w:r>
      <w:r w:rsidRPr="007C5CB9">
        <w:rPr>
          <w:i/>
        </w:rPr>
        <w:t xml:space="preserve"> Journal of Social Work Education,</w:t>
      </w:r>
      <w:r w:rsidRPr="007C5CB9">
        <w:t xml:space="preserve"> 50 (1), pp.120 – 135</w:t>
      </w:r>
    </w:p>
    <w:p w14:paraId="478417A1" w14:textId="77777777" w:rsidR="006835B5" w:rsidRPr="007C5CB9" w:rsidRDefault="009C2D00">
      <w:pPr>
        <w:pBdr>
          <w:top w:val="nil"/>
          <w:left w:val="nil"/>
          <w:bottom w:val="nil"/>
          <w:right w:val="nil"/>
          <w:between w:val="nil"/>
        </w:pBdr>
        <w:spacing w:before="280" w:after="280" w:line="240" w:lineRule="auto"/>
        <w:rPr>
          <w:u w:val="single"/>
        </w:rPr>
      </w:pPr>
      <w:r w:rsidRPr="007C5CB9">
        <w:t xml:space="preserve">Thomas, T. J. (2016) Adverse Childhood Experiences Among MSW.  </w:t>
      </w:r>
      <w:r w:rsidRPr="007C5CB9">
        <w:rPr>
          <w:i/>
        </w:rPr>
        <w:t>Journal of Teaching in Social Work,</w:t>
      </w:r>
      <w:r w:rsidRPr="007C5CB9">
        <w:t xml:space="preserve">  36 (3), pp.235 – 255 </w:t>
      </w:r>
      <w:hyperlink r:id="rId29">
        <w:r w:rsidRPr="007C5CB9">
          <w:rPr>
            <w:u w:val="single"/>
          </w:rPr>
          <w:t>https://doi.org/10.1080/08841233.2016.1182609</w:t>
        </w:r>
      </w:hyperlink>
    </w:p>
    <w:p w14:paraId="2C20B8A5" w14:textId="019ACEC9" w:rsidR="00790E1E" w:rsidRPr="007C5CB9" w:rsidRDefault="009C2D00">
      <w:pPr>
        <w:pBdr>
          <w:top w:val="nil"/>
          <w:left w:val="nil"/>
          <w:bottom w:val="nil"/>
          <w:right w:val="nil"/>
          <w:between w:val="nil"/>
        </w:pBdr>
        <w:spacing w:before="280" w:after="280" w:line="240" w:lineRule="auto"/>
        <w:rPr>
          <w:u w:val="single"/>
        </w:rPr>
      </w:pPr>
      <w:r w:rsidRPr="007C5CB9">
        <w:t xml:space="preserve">Vasquez, M. L. and Boel-Studt, S. (2017) Integrating a trauma-informed care perspective in baccalaureate social work education: Guiding principles. </w:t>
      </w:r>
      <w:r w:rsidRPr="007C5CB9">
        <w:rPr>
          <w:i/>
        </w:rPr>
        <w:t>Advances in Social Work,</w:t>
      </w:r>
      <w:r w:rsidRPr="007C5CB9">
        <w:t xml:space="preserve"> 18 (1), pp.1 – 24. </w:t>
      </w:r>
      <w:hyperlink r:id="rId30" w:history="1">
        <w:r w:rsidR="00A76A13" w:rsidRPr="007C5CB9">
          <w:rPr>
            <w:rStyle w:val="Hyperlink"/>
            <w:color w:val="auto"/>
          </w:rPr>
          <w:t>https://doi:10.18060/21243</w:t>
        </w:r>
      </w:hyperlink>
    </w:p>
    <w:p w14:paraId="2AA75412" w14:textId="034CB2EE" w:rsidR="00A76A13" w:rsidRPr="007C5CB9" w:rsidRDefault="00790E1E">
      <w:pPr>
        <w:pBdr>
          <w:top w:val="nil"/>
          <w:left w:val="nil"/>
          <w:bottom w:val="nil"/>
          <w:right w:val="nil"/>
          <w:between w:val="nil"/>
        </w:pBdr>
        <w:spacing w:before="280" w:after="280" w:line="240" w:lineRule="auto"/>
      </w:pPr>
      <w:r w:rsidRPr="007C5CB9">
        <w:t xml:space="preserve">Wilcock, A. and Quaid, S. (2018) Exploring the dynamics of situated emotionality in Feminists standpoint.  Sunderland University </w:t>
      </w:r>
      <w:hyperlink r:id="rId31" w:history="1">
        <w:r w:rsidRPr="007C5CB9">
          <w:rPr>
            <w:rStyle w:val="Hyperlink"/>
            <w:color w:val="auto"/>
          </w:rPr>
          <w:t>https://www.sunderland.ac.uk/images/external-websites/www/research/institutes/Wilcock-and-QuaidCASS-Working-Paper.pd</w:t>
        </w:r>
      </w:hyperlink>
      <w:r w:rsidRPr="007C5CB9">
        <w:t xml:space="preserve"> </w:t>
      </w:r>
      <w:r w:rsidRPr="007C5CB9">
        <w:rPr>
          <w:u w:val="single"/>
        </w:rPr>
        <w:t xml:space="preserve"> </w:t>
      </w:r>
    </w:p>
    <w:p w14:paraId="35E06C5E" w14:textId="77777777" w:rsidR="00A76A13" w:rsidRPr="007C5CB9" w:rsidRDefault="00A76A13">
      <w:pPr>
        <w:pBdr>
          <w:top w:val="nil"/>
          <w:left w:val="nil"/>
          <w:bottom w:val="nil"/>
          <w:right w:val="nil"/>
          <w:between w:val="nil"/>
        </w:pBdr>
        <w:spacing w:before="280" w:after="280" w:line="240" w:lineRule="auto"/>
      </w:pPr>
    </w:p>
    <w:p w14:paraId="496F3669" w14:textId="77777777" w:rsidR="006835B5" w:rsidRPr="007C5CB9" w:rsidRDefault="006835B5">
      <w:pPr>
        <w:pBdr>
          <w:top w:val="nil"/>
          <w:left w:val="nil"/>
          <w:bottom w:val="nil"/>
          <w:right w:val="nil"/>
          <w:between w:val="nil"/>
        </w:pBdr>
        <w:spacing w:before="280" w:after="280" w:line="240" w:lineRule="auto"/>
      </w:pPr>
    </w:p>
    <w:p w14:paraId="4A873003" w14:textId="77777777" w:rsidR="006835B5" w:rsidRPr="007C5CB9" w:rsidRDefault="006835B5">
      <w:pPr>
        <w:spacing w:after="0" w:line="240" w:lineRule="auto"/>
      </w:pPr>
    </w:p>
    <w:p w14:paraId="3F49C313" w14:textId="77777777" w:rsidR="006835B5" w:rsidRPr="007C5CB9" w:rsidRDefault="006835B5">
      <w:pPr>
        <w:spacing w:after="0" w:line="240" w:lineRule="auto"/>
      </w:pPr>
    </w:p>
    <w:p w14:paraId="0BCD7D88" w14:textId="77777777" w:rsidR="006835B5" w:rsidRPr="007C5CB9" w:rsidRDefault="006835B5">
      <w:pPr>
        <w:spacing w:line="240" w:lineRule="auto"/>
        <w:jc w:val="left"/>
      </w:pPr>
    </w:p>
    <w:sectPr w:rsidR="006835B5" w:rsidRPr="007C5CB9" w:rsidSect="005A61C0">
      <w:headerReference w:type="default" r:id="rId32"/>
      <w:pgSz w:w="11906" w:h="16838"/>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6826" w14:textId="77777777" w:rsidR="00B43B76" w:rsidRDefault="009C2D00">
      <w:pPr>
        <w:spacing w:after="0" w:line="240" w:lineRule="auto"/>
      </w:pPr>
      <w:r>
        <w:separator/>
      </w:r>
    </w:p>
  </w:endnote>
  <w:endnote w:type="continuationSeparator" w:id="0">
    <w:p w14:paraId="415301AD" w14:textId="77777777" w:rsidR="00B43B76" w:rsidRDefault="009C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84C6" w14:textId="77777777" w:rsidR="00B43B76" w:rsidRDefault="009C2D00">
      <w:pPr>
        <w:spacing w:after="0" w:line="240" w:lineRule="auto"/>
      </w:pPr>
      <w:r>
        <w:separator/>
      </w:r>
    </w:p>
  </w:footnote>
  <w:footnote w:type="continuationSeparator" w:id="0">
    <w:p w14:paraId="7AD04B42" w14:textId="77777777" w:rsidR="00B43B76" w:rsidRDefault="009C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3E3C" w14:textId="4963E197" w:rsidR="00B32D9C" w:rsidRDefault="00B32D9C">
    <w:pPr>
      <w:pStyle w:val="Header"/>
    </w:pPr>
  </w:p>
  <w:p w14:paraId="1A50FC90" w14:textId="77777777" w:rsidR="00B32D9C" w:rsidRDefault="00B3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D1"/>
    <w:multiLevelType w:val="multilevel"/>
    <w:tmpl w:val="ED3818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10943A19"/>
    <w:multiLevelType w:val="multilevel"/>
    <w:tmpl w:val="2F7C33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D6B45E6"/>
    <w:multiLevelType w:val="multilevel"/>
    <w:tmpl w:val="7DC6A1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305C6B49"/>
    <w:multiLevelType w:val="multilevel"/>
    <w:tmpl w:val="2BE0B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720DCD"/>
    <w:multiLevelType w:val="multilevel"/>
    <w:tmpl w:val="26BE9F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 w15:restartNumberingAfterBreak="0">
    <w:nsid w:val="318D27C4"/>
    <w:multiLevelType w:val="multilevel"/>
    <w:tmpl w:val="82B26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15A65"/>
    <w:multiLevelType w:val="multilevel"/>
    <w:tmpl w:val="49C6B8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7" w15:restartNumberingAfterBreak="0">
    <w:nsid w:val="42C7014A"/>
    <w:multiLevelType w:val="multilevel"/>
    <w:tmpl w:val="324268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5F227883"/>
    <w:multiLevelType w:val="multilevel"/>
    <w:tmpl w:val="0C64A2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2873152">
    <w:abstractNumId w:val="4"/>
  </w:num>
  <w:num w:numId="2" w16cid:durableId="1925870758">
    <w:abstractNumId w:val="5"/>
  </w:num>
  <w:num w:numId="3" w16cid:durableId="1864004949">
    <w:abstractNumId w:val="3"/>
  </w:num>
  <w:num w:numId="4" w16cid:durableId="2113548657">
    <w:abstractNumId w:val="2"/>
  </w:num>
  <w:num w:numId="5" w16cid:durableId="553657579">
    <w:abstractNumId w:val="0"/>
  </w:num>
  <w:num w:numId="6" w16cid:durableId="843669948">
    <w:abstractNumId w:val="6"/>
  </w:num>
  <w:num w:numId="7" w16cid:durableId="229997979">
    <w:abstractNumId w:val="7"/>
  </w:num>
  <w:num w:numId="8" w16cid:durableId="1459294435">
    <w:abstractNumId w:val="1"/>
  </w:num>
  <w:num w:numId="9" w16cid:durableId="662585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B5"/>
    <w:rsid w:val="00010616"/>
    <w:rsid w:val="000961ED"/>
    <w:rsid w:val="000A1FD5"/>
    <w:rsid w:val="000C52EC"/>
    <w:rsid w:val="000C7345"/>
    <w:rsid w:val="000F0D02"/>
    <w:rsid w:val="00146EAC"/>
    <w:rsid w:val="0017100F"/>
    <w:rsid w:val="00171ED4"/>
    <w:rsid w:val="00187F41"/>
    <w:rsid w:val="001C3181"/>
    <w:rsid w:val="001E3E44"/>
    <w:rsid w:val="001E7C94"/>
    <w:rsid w:val="001F4BC3"/>
    <w:rsid w:val="00220974"/>
    <w:rsid w:val="00232B1C"/>
    <w:rsid w:val="00240771"/>
    <w:rsid w:val="002958E5"/>
    <w:rsid w:val="002B6766"/>
    <w:rsid w:val="002E5248"/>
    <w:rsid w:val="002F0A38"/>
    <w:rsid w:val="003122E4"/>
    <w:rsid w:val="00361A2B"/>
    <w:rsid w:val="00373A43"/>
    <w:rsid w:val="00377361"/>
    <w:rsid w:val="00393409"/>
    <w:rsid w:val="00402481"/>
    <w:rsid w:val="00403BE4"/>
    <w:rsid w:val="00425779"/>
    <w:rsid w:val="0044632E"/>
    <w:rsid w:val="00447B6A"/>
    <w:rsid w:val="0046262E"/>
    <w:rsid w:val="004E0287"/>
    <w:rsid w:val="004F717B"/>
    <w:rsid w:val="00515A95"/>
    <w:rsid w:val="00522D2D"/>
    <w:rsid w:val="00542760"/>
    <w:rsid w:val="00556590"/>
    <w:rsid w:val="00560F87"/>
    <w:rsid w:val="005A61C0"/>
    <w:rsid w:val="005B2B20"/>
    <w:rsid w:val="005E040C"/>
    <w:rsid w:val="00602FD3"/>
    <w:rsid w:val="006071F0"/>
    <w:rsid w:val="00613AAB"/>
    <w:rsid w:val="00626F94"/>
    <w:rsid w:val="006835B5"/>
    <w:rsid w:val="006A1D90"/>
    <w:rsid w:val="00704616"/>
    <w:rsid w:val="007307EF"/>
    <w:rsid w:val="00732DBC"/>
    <w:rsid w:val="00790E1E"/>
    <w:rsid w:val="007A42DA"/>
    <w:rsid w:val="007C5CB9"/>
    <w:rsid w:val="007E08D4"/>
    <w:rsid w:val="0080231A"/>
    <w:rsid w:val="00820CC1"/>
    <w:rsid w:val="00834FEC"/>
    <w:rsid w:val="008867B8"/>
    <w:rsid w:val="008B676F"/>
    <w:rsid w:val="008C2CFD"/>
    <w:rsid w:val="008C3B3B"/>
    <w:rsid w:val="008D42D1"/>
    <w:rsid w:val="009977D7"/>
    <w:rsid w:val="009C2D00"/>
    <w:rsid w:val="009E0B25"/>
    <w:rsid w:val="009F18C7"/>
    <w:rsid w:val="00A074C4"/>
    <w:rsid w:val="00A14340"/>
    <w:rsid w:val="00A1554B"/>
    <w:rsid w:val="00A4660D"/>
    <w:rsid w:val="00A76A13"/>
    <w:rsid w:val="00A954EE"/>
    <w:rsid w:val="00A9747C"/>
    <w:rsid w:val="00AA6222"/>
    <w:rsid w:val="00AB2834"/>
    <w:rsid w:val="00B311A2"/>
    <w:rsid w:val="00B32D9C"/>
    <w:rsid w:val="00B43B76"/>
    <w:rsid w:val="00B478ED"/>
    <w:rsid w:val="00B50862"/>
    <w:rsid w:val="00B50A5E"/>
    <w:rsid w:val="00B657F6"/>
    <w:rsid w:val="00B70968"/>
    <w:rsid w:val="00B80254"/>
    <w:rsid w:val="00BB7763"/>
    <w:rsid w:val="00BC2F3F"/>
    <w:rsid w:val="00BF0F7F"/>
    <w:rsid w:val="00C028B3"/>
    <w:rsid w:val="00C33A21"/>
    <w:rsid w:val="00C6253E"/>
    <w:rsid w:val="00C708B2"/>
    <w:rsid w:val="00C849B4"/>
    <w:rsid w:val="00CE7A67"/>
    <w:rsid w:val="00D02829"/>
    <w:rsid w:val="00D04D1A"/>
    <w:rsid w:val="00D31FDF"/>
    <w:rsid w:val="00D458AC"/>
    <w:rsid w:val="00D46D9E"/>
    <w:rsid w:val="00D81E10"/>
    <w:rsid w:val="00DB6959"/>
    <w:rsid w:val="00DC4D0F"/>
    <w:rsid w:val="00DC5754"/>
    <w:rsid w:val="00DD0CE5"/>
    <w:rsid w:val="00DD0DAD"/>
    <w:rsid w:val="00DE138D"/>
    <w:rsid w:val="00DE3B60"/>
    <w:rsid w:val="00E00F27"/>
    <w:rsid w:val="00E2165B"/>
    <w:rsid w:val="00E45472"/>
    <w:rsid w:val="00E70651"/>
    <w:rsid w:val="00E87D7E"/>
    <w:rsid w:val="00E97689"/>
    <w:rsid w:val="00EB0C69"/>
    <w:rsid w:val="00EC159A"/>
    <w:rsid w:val="00EC2EAE"/>
    <w:rsid w:val="00EE4047"/>
    <w:rsid w:val="00EF39FD"/>
    <w:rsid w:val="00F0223F"/>
    <w:rsid w:val="00F25A87"/>
    <w:rsid w:val="00F34BEF"/>
    <w:rsid w:val="00F45E34"/>
    <w:rsid w:val="00F500DE"/>
    <w:rsid w:val="00F63B3D"/>
    <w:rsid w:val="00FC1B69"/>
    <w:rsid w:val="00FD4A86"/>
    <w:rsid w:val="00FE0648"/>
    <w:rsid w:val="00FE2A3C"/>
    <w:rsid w:val="00FE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19D"/>
  <w15:docId w15:val="{FC50C837-F865-4299-96F2-400C75C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x-doi">
    <w:name w:val="dx-doi"/>
    <w:basedOn w:val="Normal"/>
    <w:rsid w:val="0014692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4692F"/>
    <w:rPr>
      <w:color w:val="0000FF"/>
      <w:u w:val="single"/>
    </w:rPr>
  </w:style>
  <w:style w:type="character" w:styleId="FollowedHyperlink">
    <w:name w:val="FollowedHyperlink"/>
    <w:basedOn w:val="DefaultParagraphFont"/>
    <w:uiPriority w:val="99"/>
    <w:semiHidden/>
    <w:unhideWhenUsed/>
    <w:rsid w:val="0014692F"/>
    <w:rPr>
      <w:color w:val="954F72" w:themeColor="followedHyperlink"/>
      <w:u w:val="single"/>
    </w:rPr>
  </w:style>
  <w:style w:type="character" w:customStyle="1" w:styleId="hlfld-contribauthor">
    <w:name w:val="hlfld-contribauthor"/>
    <w:basedOn w:val="DefaultParagraphFont"/>
    <w:rsid w:val="00355FB1"/>
  </w:style>
  <w:style w:type="character" w:customStyle="1" w:styleId="nlmgiven-names">
    <w:name w:val="nlm_given-names"/>
    <w:basedOn w:val="DefaultParagraphFont"/>
    <w:rsid w:val="00355FB1"/>
  </w:style>
  <w:style w:type="character" w:customStyle="1" w:styleId="nlmyear">
    <w:name w:val="nlm_year"/>
    <w:basedOn w:val="DefaultParagraphFont"/>
    <w:rsid w:val="00355FB1"/>
  </w:style>
  <w:style w:type="character" w:customStyle="1" w:styleId="nlmarticle-title">
    <w:name w:val="nlm_article-title"/>
    <w:basedOn w:val="DefaultParagraphFont"/>
    <w:rsid w:val="00355FB1"/>
  </w:style>
  <w:style w:type="character" w:customStyle="1" w:styleId="nlmfpage">
    <w:name w:val="nlm_fpage"/>
    <w:basedOn w:val="DefaultParagraphFont"/>
    <w:rsid w:val="00355FB1"/>
  </w:style>
  <w:style w:type="character" w:customStyle="1" w:styleId="nlmlpage">
    <w:name w:val="nlm_lpage"/>
    <w:basedOn w:val="DefaultParagraphFont"/>
    <w:rsid w:val="00355FB1"/>
  </w:style>
  <w:style w:type="character" w:customStyle="1" w:styleId="reflink-block">
    <w:name w:val="reflink-block"/>
    <w:basedOn w:val="DefaultParagraphFont"/>
    <w:rsid w:val="00355FB1"/>
  </w:style>
  <w:style w:type="character" w:styleId="UnresolvedMention">
    <w:name w:val="Unresolved Mention"/>
    <w:basedOn w:val="DefaultParagraphFont"/>
    <w:uiPriority w:val="99"/>
    <w:semiHidden/>
    <w:unhideWhenUsed/>
    <w:rsid w:val="004550D5"/>
    <w:rPr>
      <w:color w:val="605E5C"/>
      <w:shd w:val="clear" w:color="auto" w:fill="E1DFDD"/>
    </w:rPr>
  </w:style>
  <w:style w:type="paragraph" w:styleId="Header">
    <w:name w:val="header"/>
    <w:basedOn w:val="Normal"/>
    <w:link w:val="HeaderChar"/>
    <w:uiPriority w:val="99"/>
    <w:unhideWhenUsed/>
    <w:rsid w:val="002A5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5E"/>
  </w:style>
  <w:style w:type="paragraph" w:styleId="Footer">
    <w:name w:val="footer"/>
    <w:basedOn w:val="Normal"/>
    <w:link w:val="FooterChar"/>
    <w:uiPriority w:val="99"/>
    <w:unhideWhenUsed/>
    <w:rsid w:val="002A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5E"/>
  </w:style>
  <w:style w:type="paragraph" w:styleId="ListParagraph">
    <w:name w:val="List Paragraph"/>
    <w:basedOn w:val="Normal"/>
    <w:uiPriority w:val="34"/>
    <w:qFormat/>
    <w:rsid w:val="0024273F"/>
    <w:pPr>
      <w:ind w:left="720"/>
      <w:contextualSpacing/>
    </w:pPr>
  </w:style>
  <w:style w:type="paragraph" w:styleId="FootnoteText">
    <w:name w:val="footnote text"/>
    <w:basedOn w:val="Normal"/>
    <w:link w:val="FootnoteTextChar"/>
    <w:uiPriority w:val="99"/>
    <w:semiHidden/>
    <w:unhideWhenUsed/>
    <w:rsid w:val="0043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449"/>
    <w:rPr>
      <w:sz w:val="20"/>
      <w:szCs w:val="20"/>
    </w:rPr>
  </w:style>
  <w:style w:type="character" w:styleId="FootnoteReference">
    <w:name w:val="footnote reference"/>
    <w:basedOn w:val="DefaultParagraphFont"/>
    <w:uiPriority w:val="99"/>
    <w:semiHidden/>
    <w:unhideWhenUsed/>
    <w:rsid w:val="00432449"/>
    <w:rPr>
      <w:vertAlign w:val="superscript"/>
    </w:rPr>
  </w:style>
  <w:style w:type="character" w:customStyle="1" w:styleId="nlmpub-id">
    <w:name w:val="nlm_pub-id"/>
    <w:basedOn w:val="DefaultParagraphFont"/>
    <w:rsid w:val="00432449"/>
  </w:style>
  <w:style w:type="paragraph" w:styleId="NormalWeb">
    <w:name w:val="Normal (Web)"/>
    <w:basedOn w:val="Normal"/>
    <w:uiPriority w:val="99"/>
    <w:unhideWhenUsed/>
    <w:rsid w:val="00D8582A"/>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D8582A"/>
  </w:style>
  <w:style w:type="character" w:styleId="CommentReference">
    <w:name w:val="annotation reference"/>
    <w:basedOn w:val="DefaultParagraphFont"/>
    <w:uiPriority w:val="99"/>
    <w:semiHidden/>
    <w:unhideWhenUsed/>
    <w:rsid w:val="00A764AF"/>
    <w:rPr>
      <w:sz w:val="16"/>
      <w:szCs w:val="16"/>
    </w:rPr>
  </w:style>
  <w:style w:type="paragraph" w:styleId="CommentText">
    <w:name w:val="annotation text"/>
    <w:basedOn w:val="Normal"/>
    <w:link w:val="CommentTextChar"/>
    <w:uiPriority w:val="99"/>
    <w:semiHidden/>
    <w:unhideWhenUsed/>
    <w:rsid w:val="00A764AF"/>
    <w:pPr>
      <w:spacing w:line="240" w:lineRule="auto"/>
    </w:pPr>
    <w:rPr>
      <w:sz w:val="20"/>
      <w:szCs w:val="20"/>
    </w:rPr>
  </w:style>
  <w:style w:type="character" w:customStyle="1" w:styleId="CommentTextChar">
    <w:name w:val="Comment Text Char"/>
    <w:basedOn w:val="DefaultParagraphFont"/>
    <w:link w:val="CommentText"/>
    <w:uiPriority w:val="99"/>
    <w:semiHidden/>
    <w:rsid w:val="00A764AF"/>
    <w:rPr>
      <w:sz w:val="20"/>
      <w:szCs w:val="20"/>
    </w:rPr>
  </w:style>
  <w:style w:type="paragraph" w:styleId="CommentSubject">
    <w:name w:val="annotation subject"/>
    <w:basedOn w:val="CommentText"/>
    <w:next w:val="CommentText"/>
    <w:link w:val="CommentSubjectChar"/>
    <w:uiPriority w:val="99"/>
    <w:semiHidden/>
    <w:unhideWhenUsed/>
    <w:rsid w:val="00A764AF"/>
    <w:rPr>
      <w:b/>
      <w:bCs/>
    </w:rPr>
  </w:style>
  <w:style w:type="character" w:customStyle="1" w:styleId="CommentSubjectChar">
    <w:name w:val="Comment Subject Char"/>
    <w:basedOn w:val="CommentTextChar"/>
    <w:link w:val="CommentSubject"/>
    <w:uiPriority w:val="99"/>
    <w:semiHidden/>
    <w:rsid w:val="00A764AF"/>
    <w:rPr>
      <w:b/>
      <w:bCs/>
      <w:sz w:val="20"/>
      <w:szCs w:val="20"/>
    </w:rPr>
  </w:style>
  <w:style w:type="paragraph" w:styleId="BalloonText">
    <w:name w:val="Balloon Text"/>
    <w:basedOn w:val="Normal"/>
    <w:link w:val="BalloonTextChar"/>
    <w:uiPriority w:val="99"/>
    <w:semiHidden/>
    <w:unhideWhenUsed/>
    <w:rsid w:val="00A76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AF"/>
    <w:rPr>
      <w:rFonts w:ascii="Segoe UI" w:hAnsi="Segoe UI" w:cs="Segoe UI"/>
      <w:sz w:val="18"/>
      <w:szCs w:val="18"/>
    </w:rPr>
  </w:style>
  <w:style w:type="paragraph" w:customStyle="1" w:styleId="Normal0">
    <w:name w:val="[Normal]"/>
    <w:uiPriority w:val="99"/>
    <w:rsid w:val="0085559B"/>
    <w:pPr>
      <w:widowControl w:val="0"/>
      <w:autoSpaceDE w:val="0"/>
      <w:autoSpaceDN w:val="0"/>
      <w:adjustRightInd w:val="0"/>
      <w:spacing w:after="0" w:line="240" w:lineRule="auto"/>
    </w:pPr>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A55B7F"/>
    <w:pPr>
      <w:autoSpaceDE w:val="0"/>
      <w:autoSpaceDN w:val="0"/>
      <w:adjustRightInd w:val="0"/>
      <w:spacing w:after="0" w:line="240" w:lineRule="auto"/>
    </w:pPr>
    <w:rPr>
      <w:rFonts w:ascii="Arial" w:hAnsi="Arial" w:cs="Arial"/>
      <w:color w:val="000000"/>
    </w:rPr>
  </w:style>
  <w:style w:type="character" w:styleId="Emphasis">
    <w:name w:val="Emphasis"/>
    <w:basedOn w:val="DefaultParagraphFont"/>
    <w:uiPriority w:val="20"/>
    <w:qFormat/>
    <w:rsid w:val="00FF54BD"/>
    <w:rPr>
      <w:i/>
      <w:iC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styleId="TableGrid">
    <w:name w:val="Table Grid"/>
    <w:basedOn w:val="TableNormal"/>
    <w:uiPriority w:val="39"/>
    <w:rsid w:val="0070395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039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a1">
    <w:basedOn w:val="TableNormal"/>
    <w:pPr>
      <w:spacing w:after="0" w:line="240" w:lineRule="auto"/>
    </w:pPr>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CellMar>
        <w:left w:w="10" w:type="dxa"/>
        <w:right w:w="10"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CellMar>
        <w:left w:w="10" w:type="dxa"/>
        <w:right w:w="10" w:type="dxa"/>
      </w:tblCellMar>
    </w:tblPr>
  </w:style>
  <w:style w:type="table" w:customStyle="1" w:styleId="a4">
    <w:basedOn w:val="TableNormal"/>
    <w:pPr>
      <w:spacing w:after="0" w:line="240" w:lineRule="auto"/>
    </w:pPr>
    <w:tblPr>
      <w:tblStyleRowBandSize w:val="1"/>
      <w:tblStyleColBandSize w:val="1"/>
      <w:tblCellMar>
        <w:left w:w="10" w:type="dxa"/>
        <w:right w:w="10"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character" w:styleId="LineNumber">
    <w:name w:val="line number"/>
    <w:basedOn w:val="DefaultParagraphFont"/>
    <w:uiPriority w:val="99"/>
    <w:semiHidden/>
    <w:unhideWhenUsed/>
    <w:rsid w:val="00B32D9C"/>
  </w:style>
  <w:style w:type="paragraph" w:customStyle="1" w:styleId="nova-legacy-e-listitem">
    <w:name w:val="nova-legacy-e-list__item"/>
    <w:basedOn w:val="Normal"/>
    <w:rsid w:val="00377361"/>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5647">
      <w:bodyDiv w:val="1"/>
      <w:marLeft w:val="0"/>
      <w:marRight w:val="0"/>
      <w:marTop w:val="0"/>
      <w:marBottom w:val="0"/>
      <w:divBdr>
        <w:top w:val="none" w:sz="0" w:space="0" w:color="auto"/>
        <w:left w:val="none" w:sz="0" w:space="0" w:color="auto"/>
        <w:bottom w:val="none" w:sz="0" w:space="0" w:color="auto"/>
        <w:right w:val="none" w:sz="0" w:space="0" w:color="auto"/>
      </w:divBdr>
    </w:div>
    <w:div w:id="994531747">
      <w:bodyDiv w:val="1"/>
      <w:marLeft w:val="0"/>
      <w:marRight w:val="0"/>
      <w:marTop w:val="0"/>
      <w:marBottom w:val="0"/>
      <w:divBdr>
        <w:top w:val="none" w:sz="0" w:space="0" w:color="auto"/>
        <w:left w:val="none" w:sz="0" w:space="0" w:color="auto"/>
        <w:bottom w:val="none" w:sz="0" w:space="0" w:color="auto"/>
        <w:right w:val="none" w:sz="0" w:space="0" w:color="auto"/>
      </w:divBdr>
    </w:div>
    <w:div w:id="1166629552">
      <w:bodyDiv w:val="1"/>
      <w:marLeft w:val="0"/>
      <w:marRight w:val="0"/>
      <w:marTop w:val="0"/>
      <w:marBottom w:val="0"/>
      <w:divBdr>
        <w:top w:val="none" w:sz="0" w:space="0" w:color="auto"/>
        <w:left w:val="none" w:sz="0" w:space="0" w:color="auto"/>
        <w:bottom w:val="none" w:sz="0" w:space="0" w:color="auto"/>
        <w:right w:val="none" w:sz="0" w:space="0" w:color="auto"/>
      </w:divBdr>
    </w:div>
    <w:div w:id="154713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8841233.2015.1030059" TargetMode="External"/><Relationship Id="rId18" Type="http://schemas.openxmlformats.org/officeDocument/2006/relationships/hyperlink" Target="https://doi.org/10.1080/02615479.2011.590931" TargetMode="External"/><Relationship Id="rId26" Type="http://schemas.openxmlformats.org/officeDocument/2006/relationships/hyperlink" Target="https://doi.org/10.1080/10437797.1993.10778804" TargetMode="External"/><Relationship Id="rId3" Type="http://schemas.openxmlformats.org/officeDocument/2006/relationships/numbering" Target="numbering.xml"/><Relationship Id="rId21" Type="http://schemas.openxmlformats.org/officeDocument/2006/relationships/hyperlink" Target="https://doi.org/10.1080/1543371080268692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80/15299732.2014.867571" TargetMode="External"/><Relationship Id="rId17" Type="http://schemas.openxmlformats.org/officeDocument/2006/relationships/hyperlink" Target="http://dx.doi.org/10.1080/08841233.2015.1065945" TargetMode="External"/><Relationship Id="rId25" Type="http://schemas.openxmlformats.org/officeDocument/2006/relationships/hyperlink" Target="https://doi.org/10.1080/13603116.2021.19161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77%2F160940690600500107" TargetMode="External"/><Relationship Id="rId20" Type="http://schemas.openxmlformats.org/officeDocument/2006/relationships/hyperlink" Target="https://doi.org/10.1093/bjsw/bcaa054" TargetMode="External"/><Relationship Id="rId29" Type="http://schemas.openxmlformats.org/officeDocument/2006/relationships/hyperlink" Target="https://doi.org/10.1080/08841233.2016.11826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0/0312407X.2018.1516793" TargetMode="External"/><Relationship Id="rId24" Type="http://schemas.openxmlformats.org/officeDocument/2006/relationships/hyperlink" Target="https://doi.org/10.1080/10437797.2019.162726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080/10437797.2004.10778495" TargetMode="External"/><Relationship Id="rId23" Type="http://schemas.openxmlformats.org/officeDocument/2006/relationships/hyperlink" Target="https://doi.org/10.1002/jts.2490030110" TargetMode="External"/><Relationship Id="rId28" Type="http://schemas.openxmlformats.org/officeDocument/2006/relationships/hyperlink" Target="https://doi.org/10.1080/10437797.2019.1627262" TargetMode="External"/><Relationship Id="rId10" Type="http://schemas.openxmlformats.org/officeDocument/2006/relationships/hyperlink" Target="https://doi.org/10.1080/10437797.1993.10778812" TargetMode="External"/><Relationship Id="rId19" Type="http://schemas.openxmlformats.org/officeDocument/2006/relationships/hyperlink" Target="https://doi.org/10.1080/02615479.2014.891012" TargetMode="External"/><Relationship Id="rId31" Type="http://schemas.openxmlformats.org/officeDocument/2006/relationships/hyperlink" Target="https://www.sunderland.ac.uk/images/external-websites/www/research/institutes/Wilcock-and-QuaidCASS-Working-Paper.pd" TargetMode="External"/><Relationship Id="rId4" Type="http://schemas.openxmlformats.org/officeDocument/2006/relationships/styles" Target="styles.xml"/><Relationship Id="rId9" Type="http://schemas.openxmlformats.org/officeDocument/2006/relationships/hyperlink" Target="https://doi.org/10.1080/02615470601081712" TargetMode="External"/><Relationship Id="rId14" Type="http://schemas.openxmlformats.org/officeDocument/2006/relationships/hyperlink" Target="https://psycnet.apa.org/doi/10.1037/trm0000061" TargetMode="External"/><Relationship Id="rId22" Type="http://schemas.openxmlformats.org/officeDocument/2006/relationships/hyperlink" Target="https://doi.apa.org/doi/10.1037/a0024477" TargetMode="External"/><Relationship Id="rId27" Type="http://schemas.openxmlformats.org/officeDocument/2006/relationships/hyperlink" Target="https://doi.org/10.1080/10437797.2019.1661923" TargetMode="External"/><Relationship Id="rId30" Type="http://schemas.openxmlformats.org/officeDocument/2006/relationships/hyperlink" Target="https://doi:10.18060/21243"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BxHNVE2wMuQ7X5ga3WPDkqmTA==">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A80B8C-2D24-4702-8CCB-AA62558C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11034</Words>
  <Characters>62899</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Cavener</dc:creator>
  <cp:lastModifiedBy>Sarah Lonbay (Staff)</cp:lastModifiedBy>
  <cp:revision>2</cp:revision>
  <dcterms:created xsi:type="dcterms:W3CDTF">2022-06-15T08:14:00Z</dcterms:created>
  <dcterms:modified xsi:type="dcterms:W3CDTF">2022-06-15T08:14:00Z</dcterms:modified>
</cp:coreProperties>
</file>