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9838C" w14:textId="2AD6AD26" w:rsidR="00633250" w:rsidRPr="004A0288" w:rsidRDefault="00752447" w:rsidP="005D4FA8">
      <w:pPr>
        <w:pStyle w:val="Title"/>
        <w:spacing w:line="360" w:lineRule="auto"/>
        <w:contextualSpacing/>
        <w:mirrorIndents/>
        <w:rPr>
          <w:rFonts w:asciiTheme="minorHAnsi" w:hAnsiTheme="minorHAnsi" w:cstheme="minorHAnsi"/>
          <w:bCs w:val="0"/>
          <w:iCs/>
          <w:spacing w:val="5"/>
          <w:sz w:val="24"/>
          <w:szCs w:val="24"/>
        </w:rPr>
      </w:pPr>
      <w:bookmarkStart w:id="0" w:name="_Toc4579428"/>
      <w:bookmarkStart w:id="1" w:name="_Toc4579791"/>
      <w:r w:rsidRPr="004A0288">
        <w:rPr>
          <w:rStyle w:val="GridTable1Light1"/>
          <w:rFonts w:asciiTheme="minorHAnsi" w:hAnsiTheme="minorHAnsi" w:cstheme="minorHAnsi"/>
          <w:b/>
          <w:i w:val="0"/>
          <w:sz w:val="24"/>
          <w:szCs w:val="24"/>
        </w:rPr>
        <w:t>‘</w:t>
      </w:r>
      <w:r w:rsidRPr="004A0288">
        <w:rPr>
          <w:rStyle w:val="GridTable1Light1"/>
          <w:rFonts w:asciiTheme="minorHAnsi" w:hAnsiTheme="minorHAnsi" w:cstheme="minorHAnsi"/>
          <w:b/>
          <w:iCs w:val="0"/>
          <w:sz w:val="24"/>
          <w:szCs w:val="24"/>
        </w:rPr>
        <w:t>We capture their comments before we leave the station’</w:t>
      </w:r>
      <w:r w:rsidRPr="004A0288">
        <w:rPr>
          <w:rStyle w:val="GridTable1Light1"/>
          <w:rFonts w:asciiTheme="minorHAnsi" w:hAnsiTheme="minorHAnsi" w:cstheme="minorHAnsi"/>
          <w:b/>
          <w:i w:val="0"/>
          <w:sz w:val="24"/>
          <w:szCs w:val="24"/>
        </w:rPr>
        <w:t xml:space="preserve">: </w:t>
      </w:r>
      <w:r w:rsidR="004F4FCF" w:rsidRPr="004A0288">
        <w:rPr>
          <w:rStyle w:val="GridTable1Light1"/>
          <w:rFonts w:asciiTheme="minorHAnsi" w:hAnsiTheme="minorHAnsi" w:cstheme="minorHAnsi"/>
          <w:b/>
          <w:i w:val="0"/>
          <w:sz w:val="24"/>
          <w:szCs w:val="24"/>
        </w:rPr>
        <w:t xml:space="preserve">Service User </w:t>
      </w:r>
      <w:r w:rsidR="005C560D" w:rsidRPr="004A0288">
        <w:rPr>
          <w:rStyle w:val="GridTable1Light1"/>
          <w:rFonts w:asciiTheme="minorHAnsi" w:hAnsiTheme="minorHAnsi" w:cstheme="minorHAnsi"/>
          <w:b/>
          <w:i w:val="0"/>
          <w:sz w:val="24"/>
          <w:szCs w:val="24"/>
        </w:rPr>
        <w:t>Involvement</w:t>
      </w:r>
      <w:r w:rsidR="00A9711C" w:rsidRPr="004A0288">
        <w:rPr>
          <w:rStyle w:val="GridTable1Light1"/>
          <w:rFonts w:asciiTheme="minorHAnsi" w:hAnsiTheme="minorHAnsi" w:cstheme="minorHAnsi"/>
          <w:b/>
          <w:i w:val="0"/>
          <w:sz w:val="24"/>
          <w:szCs w:val="24"/>
        </w:rPr>
        <w:t xml:space="preserve"> </w:t>
      </w:r>
      <w:r w:rsidR="0066276E" w:rsidRPr="004A0288">
        <w:rPr>
          <w:rStyle w:val="GridTable1Light1"/>
          <w:rFonts w:asciiTheme="minorHAnsi" w:hAnsiTheme="minorHAnsi" w:cstheme="minorHAnsi"/>
          <w:b/>
          <w:i w:val="0"/>
          <w:sz w:val="24"/>
          <w:szCs w:val="24"/>
        </w:rPr>
        <w:t xml:space="preserve">in the Delivery of </w:t>
      </w:r>
      <w:r w:rsidR="00FA390F" w:rsidRPr="004A0288">
        <w:rPr>
          <w:rStyle w:val="GridTable1Light1"/>
          <w:rFonts w:asciiTheme="minorHAnsi" w:hAnsiTheme="minorHAnsi" w:cstheme="minorHAnsi"/>
          <w:b/>
          <w:i w:val="0"/>
          <w:sz w:val="24"/>
          <w:szCs w:val="24"/>
        </w:rPr>
        <w:t>Appropriate Adult Schemes</w:t>
      </w:r>
      <w:bookmarkEnd w:id="0"/>
      <w:bookmarkEnd w:id="1"/>
      <w:r w:rsidR="00E94B7E" w:rsidRPr="004A0288">
        <w:rPr>
          <w:rStyle w:val="GridTable1Light1"/>
          <w:rFonts w:asciiTheme="minorHAnsi" w:hAnsiTheme="minorHAnsi" w:cstheme="minorHAnsi"/>
          <w:b/>
          <w:i w:val="0"/>
          <w:sz w:val="24"/>
          <w:szCs w:val="24"/>
        </w:rPr>
        <w:t xml:space="preserve"> </w:t>
      </w:r>
    </w:p>
    <w:p w14:paraId="635977D4" w14:textId="77777777" w:rsidR="005D4FA8" w:rsidRPr="004A0288" w:rsidRDefault="005D4FA8" w:rsidP="00A42A35">
      <w:pPr>
        <w:pStyle w:val="Heading1"/>
        <w:spacing w:line="360" w:lineRule="auto"/>
        <w:contextualSpacing/>
        <w:mirrorIndents/>
        <w:rPr>
          <w:rFonts w:asciiTheme="minorHAnsi" w:hAnsiTheme="minorHAnsi" w:cstheme="minorHAnsi"/>
          <w:sz w:val="24"/>
          <w:szCs w:val="24"/>
        </w:rPr>
      </w:pPr>
      <w:bookmarkStart w:id="2" w:name="_Toc4579793"/>
    </w:p>
    <w:p w14:paraId="690D50F4" w14:textId="3E948906" w:rsidR="002A11CF" w:rsidRPr="00B46E7C" w:rsidRDefault="002A11CF" w:rsidP="00A42A35">
      <w:pPr>
        <w:pStyle w:val="Heading1"/>
        <w:spacing w:line="360" w:lineRule="auto"/>
        <w:contextualSpacing/>
        <w:mirrorIndents/>
        <w:rPr>
          <w:rFonts w:asciiTheme="minorHAnsi" w:hAnsiTheme="minorHAnsi" w:cstheme="minorHAnsi"/>
          <w:sz w:val="24"/>
          <w:szCs w:val="24"/>
        </w:rPr>
      </w:pPr>
      <w:r w:rsidRPr="00B46E7C">
        <w:rPr>
          <w:rFonts w:asciiTheme="minorHAnsi" w:hAnsiTheme="minorHAnsi" w:cstheme="minorHAnsi"/>
          <w:sz w:val="24"/>
          <w:szCs w:val="24"/>
        </w:rPr>
        <w:t>Abstract</w:t>
      </w:r>
      <w:bookmarkEnd w:id="2"/>
      <w:r w:rsidRPr="00B46E7C">
        <w:rPr>
          <w:rFonts w:asciiTheme="minorHAnsi" w:hAnsiTheme="minorHAnsi" w:cstheme="minorHAnsi"/>
          <w:sz w:val="24"/>
          <w:szCs w:val="24"/>
        </w:rPr>
        <w:t xml:space="preserve"> </w:t>
      </w:r>
    </w:p>
    <w:p w14:paraId="3EE77E27" w14:textId="77777777" w:rsidR="009F5233" w:rsidRPr="00B46E7C" w:rsidRDefault="009F5233" w:rsidP="00A42A35">
      <w:pPr>
        <w:pStyle w:val="NormalWeb"/>
        <w:spacing w:before="0" w:beforeAutospacing="0" w:after="0" w:afterAutospacing="0" w:line="360" w:lineRule="auto"/>
        <w:contextualSpacing/>
        <w:mirrorIndents/>
        <w:jc w:val="both"/>
        <w:rPr>
          <w:rFonts w:asciiTheme="minorHAnsi" w:hAnsiTheme="minorHAnsi" w:cstheme="minorHAnsi"/>
          <w:color w:val="FF0000"/>
          <w:sz w:val="24"/>
          <w:szCs w:val="24"/>
        </w:rPr>
      </w:pPr>
    </w:p>
    <w:p w14:paraId="51DF6C05" w14:textId="03BE2C00" w:rsidR="00F64BAE" w:rsidRPr="008B42A1" w:rsidRDefault="005222D6" w:rsidP="00A42A35">
      <w:pPr>
        <w:pStyle w:val="NormalWeb"/>
        <w:spacing w:before="0" w:beforeAutospacing="0" w:after="0" w:afterAutospacing="0" w:line="360" w:lineRule="auto"/>
        <w:contextualSpacing/>
        <w:mirrorIndents/>
        <w:jc w:val="both"/>
        <w:rPr>
          <w:rFonts w:asciiTheme="minorHAnsi" w:hAnsiTheme="minorHAnsi" w:cstheme="minorHAnsi"/>
          <w:sz w:val="24"/>
          <w:szCs w:val="24"/>
        </w:rPr>
      </w:pPr>
      <w:r w:rsidRPr="00C67856">
        <w:rPr>
          <w:rFonts w:asciiTheme="minorHAnsi" w:hAnsiTheme="minorHAnsi" w:cstheme="minorHAnsi"/>
          <w:sz w:val="24"/>
          <w:szCs w:val="24"/>
        </w:rPr>
        <w:t>The concept of participation is now widely accepted in</w:t>
      </w:r>
      <w:r w:rsidR="006076B9" w:rsidRPr="00C67856">
        <w:rPr>
          <w:rFonts w:asciiTheme="minorHAnsi" w:hAnsiTheme="minorHAnsi" w:cstheme="minorHAnsi"/>
          <w:sz w:val="24"/>
          <w:szCs w:val="24"/>
        </w:rPr>
        <w:t xml:space="preserve"> healthcare </w:t>
      </w:r>
      <w:r w:rsidR="00FE1F9A" w:rsidRPr="00C67856">
        <w:rPr>
          <w:rFonts w:asciiTheme="minorHAnsi" w:hAnsiTheme="minorHAnsi" w:cstheme="minorHAnsi"/>
          <w:sz w:val="24"/>
          <w:szCs w:val="24"/>
        </w:rPr>
        <w:t>and social services</w:t>
      </w:r>
      <w:r w:rsidR="002F0DF2" w:rsidRPr="00C67856">
        <w:rPr>
          <w:rFonts w:asciiTheme="minorHAnsi" w:hAnsiTheme="minorHAnsi" w:cstheme="minorHAnsi"/>
          <w:sz w:val="24"/>
          <w:szCs w:val="24"/>
        </w:rPr>
        <w:t>,</w:t>
      </w:r>
      <w:r w:rsidR="00FE1F9A" w:rsidRPr="00C67856">
        <w:rPr>
          <w:rFonts w:asciiTheme="minorHAnsi" w:hAnsiTheme="minorHAnsi" w:cstheme="minorHAnsi"/>
          <w:sz w:val="24"/>
          <w:szCs w:val="24"/>
        </w:rPr>
        <w:t xml:space="preserve"> </w:t>
      </w:r>
      <w:r w:rsidR="00942C3C" w:rsidRPr="00C67856">
        <w:rPr>
          <w:rFonts w:asciiTheme="minorHAnsi" w:hAnsiTheme="minorHAnsi" w:cstheme="minorHAnsi"/>
          <w:sz w:val="24"/>
          <w:szCs w:val="24"/>
        </w:rPr>
        <w:t>but</w:t>
      </w:r>
      <w:r w:rsidRPr="00C67856">
        <w:rPr>
          <w:rFonts w:asciiTheme="minorHAnsi" w:hAnsiTheme="minorHAnsi" w:cstheme="minorHAnsi"/>
          <w:sz w:val="24"/>
          <w:szCs w:val="24"/>
        </w:rPr>
        <w:t xml:space="preserve"> is less apparent in the delivery of services for vulnerable people who encounter the Criminal Justice System and its associated agencies</w:t>
      </w:r>
      <w:r w:rsidR="007C5E0B" w:rsidRPr="00C67856">
        <w:rPr>
          <w:rFonts w:asciiTheme="minorHAnsi" w:hAnsiTheme="minorHAnsi" w:cstheme="minorHAnsi"/>
          <w:sz w:val="24"/>
          <w:szCs w:val="24"/>
        </w:rPr>
        <w:t xml:space="preserve"> (Buck </w:t>
      </w:r>
      <w:r w:rsidR="007C5E0B" w:rsidRPr="00C67856">
        <w:rPr>
          <w:rFonts w:asciiTheme="minorHAnsi" w:hAnsiTheme="minorHAnsi" w:cstheme="minorHAnsi"/>
          <w:i/>
          <w:iCs/>
          <w:sz w:val="24"/>
          <w:szCs w:val="24"/>
        </w:rPr>
        <w:t>et al</w:t>
      </w:r>
      <w:r w:rsidR="007C5E0B" w:rsidRPr="00C67856">
        <w:rPr>
          <w:rFonts w:asciiTheme="minorHAnsi" w:hAnsiTheme="minorHAnsi" w:cstheme="minorHAnsi"/>
          <w:sz w:val="24"/>
          <w:szCs w:val="24"/>
        </w:rPr>
        <w:t>, 2020)</w:t>
      </w:r>
      <w:r w:rsidRPr="00C67856">
        <w:rPr>
          <w:rFonts w:asciiTheme="minorHAnsi" w:hAnsiTheme="minorHAnsi" w:cstheme="minorHAnsi"/>
          <w:sz w:val="24"/>
          <w:szCs w:val="24"/>
        </w:rPr>
        <w:t xml:space="preserve">.  </w:t>
      </w:r>
      <w:r w:rsidR="0054159A" w:rsidRPr="00C67856">
        <w:rPr>
          <w:rFonts w:asciiTheme="minorHAnsi" w:hAnsiTheme="minorHAnsi" w:cstheme="minorHAnsi"/>
          <w:sz w:val="24"/>
          <w:szCs w:val="24"/>
        </w:rPr>
        <w:t>This article considers the extent</w:t>
      </w:r>
      <w:r w:rsidR="009750FE" w:rsidRPr="00C67856">
        <w:rPr>
          <w:rFonts w:asciiTheme="minorHAnsi" w:hAnsiTheme="minorHAnsi" w:cstheme="minorHAnsi"/>
          <w:sz w:val="24"/>
          <w:szCs w:val="24"/>
        </w:rPr>
        <w:t xml:space="preserve"> to which </w:t>
      </w:r>
      <w:r w:rsidR="002F0DF2" w:rsidRPr="00C67856">
        <w:rPr>
          <w:rFonts w:asciiTheme="minorHAnsi" w:hAnsiTheme="minorHAnsi" w:cstheme="minorHAnsi"/>
          <w:sz w:val="24"/>
          <w:szCs w:val="24"/>
        </w:rPr>
        <w:t xml:space="preserve">children and </w:t>
      </w:r>
      <w:r w:rsidR="00E401AC" w:rsidRPr="00C67856">
        <w:rPr>
          <w:rFonts w:asciiTheme="minorHAnsi" w:hAnsiTheme="minorHAnsi" w:cstheme="minorHAnsi"/>
          <w:sz w:val="24"/>
          <w:szCs w:val="24"/>
        </w:rPr>
        <w:t>‘vulnerable’</w:t>
      </w:r>
      <w:r w:rsidR="00FE1F9A" w:rsidRPr="00C67856">
        <w:rPr>
          <w:rFonts w:asciiTheme="minorHAnsi" w:hAnsiTheme="minorHAnsi" w:cstheme="minorHAnsi"/>
          <w:sz w:val="24"/>
          <w:szCs w:val="24"/>
        </w:rPr>
        <w:t xml:space="preserve"> adults </w:t>
      </w:r>
      <w:r w:rsidR="00E401AC" w:rsidRPr="00C67856">
        <w:rPr>
          <w:rFonts w:asciiTheme="minorHAnsi" w:hAnsiTheme="minorHAnsi" w:cstheme="minorHAnsi"/>
          <w:sz w:val="24"/>
          <w:szCs w:val="24"/>
        </w:rPr>
        <w:t xml:space="preserve">who have been </w:t>
      </w:r>
      <w:r w:rsidR="009750FE" w:rsidRPr="00C67856">
        <w:rPr>
          <w:rFonts w:asciiTheme="minorHAnsi" w:hAnsiTheme="minorHAnsi" w:cstheme="minorHAnsi"/>
          <w:sz w:val="24"/>
          <w:szCs w:val="24"/>
        </w:rPr>
        <w:t>detained in police custody are curr</w:t>
      </w:r>
      <w:r w:rsidR="00F64BAE" w:rsidRPr="00C67856">
        <w:rPr>
          <w:rFonts w:asciiTheme="minorHAnsi" w:hAnsiTheme="minorHAnsi" w:cstheme="minorHAnsi"/>
          <w:sz w:val="24"/>
          <w:szCs w:val="24"/>
        </w:rPr>
        <w:t xml:space="preserve">ently able to </w:t>
      </w:r>
      <w:r w:rsidR="0054159A" w:rsidRPr="00C67856">
        <w:rPr>
          <w:rFonts w:asciiTheme="minorHAnsi" w:hAnsiTheme="minorHAnsi" w:cstheme="minorHAnsi"/>
          <w:sz w:val="24"/>
          <w:szCs w:val="24"/>
        </w:rPr>
        <w:t xml:space="preserve">actively </w:t>
      </w:r>
      <w:r w:rsidR="00F64BAE" w:rsidRPr="00C67856">
        <w:rPr>
          <w:rFonts w:asciiTheme="minorHAnsi" w:hAnsiTheme="minorHAnsi" w:cstheme="minorHAnsi"/>
          <w:sz w:val="24"/>
          <w:szCs w:val="24"/>
        </w:rPr>
        <w:t xml:space="preserve">participate in the design and delivery of </w:t>
      </w:r>
      <w:r w:rsidR="00FA390F" w:rsidRPr="00C67856">
        <w:rPr>
          <w:rFonts w:asciiTheme="minorHAnsi" w:hAnsiTheme="minorHAnsi" w:cstheme="minorHAnsi"/>
          <w:sz w:val="24"/>
          <w:szCs w:val="24"/>
        </w:rPr>
        <w:t>Appropriate Adult Schemes</w:t>
      </w:r>
      <w:r w:rsidR="00F64BAE" w:rsidRPr="00C67856">
        <w:rPr>
          <w:rFonts w:asciiTheme="minorHAnsi" w:hAnsiTheme="minorHAnsi" w:cstheme="minorHAnsi"/>
          <w:sz w:val="24"/>
          <w:szCs w:val="24"/>
        </w:rPr>
        <w:t xml:space="preserve">.  </w:t>
      </w:r>
      <w:r w:rsidR="00F64BAE" w:rsidRPr="00EA7814">
        <w:rPr>
          <w:rFonts w:asciiTheme="minorHAnsi" w:hAnsiTheme="minorHAnsi" w:cstheme="minorHAnsi"/>
          <w:sz w:val="24"/>
          <w:szCs w:val="24"/>
        </w:rPr>
        <w:t xml:space="preserve">This paper draws together </w:t>
      </w:r>
      <w:r w:rsidR="0054159A" w:rsidRPr="00EA7814">
        <w:rPr>
          <w:rFonts w:asciiTheme="minorHAnsi" w:hAnsiTheme="minorHAnsi" w:cstheme="minorHAnsi"/>
          <w:sz w:val="24"/>
          <w:szCs w:val="24"/>
        </w:rPr>
        <w:t xml:space="preserve">responses </w:t>
      </w:r>
      <w:r w:rsidR="00F64BAE" w:rsidRPr="00EA7814">
        <w:rPr>
          <w:rFonts w:asciiTheme="minorHAnsi" w:hAnsiTheme="minorHAnsi" w:cstheme="minorHAnsi"/>
          <w:sz w:val="24"/>
          <w:szCs w:val="24"/>
        </w:rPr>
        <w:t xml:space="preserve">from 43 services in England and Wales </w:t>
      </w:r>
      <w:r w:rsidR="008667DB" w:rsidRPr="00EA7814">
        <w:rPr>
          <w:rFonts w:asciiTheme="minorHAnsi" w:hAnsiTheme="minorHAnsi" w:cstheme="minorHAnsi"/>
          <w:sz w:val="24"/>
          <w:szCs w:val="24"/>
        </w:rPr>
        <w:t>concerning</w:t>
      </w:r>
      <w:r w:rsidR="00F64BAE" w:rsidRPr="00EA7814">
        <w:rPr>
          <w:rFonts w:asciiTheme="minorHAnsi" w:hAnsiTheme="minorHAnsi" w:cstheme="minorHAnsi"/>
          <w:sz w:val="24"/>
          <w:szCs w:val="24"/>
        </w:rPr>
        <w:t xml:space="preserve"> levels of service user engagement to ascertain the current level of participation</w:t>
      </w:r>
      <w:r w:rsidR="00AF3934" w:rsidRPr="00EA7814">
        <w:rPr>
          <w:rFonts w:asciiTheme="minorHAnsi" w:hAnsiTheme="minorHAnsi" w:cstheme="minorHAnsi"/>
          <w:sz w:val="24"/>
          <w:szCs w:val="24"/>
        </w:rPr>
        <w:t>,</w:t>
      </w:r>
      <w:r w:rsidR="00F64BAE" w:rsidRPr="00EA7814">
        <w:rPr>
          <w:rFonts w:asciiTheme="minorHAnsi" w:hAnsiTheme="minorHAnsi" w:cstheme="minorHAnsi"/>
          <w:sz w:val="24"/>
          <w:szCs w:val="24"/>
        </w:rPr>
        <w:t xml:space="preserve"> and to make recommendations for the future.</w:t>
      </w:r>
      <w:r w:rsidR="000025EE" w:rsidRPr="00EA7814">
        <w:rPr>
          <w:rFonts w:asciiTheme="minorHAnsi" w:hAnsiTheme="minorHAnsi" w:cstheme="minorHAnsi"/>
          <w:sz w:val="24"/>
          <w:szCs w:val="24"/>
        </w:rPr>
        <w:t xml:space="preserve">  </w:t>
      </w:r>
      <w:r w:rsidR="0099532B" w:rsidRPr="00EA7814">
        <w:rPr>
          <w:rFonts w:asciiTheme="minorHAnsi" w:hAnsiTheme="minorHAnsi" w:cstheme="minorHAnsi"/>
          <w:sz w:val="24"/>
          <w:szCs w:val="24"/>
        </w:rPr>
        <w:t xml:space="preserve">The paper </w:t>
      </w:r>
      <w:r w:rsidR="00143192" w:rsidRPr="00EA7814">
        <w:rPr>
          <w:rFonts w:asciiTheme="minorHAnsi" w:hAnsiTheme="minorHAnsi" w:cstheme="minorHAnsi"/>
          <w:sz w:val="24"/>
          <w:szCs w:val="24"/>
        </w:rPr>
        <w:t xml:space="preserve">applies </w:t>
      </w:r>
      <w:proofErr w:type="spellStart"/>
      <w:r w:rsidR="00143192" w:rsidRPr="00EA7814">
        <w:rPr>
          <w:rFonts w:asciiTheme="minorHAnsi" w:hAnsiTheme="minorHAnsi" w:cstheme="minorHAnsi"/>
          <w:sz w:val="24"/>
          <w:szCs w:val="24"/>
        </w:rPr>
        <w:t>Forbat</w:t>
      </w:r>
      <w:proofErr w:type="spellEnd"/>
      <w:r w:rsidR="00143192" w:rsidRPr="00EA7814">
        <w:rPr>
          <w:rFonts w:asciiTheme="minorHAnsi" w:hAnsiTheme="minorHAnsi" w:cstheme="minorHAnsi"/>
          <w:sz w:val="24"/>
          <w:szCs w:val="24"/>
        </w:rPr>
        <w:t xml:space="preserve">, </w:t>
      </w:r>
      <w:r w:rsidR="00143192" w:rsidRPr="00EA7814">
        <w:rPr>
          <w:rFonts w:asciiTheme="minorHAnsi" w:hAnsiTheme="minorHAnsi" w:cstheme="minorHAnsi"/>
          <w:i/>
          <w:iCs/>
          <w:sz w:val="24"/>
          <w:szCs w:val="24"/>
        </w:rPr>
        <w:t>et al.</w:t>
      </w:r>
      <w:r w:rsidR="008667DB" w:rsidRPr="00EA7814">
        <w:rPr>
          <w:rFonts w:asciiTheme="minorHAnsi" w:hAnsiTheme="minorHAnsi" w:cstheme="minorHAnsi"/>
          <w:sz w:val="24"/>
          <w:szCs w:val="24"/>
        </w:rPr>
        <w:t>'s</w:t>
      </w:r>
      <w:r w:rsidR="00143192" w:rsidRPr="00EA7814">
        <w:rPr>
          <w:rFonts w:asciiTheme="minorHAnsi" w:hAnsiTheme="minorHAnsi" w:cstheme="minorHAnsi"/>
          <w:sz w:val="24"/>
          <w:szCs w:val="24"/>
        </w:rPr>
        <w:t xml:space="preserve"> (2009) </w:t>
      </w:r>
      <w:r w:rsidR="00260033" w:rsidRPr="00EA7814">
        <w:rPr>
          <w:rFonts w:asciiTheme="minorHAnsi" w:hAnsiTheme="minorHAnsi" w:cstheme="minorHAnsi"/>
          <w:sz w:val="24"/>
          <w:szCs w:val="24"/>
        </w:rPr>
        <w:t xml:space="preserve">models of service user involvement </w:t>
      </w:r>
      <w:r w:rsidR="00F5581F" w:rsidRPr="00EA7814">
        <w:rPr>
          <w:rFonts w:asciiTheme="minorHAnsi" w:hAnsiTheme="minorHAnsi" w:cstheme="minorHAnsi"/>
          <w:sz w:val="24"/>
          <w:szCs w:val="24"/>
        </w:rPr>
        <w:t xml:space="preserve">to conceptualise ideological </w:t>
      </w:r>
      <w:r w:rsidR="00786071" w:rsidRPr="00EA7814">
        <w:rPr>
          <w:rFonts w:asciiTheme="minorHAnsi" w:hAnsiTheme="minorHAnsi" w:cstheme="minorHAnsi"/>
          <w:sz w:val="24"/>
          <w:szCs w:val="24"/>
        </w:rPr>
        <w:t xml:space="preserve">drivers </w:t>
      </w:r>
      <w:r w:rsidR="00F5581F" w:rsidRPr="00EA7814">
        <w:rPr>
          <w:rFonts w:asciiTheme="minorHAnsi" w:hAnsiTheme="minorHAnsi" w:cstheme="minorHAnsi"/>
          <w:sz w:val="24"/>
          <w:szCs w:val="24"/>
        </w:rPr>
        <w:t>which underpin</w:t>
      </w:r>
      <w:r w:rsidR="00C426C0" w:rsidRPr="00EA7814">
        <w:rPr>
          <w:rFonts w:asciiTheme="minorHAnsi" w:hAnsiTheme="minorHAnsi" w:cstheme="minorHAnsi"/>
          <w:sz w:val="24"/>
          <w:szCs w:val="24"/>
        </w:rPr>
        <w:t xml:space="preserve"> </w:t>
      </w:r>
      <w:r w:rsidR="00644D5E" w:rsidRPr="00EA7814">
        <w:rPr>
          <w:rFonts w:asciiTheme="minorHAnsi" w:hAnsiTheme="minorHAnsi" w:cstheme="minorHAnsi"/>
          <w:sz w:val="24"/>
          <w:szCs w:val="24"/>
        </w:rPr>
        <w:t xml:space="preserve">the </w:t>
      </w:r>
      <w:r w:rsidR="00FA390F" w:rsidRPr="00EA7814">
        <w:rPr>
          <w:rFonts w:asciiTheme="minorHAnsi" w:hAnsiTheme="minorHAnsi" w:cstheme="minorHAnsi"/>
          <w:sz w:val="24"/>
          <w:szCs w:val="24"/>
        </w:rPr>
        <w:t>Appropriate Adult Scheme</w:t>
      </w:r>
      <w:r w:rsidR="00644D5E" w:rsidRPr="00EA7814">
        <w:rPr>
          <w:rFonts w:asciiTheme="minorHAnsi" w:hAnsiTheme="minorHAnsi" w:cstheme="minorHAnsi"/>
          <w:sz w:val="24"/>
          <w:szCs w:val="24"/>
        </w:rPr>
        <w:t>'</w:t>
      </w:r>
      <w:r w:rsidR="00FA390F" w:rsidRPr="00EA7814">
        <w:rPr>
          <w:rFonts w:asciiTheme="minorHAnsi" w:hAnsiTheme="minorHAnsi" w:cstheme="minorHAnsi"/>
          <w:sz w:val="24"/>
          <w:szCs w:val="24"/>
        </w:rPr>
        <w:t>s</w:t>
      </w:r>
      <w:r w:rsidR="00C426C0" w:rsidRPr="00EA7814">
        <w:rPr>
          <w:rFonts w:asciiTheme="minorHAnsi" w:hAnsiTheme="minorHAnsi" w:cstheme="minorHAnsi"/>
          <w:sz w:val="24"/>
          <w:szCs w:val="24"/>
        </w:rPr>
        <w:t xml:space="preserve"> commitment to involvement</w:t>
      </w:r>
      <w:r w:rsidR="00786071" w:rsidRPr="00EA7814">
        <w:rPr>
          <w:rFonts w:asciiTheme="minorHAnsi" w:hAnsiTheme="minorHAnsi" w:cstheme="minorHAnsi"/>
          <w:sz w:val="24"/>
          <w:szCs w:val="24"/>
        </w:rPr>
        <w:t xml:space="preserve">. </w:t>
      </w:r>
      <w:r w:rsidR="0088474B" w:rsidRPr="00EA7814">
        <w:rPr>
          <w:rFonts w:asciiTheme="minorHAnsi" w:hAnsiTheme="minorHAnsi" w:cstheme="minorHAnsi"/>
          <w:sz w:val="24"/>
          <w:szCs w:val="24"/>
        </w:rPr>
        <w:t xml:space="preserve"> </w:t>
      </w:r>
      <w:r w:rsidR="0088474B" w:rsidRPr="008B42A1">
        <w:rPr>
          <w:rFonts w:asciiTheme="minorHAnsi" w:hAnsiTheme="minorHAnsi" w:cstheme="minorHAnsi"/>
          <w:sz w:val="24"/>
          <w:szCs w:val="24"/>
        </w:rPr>
        <w:t>T</w:t>
      </w:r>
      <w:r w:rsidR="00C426C0" w:rsidRPr="008B42A1">
        <w:rPr>
          <w:rFonts w:asciiTheme="minorHAnsi" w:hAnsiTheme="minorHAnsi" w:cstheme="minorHAnsi"/>
          <w:sz w:val="24"/>
          <w:szCs w:val="24"/>
        </w:rPr>
        <w:t>he data reveal</w:t>
      </w:r>
      <w:r w:rsidR="000025EE" w:rsidRPr="008B42A1">
        <w:rPr>
          <w:rFonts w:asciiTheme="minorHAnsi" w:hAnsiTheme="minorHAnsi" w:cstheme="minorHAnsi"/>
          <w:sz w:val="24"/>
          <w:szCs w:val="24"/>
        </w:rPr>
        <w:t xml:space="preserve"> that while there is a genuine desire to improve service user participation</w:t>
      </w:r>
      <w:r w:rsidR="00786071" w:rsidRPr="008B42A1">
        <w:rPr>
          <w:rFonts w:asciiTheme="minorHAnsi" w:hAnsiTheme="minorHAnsi" w:cstheme="minorHAnsi"/>
          <w:sz w:val="24"/>
          <w:szCs w:val="24"/>
        </w:rPr>
        <w:t>,</w:t>
      </w:r>
      <w:r w:rsidR="000025EE" w:rsidRPr="008B42A1">
        <w:rPr>
          <w:rFonts w:asciiTheme="minorHAnsi" w:hAnsiTheme="minorHAnsi" w:cstheme="minorHAnsi"/>
          <w:sz w:val="24"/>
          <w:szCs w:val="24"/>
        </w:rPr>
        <w:t xml:space="preserve"> that institutional, financial</w:t>
      </w:r>
      <w:r w:rsidR="00644D5E" w:rsidRPr="008B42A1">
        <w:rPr>
          <w:rFonts w:asciiTheme="minorHAnsi" w:hAnsiTheme="minorHAnsi" w:cstheme="minorHAnsi"/>
          <w:sz w:val="24"/>
          <w:szCs w:val="24"/>
        </w:rPr>
        <w:t>,</w:t>
      </w:r>
      <w:r w:rsidR="000025EE" w:rsidRPr="008B42A1">
        <w:rPr>
          <w:rFonts w:asciiTheme="minorHAnsi" w:hAnsiTheme="minorHAnsi" w:cstheme="minorHAnsi"/>
          <w:sz w:val="24"/>
          <w:szCs w:val="24"/>
        </w:rPr>
        <w:t xml:space="preserve"> and attitudinal barriers mean that participation either does not </w:t>
      </w:r>
      <w:r w:rsidR="00306FC7" w:rsidRPr="008B42A1">
        <w:rPr>
          <w:rFonts w:asciiTheme="minorHAnsi" w:hAnsiTheme="minorHAnsi" w:cstheme="minorHAnsi"/>
          <w:sz w:val="24"/>
          <w:szCs w:val="24"/>
        </w:rPr>
        <w:t>occur or</w:t>
      </w:r>
      <w:r w:rsidR="000025EE" w:rsidRPr="008B42A1">
        <w:rPr>
          <w:rFonts w:asciiTheme="minorHAnsi" w:hAnsiTheme="minorHAnsi" w:cstheme="minorHAnsi"/>
          <w:sz w:val="24"/>
          <w:szCs w:val="24"/>
        </w:rPr>
        <w:t xml:space="preserve"> is at a very cursory level.</w:t>
      </w:r>
      <w:r w:rsidR="00306FC7" w:rsidRPr="008B42A1">
        <w:rPr>
          <w:rFonts w:asciiTheme="minorHAnsi" w:hAnsiTheme="minorHAnsi" w:cstheme="minorHAnsi"/>
          <w:sz w:val="24"/>
          <w:szCs w:val="24"/>
        </w:rPr>
        <w:t xml:space="preserve"> </w:t>
      </w:r>
    </w:p>
    <w:p w14:paraId="033FCB18" w14:textId="77777777" w:rsidR="002A11CF" w:rsidRPr="008B42A1" w:rsidRDefault="009750FE" w:rsidP="00A42A35">
      <w:pPr>
        <w:pStyle w:val="NormalWeb"/>
        <w:spacing w:before="0" w:beforeAutospacing="0" w:after="0" w:afterAutospacing="0" w:line="360" w:lineRule="auto"/>
        <w:contextualSpacing/>
        <w:mirrorIndents/>
        <w:jc w:val="both"/>
        <w:rPr>
          <w:rFonts w:asciiTheme="minorHAnsi" w:hAnsiTheme="minorHAnsi" w:cstheme="minorHAnsi"/>
          <w:sz w:val="24"/>
          <w:szCs w:val="24"/>
        </w:rPr>
      </w:pPr>
      <w:r w:rsidRPr="008B42A1">
        <w:rPr>
          <w:rFonts w:asciiTheme="minorHAnsi" w:hAnsiTheme="minorHAnsi" w:cstheme="minorHAnsi"/>
          <w:color w:val="FF0000"/>
          <w:sz w:val="24"/>
          <w:szCs w:val="24"/>
        </w:rPr>
        <w:t xml:space="preserve"> </w:t>
      </w:r>
      <w:r w:rsidR="002A11CF" w:rsidRPr="008B42A1">
        <w:rPr>
          <w:rFonts w:asciiTheme="minorHAnsi" w:hAnsiTheme="minorHAnsi" w:cstheme="minorHAnsi"/>
          <w:sz w:val="24"/>
          <w:szCs w:val="24"/>
        </w:rPr>
        <w:br/>
      </w:r>
    </w:p>
    <w:p w14:paraId="415F11F0" w14:textId="77777777" w:rsidR="002A11CF" w:rsidRPr="008B42A1" w:rsidRDefault="002A11CF" w:rsidP="00A42A35">
      <w:pPr>
        <w:pStyle w:val="NormalWeb"/>
        <w:spacing w:before="0" w:beforeAutospacing="0" w:after="0" w:afterAutospacing="0" w:line="360" w:lineRule="auto"/>
        <w:contextualSpacing/>
        <w:mirrorIndents/>
        <w:jc w:val="both"/>
        <w:rPr>
          <w:rFonts w:asciiTheme="minorHAnsi" w:hAnsiTheme="minorHAnsi" w:cstheme="minorHAnsi"/>
          <w:sz w:val="24"/>
          <w:szCs w:val="24"/>
        </w:rPr>
      </w:pPr>
      <w:r w:rsidRPr="008B42A1">
        <w:rPr>
          <w:rFonts w:asciiTheme="minorHAnsi" w:hAnsiTheme="minorHAnsi" w:cstheme="minorHAnsi"/>
          <w:sz w:val="24"/>
          <w:szCs w:val="24"/>
        </w:rPr>
        <w:t>Keywords</w:t>
      </w:r>
      <w:r w:rsidR="0054159A" w:rsidRPr="008B42A1">
        <w:rPr>
          <w:rFonts w:asciiTheme="minorHAnsi" w:hAnsiTheme="minorHAnsi" w:cstheme="minorHAnsi"/>
          <w:sz w:val="24"/>
          <w:szCs w:val="24"/>
        </w:rPr>
        <w:t>:</w:t>
      </w:r>
      <w:r w:rsidRPr="008B42A1">
        <w:rPr>
          <w:rFonts w:asciiTheme="minorHAnsi" w:hAnsiTheme="minorHAnsi" w:cstheme="minorHAnsi"/>
          <w:sz w:val="24"/>
          <w:szCs w:val="24"/>
        </w:rPr>
        <w:t xml:space="preserve"> </w:t>
      </w:r>
      <w:r w:rsidR="00597796" w:rsidRPr="008B42A1">
        <w:rPr>
          <w:rFonts w:asciiTheme="minorHAnsi" w:hAnsiTheme="minorHAnsi" w:cstheme="minorHAnsi"/>
          <w:sz w:val="24"/>
          <w:szCs w:val="24"/>
        </w:rPr>
        <w:t>Service user participation, Appropriate Adult, Vulnerability</w:t>
      </w:r>
    </w:p>
    <w:p w14:paraId="77400332" w14:textId="77777777" w:rsidR="002A11CF" w:rsidRPr="008B42A1" w:rsidRDefault="002A11CF" w:rsidP="00A42A35">
      <w:pPr>
        <w:spacing w:line="360" w:lineRule="auto"/>
        <w:contextualSpacing/>
        <w:mirrorIndents/>
        <w:jc w:val="both"/>
        <w:rPr>
          <w:rFonts w:asciiTheme="minorHAnsi" w:hAnsiTheme="minorHAnsi" w:cstheme="minorHAnsi"/>
        </w:rPr>
      </w:pPr>
    </w:p>
    <w:p w14:paraId="6DC7924B" w14:textId="77777777" w:rsidR="002A11CF" w:rsidRPr="008B42A1" w:rsidRDefault="00597796" w:rsidP="00A42A35">
      <w:pPr>
        <w:spacing w:line="360" w:lineRule="auto"/>
        <w:contextualSpacing/>
        <w:mirrorIndents/>
        <w:jc w:val="both"/>
        <w:rPr>
          <w:rFonts w:asciiTheme="minorHAnsi" w:hAnsiTheme="minorHAnsi" w:cstheme="minorHAnsi"/>
          <w:b/>
        </w:rPr>
      </w:pPr>
      <w:r w:rsidRPr="008B42A1">
        <w:rPr>
          <w:rFonts w:asciiTheme="minorHAnsi" w:hAnsiTheme="minorHAnsi" w:cstheme="minorHAnsi"/>
          <w:b/>
        </w:rPr>
        <w:t>Introduction</w:t>
      </w:r>
    </w:p>
    <w:p w14:paraId="1C442E46" w14:textId="77777777" w:rsidR="0045511E" w:rsidRPr="008B42A1" w:rsidRDefault="0045511E" w:rsidP="00A42A35">
      <w:pPr>
        <w:spacing w:line="360" w:lineRule="auto"/>
        <w:contextualSpacing/>
        <w:mirrorIndents/>
        <w:jc w:val="both"/>
        <w:rPr>
          <w:rFonts w:asciiTheme="minorHAnsi" w:hAnsiTheme="minorHAnsi" w:cstheme="minorHAnsi"/>
          <w:b/>
        </w:rPr>
      </w:pPr>
    </w:p>
    <w:p w14:paraId="66BC169C" w14:textId="534F6CFC" w:rsidR="00786071" w:rsidRPr="002405E2" w:rsidRDefault="0054159A" w:rsidP="00A42A35">
      <w:pPr>
        <w:spacing w:line="360" w:lineRule="auto"/>
        <w:contextualSpacing/>
        <w:mirrorIndents/>
        <w:jc w:val="both"/>
        <w:rPr>
          <w:rFonts w:asciiTheme="minorHAnsi" w:hAnsiTheme="minorHAnsi" w:cstheme="minorHAnsi"/>
          <w:iCs/>
        </w:rPr>
      </w:pPr>
      <w:r w:rsidRPr="008B42A1">
        <w:rPr>
          <w:rFonts w:asciiTheme="minorHAnsi" w:hAnsiTheme="minorHAnsi" w:cstheme="minorHAnsi"/>
          <w:lang w:bidi="en-US"/>
        </w:rPr>
        <w:t xml:space="preserve">The National Appropriate Adult Network (NAAN) is a network of organisations </w:t>
      </w:r>
      <w:r w:rsidR="00644D5E" w:rsidRPr="008B42A1">
        <w:rPr>
          <w:rFonts w:asciiTheme="minorHAnsi" w:hAnsiTheme="minorHAnsi" w:cstheme="minorHAnsi"/>
          <w:lang w:bidi="en-US"/>
        </w:rPr>
        <w:t>that</w:t>
      </w:r>
      <w:r w:rsidRPr="008B42A1">
        <w:rPr>
          <w:rFonts w:asciiTheme="minorHAnsi" w:hAnsiTheme="minorHAnsi" w:cstheme="minorHAnsi"/>
          <w:lang w:bidi="en-US"/>
        </w:rPr>
        <w:t xml:space="preserve"> provide</w:t>
      </w:r>
      <w:r w:rsidR="00835FD0" w:rsidRPr="008B42A1">
        <w:rPr>
          <w:rFonts w:asciiTheme="minorHAnsi" w:hAnsiTheme="minorHAnsi" w:cstheme="minorHAnsi"/>
          <w:lang w:bidi="en-US"/>
        </w:rPr>
        <w:t>s</w:t>
      </w:r>
      <w:r w:rsidRPr="008B42A1">
        <w:rPr>
          <w:rFonts w:asciiTheme="minorHAnsi" w:hAnsiTheme="minorHAnsi" w:cstheme="minorHAnsi"/>
          <w:lang w:bidi="en-US"/>
        </w:rPr>
        <w:t xml:space="preserve"> support for people who have been ident</w:t>
      </w:r>
      <w:r w:rsidR="005222D6" w:rsidRPr="008B42A1">
        <w:rPr>
          <w:rFonts w:asciiTheme="minorHAnsi" w:hAnsiTheme="minorHAnsi" w:cstheme="minorHAnsi"/>
          <w:lang w:bidi="en-US"/>
        </w:rPr>
        <w:t>i</w:t>
      </w:r>
      <w:r w:rsidRPr="008B42A1">
        <w:rPr>
          <w:rFonts w:asciiTheme="minorHAnsi" w:hAnsiTheme="minorHAnsi" w:cstheme="minorHAnsi"/>
          <w:lang w:bidi="en-US"/>
        </w:rPr>
        <w:t xml:space="preserve">fied as being ‘vulnerable’ and are detained in police custody. </w:t>
      </w:r>
      <w:r w:rsidRPr="00BF7F17">
        <w:rPr>
          <w:rFonts w:asciiTheme="minorHAnsi" w:hAnsiTheme="minorHAnsi" w:cstheme="minorHAnsi"/>
          <w:lang w:bidi="en-US"/>
        </w:rPr>
        <w:t>The identification as ‘vulnerable’ can be due to being a young person under the age of 18, or where an adult has been identified to have a mental disorder as outlined by the Mental Health Act (1983)</w:t>
      </w:r>
      <w:r w:rsidR="00263E4F" w:rsidRPr="00BF7F17">
        <w:rPr>
          <w:rFonts w:asciiTheme="minorHAnsi" w:hAnsiTheme="minorHAnsi" w:cstheme="minorHAnsi"/>
          <w:lang w:bidi="en-US"/>
        </w:rPr>
        <w:t>,</w:t>
      </w:r>
      <w:r w:rsidRPr="00BF7F17">
        <w:rPr>
          <w:rFonts w:asciiTheme="minorHAnsi" w:hAnsiTheme="minorHAnsi" w:cstheme="minorHAnsi"/>
          <w:lang w:bidi="en-US"/>
        </w:rPr>
        <w:t xml:space="preserve"> or is otherwise deemed incapable to fully understand or partake in the procedures in the police station. NAAN </w:t>
      </w:r>
      <w:r w:rsidRPr="00BF7F17">
        <w:rPr>
          <w:rFonts w:asciiTheme="minorHAnsi" w:hAnsiTheme="minorHAnsi" w:cstheme="minorHAnsi"/>
          <w:lang w:bidi="en-US"/>
        </w:rPr>
        <w:lastRenderedPageBreak/>
        <w:t xml:space="preserve">standards (2018) state that it is desirable that </w:t>
      </w:r>
      <w:r w:rsidRPr="00BF7F17">
        <w:rPr>
          <w:rFonts w:asciiTheme="minorHAnsi" w:hAnsiTheme="minorHAnsi" w:cstheme="minorHAnsi"/>
          <w:b/>
          <w:bCs/>
          <w:i/>
          <w:iCs/>
        </w:rPr>
        <w:t>“</w:t>
      </w:r>
      <w:r w:rsidR="001458DE" w:rsidRPr="00BF7F17">
        <w:rPr>
          <w:rFonts w:asciiTheme="minorHAnsi" w:hAnsiTheme="minorHAnsi" w:cstheme="minorHAnsi"/>
          <w:i/>
          <w:iCs/>
        </w:rPr>
        <w:t>s</w:t>
      </w:r>
      <w:r w:rsidRPr="00BF7F17">
        <w:rPr>
          <w:rFonts w:asciiTheme="minorHAnsi" w:hAnsiTheme="minorHAnsi" w:cstheme="minorHAnsi"/>
          <w:i/>
          <w:iCs/>
        </w:rPr>
        <w:t xml:space="preserve">ervice users and other people with relevant lived experience are actively and genuinely working in partnership with the scheme to define, develop, deliver and evaluate </w:t>
      </w:r>
      <w:r w:rsidR="005222D6" w:rsidRPr="00BF7F17">
        <w:rPr>
          <w:rFonts w:asciiTheme="minorHAnsi" w:hAnsiTheme="minorHAnsi" w:cstheme="minorHAnsi"/>
          <w:i/>
          <w:iCs/>
        </w:rPr>
        <w:t>AA</w:t>
      </w:r>
      <w:r w:rsidRPr="00BF7F17">
        <w:rPr>
          <w:rFonts w:asciiTheme="minorHAnsi" w:hAnsiTheme="minorHAnsi" w:cstheme="minorHAnsi"/>
          <w:i/>
          <w:iCs/>
        </w:rPr>
        <w:t xml:space="preserve"> provision” </w:t>
      </w:r>
      <w:r w:rsidRPr="00BF7F17">
        <w:rPr>
          <w:rFonts w:asciiTheme="minorHAnsi" w:hAnsiTheme="minorHAnsi" w:cstheme="minorHAnsi"/>
        </w:rPr>
        <w:t>(Standard 1.9. p24)</w:t>
      </w:r>
      <w:r w:rsidRPr="00BF7F17">
        <w:rPr>
          <w:rFonts w:asciiTheme="minorHAnsi" w:hAnsiTheme="minorHAnsi" w:cstheme="minorHAnsi"/>
          <w:i/>
          <w:iCs/>
        </w:rPr>
        <w:t xml:space="preserve">.  </w:t>
      </w:r>
      <w:r w:rsidRPr="002405E2">
        <w:rPr>
          <w:rFonts w:asciiTheme="minorHAnsi" w:hAnsiTheme="minorHAnsi" w:cstheme="minorHAnsi"/>
          <w:iCs/>
        </w:rPr>
        <w:t xml:space="preserve">In practice, the needs and expectations of service users are different </w:t>
      </w:r>
      <w:r w:rsidR="00B3553B" w:rsidRPr="002405E2">
        <w:rPr>
          <w:rFonts w:asciiTheme="minorHAnsi" w:hAnsiTheme="minorHAnsi" w:cstheme="minorHAnsi"/>
          <w:iCs/>
        </w:rPr>
        <w:t>from</w:t>
      </w:r>
      <w:r w:rsidRPr="002405E2">
        <w:rPr>
          <w:rFonts w:asciiTheme="minorHAnsi" w:hAnsiTheme="minorHAnsi" w:cstheme="minorHAnsi"/>
          <w:iCs/>
        </w:rPr>
        <w:t xml:space="preserve"> those of service providers and the police. For example, service users prioritise emotional support, whereas service managers and police officers prioritise cost and time efficiency (</w:t>
      </w:r>
      <w:proofErr w:type="spellStart"/>
      <w:r w:rsidRPr="002405E2">
        <w:rPr>
          <w:rFonts w:asciiTheme="minorHAnsi" w:hAnsiTheme="minorHAnsi" w:cstheme="minorHAnsi"/>
          <w:iCs/>
        </w:rPr>
        <w:t>Jessiman</w:t>
      </w:r>
      <w:proofErr w:type="spellEnd"/>
      <w:r w:rsidRPr="002405E2">
        <w:rPr>
          <w:rFonts w:asciiTheme="minorHAnsi" w:hAnsiTheme="minorHAnsi" w:cstheme="minorHAnsi"/>
          <w:iCs/>
        </w:rPr>
        <w:t xml:space="preserve"> and Cameron, 2017).  </w:t>
      </w:r>
    </w:p>
    <w:p w14:paraId="4BECDBEE" w14:textId="77777777" w:rsidR="00786071" w:rsidRPr="002405E2" w:rsidRDefault="00786071" w:rsidP="00A42A35">
      <w:pPr>
        <w:spacing w:line="360" w:lineRule="auto"/>
        <w:contextualSpacing/>
        <w:mirrorIndents/>
        <w:jc w:val="both"/>
        <w:rPr>
          <w:rFonts w:asciiTheme="minorHAnsi" w:hAnsiTheme="minorHAnsi" w:cstheme="minorHAnsi"/>
          <w:iCs/>
        </w:rPr>
      </w:pPr>
    </w:p>
    <w:p w14:paraId="65FFB954" w14:textId="2914E2D4" w:rsidR="00263E4F" w:rsidRPr="00FE4D1C" w:rsidRDefault="0054159A" w:rsidP="00A42A35">
      <w:pPr>
        <w:spacing w:line="360" w:lineRule="auto"/>
        <w:contextualSpacing/>
        <w:mirrorIndents/>
        <w:jc w:val="both"/>
        <w:rPr>
          <w:rFonts w:asciiTheme="minorHAnsi" w:hAnsiTheme="minorHAnsi" w:cstheme="minorHAnsi"/>
          <w:color w:val="000000" w:themeColor="text1"/>
          <w:lang w:bidi="en-US"/>
        </w:rPr>
      </w:pPr>
      <w:r w:rsidRPr="00E22195">
        <w:rPr>
          <w:rFonts w:asciiTheme="minorHAnsi" w:hAnsiTheme="minorHAnsi" w:cstheme="minorHAnsi"/>
          <w:iCs/>
        </w:rPr>
        <w:t>While service user participation is firmly established within disability rights</w:t>
      </w:r>
      <w:r w:rsidR="00CB4122" w:rsidRPr="00E22195">
        <w:rPr>
          <w:rFonts w:asciiTheme="minorHAnsi" w:hAnsiTheme="minorHAnsi" w:cstheme="minorHAnsi"/>
          <w:iCs/>
        </w:rPr>
        <w:t xml:space="preserve"> (Oliver, 1996)</w:t>
      </w:r>
      <w:r w:rsidRPr="00E22195">
        <w:rPr>
          <w:rFonts w:asciiTheme="minorHAnsi" w:hAnsiTheme="minorHAnsi" w:cstheme="minorHAnsi"/>
          <w:iCs/>
        </w:rPr>
        <w:t xml:space="preserve">, this does not follow into practice within the </w:t>
      </w:r>
      <w:r w:rsidR="00786071" w:rsidRPr="00E22195">
        <w:rPr>
          <w:rFonts w:asciiTheme="minorHAnsi" w:hAnsiTheme="minorHAnsi" w:cstheme="minorHAnsi"/>
          <w:iCs/>
        </w:rPr>
        <w:t>Criminal Justice System</w:t>
      </w:r>
      <w:r w:rsidR="00CB4122" w:rsidRPr="00E22195">
        <w:rPr>
          <w:rFonts w:asciiTheme="minorHAnsi" w:hAnsiTheme="minorHAnsi" w:cstheme="minorHAnsi"/>
          <w:iCs/>
        </w:rPr>
        <w:t xml:space="preserve"> (Buck et al, 2020)</w:t>
      </w:r>
      <w:r w:rsidRPr="00E22195">
        <w:rPr>
          <w:rFonts w:asciiTheme="minorHAnsi" w:hAnsiTheme="minorHAnsi" w:cstheme="minorHAnsi"/>
          <w:iCs/>
        </w:rPr>
        <w:t xml:space="preserve"> and </w:t>
      </w:r>
      <w:r w:rsidR="001D1FFE" w:rsidRPr="00E22195">
        <w:rPr>
          <w:rFonts w:asciiTheme="minorHAnsi" w:hAnsiTheme="minorHAnsi" w:cstheme="minorHAnsi"/>
          <w:iCs/>
        </w:rPr>
        <w:t>with</w:t>
      </w:r>
      <w:r w:rsidRPr="00E22195">
        <w:rPr>
          <w:rFonts w:asciiTheme="minorHAnsi" w:hAnsiTheme="minorHAnsi" w:cstheme="minorHAnsi"/>
          <w:iCs/>
        </w:rPr>
        <w:t xml:space="preserve"> young people, or with adults with identified ‘</w:t>
      </w:r>
      <w:r w:rsidRPr="00E22195">
        <w:rPr>
          <w:rFonts w:asciiTheme="minorHAnsi" w:hAnsiTheme="minorHAnsi" w:cstheme="minorHAnsi"/>
          <w:iCs/>
          <w:color w:val="000000" w:themeColor="text1"/>
        </w:rPr>
        <w:t>vulnerability’.</w:t>
      </w:r>
      <w:r w:rsidR="00786071" w:rsidRPr="00E22195">
        <w:rPr>
          <w:rFonts w:asciiTheme="minorHAnsi" w:hAnsiTheme="minorHAnsi" w:cstheme="minorHAnsi"/>
          <w:color w:val="000000" w:themeColor="text1"/>
          <w:lang w:bidi="en-US"/>
        </w:rPr>
        <w:t xml:space="preserve">  </w:t>
      </w:r>
      <w:r w:rsidR="00262F5E" w:rsidRPr="00E22195">
        <w:rPr>
          <w:rFonts w:asciiTheme="minorHAnsi" w:hAnsiTheme="minorHAnsi" w:cstheme="minorHAnsi"/>
          <w:lang w:bidi="en-US"/>
        </w:rPr>
        <w:t xml:space="preserve">Over recent years the </w:t>
      </w:r>
      <w:r w:rsidR="003737B0" w:rsidRPr="00E22195">
        <w:rPr>
          <w:rFonts w:asciiTheme="minorHAnsi" w:hAnsiTheme="minorHAnsi" w:cstheme="minorHAnsi"/>
          <w:lang w:bidi="en-US"/>
        </w:rPr>
        <w:t xml:space="preserve">National Appropriate Adult Network </w:t>
      </w:r>
      <w:r w:rsidR="007D7A3D" w:rsidRPr="00E22195">
        <w:rPr>
          <w:rFonts w:asciiTheme="minorHAnsi" w:hAnsiTheme="minorHAnsi" w:cstheme="minorHAnsi"/>
          <w:color w:val="000000" w:themeColor="text1"/>
          <w:lang w:bidi="en-US"/>
        </w:rPr>
        <w:t>(2017; 2019)</w:t>
      </w:r>
      <w:r w:rsidR="003737B0" w:rsidRPr="00E22195">
        <w:rPr>
          <w:rFonts w:asciiTheme="minorHAnsi" w:hAnsiTheme="minorHAnsi" w:cstheme="minorHAnsi"/>
          <w:color w:val="000000" w:themeColor="text1"/>
          <w:lang w:bidi="en-US"/>
        </w:rPr>
        <w:t xml:space="preserve"> h</w:t>
      </w:r>
      <w:r w:rsidR="003737B0" w:rsidRPr="00E22195">
        <w:rPr>
          <w:rFonts w:asciiTheme="minorHAnsi" w:hAnsiTheme="minorHAnsi" w:cstheme="minorHAnsi"/>
          <w:lang w:bidi="en-US"/>
        </w:rPr>
        <w:t>a</w:t>
      </w:r>
      <w:r w:rsidR="00B3553B" w:rsidRPr="00E22195">
        <w:rPr>
          <w:rFonts w:asciiTheme="minorHAnsi" w:hAnsiTheme="minorHAnsi" w:cstheme="minorHAnsi"/>
          <w:lang w:bidi="en-US"/>
        </w:rPr>
        <w:t>s</w:t>
      </w:r>
      <w:r w:rsidR="003737B0" w:rsidRPr="00E22195">
        <w:rPr>
          <w:rFonts w:asciiTheme="minorHAnsi" w:hAnsiTheme="minorHAnsi" w:cstheme="minorHAnsi"/>
          <w:lang w:bidi="en-US"/>
        </w:rPr>
        <w:t xml:space="preserve"> advocated for </w:t>
      </w:r>
      <w:r w:rsidR="00FA390F" w:rsidRPr="00E22195">
        <w:rPr>
          <w:rFonts w:asciiTheme="minorHAnsi" w:hAnsiTheme="minorHAnsi" w:cstheme="minorHAnsi"/>
          <w:lang w:bidi="en-US"/>
        </w:rPr>
        <w:t>Appropriate Adult Schemes</w:t>
      </w:r>
      <w:r w:rsidR="003737B0" w:rsidRPr="00E22195">
        <w:rPr>
          <w:rFonts w:asciiTheme="minorHAnsi" w:hAnsiTheme="minorHAnsi" w:cstheme="minorHAnsi"/>
          <w:lang w:bidi="en-US"/>
        </w:rPr>
        <w:t xml:space="preserve"> to engage in meaningful forms of service user involvement.</w:t>
      </w:r>
      <w:r w:rsidR="00B352BE" w:rsidRPr="00E22195">
        <w:rPr>
          <w:rFonts w:asciiTheme="minorHAnsi" w:hAnsiTheme="minorHAnsi" w:cstheme="minorHAnsi"/>
          <w:lang w:bidi="en-US"/>
        </w:rPr>
        <w:t xml:space="preserve"> This</w:t>
      </w:r>
      <w:r w:rsidR="00A47D53" w:rsidRPr="00E22195">
        <w:rPr>
          <w:rFonts w:asciiTheme="minorHAnsi" w:hAnsiTheme="minorHAnsi" w:cstheme="minorHAnsi"/>
          <w:lang w:bidi="en-US"/>
        </w:rPr>
        <w:t xml:space="preserve"> article will assess how successful </w:t>
      </w:r>
      <w:r w:rsidR="00FA390F" w:rsidRPr="00E22195">
        <w:rPr>
          <w:rFonts w:asciiTheme="minorHAnsi" w:hAnsiTheme="minorHAnsi" w:cstheme="minorHAnsi"/>
          <w:lang w:bidi="en-US"/>
        </w:rPr>
        <w:t xml:space="preserve">Appropriate Adult </w:t>
      </w:r>
      <w:r w:rsidR="002F0DF2" w:rsidRPr="00E22195">
        <w:rPr>
          <w:rFonts w:asciiTheme="minorHAnsi" w:hAnsiTheme="minorHAnsi" w:cstheme="minorHAnsi"/>
          <w:lang w:bidi="en-US"/>
        </w:rPr>
        <w:t>s</w:t>
      </w:r>
      <w:r w:rsidR="00FA390F" w:rsidRPr="00E22195">
        <w:rPr>
          <w:rFonts w:asciiTheme="minorHAnsi" w:hAnsiTheme="minorHAnsi" w:cstheme="minorHAnsi"/>
          <w:lang w:bidi="en-US"/>
        </w:rPr>
        <w:t>chemes</w:t>
      </w:r>
      <w:r w:rsidR="00A47D53" w:rsidRPr="00E22195">
        <w:rPr>
          <w:rFonts w:asciiTheme="minorHAnsi" w:hAnsiTheme="minorHAnsi" w:cstheme="minorHAnsi"/>
          <w:lang w:bidi="en-US"/>
        </w:rPr>
        <w:t xml:space="preserve"> are in </w:t>
      </w:r>
      <w:r w:rsidR="00D96255" w:rsidRPr="00E22195">
        <w:rPr>
          <w:rFonts w:asciiTheme="minorHAnsi" w:hAnsiTheme="minorHAnsi" w:cstheme="minorHAnsi"/>
          <w:lang w:bidi="en-US"/>
        </w:rPr>
        <w:t xml:space="preserve">integrating service user involvement within their services. </w:t>
      </w:r>
      <w:r w:rsidR="00263E4F" w:rsidRPr="00E22195">
        <w:rPr>
          <w:rFonts w:asciiTheme="minorHAnsi" w:hAnsiTheme="minorHAnsi" w:cstheme="minorHAnsi"/>
          <w:lang w:bidi="en-US"/>
        </w:rPr>
        <w:t>Th</w:t>
      </w:r>
      <w:r w:rsidR="00CB4122" w:rsidRPr="00E22195">
        <w:rPr>
          <w:rFonts w:asciiTheme="minorHAnsi" w:hAnsiTheme="minorHAnsi" w:cstheme="minorHAnsi"/>
          <w:lang w:bidi="en-US"/>
        </w:rPr>
        <w:t>e</w:t>
      </w:r>
      <w:r w:rsidR="00263E4F" w:rsidRPr="00E22195">
        <w:rPr>
          <w:rFonts w:asciiTheme="minorHAnsi" w:hAnsiTheme="minorHAnsi" w:cstheme="minorHAnsi"/>
          <w:lang w:bidi="en-US"/>
        </w:rPr>
        <w:t xml:space="preserve"> study includes </w:t>
      </w:r>
      <w:r w:rsidR="00D96255" w:rsidRPr="00E22195">
        <w:rPr>
          <w:rFonts w:asciiTheme="minorHAnsi" w:hAnsiTheme="minorHAnsi" w:cstheme="minorHAnsi"/>
          <w:lang w:bidi="en-US"/>
        </w:rPr>
        <w:t xml:space="preserve">data on 43 </w:t>
      </w:r>
      <w:r w:rsidR="00FA390F" w:rsidRPr="00E22195">
        <w:rPr>
          <w:rFonts w:asciiTheme="minorHAnsi" w:hAnsiTheme="minorHAnsi" w:cstheme="minorHAnsi"/>
          <w:lang w:bidi="en-US"/>
        </w:rPr>
        <w:t xml:space="preserve">Appropriate Adult </w:t>
      </w:r>
      <w:r w:rsidR="001458DE" w:rsidRPr="00E22195">
        <w:rPr>
          <w:rFonts w:asciiTheme="minorHAnsi" w:hAnsiTheme="minorHAnsi" w:cstheme="minorHAnsi"/>
          <w:lang w:bidi="en-US"/>
        </w:rPr>
        <w:t>s</w:t>
      </w:r>
      <w:r w:rsidR="00FA390F" w:rsidRPr="00E22195">
        <w:rPr>
          <w:rFonts w:asciiTheme="minorHAnsi" w:hAnsiTheme="minorHAnsi" w:cstheme="minorHAnsi"/>
          <w:lang w:bidi="en-US"/>
        </w:rPr>
        <w:t>chemes</w:t>
      </w:r>
      <w:r w:rsidR="005878FC" w:rsidRPr="00E22195">
        <w:rPr>
          <w:rFonts w:asciiTheme="minorHAnsi" w:hAnsiTheme="minorHAnsi" w:cstheme="minorHAnsi"/>
          <w:lang w:bidi="en-US"/>
        </w:rPr>
        <w:t>.</w:t>
      </w:r>
      <w:r w:rsidR="00AE3DCF" w:rsidRPr="00E22195">
        <w:rPr>
          <w:rFonts w:asciiTheme="minorHAnsi" w:hAnsiTheme="minorHAnsi" w:cstheme="minorHAnsi"/>
          <w:lang w:bidi="en-US"/>
        </w:rPr>
        <w:t xml:space="preserve"> </w:t>
      </w:r>
      <w:r w:rsidR="00263E4F" w:rsidRPr="00E22195">
        <w:rPr>
          <w:rFonts w:asciiTheme="minorHAnsi" w:hAnsiTheme="minorHAnsi" w:cstheme="minorHAnsi"/>
          <w:color w:val="000000" w:themeColor="text1"/>
          <w:lang w:bidi="en-US"/>
        </w:rPr>
        <w:t xml:space="preserve">Our application of </w:t>
      </w:r>
      <w:proofErr w:type="spellStart"/>
      <w:r w:rsidR="00263E4F" w:rsidRPr="00E22195">
        <w:rPr>
          <w:rFonts w:asciiTheme="minorHAnsi" w:hAnsiTheme="minorHAnsi" w:cstheme="minorHAnsi"/>
          <w:color w:val="000000" w:themeColor="text1"/>
          <w:lang w:bidi="en-US"/>
        </w:rPr>
        <w:t>Forbat</w:t>
      </w:r>
      <w:proofErr w:type="spellEnd"/>
      <w:r w:rsidR="00263E4F" w:rsidRPr="00E22195">
        <w:rPr>
          <w:rFonts w:asciiTheme="minorHAnsi" w:hAnsiTheme="minorHAnsi" w:cstheme="minorHAnsi"/>
          <w:color w:val="000000" w:themeColor="text1"/>
          <w:lang w:bidi="en-US"/>
        </w:rPr>
        <w:t xml:space="preserve"> </w:t>
      </w:r>
      <w:r w:rsidR="00263E4F" w:rsidRPr="00E22195">
        <w:rPr>
          <w:rFonts w:asciiTheme="minorHAnsi" w:hAnsiTheme="minorHAnsi" w:cstheme="minorHAnsi"/>
          <w:i/>
          <w:iCs/>
          <w:color w:val="000000" w:themeColor="text1"/>
          <w:lang w:bidi="en-US"/>
        </w:rPr>
        <w:t>et al</w:t>
      </w:r>
      <w:r w:rsidR="00255C53" w:rsidRPr="00E22195">
        <w:rPr>
          <w:rFonts w:asciiTheme="minorHAnsi" w:hAnsiTheme="minorHAnsi" w:cstheme="minorHAnsi"/>
          <w:i/>
          <w:iCs/>
          <w:color w:val="000000" w:themeColor="text1"/>
          <w:lang w:bidi="en-US"/>
        </w:rPr>
        <w:t>.</w:t>
      </w:r>
      <w:r w:rsidR="00263E4F" w:rsidRPr="00E22195">
        <w:rPr>
          <w:rFonts w:asciiTheme="minorHAnsi" w:hAnsiTheme="minorHAnsi" w:cstheme="minorHAnsi"/>
          <w:color w:val="000000" w:themeColor="text1"/>
          <w:lang w:bidi="en-US"/>
        </w:rPr>
        <w:t xml:space="preserve"> </w:t>
      </w:r>
      <w:r w:rsidR="00263E4F" w:rsidRPr="00FE4D1C">
        <w:rPr>
          <w:rFonts w:asciiTheme="minorHAnsi" w:hAnsiTheme="minorHAnsi" w:cstheme="minorHAnsi"/>
          <w:color w:val="000000" w:themeColor="text1"/>
          <w:lang w:bidi="en-US"/>
        </w:rPr>
        <w:t xml:space="preserve">(2009) </w:t>
      </w:r>
      <w:r w:rsidR="00C26750" w:rsidRPr="00FE4D1C">
        <w:rPr>
          <w:rFonts w:asciiTheme="minorHAnsi" w:hAnsiTheme="minorHAnsi" w:cstheme="minorHAnsi"/>
          <w:color w:val="000000" w:themeColor="text1"/>
          <w:lang w:bidi="en-US"/>
        </w:rPr>
        <w:t>advance</w:t>
      </w:r>
      <w:r w:rsidR="00263E4F" w:rsidRPr="00FE4D1C">
        <w:rPr>
          <w:rFonts w:asciiTheme="minorHAnsi" w:hAnsiTheme="minorHAnsi" w:cstheme="minorHAnsi"/>
          <w:color w:val="000000" w:themeColor="text1"/>
          <w:lang w:bidi="en-US"/>
        </w:rPr>
        <w:t>s</w:t>
      </w:r>
      <w:r w:rsidR="00C26750" w:rsidRPr="00FE4D1C">
        <w:rPr>
          <w:rFonts w:asciiTheme="minorHAnsi" w:hAnsiTheme="minorHAnsi" w:cstheme="minorHAnsi"/>
          <w:color w:val="000000" w:themeColor="text1"/>
          <w:lang w:bidi="en-US"/>
        </w:rPr>
        <w:t xml:space="preserve"> </w:t>
      </w:r>
      <w:r w:rsidR="00CB4122" w:rsidRPr="00FE4D1C">
        <w:rPr>
          <w:rFonts w:asciiTheme="minorHAnsi" w:hAnsiTheme="minorHAnsi" w:cstheme="minorHAnsi"/>
          <w:color w:val="000000" w:themeColor="text1"/>
          <w:lang w:bidi="en-US"/>
        </w:rPr>
        <w:t xml:space="preserve">Sherry </w:t>
      </w:r>
      <w:proofErr w:type="spellStart"/>
      <w:r w:rsidR="0035368B" w:rsidRPr="00FE4D1C">
        <w:rPr>
          <w:rFonts w:asciiTheme="minorHAnsi" w:hAnsiTheme="minorHAnsi" w:cstheme="minorHAnsi"/>
          <w:color w:val="000000" w:themeColor="text1"/>
          <w:lang w:bidi="en-US"/>
        </w:rPr>
        <w:t>Arnstein</w:t>
      </w:r>
      <w:r w:rsidR="009D5768" w:rsidRPr="00FE4D1C">
        <w:rPr>
          <w:rFonts w:asciiTheme="minorHAnsi" w:hAnsiTheme="minorHAnsi" w:cstheme="minorHAnsi"/>
          <w:color w:val="000000" w:themeColor="text1"/>
          <w:lang w:bidi="en-US"/>
        </w:rPr>
        <w:t>'s</w:t>
      </w:r>
      <w:proofErr w:type="spellEnd"/>
      <w:r w:rsidR="0035368B" w:rsidRPr="00FE4D1C">
        <w:rPr>
          <w:rFonts w:asciiTheme="minorHAnsi" w:hAnsiTheme="minorHAnsi" w:cstheme="minorHAnsi"/>
          <w:color w:val="000000" w:themeColor="text1"/>
          <w:lang w:bidi="en-US"/>
        </w:rPr>
        <w:t xml:space="preserve"> </w:t>
      </w:r>
      <w:r w:rsidR="00CB4122" w:rsidRPr="00FE4D1C">
        <w:rPr>
          <w:rFonts w:asciiTheme="minorHAnsi" w:hAnsiTheme="minorHAnsi" w:cstheme="minorHAnsi"/>
          <w:color w:val="000000" w:themeColor="text1"/>
          <w:lang w:bidi="en-US"/>
        </w:rPr>
        <w:t>classic model of service user involvement concerning degrees of power. I</w:t>
      </w:r>
      <w:r w:rsidR="002F0DF2" w:rsidRPr="00FE4D1C">
        <w:rPr>
          <w:rFonts w:asciiTheme="minorHAnsi" w:hAnsiTheme="minorHAnsi" w:cstheme="minorHAnsi"/>
          <w:color w:val="000000" w:themeColor="text1"/>
          <w:lang w:bidi="en-US"/>
        </w:rPr>
        <w:t xml:space="preserve">n order </w:t>
      </w:r>
      <w:r w:rsidR="0055064E" w:rsidRPr="00FE4D1C">
        <w:rPr>
          <w:rFonts w:asciiTheme="minorHAnsi" w:hAnsiTheme="minorHAnsi" w:cstheme="minorHAnsi"/>
          <w:color w:val="000000" w:themeColor="text1"/>
          <w:lang w:bidi="en-US"/>
        </w:rPr>
        <w:t>to</w:t>
      </w:r>
      <w:r w:rsidR="002A7157" w:rsidRPr="00FE4D1C">
        <w:rPr>
          <w:rFonts w:asciiTheme="minorHAnsi" w:hAnsiTheme="minorHAnsi" w:cstheme="minorHAnsi"/>
          <w:color w:val="000000" w:themeColor="text1"/>
          <w:lang w:bidi="en-US"/>
        </w:rPr>
        <w:t xml:space="preserve"> apply </w:t>
      </w:r>
      <w:r w:rsidR="0055064E" w:rsidRPr="00FE4D1C">
        <w:rPr>
          <w:rFonts w:asciiTheme="minorHAnsi" w:hAnsiTheme="minorHAnsi" w:cstheme="minorHAnsi"/>
          <w:color w:val="000000" w:themeColor="text1"/>
          <w:lang w:bidi="en-US"/>
        </w:rPr>
        <w:t xml:space="preserve">meaningful forms of </w:t>
      </w:r>
      <w:r w:rsidR="002A7157" w:rsidRPr="00FE4D1C">
        <w:rPr>
          <w:rFonts w:asciiTheme="minorHAnsi" w:hAnsiTheme="minorHAnsi" w:cstheme="minorHAnsi"/>
          <w:color w:val="000000" w:themeColor="text1"/>
          <w:lang w:bidi="en-US"/>
        </w:rPr>
        <w:t xml:space="preserve">service user </w:t>
      </w:r>
      <w:r w:rsidR="00255C53" w:rsidRPr="00FE4D1C">
        <w:rPr>
          <w:rFonts w:asciiTheme="minorHAnsi" w:hAnsiTheme="minorHAnsi" w:cstheme="minorHAnsi"/>
          <w:color w:val="000000" w:themeColor="text1"/>
          <w:lang w:bidi="en-US"/>
        </w:rPr>
        <w:t>engagement</w:t>
      </w:r>
      <w:r w:rsidR="00835FD0" w:rsidRPr="00FE4D1C">
        <w:rPr>
          <w:rFonts w:asciiTheme="minorHAnsi" w:hAnsiTheme="minorHAnsi" w:cstheme="minorHAnsi"/>
          <w:color w:val="000000" w:themeColor="text1"/>
          <w:lang w:bidi="en-US"/>
        </w:rPr>
        <w:t>,</w:t>
      </w:r>
      <w:r w:rsidR="0055064E" w:rsidRPr="00FE4D1C">
        <w:rPr>
          <w:rFonts w:asciiTheme="minorHAnsi" w:hAnsiTheme="minorHAnsi" w:cstheme="minorHAnsi"/>
          <w:color w:val="000000" w:themeColor="text1"/>
          <w:lang w:bidi="en-US"/>
        </w:rPr>
        <w:t xml:space="preserve"> we must comprehend</w:t>
      </w:r>
      <w:r w:rsidR="0035368B" w:rsidRPr="00FE4D1C">
        <w:rPr>
          <w:rFonts w:asciiTheme="minorHAnsi" w:hAnsiTheme="minorHAnsi" w:cstheme="minorHAnsi"/>
          <w:color w:val="000000" w:themeColor="text1"/>
          <w:lang w:bidi="en-US"/>
        </w:rPr>
        <w:t xml:space="preserve"> the ideological drivers</w:t>
      </w:r>
      <w:r w:rsidR="002A7157" w:rsidRPr="00FE4D1C">
        <w:rPr>
          <w:rFonts w:asciiTheme="minorHAnsi" w:hAnsiTheme="minorHAnsi" w:cstheme="minorHAnsi"/>
          <w:color w:val="000000" w:themeColor="text1"/>
          <w:lang w:bidi="en-US"/>
        </w:rPr>
        <w:t xml:space="preserve"> which underpin an organisation’s</w:t>
      </w:r>
      <w:r w:rsidR="0084756C" w:rsidRPr="00FE4D1C">
        <w:rPr>
          <w:rFonts w:asciiTheme="minorHAnsi" w:hAnsiTheme="minorHAnsi" w:cstheme="minorHAnsi"/>
          <w:color w:val="000000" w:themeColor="text1"/>
          <w:lang w:bidi="en-US"/>
        </w:rPr>
        <w:t xml:space="preserve"> notion of involvement. </w:t>
      </w:r>
    </w:p>
    <w:p w14:paraId="24329044" w14:textId="77777777" w:rsidR="00263E4F" w:rsidRPr="00FE4D1C" w:rsidRDefault="00263E4F" w:rsidP="00A42A35">
      <w:pPr>
        <w:spacing w:line="360" w:lineRule="auto"/>
        <w:contextualSpacing/>
        <w:mirrorIndents/>
        <w:jc w:val="both"/>
        <w:rPr>
          <w:rFonts w:asciiTheme="minorHAnsi" w:hAnsiTheme="minorHAnsi" w:cstheme="minorHAnsi"/>
          <w:color w:val="000000" w:themeColor="text1"/>
          <w:lang w:bidi="en-US"/>
        </w:rPr>
      </w:pPr>
    </w:p>
    <w:p w14:paraId="6F0D21F6" w14:textId="0C9FB4FF" w:rsidR="009B41FB" w:rsidRPr="00634713" w:rsidRDefault="00263E4F" w:rsidP="00A42A35">
      <w:pPr>
        <w:spacing w:line="360" w:lineRule="auto"/>
        <w:contextualSpacing/>
        <w:mirrorIndents/>
        <w:jc w:val="both"/>
        <w:rPr>
          <w:rFonts w:asciiTheme="minorHAnsi" w:hAnsiTheme="minorHAnsi" w:cstheme="minorHAnsi"/>
          <w:lang w:bidi="en-US"/>
        </w:rPr>
      </w:pPr>
      <w:proofErr w:type="spellStart"/>
      <w:r w:rsidRPr="00FE4D1C">
        <w:rPr>
          <w:rFonts w:asciiTheme="minorHAnsi" w:hAnsiTheme="minorHAnsi" w:cstheme="minorHAnsi"/>
          <w:lang w:bidi="en-US"/>
        </w:rPr>
        <w:t>Forbat</w:t>
      </w:r>
      <w:proofErr w:type="spellEnd"/>
      <w:r w:rsidRPr="00FE4D1C">
        <w:rPr>
          <w:rFonts w:asciiTheme="minorHAnsi" w:hAnsiTheme="minorHAnsi" w:cstheme="minorHAnsi"/>
          <w:lang w:bidi="en-US"/>
        </w:rPr>
        <w:t xml:space="preserve">, </w:t>
      </w:r>
      <w:r w:rsidRPr="00FE4D1C">
        <w:rPr>
          <w:rFonts w:asciiTheme="minorHAnsi" w:hAnsiTheme="minorHAnsi" w:cstheme="minorHAnsi"/>
          <w:i/>
          <w:iCs/>
          <w:lang w:bidi="en-US"/>
        </w:rPr>
        <w:t>et al.</w:t>
      </w:r>
      <w:r w:rsidRPr="00FE4D1C">
        <w:rPr>
          <w:rFonts w:asciiTheme="minorHAnsi" w:hAnsiTheme="minorHAnsi" w:cstheme="minorHAnsi"/>
          <w:lang w:bidi="en-US"/>
        </w:rPr>
        <w:t xml:space="preserve"> </w:t>
      </w:r>
      <w:r w:rsidRPr="008008FC">
        <w:rPr>
          <w:rFonts w:asciiTheme="minorHAnsi" w:hAnsiTheme="minorHAnsi" w:cstheme="minorHAnsi"/>
          <w:lang w:bidi="en-US"/>
        </w:rPr>
        <w:t xml:space="preserve">(2009), </w:t>
      </w:r>
      <w:r w:rsidR="0084756C" w:rsidRPr="008008FC">
        <w:rPr>
          <w:rFonts w:asciiTheme="minorHAnsi" w:hAnsiTheme="minorHAnsi" w:cstheme="minorHAnsi"/>
          <w:lang w:bidi="en-US"/>
        </w:rPr>
        <w:t>present four models of service user involvement</w:t>
      </w:r>
      <w:r w:rsidR="00AE5696" w:rsidRPr="008008FC">
        <w:rPr>
          <w:rFonts w:asciiTheme="minorHAnsi" w:hAnsiTheme="minorHAnsi" w:cstheme="minorHAnsi"/>
          <w:lang w:bidi="en-US"/>
        </w:rPr>
        <w:t>,</w:t>
      </w:r>
      <w:r w:rsidR="00E66215" w:rsidRPr="008008FC">
        <w:rPr>
          <w:rFonts w:asciiTheme="minorHAnsi" w:hAnsiTheme="minorHAnsi" w:cstheme="minorHAnsi"/>
          <w:lang w:bidi="en-US"/>
        </w:rPr>
        <w:t xml:space="preserve"> </w:t>
      </w:r>
      <w:r w:rsidR="00AE5696" w:rsidRPr="008008FC">
        <w:rPr>
          <w:rFonts w:asciiTheme="minorHAnsi" w:hAnsiTheme="minorHAnsi" w:cstheme="minorHAnsi"/>
          <w:lang w:bidi="en-US"/>
        </w:rPr>
        <w:t>which are the ‘</w:t>
      </w:r>
      <w:r w:rsidR="00E66215" w:rsidRPr="008008FC">
        <w:rPr>
          <w:rFonts w:asciiTheme="minorHAnsi" w:hAnsiTheme="minorHAnsi" w:cstheme="minorHAnsi"/>
          <w:lang w:bidi="en-US"/>
        </w:rPr>
        <w:t>free market economy model</w:t>
      </w:r>
      <w:r w:rsidR="00AE5696" w:rsidRPr="008008FC">
        <w:rPr>
          <w:rFonts w:asciiTheme="minorHAnsi" w:hAnsiTheme="minorHAnsi" w:cstheme="minorHAnsi"/>
          <w:lang w:bidi="en-US"/>
        </w:rPr>
        <w:t>’</w:t>
      </w:r>
      <w:r w:rsidR="00E66215" w:rsidRPr="008008FC">
        <w:rPr>
          <w:rFonts w:asciiTheme="minorHAnsi" w:hAnsiTheme="minorHAnsi" w:cstheme="minorHAnsi"/>
          <w:lang w:bidi="en-US"/>
        </w:rPr>
        <w:t xml:space="preserve">, </w:t>
      </w:r>
      <w:r w:rsidR="00AE5696" w:rsidRPr="008008FC">
        <w:rPr>
          <w:rFonts w:asciiTheme="minorHAnsi" w:hAnsiTheme="minorHAnsi" w:cstheme="minorHAnsi"/>
          <w:lang w:bidi="en-US"/>
        </w:rPr>
        <w:t>the ‘</w:t>
      </w:r>
      <w:r w:rsidR="00E66215" w:rsidRPr="008008FC">
        <w:rPr>
          <w:rFonts w:asciiTheme="minorHAnsi" w:hAnsiTheme="minorHAnsi" w:cstheme="minorHAnsi"/>
          <w:lang w:bidi="en-US"/>
        </w:rPr>
        <w:t>social democratic model</w:t>
      </w:r>
      <w:r w:rsidR="00F846B2" w:rsidRPr="008008FC">
        <w:rPr>
          <w:rFonts w:asciiTheme="minorHAnsi" w:hAnsiTheme="minorHAnsi" w:cstheme="minorHAnsi"/>
          <w:lang w:bidi="en-US"/>
        </w:rPr>
        <w:t>’, the</w:t>
      </w:r>
      <w:r w:rsidR="00E66215" w:rsidRPr="008008FC">
        <w:rPr>
          <w:rFonts w:asciiTheme="minorHAnsi" w:hAnsiTheme="minorHAnsi" w:cstheme="minorHAnsi"/>
          <w:lang w:bidi="en-US"/>
        </w:rPr>
        <w:t xml:space="preserve"> </w:t>
      </w:r>
      <w:r w:rsidR="00F846B2" w:rsidRPr="008008FC">
        <w:rPr>
          <w:rFonts w:asciiTheme="minorHAnsi" w:hAnsiTheme="minorHAnsi" w:cstheme="minorHAnsi"/>
          <w:lang w:bidi="en-US"/>
        </w:rPr>
        <w:t>‘</w:t>
      </w:r>
      <w:r w:rsidR="00E66215" w:rsidRPr="008008FC">
        <w:rPr>
          <w:rFonts w:asciiTheme="minorHAnsi" w:hAnsiTheme="minorHAnsi" w:cstheme="minorHAnsi"/>
          <w:lang w:bidi="en-US"/>
        </w:rPr>
        <w:t>experiential knowledge model</w:t>
      </w:r>
      <w:r w:rsidR="00F846B2" w:rsidRPr="008008FC">
        <w:rPr>
          <w:rFonts w:asciiTheme="minorHAnsi" w:hAnsiTheme="minorHAnsi" w:cstheme="minorHAnsi"/>
          <w:lang w:bidi="en-US"/>
        </w:rPr>
        <w:t>’</w:t>
      </w:r>
      <w:r w:rsidR="009D5768" w:rsidRPr="008008FC">
        <w:rPr>
          <w:rFonts w:asciiTheme="minorHAnsi" w:hAnsiTheme="minorHAnsi" w:cstheme="minorHAnsi"/>
          <w:lang w:bidi="en-US"/>
        </w:rPr>
        <w:t>,</w:t>
      </w:r>
      <w:r w:rsidR="00F846B2" w:rsidRPr="008008FC">
        <w:rPr>
          <w:rFonts w:asciiTheme="minorHAnsi" w:hAnsiTheme="minorHAnsi" w:cstheme="minorHAnsi"/>
          <w:lang w:bidi="en-US"/>
        </w:rPr>
        <w:t xml:space="preserve"> and the ‘</w:t>
      </w:r>
      <w:r w:rsidR="00E66215" w:rsidRPr="008008FC">
        <w:rPr>
          <w:rFonts w:asciiTheme="minorHAnsi" w:hAnsiTheme="minorHAnsi" w:cstheme="minorHAnsi"/>
          <w:lang w:bidi="en-US"/>
        </w:rPr>
        <w:t>emancipation and empowerment model</w:t>
      </w:r>
      <w:r w:rsidR="00F846B2" w:rsidRPr="008008FC">
        <w:rPr>
          <w:rFonts w:asciiTheme="minorHAnsi" w:hAnsiTheme="minorHAnsi" w:cstheme="minorHAnsi"/>
          <w:lang w:bidi="en-US"/>
        </w:rPr>
        <w:t>’</w:t>
      </w:r>
      <w:r w:rsidR="007940AD" w:rsidRPr="008008FC">
        <w:rPr>
          <w:rFonts w:asciiTheme="minorHAnsi" w:hAnsiTheme="minorHAnsi" w:cstheme="minorHAnsi"/>
          <w:lang w:bidi="en-US"/>
        </w:rPr>
        <w:t xml:space="preserve">. </w:t>
      </w:r>
      <w:r w:rsidRPr="008008FC">
        <w:rPr>
          <w:rFonts w:asciiTheme="minorHAnsi" w:hAnsiTheme="minorHAnsi" w:cstheme="minorHAnsi"/>
          <w:lang w:bidi="en-US"/>
        </w:rPr>
        <w:t>A</w:t>
      </w:r>
      <w:r w:rsidR="004C6719" w:rsidRPr="008008FC">
        <w:rPr>
          <w:rFonts w:asciiTheme="minorHAnsi" w:hAnsiTheme="minorHAnsi" w:cstheme="minorHAnsi"/>
          <w:lang w:bidi="en-US"/>
        </w:rPr>
        <w:t>lthough the</w:t>
      </w:r>
      <w:r w:rsidR="004C6719" w:rsidRPr="008008FC">
        <w:rPr>
          <w:rFonts w:asciiTheme="minorHAnsi" w:hAnsiTheme="minorHAnsi" w:cstheme="minorHAnsi"/>
        </w:rPr>
        <w:t xml:space="preserve"> </w:t>
      </w:r>
      <w:r w:rsidR="004C6719" w:rsidRPr="008008FC">
        <w:rPr>
          <w:rFonts w:asciiTheme="minorHAnsi" w:hAnsiTheme="minorHAnsi" w:cstheme="minorHAnsi"/>
          <w:lang w:bidi="en-US"/>
        </w:rPr>
        <w:t xml:space="preserve">National Appropriate Adult Network is advocating for an emancipation approach to service user </w:t>
      </w:r>
      <w:r w:rsidRPr="008008FC">
        <w:rPr>
          <w:rFonts w:asciiTheme="minorHAnsi" w:hAnsiTheme="minorHAnsi" w:cstheme="minorHAnsi"/>
          <w:lang w:bidi="en-US"/>
        </w:rPr>
        <w:t>involvement</w:t>
      </w:r>
      <w:r w:rsidR="007D7A3D" w:rsidRPr="008008FC">
        <w:rPr>
          <w:rFonts w:asciiTheme="minorHAnsi" w:hAnsiTheme="minorHAnsi" w:cstheme="minorHAnsi"/>
          <w:lang w:bidi="en-US"/>
        </w:rPr>
        <w:t xml:space="preserve"> (NAAN, 2017; 2019) most</w:t>
      </w:r>
      <w:r w:rsidR="00397BA4" w:rsidRPr="008008FC">
        <w:rPr>
          <w:rFonts w:asciiTheme="minorHAnsi" w:hAnsiTheme="minorHAnsi" w:cstheme="minorHAnsi"/>
          <w:lang w:bidi="en-US"/>
        </w:rPr>
        <w:t xml:space="preserve"> </w:t>
      </w:r>
      <w:r w:rsidR="00FA390F" w:rsidRPr="008008FC">
        <w:rPr>
          <w:rFonts w:asciiTheme="minorHAnsi" w:hAnsiTheme="minorHAnsi" w:cstheme="minorHAnsi"/>
          <w:lang w:bidi="en-US"/>
        </w:rPr>
        <w:t xml:space="preserve">Appropriate Adult </w:t>
      </w:r>
      <w:r w:rsidR="007D7A3D" w:rsidRPr="008008FC">
        <w:rPr>
          <w:rFonts w:asciiTheme="minorHAnsi" w:hAnsiTheme="minorHAnsi" w:cstheme="minorHAnsi"/>
          <w:lang w:bidi="en-US"/>
        </w:rPr>
        <w:t>s</w:t>
      </w:r>
      <w:r w:rsidR="00FA390F" w:rsidRPr="008008FC">
        <w:rPr>
          <w:rFonts w:asciiTheme="minorHAnsi" w:hAnsiTheme="minorHAnsi" w:cstheme="minorHAnsi"/>
          <w:lang w:bidi="en-US"/>
        </w:rPr>
        <w:t>chemes</w:t>
      </w:r>
      <w:r w:rsidR="00397BA4" w:rsidRPr="008008FC">
        <w:rPr>
          <w:rFonts w:asciiTheme="minorHAnsi" w:hAnsiTheme="minorHAnsi" w:cstheme="minorHAnsi"/>
          <w:lang w:bidi="en-US"/>
        </w:rPr>
        <w:t xml:space="preserve"> are underpinned by a consumer</w:t>
      </w:r>
      <w:r w:rsidR="009D5768" w:rsidRPr="008008FC">
        <w:rPr>
          <w:rFonts w:asciiTheme="minorHAnsi" w:hAnsiTheme="minorHAnsi" w:cstheme="minorHAnsi"/>
          <w:lang w:bidi="en-US"/>
        </w:rPr>
        <w:t>-</w:t>
      </w:r>
      <w:r w:rsidR="00397BA4" w:rsidRPr="008008FC">
        <w:rPr>
          <w:rFonts w:asciiTheme="minorHAnsi" w:hAnsiTheme="minorHAnsi" w:cstheme="minorHAnsi"/>
          <w:lang w:bidi="en-US"/>
        </w:rPr>
        <w:t xml:space="preserve">led ‘free market economy model’. </w:t>
      </w:r>
      <w:r w:rsidR="00DC23D1" w:rsidRPr="00634713">
        <w:rPr>
          <w:rFonts w:asciiTheme="minorHAnsi" w:hAnsiTheme="minorHAnsi" w:cstheme="minorHAnsi"/>
          <w:lang w:bidi="en-US"/>
        </w:rPr>
        <w:t>This article suggests that</w:t>
      </w:r>
      <w:r w:rsidR="002F0DF2" w:rsidRPr="00634713">
        <w:rPr>
          <w:rFonts w:asciiTheme="minorHAnsi" w:hAnsiTheme="minorHAnsi" w:cstheme="minorHAnsi"/>
          <w:lang w:bidi="en-US"/>
        </w:rPr>
        <w:t xml:space="preserve"> if they are to</w:t>
      </w:r>
      <w:r w:rsidR="00DC23D1" w:rsidRPr="00634713">
        <w:rPr>
          <w:rFonts w:asciiTheme="minorHAnsi" w:hAnsiTheme="minorHAnsi" w:cstheme="minorHAnsi"/>
          <w:lang w:bidi="en-US"/>
        </w:rPr>
        <w:t xml:space="preserve"> achieve service user involvement</w:t>
      </w:r>
      <w:r w:rsidR="002F0DF2" w:rsidRPr="00634713">
        <w:rPr>
          <w:rFonts w:asciiTheme="minorHAnsi" w:hAnsiTheme="minorHAnsi" w:cstheme="minorHAnsi"/>
          <w:lang w:bidi="en-US"/>
        </w:rPr>
        <w:t>,</w:t>
      </w:r>
      <w:r w:rsidR="00DC23D1" w:rsidRPr="00634713">
        <w:rPr>
          <w:rFonts w:asciiTheme="minorHAnsi" w:hAnsiTheme="minorHAnsi" w:cstheme="minorHAnsi"/>
          <w:lang w:bidi="en-US"/>
        </w:rPr>
        <w:t xml:space="preserve"> </w:t>
      </w:r>
      <w:r w:rsidR="00FA390F" w:rsidRPr="00634713">
        <w:rPr>
          <w:rFonts w:asciiTheme="minorHAnsi" w:hAnsiTheme="minorHAnsi" w:cstheme="minorHAnsi"/>
          <w:lang w:bidi="en-US"/>
        </w:rPr>
        <w:t xml:space="preserve">Appropriate Adult </w:t>
      </w:r>
      <w:r w:rsidR="001458DE" w:rsidRPr="00634713">
        <w:rPr>
          <w:rFonts w:asciiTheme="minorHAnsi" w:hAnsiTheme="minorHAnsi" w:cstheme="minorHAnsi"/>
          <w:lang w:bidi="en-US"/>
        </w:rPr>
        <w:t>s</w:t>
      </w:r>
      <w:r w:rsidR="00FA390F" w:rsidRPr="00634713">
        <w:rPr>
          <w:rFonts w:asciiTheme="minorHAnsi" w:hAnsiTheme="minorHAnsi" w:cstheme="minorHAnsi"/>
          <w:lang w:bidi="en-US"/>
        </w:rPr>
        <w:t>chemes</w:t>
      </w:r>
      <w:r w:rsidR="00DC23D1" w:rsidRPr="00634713">
        <w:rPr>
          <w:rFonts w:asciiTheme="minorHAnsi" w:hAnsiTheme="minorHAnsi" w:cstheme="minorHAnsi"/>
          <w:lang w:bidi="en-US"/>
        </w:rPr>
        <w:t xml:space="preserve"> must move beyond the consumer</w:t>
      </w:r>
      <w:r w:rsidR="009D5768" w:rsidRPr="00634713">
        <w:rPr>
          <w:rFonts w:asciiTheme="minorHAnsi" w:hAnsiTheme="minorHAnsi" w:cstheme="minorHAnsi"/>
          <w:lang w:bidi="en-US"/>
        </w:rPr>
        <w:t>-</w:t>
      </w:r>
      <w:r w:rsidR="00DC23D1" w:rsidRPr="00634713">
        <w:rPr>
          <w:rFonts w:asciiTheme="minorHAnsi" w:hAnsiTheme="minorHAnsi" w:cstheme="minorHAnsi"/>
          <w:lang w:bidi="en-US"/>
        </w:rPr>
        <w:t xml:space="preserve">led approach </w:t>
      </w:r>
      <w:r w:rsidR="00D379F6" w:rsidRPr="00634713">
        <w:rPr>
          <w:rFonts w:asciiTheme="minorHAnsi" w:hAnsiTheme="minorHAnsi" w:cstheme="minorHAnsi"/>
          <w:lang w:bidi="en-US"/>
        </w:rPr>
        <w:t>and conceptualise service users as experts of their own lives</w:t>
      </w:r>
      <w:r w:rsidR="001458DE" w:rsidRPr="00634713">
        <w:rPr>
          <w:rFonts w:asciiTheme="minorHAnsi" w:hAnsiTheme="minorHAnsi" w:cstheme="minorHAnsi"/>
          <w:lang w:bidi="en-US"/>
        </w:rPr>
        <w:t>,</w:t>
      </w:r>
      <w:r w:rsidR="00D379F6" w:rsidRPr="00634713">
        <w:rPr>
          <w:rFonts w:asciiTheme="minorHAnsi" w:hAnsiTheme="minorHAnsi" w:cstheme="minorHAnsi"/>
          <w:lang w:bidi="en-US"/>
        </w:rPr>
        <w:t xml:space="preserve"> wh</w:t>
      </w:r>
      <w:r w:rsidR="00015F5E" w:rsidRPr="00634713">
        <w:rPr>
          <w:rFonts w:asciiTheme="minorHAnsi" w:hAnsiTheme="minorHAnsi" w:cstheme="minorHAnsi"/>
          <w:lang w:bidi="en-US"/>
        </w:rPr>
        <w:t>o</w:t>
      </w:r>
      <w:r w:rsidR="00D379F6" w:rsidRPr="00634713">
        <w:rPr>
          <w:rFonts w:asciiTheme="minorHAnsi" w:hAnsiTheme="minorHAnsi" w:cstheme="minorHAnsi"/>
          <w:lang w:bidi="en-US"/>
        </w:rPr>
        <w:t xml:space="preserve"> can successfully develop and improve  services to </w:t>
      </w:r>
      <w:r w:rsidR="001458DE" w:rsidRPr="00634713">
        <w:rPr>
          <w:rFonts w:asciiTheme="minorHAnsi" w:hAnsiTheme="minorHAnsi" w:cstheme="minorHAnsi"/>
          <w:lang w:bidi="en-US"/>
        </w:rPr>
        <w:t xml:space="preserve">better </w:t>
      </w:r>
      <w:r w:rsidR="00D379F6" w:rsidRPr="00634713">
        <w:rPr>
          <w:rFonts w:asciiTheme="minorHAnsi" w:hAnsiTheme="minorHAnsi" w:cstheme="minorHAnsi"/>
          <w:lang w:bidi="en-US"/>
        </w:rPr>
        <w:t>meet the</w:t>
      </w:r>
      <w:r w:rsidR="001458DE" w:rsidRPr="00634713">
        <w:rPr>
          <w:rFonts w:asciiTheme="minorHAnsi" w:hAnsiTheme="minorHAnsi" w:cstheme="minorHAnsi"/>
          <w:lang w:bidi="en-US"/>
        </w:rPr>
        <w:t>ir support needs while in police detention.</w:t>
      </w:r>
    </w:p>
    <w:p w14:paraId="46FFE027" w14:textId="61471620" w:rsidR="00EE657D" w:rsidRPr="00634713" w:rsidRDefault="00EE657D" w:rsidP="00A42A35">
      <w:pPr>
        <w:spacing w:line="360" w:lineRule="auto"/>
        <w:contextualSpacing/>
        <w:mirrorIndents/>
        <w:jc w:val="both"/>
        <w:rPr>
          <w:rFonts w:asciiTheme="minorHAnsi" w:hAnsiTheme="minorHAnsi" w:cstheme="minorHAnsi"/>
          <w:lang w:bidi="en-US"/>
        </w:rPr>
      </w:pPr>
    </w:p>
    <w:p w14:paraId="7F28C148" w14:textId="77777777" w:rsidR="00EE657D" w:rsidRPr="00634713" w:rsidRDefault="00EE657D" w:rsidP="00A42A35">
      <w:pPr>
        <w:spacing w:line="360" w:lineRule="auto"/>
        <w:contextualSpacing/>
        <w:mirrorIndents/>
        <w:jc w:val="both"/>
        <w:rPr>
          <w:rFonts w:asciiTheme="minorHAnsi" w:hAnsiTheme="minorHAnsi" w:cstheme="minorHAnsi"/>
          <w:lang w:bidi="en-US"/>
        </w:rPr>
      </w:pPr>
    </w:p>
    <w:p w14:paraId="32F5EDA2" w14:textId="77777777" w:rsidR="00A9711C" w:rsidRPr="00634713" w:rsidRDefault="004C0C3F" w:rsidP="00A42A35">
      <w:pPr>
        <w:spacing w:line="360" w:lineRule="auto"/>
        <w:contextualSpacing/>
        <w:mirrorIndents/>
        <w:jc w:val="both"/>
        <w:rPr>
          <w:rFonts w:asciiTheme="minorHAnsi" w:hAnsiTheme="minorHAnsi" w:cstheme="minorHAnsi"/>
          <w:b/>
        </w:rPr>
      </w:pPr>
      <w:r w:rsidRPr="00634713">
        <w:rPr>
          <w:rFonts w:asciiTheme="minorHAnsi" w:hAnsiTheme="minorHAnsi" w:cstheme="minorHAnsi"/>
          <w:b/>
        </w:rPr>
        <w:lastRenderedPageBreak/>
        <w:t>The ‘Service’ and the ‘Service Users’</w:t>
      </w:r>
    </w:p>
    <w:p w14:paraId="1FAA2CE1" w14:textId="60C9D7C3" w:rsidR="004C0C3F" w:rsidRPr="00634713" w:rsidRDefault="004C0C3F" w:rsidP="00A42A35">
      <w:pPr>
        <w:spacing w:line="360" w:lineRule="auto"/>
        <w:contextualSpacing/>
        <w:mirrorIndents/>
        <w:jc w:val="both"/>
        <w:rPr>
          <w:rFonts w:asciiTheme="minorHAnsi" w:hAnsiTheme="minorHAnsi" w:cstheme="minorHAnsi"/>
          <w:b/>
        </w:rPr>
      </w:pPr>
    </w:p>
    <w:p w14:paraId="5339B814" w14:textId="00D7A5DB" w:rsidR="00DA4113" w:rsidRPr="00820CF9" w:rsidRDefault="00FA390F" w:rsidP="008D7F78">
      <w:pPr>
        <w:spacing w:line="360" w:lineRule="auto"/>
        <w:contextualSpacing/>
        <w:mirrorIndents/>
        <w:jc w:val="both"/>
        <w:rPr>
          <w:rFonts w:asciiTheme="minorHAnsi" w:hAnsiTheme="minorHAnsi" w:cstheme="minorHAnsi"/>
          <w:bCs/>
        </w:rPr>
      </w:pPr>
      <w:r w:rsidRPr="00634713">
        <w:rPr>
          <w:rFonts w:asciiTheme="minorHAnsi" w:hAnsiTheme="minorHAnsi" w:cstheme="minorHAnsi"/>
          <w:bCs/>
        </w:rPr>
        <w:t xml:space="preserve">Appropriate Adult </w:t>
      </w:r>
      <w:r w:rsidR="001458DE" w:rsidRPr="00634713">
        <w:rPr>
          <w:rFonts w:asciiTheme="minorHAnsi" w:hAnsiTheme="minorHAnsi" w:cstheme="minorHAnsi"/>
          <w:bCs/>
        </w:rPr>
        <w:t>s</w:t>
      </w:r>
      <w:r w:rsidRPr="00634713">
        <w:rPr>
          <w:rFonts w:asciiTheme="minorHAnsi" w:hAnsiTheme="minorHAnsi" w:cstheme="minorHAnsi"/>
          <w:bCs/>
        </w:rPr>
        <w:t>chemes</w:t>
      </w:r>
      <w:r w:rsidR="00D21F26" w:rsidRPr="00634713">
        <w:rPr>
          <w:rFonts w:asciiTheme="minorHAnsi" w:hAnsiTheme="minorHAnsi" w:cstheme="minorHAnsi"/>
          <w:bCs/>
        </w:rPr>
        <w:t xml:space="preserve"> developed out of the Fisher </w:t>
      </w:r>
      <w:r w:rsidR="00015F5E" w:rsidRPr="00634713">
        <w:rPr>
          <w:rFonts w:asciiTheme="minorHAnsi" w:hAnsiTheme="minorHAnsi" w:cstheme="minorHAnsi"/>
          <w:bCs/>
        </w:rPr>
        <w:t>i</w:t>
      </w:r>
      <w:r w:rsidR="00D21F26" w:rsidRPr="00634713">
        <w:rPr>
          <w:rFonts w:asciiTheme="minorHAnsi" w:hAnsiTheme="minorHAnsi" w:cstheme="minorHAnsi"/>
          <w:bCs/>
        </w:rPr>
        <w:t>nquiry</w:t>
      </w:r>
      <w:r w:rsidR="007639A4" w:rsidRPr="00634713">
        <w:rPr>
          <w:rFonts w:asciiTheme="minorHAnsi" w:hAnsiTheme="minorHAnsi" w:cstheme="minorHAnsi"/>
          <w:bCs/>
        </w:rPr>
        <w:t xml:space="preserve"> which </w:t>
      </w:r>
      <w:r w:rsidR="00255C53" w:rsidRPr="00634713">
        <w:rPr>
          <w:rFonts w:asciiTheme="minorHAnsi" w:hAnsiTheme="minorHAnsi" w:cstheme="minorHAnsi"/>
          <w:bCs/>
        </w:rPr>
        <w:t>highlighted</w:t>
      </w:r>
      <w:r w:rsidR="007639A4" w:rsidRPr="00634713">
        <w:rPr>
          <w:rFonts w:asciiTheme="minorHAnsi" w:hAnsiTheme="minorHAnsi" w:cstheme="minorHAnsi"/>
          <w:bCs/>
        </w:rPr>
        <w:t xml:space="preserve"> a significant miscarriage of justice </w:t>
      </w:r>
      <w:r w:rsidR="007175AA" w:rsidRPr="00634713">
        <w:rPr>
          <w:rFonts w:asciiTheme="minorHAnsi" w:hAnsiTheme="minorHAnsi" w:cstheme="minorHAnsi"/>
        </w:rPr>
        <w:t xml:space="preserve">[R </w:t>
      </w:r>
      <w:r w:rsidR="007175AA" w:rsidRPr="00634713">
        <w:rPr>
          <w:rFonts w:asciiTheme="minorHAnsi" w:hAnsiTheme="minorHAnsi" w:cstheme="minorHAnsi"/>
          <w:lang w:val="en-US"/>
        </w:rPr>
        <w:t xml:space="preserve">v. Lattimore, Salih and Leighton, 1975] </w:t>
      </w:r>
      <w:r w:rsidR="007639A4" w:rsidRPr="00634713">
        <w:rPr>
          <w:rFonts w:asciiTheme="minorHAnsi" w:hAnsiTheme="minorHAnsi" w:cstheme="minorHAnsi"/>
          <w:bCs/>
        </w:rPr>
        <w:t xml:space="preserve">concerning </w:t>
      </w:r>
      <w:r w:rsidR="00255C53" w:rsidRPr="00634713">
        <w:rPr>
          <w:rFonts w:asciiTheme="minorHAnsi" w:hAnsiTheme="minorHAnsi" w:cstheme="minorHAnsi"/>
          <w:bCs/>
        </w:rPr>
        <w:t>young people</w:t>
      </w:r>
      <w:r w:rsidR="007639A4" w:rsidRPr="00634713">
        <w:rPr>
          <w:rFonts w:asciiTheme="minorHAnsi" w:hAnsiTheme="minorHAnsi" w:cstheme="minorHAnsi"/>
          <w:bCs/>
        </w:rPr>
        <w:t xml:space="preserve"> under the age of 16 </w:t>
      </w:r>
      <w:r w:rsidR="00DA4113" w:rsidRPr="00634713">
        <w:rPr>
          <w:rFonts w:asciiTheme="minorHAnsi" w:hAnsiTheme="minorHAnsi" w:cstheme="minorHAnsi"/>
          <w:bCs/>
        </w:rPr>
        <w:t>(Leighton and Salih) and an adult male with a learning disability</w:t>
      </w:r>
      <w:r w:rsidR="00DF1292" w:rsidRPr="00634713">
        <w:rPr>
          <w:rFonts w:asciiTheme="minorHAnsi" w:hAnsiTheme="minorHAnsi" w:cstheme="minorHAnsi"/>
          <w:bCs/>
        </w:rPr>
        <w:t xml:space="preserve"> (Lattimore)</w:t>
      </w:r>
      <w:r w:rsidR="0005012B" w:rsidRPr="00634713">
        <w:rPr>
          <w:rFonts w:asciiTheme="minorHAnsi" w:hAnsiTheme="minorHAnsi" w:cstheme="minorHAnsi"/>
          <w:bCs/>
        </w:rPr>
        <w:t xml:space="preserve"> (</w:t>
      </w:r>
      <w:proofErr w:type="spellStart"/>
      <w:r w:rsidR="0005012B" w:rsidRPr="00634713">
        <w:rPr>
          <w:rFonts w:asciiTheme="minorHAnsi" w:hAnsiTheme="minorHAnsi" w:cstheme="minorHAnsi"/>
          <w:bCs/>
        </w:rPr>
        <w:t>McBarnet</w:t>
      </w:r>
      <w:proofErr w:type="spellEnd"/>
      <w:r w:rsidR="007D7A3D" w:rsidRPr="00634713">
        <w:rPr>
          <w:rFonts w:asciiTheme="minorHAnsi" w:hAnsiTheme="minorHAnsi" w:cstheme="minorHAnsi"/>
          <w:bCs/>
        </w:rPr>
        <w:t>,</w:t>
      </w:r>
      <w:r w:rsidR="0005012B" w:rsidRPr="00634713">
        <w:rPr>
          <w:rFonts w:asciiTheme="minorHAnsi" w:hAnsiTheme="minorHAnsi" w:cstheme="minorHAnsi"/>
          <w:bCs/>
        </w:rPr>
        <w:t xml:space="preserve"> 1978)</w:t>
      </w:r>
      <w:r w:rsidR="00DF1292" w:rsidRPr="00634713">
        <w:rPr>
          <w:rFonts w:asciiTheme="minorHAnsi" w:hAnsiTheme="minorHAnsi" w:cstheme="minorHAnsi"/>
          <w:bCs/>
        </w:rPr>
        <w:t xml:space="preserve">. </w:t>
      </w:r>
      <w:r w:rsidR="009E2C9E" w:rsidRPr="00783766">
        <w:rPr>
          <w:rFonts w:asciiTheme="minorHAnsi" w:hAnsiTheme="minorHAnsi" w:cstheme="minorHAnsi"/>
          <w:bCs/>
        </w:rPr>
        <w:t>The three suspects were convicted of murder</w:t>
      </w:r>
      <w:r w:rsidR="009D4093" w:rsidRPr="00783766">
        <w:rPr>
          <w:rFonts w:asciiTheme="minorHAnsi" w:hAnsiTheme="minorHAnsi" w:cstheme="minorHAnsi"/>
          <w:bCs/>
        </w:rPr>
        <w:t>,</w:t>
      </w:r>
      <w:r w:rsidR="009E2C9E" w:rsidRPr="00783766">
        <w:rPr>
          <w:rFonts w:asciiTheme="minorHAnsi" w:hAnsiTheme="minorHAnsi" w:cstheme="minorHAnsi"/>
          <w:bCs/>
        </w:rPr>
        <w:t xml:space="preserve"> </w:t>
      </w:r>
      <w:r w:rsidR="009D4093" w:rsidRPr="00783766">
        <w:rPr>
          <w:rFonts w:asciiTheme="minorHAnsi" w:hAnsiTheme="minorHAnsi" w:cstheme="minorHAnsi"/>
          <w:bCs/>
        </w:rPr>
        <w:t>however</w:t>
      </w:r>
      <w:r w:rsidR="009E2C9E" w:rsidRPr="00783766">
        <w:rPr>
          <w:rFonts w:asciiTheme="minorHAnsi" w:hAnsiTheme="minorHAnsi" w:cstheme="minorHAnsi"/>
          <w:bCs/>
        </w:rPr>
        <w:t xml:space="preserve"> </w:t>
      </w:r>
      <w:r w:rsidR="001458DE" w:rsidRPr="00783766">
        <w:rPr>
          <w:rFonts w:asciiTheme="minorHAnsi" w:hAnsiTheme="minorHAnsi" w:cstheme="minorHAnsi"/>
          <w:bCs/>
        </w:rPr>
        <w:t xml:space="preserve">on </w:t>
      </w:r>
      <w:r w:rsidR="009E2C9E" w:rsidRPr="00783766">
        <w:rPr>
          <w:rFonts w:asciiTheme="minorHAnsi" w:hAnsiTheme="minorHAnsi" w:cstheme="minorHAnsi"/>
          <w:bCs/>
        </w:rPr>
        <w:t xml:space="preserve">appeal it was recognised that </w:t>
      </w:r>
      <w:r w:rsidR="007D7A3D" w:rsidRPr="00783766">
        <w:rPr>
          <w:rFonts w:asciiTheme="minorHAnsi" w:hAnsiTheme="minorHAnsi" w:cstheme="minorHAnsi"/>
          <w:bCs/>
        </w:rPr>
        <w:t>several</w:t>
      </w:r>
      <w:r w:rsidR="009E2C9E" w:rsidRPr="00783766">
        <w:rPr>
          <w:rFonts w:asciiTheme="minorHAnsi" w:hAnsiTheme="minorHAnsi" w:cstheme="minorHAnsi"/>
          <w:bCs/>
        </w:rPr>
        <w:t xml:space="preserve"> inaccuracies</w:t>
      </w:r>
      <w:r w:rsidR="001D47DE" w:rsidRPr="00783766">
        <w:rPr>
          <w:rFonts w:asciiTheme="minorHAnsi" w:hAnsiTheme="minorHAnsi" w:cstheme="minorHAnsi"/>
          <w:bCs/>
        </w:rPr>
        <w:t xml:space="preserve"> were presented by detainees in their initial confessions</w:t>
      </w:r>
      <w:r w:rsidR="007175AA" w:rsidRPr="00783766">
        <w:rPr>
          <w:rFonts w:asciiTheme="minorHAnsi" w:hAnsiTheme="minorHAnsi" w:cstheme="minorHAnsi"/>
          <w:bCs/>
        </w:rPr>
        <w:t xml:space="preserve"> (</w:t>
      </w:r>
      <w:r w:rsidR="007175AA" w:rsidRPr="00783766">
        <w:rPr>
          <w:rFonts w:ascii="Times New Roman" w:hAnsi="Times New Roman"/>
          <w:lang w:val="en-US"/>
        </w:rPr>
        <w:t>Price and Caplan, 1977)</w:t>
      </w:r>
      <w:r w:rsidR="001D47DE" w:rsidRPr="00783766">
        <w:rPr>
          <w:rFonts w:asciiTheme="minorHAnsi" w:hAnsiTheme="minorHAnsi" w:cstheme="minorHAnsi"/>
          <w:bCs/>
        </w:rPr>
        <w:t xml:space="preserve">. </w:t>
      </w:r>
      <w:r w:rsidR="00255C53" w:rsidRPr="00783766">
        <w:rPr>
          <w:rFonts w:asciiTheme="minorHAnsi" w:hAnsiTheme="minorHAnsi" w:cstheme="minorHAnsi"/>
          <w:bCs/>
        </w:rPr>
        <w:t>F</w:t>
      </w:r>
      <w:r w:rsidR="001D47DE" w:rsidRPr="00783766">
        <w:rPr>
          <w:rFonts w:asciiTheme="minorHAnsi" w:hAnsiTheme="minorHAnsi" w:cstheme="minorHAnsi"/>
          <w:bCs/>
        </w:rPr>
        <w:t>orensic evidence showed that the suspects</w:t>
      </w:r>
      <w:r w:rsidR="00E100C4" w:rsidRPr="00783766">
        <w:rPr>
          <w:rFonts w:asciiTheme="minorHAnsi" w:hAnsiTheme="minorHAnsi" w:cstheme="minorHAnsi"/>
          <w:bCs/>
        </w:rPr>
        <w:t xml:space="preserve"> could not have been in the vicinity when the crime took place (</w:t>
      </w:r>
      <w:proofErr w:type="spellStart"/>
      <w:r w:rsidR="00E100C4" w:rsidRPr="00783766">
        <w:rPr>
          <w:rFonts w:asciiTheme="minorHAnsi" w:hAnsiTheme="minorHAnsi" w:cstheme="minorHAnsi"/>
          <w:bCs/>
        </w:rPr>
        <w:t>McBarnet</w:t>
      </w:r>
      <w:proofErr w:type="spellEnd"/>
      <w:r w:rsidR="007D7A3D" w:rsidRPr="00783766">
        <w:rPr>
          <w:rFonts w:asciiTheme="minorHAnsi" w:hAnsiTheme="minorHAnsi" w:cstheme="minorHAnsi"/>
          <w:bCs/>
        </w:rPr>
        <w:t>,</w:t>
      </w:r>
      <w:r w:rsidR="00E100C4" w:rsidRPr="00783766">
        <w:rPr>
          <w:rFonts w:asciiTheme="minorHAnsi" w:hAnsiTheme="minorHAnsi" w:cstheme="minorHAnsi"/>
          <w:bCs/>
        </w:rPr>
        <w:t xml:space="preserve"> 1978). </w:t>
      </w:r>
      <w:r w:rsidR="008E18A5" w:rsidRPr="00783766">
        <w:rPr>
          <w:rFonts w:asciiTheme="minorHAnsi" w:hAnsiTheme="minorHAnsi" w:cstheme="minorHAnsi"/>
          <w:bCs/>
        </w:rPr>
        <w:t xml:space="preserve">The Fisher </w:t>
      </w:r>
      <w:r w:rsidR="006C45B2" w:rsidRPr="00783766">
        <w:rPr>
          <w:rFonts w:asciiTheme="minorHAnsi" w:hAnsiTheme="minorHAnsi" w:cstheme="minorHAnsi"/>
          <w:bCs/>
        </w:rPr>
        <w:t>i</w:t>
      </w:r>
      <w:r w:rsidR="008E18A5" w:rsidRPr="00783766">
        <w:rPr>
          <w:rFonts w:asciiTheme="minorHAnsi" w:hAnsiTheme="minorHAnsi" w:cstheme="minorHAnsi"/>
          <w:bCs/>
        </w:rPr>
        <w:t xml:space="preserve">nquiry led to a Royal </w:t>
      </w:r>
      <w:r w:rsidR="006C45B2" w:rsidRPr="00783766">
        <w:rPr>
          <w:rFonts w:asciiTheme="minorHAnsi" w:hAnsiTheme="minorHAnsi" w:cstheme="minorHAnsi"/>
          <w:bCs/>
        </w:rPr>
        <w:t>C</w:t>
      </w:r>
      <w:r w:rsidR="008E18A5" w:rsidRPr="00783766">
        <w:rPr>
          <w:rFonts w:asciiTheme="minorHAnsi" w:hAnsiTheme="minorHAnsi" w:cstheme="minorHAnsi"/>
          <w:bCs/>
        </w:rPr>
        <w:t>ommission on criminal procedures (</w:t>
      </w:r>
      <w:r w:rsidR="001458DE" w:rsidRPr="00783766">
        <w:rPr>
          <w:rFonts w:asciiTheme="minorHAnsi" w:hAnsiTheme="minorHAnsi" w:cstheme="minorHAnsi"/>
          <w:bCs/>
        </w:rPr>
        <w:t>T</w:t>
      </w:r>
      <w:r w:rsidR="008E18A5" w:rsidRPr="00783766">
        <w:rPr>
          <w:rFonts w:asciiTheme="minorHAnsi" w:hAnsiTheme="minorHAnsi" w:cstheme="minorHAnsi"/>
          <w:bCs/>
        </w:rPr>
        <w:t>he Philips Commission</w:t>
      </w:r>
      <w:r w:rsidR="007D7A3D" w:rsidRPr="00783766">
        <w:rPr>
          <w:rFonts w:asciiTheme="minorHAnsi" w:hAnsiTheme="minorHAnsi" w:cstheme="minorHAnsi"/>
          <w:bCs/>
        </w:rPr>
        <w:t>,</w:t>
      </w:r>
      <w:r w:rsidR="008E18A5" w:rsidRPr="00783766">
        <w:rPr>
          <w:rFonts w:asciiTheme="minorHAnsi" w:hAnsiTheme="minorHAnsi" w:cstheme="minorHAnsi"/>
          <w:bCs/>
        </w:rPr>
        <w:t xml:space="preserve"> 1981)</w:t>
      </w:r>
      <w:r w:rsidR="008175CB" w:rsidRPr="00783766">
        <w:rPr>
          <w:rFonts w:asciiTheme="minorHAnsi" w:hAnsiTheme="minorHAnsi" w:cstheme="minorHAnsi"/>
          <w:bCs/>
        </w:rPr>
        <w:t xml:space="preserve"> and its recommendations led to the development of the Police and Criminal Evidence Act (PACE</w:t>
      </w:r>
      <w:r w:rsidR="001458DE" w:rsidRPr="00783766">
        <w:rPr>
          <w:rFonts w:asciiTheme="minorHAnsi" w:hAnsiTheme="minorHAnsi" w:cstheme="minorHAnsi"/>
          <w:bCs/>
        </w:rPr>
        <w:t>,</w:t>
      </w:r>
      <w:r w:rsidR="008175CB" w:rsidRPr="00783766">
        <w:rPr>
          <w:rFonts w:asciiTheme="minorHAnsi" w:hAnsiTheme="minorHAnsi" w:cstheme="minorHAnsi"/>
          <w:bCs/>
        </w:rPr>
        <w:t xml:space="preserve"> 1984). </w:t>
      </w:r>
      <w:r w:rsidR="007A045A" w:rsidRPr="00783766">
        <w:rPr>
          <w:rFonts w:asciiTheme="minorHAnsi" w:hAnsiTheme="minorHAnsi" w:cstheme="minorHAnsi"/>
          <w:bCs/>
        </w:rPr>
        <w:t>This act transformed how police conduct interviews</w:t>
      </w:r>
      <w:r w:rsidR="00255C53" w:rsidRPr="00783766">
        <w:rPr>
          <w:rFonts w:asciiTheme="minorHAnsi" w:hAnsiTheme="minorHAnsi" w:cstheme="minorHAnsi"/>
          <w:bCs/>
        </w:rPr>
        <w:t xml:space="preserve"> with suspects</w:t>
      </w:r>
      <w:r w:rsidR="007A045A" w:rsidRPr="00783766">
        <w:rPr>
          <w:rFonts w:asciiTheme="minorHAnsi" w:hAnsiTheme="minorHAnsi" w:cstheme="minorHAnsi"/>
          <w:bCs/>
        </w:rPr>
        <w:t xml:space="preserve">.  </w:t>
      </w:r>
      <w:r w:rsidR="009D4093" w:rsidRPr="00820CF9">
        <w:rPr>
          <w:rFonts w:asciiTheme="minorHAnsi" w:hAnsiTheme="minorHAnsi" w:cstheme="minorHAnsi"/>
          <w:bCs/>
        </w:rPr>
        <w:t>C</w:t>
      </w:r>
      <w:r w:rsidR="00361202" w:rsidRPr="00820CF9">
        <w:rPr>
          <w:rFonts w:asciiTheme="minorHAnsi" w:hAnsiTheme="minorHAnsi" w:cstheme="minorHAnsi"/>
          <w:bCs/>
        </w:rPr>
        <w:t>hildren</w:t>
      </w:r>
      <w:r w:rsidR="00F43EDD" w:rsidRPr="00820CF9">
        <w:rPr>
          <w:rFonts w:asciiTheme="minorHAnsi" w:hAnsiTheme="minorHAnsi" w:cstheme="minorHAnsi"/>
          <w:bCs/>
        </w:rPr>
        <w:t xml:space="preserve"> and adults that are considered vulnerable are </w:t>
      </w:r>
      <w:r w:rsidR="009D4093" w:rsidRPr="00820CF9">
        <w:rPr>
          <w:rFonts w:asciiTheme="minorHAnsi" w:hAnsiTheme="minorHAnsi" w:cstheme="minorHAnsi"/>
          <w:bCs/>
        </w:rPr>
        <w:t xml:space="preserve">now </w:t>
      </w:r>
      <w:r w:rsidR="00F43EDD" w:rsidRPr="00820CF9">
        <w:rPr>
          <w:rFonts w:asciiTheme="minorHAnsi" w:hAnsiTheme="minorHAnsi" w:cstheme="minorHAnsi"/>
          <w:bCs/>
        </w:rPr>
        <w:t xml:space="preserve">required </w:t>
      </w:r>
      <w:r w:rsidR="00255C53" w:rsidRPr="00820CF9">
        <w:rPr>
          <w:rFonts w:asciiTheme="minorHAnsi" w:hAnsiTheme="minorHAnsi" w:cstheme="minorHAnsi"/>
          <w:bCs/>
        </w:rPr>
        <w:t xml:space="preserve">by law to have </w:t>
      </w:r>
      <w:r w:rsidR="00F43EDD" w:rsidRPr="00820CF9">
        <w:rPr>
          <w:rFonts w:asciiTheme="minorHAnsi" w:hAnsiTheme="minorHAnsi" w:cstheme="minorHAnsi"/>
          <w:bCs/>
        </w:rPr>
        <w:t xml:space="preserve">access to an </w:t>
      </w:r>
      <w:r w:rsidR="002F0DF2" w:rsidRPr="00820CF9">
        <w:rPr>
          <w:rFonts w:asciiTheme="minorHAnsi" w:hAnsiTheme="minorHAnsi" w:cstheme="minorHAnsi"/>
          <w:bCs/>
        </w:rPr>
        <w:t>A</w:t>
      </w:r>
      <w:r w:rsidR="00F43EDD" w:rsidRPr="00820CF9">
        <w:rPr>
          <w:rFonts w:asciiTheme="minorHAnsi" w:hAnsiTheme="minorHAnsi" w:cstheme="minorHAnsi"/>
          <w:bCs/>
        </w:rPr>
        <w:t xml:space="preserve">ppropriate </w:t>
      </w:r>
      <w:r w:rsidR="002F0DF2" w:rsidRPr="00820CF9">
        <w:rPr>
          <w:rFonts w:asciiTheme="minorHAnsi" w:hAnsiTheme="minorHAnsi" w:cstheme="minorHAnsi"/>
          <w:bCs/>
        </w:rPr>
        <w:t>A</w:t>
      </w:r>
      <w:r w:rsidR="00F43EDD" w:rsidRPr="00820CF9">
        <w:rPr>
          <w:rFonts w:asciiTheme="minorHAnsi" w:hAnsiTheme="minorHAnsi" w:cstheme="minorHAnsi"/>
          <w:bCs/>
        </w:rPr>
        <w:t>dult</w:t>
      </w:r>
      <w:r w:rsidR="00637609" w:rsidRPr="00820CF9">
        <w:rPr>
          <w:rFonts w:asciiTheme="minorHAnsi" w:hAnsiTheme="minorHAnsi" w:cstheme="minorHAnsi"/>
          <w:bCs/>
        </w:rPr>
        <w:t xml:space="preserve"> (Cummins</w:t>
      </w:r>
      <w:r w:rsidR="007D7A3D" w:rsidRPr="00820CF9">
        <w:rPr>
          <w:rFonts w:asciiTheme="minorHAnsi" w:hAnsiTheme="minorHAnsi" w:cstheme="minorHAnsi"/>
          <w:bCs/>
        </w:rPr>
        <w:t>,</w:t>
      </w:r>
      <w:r w:rsidR="00637609" w:rsidRPr="00820CF9">
        <w:rPr>
          <w:rFonts w:asciiTheme="minorHAnsi" w:hAnsiTheme="minorHAnsi" w:cstheme="minorHAnsi"/>
          <w:bCs/>
        </w:rPr>
        <w:t xml:space="preserve"> 2011). </w:t>
      </w:r>
    </w:p>
    <w:p w14:paraId="2BE83F5E" w14:textId="77777777" w:rsidR="00DF1292" w:rsidRPr="00820CF9" w:rsidRDefault="00DF1292" w:rsidP="00A42A35">
      <w:pPr>
        <w:spacing w:line="360" w:lineRule="auto"/>
        <w:contextualSpacing/>
        <w:mirrorIndents/>
        <w:jc w:val="both"/>
        <w:rPr>
          <w:rFonts w:asciiTheme="minorHAnsi" w:hAnsiTheme="minorHAnsi" w:cstheme="minorHAnsi"/>
        </w:rPr>
      </w:pPr>
    </w:p>
    <w:p w14:paraId="7B50A8DD" w14:textId="71D3FB84" w:rsidR="0054159A" w:rsidRPr="00352D9B" w:rsidRDefault="009D4093" w:rsidP="00A42A35">
      <w:pPr>
        <w:spacing w:line="360" w:lineRule="auto"/>
        <w:contextualSpacing/>
        <w:mirrorIndents/>
        <w:jc w:val="both"/>
        <w:rPr>
          <w:rFonts w:asciiTheme="minorHAnsi" w:hAnsiTheme="minorHAnsi" w:cstheme="minorHAnsi"/>
        </w:rPr>
      </w:pPr>
      <w:r w:rsidRPr="000E4FD0">
        <w:rPr>
          <w:rFonts w:asciiTheme="minorHAnsi" w:hAnsiTheme="minorHAnsi" w:cstheme="minorHAnsi"/>
        </w:rPr>
        <w:t>T</w:t>
      </w:r>
      <w:r w:rsidR="00CE7CC0" w:rsidRPr="000E4FD0">
        <w:rPr>
          <w:rFonts w:asciiTheme="minorHAnsi" w:hAnsiTheme="minorHAnsi" w:cstheme="minorHAnsi"/>
        </w:rPr>
        <w:t xml:space="preserve">he Police </w:t>
      </w:r>
      <w:r w:rsidRPr="000E4FD0">
        <w:rPr>
          <w:rFonts w:asciiTheme="minorHAnsi" w:hAnsiTheme="minorHAnsi" w:cstheme="minorHAnsi"/>
        </w:rPr>
        <w:t xml:space="preserve">and </w:t>
      </w:r>
      <w:r w:rsidR="00CE7CC0" w:rsidRPr="000E4FD0">
        <w:rPr>
          <w:rFonts w:asciiTheme="minorHAnsi" w:hAnsiTheme="minorHAnsi" w:cstheme="minorHAnsi"/>
        </w:rPr>
        <w:t>Criminal Evidence Act (PACE</w:t>
      </w:r>
      <w:r w:rsidR="001458DE" w:rsidRPr="000E4FD0">
        <w:rPr>
          <w:rFonts w:asciiTheme="minorHAnsi" w:hAnsiTheme="minorHAnsi" w:cstheme="minorHAnsi"/>
        </w:rPr>
        <w:t>, 1984</w:t>
      </w:r>
      <w:r w:rsidR="00CE7CC0" w:rsidRPr="000E4FD0">
        <w:rPr>
          <w:rFonts w:asciiTheme="minorHAnsi" w:hAnsiTheme="minorHAnsi" w:cstheme="minorHAnsi"/>
        </w:rPr>
        <w:t>) and its associated codes of practice provided for the role of the ‘Appropriate Adult’ to support ‘vulnerable’ people throughout their time in custody.  This provision is currently largely contained within PACE code C (as updated in</w:t>
      </w:r>
      <w:r w:rsidR="005D4FA8" w:rsidRPr="000E4FD0">
        <w:rPr>
          <w:rFonts w:asciiTheme="minorHAnsi" w:hAnsiTheme="minorHAnsi" w:cstheme="minorHAnsi"/>
        </w:rPr>
        <w:t xml:space="preserve"> 2019</w:t>
      </w:r>
      <w:r w:rsidR="00CE7CC0" w:rsidRPr="000E4FD0">
        <w:rPr>
          <w:rFonts w:asciiTheme="minorHAnsi" w:hAnsiTheme="minorHAnsi" w:cstheme="minorHAnsi"/>
        </w:rPr>
        <w:t xml:space="preserve">) which lays out the </w:t>
      </w:r>
      <w:r w:rsidR="00CE7CC0" w:rsidRPr="000E4FD0">
        <w:rPr>
          <w:rFonts w:asciiTheme="minorHAnsi" w:hAnsiTheme="minorHAnsi" w:cstheme="minorHAnsi"/>
          <w:bCs/>
        </w:rPr>
        <w:t>Code of Practice for the detention, treatment</w:t>
      </w:r>
      <w:r w:rsidR="006C45B2" w:rsidRPr="000E4FD0">
        <w:rPr>
          <w:rFonts w:asciiTheme="minorHAnsi" w:hAnsiTheme="minorHAnsi" w:cstheme="minorHAnsi"/>
          <w:bCs/>
        </w:rPr>
        <w:t>,</w:t>
      </w:r>
      <w:r w:rsidR="00CE7CC0" w:rsidRPr="000E4FD0">
        <w:rPr>
          <w:rFonts w:asciiTheme="minorHAnsi" w:hAnsiTheme="minorHAnsi" w:cstheme="minorHAnsi"/>
          <w:bCs/>
        </w:rPr>
        <w:t xml:space="preserve"> and questioning of </w:t>
      </w:r>
      <w:r w:rsidRPr="000E4FD0">
        <w:rPr>
          <w:rFonts w:asciiTheme="minorHAnsi" w:hAnsiTheme="minorHAnsi" w:cstheme="minorHAnsi"/>
          <w:bCs/>
        </w:rPr>
        <w:t>suspects</w:t>
      </w:r>
      <w:r w:rsidR="00CE7CC0" w:rsidRPr="000E4FD0">
        <w:rPr>
          <w:rFonts w:asciiTheme="minorHAnsi" w:hAnsiTheme="minorHAnsi" w:cstheme="minorHAnsi"/>
          <w:bCs/>
        </w:rPr>
        <w:t xml:space="preserve"> by police officers. </w:t>
      </w:r>
      <w:r w:rsidR="0054159A" w:rsidRPr="00866122">
        <w:rPr>
          <w:rFonts w:asciiTheme="minorHAnsi" w:hAnsiTheme="minorHAnsi" w:cstheme="minorHAnsi"/>
        </w:rPr>
        <w:t xml:space="preserve">People who are identified as being ‘vulnerable’ </w:t>
      </w:r>
      <w:r w:rsidR="007C2FDB" w:rsidRPr="00866122">
        <w:rPr>
          <w:rFonts w:asciiTheme="minorHAnsi" w:hAnsiTheme="minorHAnsi" w:cstheme="minorHAnsi"/>
        </w:rPr>
        <w:t>require</w:t>
      </w:r>
      <w:r w:rsidR="0054159A" w:rsidRPr="00866122">
        <w:rPr>
          <w:rFonts w:asciiTheme="minorHAnsi" w:hAnsiTheme="minorHAnsi" w:cstheme="minorHAnsi"/>
        </w:rPr>
        <w:t xml:space="preserve"> additional protections when </w:t>
      </w:r>
      <w:r w:rsidR="001D1FFE" w:rsidRPr="00866122">
        <w:rPr>
          <w:rFonts w:asciiTheme="minorHAnsi" w:hAnsiTheme="minorHAnsi" w:cstheme="minorHAnsi"/>
        </w:rPr>
        <w:t>encountering</w:t>
      </w:r>
      <w:r w:rsidR="0054159A" w:rsidRPr="00866122">
        <w:rPr>
          <w:rFonts w:asciiTheme="minorHAnsi" w:hAnsiTheme="minorHAnsi" w:cstheme="minorHAnsi"/>
        </w:rPr>
        <w:t xml:space="preserve"> the Criminal Justice System because they face </w:t>
      </w:r>
      <w:r w:rsidR="007C2FDB" w:rsidRPr="00866122">
        <w:rPr>
          <w:rFonts w:asciiTheme="minorHAnsi" w:hAnsiTheme="minorHAnsi" w:cstheme="minorHAnsi"/>
        </w:rPr>
        <w:t xml:space="preserve">an </w:t>
      </w:r>
      <w:r w:rsidR="0054159A" w:rsidRPr="00866122">
        <w:rPr>
          <w:rFonts w:asciiTheme="minorHAnsi" w:hAnsiTheme="minorHAnsi" w:cstheme="minorHAnsi"/>
        </w:rPr>
        <w:t xml:space="preserve">“increased risk of providing information which is inaccurate, unreliable or misleading” (Gudjonsson, 2010). </w:t>
      </w:r>
      <w:r w:rsidR="00D33BB1" w:rsidRPr="00866122">
        <w:rPr>
          <w:rFonts w:asciiTheme="minorHAnsi" w:hAnsiTheme="minorHAnsi" w:cstheme="minorHAnsi"/>
        </w:rPr>
        <w:t>It</w:t>
      </w:r>
      <w:r w:rsidR="00F0580E" w:rsidRPr="00866122">
        <w:rPr>
          <w:rFonts w:asciiTheme="minorHAnsi" w:hAnsiTheme="minorHAnsi" w:cstheme="minorHAnsi"/>
        </w:rPr>
        <w:t xml:space="preserve"> should be noted </w:t>
      </w:r>
      <w:r w:rsidR="00C57E65" w:rsidRPr="00866122">
        <w:rPr>
          <w:rFonts w:asciiTheme="minorHAnsi" w:hAnsiTheme="minorHAnsi" w:cstheme="minorHAnsi"/>
        </w:rPr>
        <w:t xml:space="preserve">that </w:t>
      </w:r>
      <w:r w:rsidR="00F93F4F" w:rsidRPr="00866122">
        <w:rPr>
          <w:rFonts w:asciiTheme="minorHAnsi" w:hAnsiTheme="minorHAnsi" w:cstheme="minorHAnsi"/>
        </w:rPr>
        <w:t>p</w:t>
      </w:r>
      <w:r w:rsidR="0054159A" w:rsidRPr="00866122">
        <w:rPr>
          <w:rFonts w:asciiTheme="minorHAnsi" w:hAnsiTheme="minorHAnsi" w:cstheme="minorHAnsi"/>
        </w:rPr>
        <w:t xml:space="preserve">eople with identified vulnerability under PACE </w:t>
      </w:r>
      <w:r w:rsidRPr="00866122">
        <w:rPr>
          <w:rFonts w:asciiTheme="minorHAnsi" w:hAnsiTheme="minorHAnsi" w:cstheme="minorHAnsi"/>
        </w:rPr>
        <w:t>could be</w:t>
      </w:r>
      <w:r w:rsidR="0054159A" w:rsidRPr="00866122">
        <w:rPr>
          <w:rFonts w:asciiTheme="minorHAnsi" w:hAnsiTheme="minorHAnsi" w:cstheme="minorHAnsi"/>
        </w:rPr>
        <w:t xml:space="preserve"> more likely to </w:t>
      </w:r>
      <w:r w:rsidR="00CE7CC0" w:rsidRPr="00866122">
        <w:rPr>
          <w:rFonts w:asciiTheme="minorHAnsi" w:hAnsiTheme="minorHAnsi" w:cstheme="minorHAnsi"/>
        </w:rPr>
        <w:t xml:space="preserve">be drawn into criminality </w:t>
      </w:r>
      <w:r w:rsidR="0054159A" w:rsidRPr="00866122">
        <w:rPr>
          <w:rFonts w:asciiTheme="minorHAnsi" w:hAnsiTheme="minorHAnsi" w:cstheme="minorHAnsi"/>
        </w:rPr>
        <w:t>than the wider population (</w:t>
      </w:r>
      <w:proofErr w:type="spellStart"/>
      <w:r w:rsidRPr="00866122">
        <w:rPr>
          <w:rFonts w:asciiTheme="minorHAnsi" w:hAnsiTheme="minorHAnsi" w:cstheme="minorHAnsi"/>
        </w:rPr>
        <w:t>Peay</w:t>
      </w:r>
      <w:proofErr w:type="spellEnd"/>
      <w:r w:rsidRPr="00866122">
        <w:rPr>
          <w:rFonts w:asciiTheme="minorHAnsi" w:hAnsiTheme="minorHAnsi" w:cstheme="minorHAnsi"/>
        </w:rPr>
        <w:t>, 2013</w:t>
      </w:r>
      <w:r w:rsidR="0054159A" w:rsidRPr="00866122">
        <w:rPr>
          <w:rFonts w:asciiTheme="minorHAnsi" w:hAnsiTheme="minorHAnsi" w:cstheme="minorHAnsi"/>
        </w:rPr>
        <w:t>)</w:t>
      </w:r>
      <w:r w:rsidR="00835FD0" w:rsidRPr="00866122">
        <w:rPr>
          <w:rFonts w:asciiTheme="minorHAnsi" w:hAnsiTheme="minorHAnsi" w:cstheme="minorHAnsi"/>
        </w:rPr>
        <w:t>;</w:t>
      </w:r>
      <w:r w:rsidR="0054159A" w:rsidRPr="00866122">
        <w:rPr>
          <w:rFonts w:asciiTheme="minorHAnsi" w:hAnsiTheme="minorHAnsi" w:cstheme="minorHAnsi"/>
        </w:rPr>
        <w:t xml:space="preserve"> </w:t>
      </w:r>
      <w:r w:rsidR="00CE7CC0" w:rsidRPr="00866122">
        <w:rPr>
          <w:rFonts w:asciiTheme="minorHAnsi" w:hAnsiTheme="minorHAnsi" w:cstheme="minorHAnsi"/>
        </w:rPr>
        <w:t xml:space="preserve">they </w:t>
      </w:r>
      <w:r w:rsidR="0054159A" w:rsidRPr="00866122">
        <w:rPr>
          <w:rFonts w:asciiTheme="minorHAnsi" w:hAnsiTheme="minorHAnsi" w:cstheme="minorHAnsi"/>
        </w:rPr>
        <w:t xml:space="preserve">may </w:t>
      </w:r>
      <w:r w:rsidR="00CE7CC0" w:rsidRPr="00866122">
        <w:rPr>
          <w:rFonts w:asciiTheme="minorHAnsi" w:hAnsiTheme="minorHAnsi" w:cstheme="minorHAnsi"/>
        </w:rPr>
        <w:t>encounter</w:t>
      </w:r>
      <w:r w:rsidR="0054159A" w:rsidRPr="00866122">
        <w:rPr>
          <w:rFonts w:asciiTheme="minorHAnsi" w:hAnsiTheme="minorHAnsi" w:cstheme="minorHAnsi"/>
        </w:rPr>
        <w:t xml:space="preserve"> difficulty with understanding processes and procedures (Herrington and Roberts, 2012) and when </w:t>
      </w:r>
      <w:r w:rsidR="00CE7CC0" w:rsidRPr="00866122">
        <w:rPr>
          <w:rFonts w:asciiTheme="minorHAnsi" w:hAnsiTheme="minorHAnsi" w:cstheme="minorHAnsi"/>
        </w:rPr>
        <w:t xml:space="preserve">they are </w:t>
      </w:r>
      <w:r w:rsidR="0054159A" w:rsidRPr="00866122">
        <w:rPr>
          <w:rFonts w:asciiTheme="minorHAnsi" w:hAnsiTheme="minorHAnsi" w:cstheme="minorHAnsi"/>
        </w:rPr>
        <w:t xml:space="preserve">interviewed </w:t>
      </w:r>
      <w:r w:rsidR="00CE7CC0" w:rsidRPr="00866122">
        <w:rPr>
          <w:rFonts w:asciiTheme="minorHAnsi" w:hAnsiTheme="minorHAnsi" w:cstheme="minorHAnsi"/>
        </w:rPr>
        <w:t>may</w:t>
      </w:r>
      <w:r w:rsidR="0054159A" w:rsidRPr="00866122">
        <w:rPr>
          <w:rFonts w:asciiTheme="minorHAnsi" w:hAnsiTheme="minorHAnsi" w:cstheme="minorHAnsi"/>
        </w:rPr>
        <w:t xml:space="preserve"> provide unreliable and inaccurate information (Medford </w:t>
      </w:r>
      <w:r w:rsidR="0054159A" w:rsidRPr="00866122">
        <w:rPr>
          <w:rFonts w:asciiTheme="minorHAnsi" w:hAnsiTheme="minorHAnsi" w:cstheme="minorHAnsi"/>
          <w:i/>
        </w:rPr>
        <w:t>et al.</w:t>
      </w:r>
      <w:r w:rsidR="0054159A" w:rsidRPr="00866122">
        <w:rPr>
          <w:rFonts w:asciiTheme="minorHAnsi" w:hAnsiTheme="minorHAnsi" w:cstheme="minorHAnsi"/>
        </w:rPr>
        <w:t xml:space="preserve"> 2003).  </w:t>
      </w:r>
      <w:r w:rsidR="0054159A" w:rsidRPr="00352D9B">
        <w:rPr>
          <w:rFonts w:asciiTheme="minorHAnsi" w:hAnsiTheme="minorHAnsi" w:cstheme="minorHAnsi"/>
        </w:rPr>
        <w:t>The provision of ‘socially desirable’ answers in interviews has also been suggested (Herrington and Roberts, 2012). ‘Mentally vulnerable’ people report that they d</w:t>
      </w:r>
      <w:r w:rsidR="00CE7CC0" w:rsidRPr="00352D9B">
        <w:rPr>
          <w:rFonts w:asciiTheme="minorHAnsi" w:hAnsiTheme="minorHAnsi" w:cstheme="minorHAnsi"/>
        </w:rPr>
        <w:t>o</w:t>
      </w:r>
      <w:r w:rsidR="0054159A" w:rsidRPr="00352D9B">
        <w:rPr>
          <w:rFonts w:asciiTheme="minorHAnsi" w:hAnsiTheme="minorHAnsi" w:cstheme="minorHAnsi"/>
        </w:rPr>
        <w:t xml:space="preserve"> not understand what was happening to them while in custody</w:t>
      </w:r>
      <w:r w:rsidR="00CE7CC0" w:rsidRPr="00352D9B">
        <w:rPr>
          <w:rFonts w:asciiTheme="minorHAnsi" w:hAnsiTheme="minorHAnsi" w:cstheme="minorHAnsi"/>
        </w:rPr>
        <w:t>,</w:t>
      </w:r>
      <w:r w:rsidR="0054159A" w:rsidRPr="00352D9B">
        <w:rPr>
          <w:rFonts w:asciiTheme="minorHAnsi" w:hAnsiTheme="minorHAnsi" w:cstheme="minorHAnsi"/>
        </w:rPr>
        <w:t xml:space="preserve"> or why (Hyun </w:t>
      </w:r>
      <w:r w:rsidR="0054159A" w:rsidRPr="00352D9B">
        <w:rPr>
          <w:rFonts w:asciiTheme="minorHAnsi" w:hAnsiTheme="minorHAnsi" w:cstheme="minorHAnsi"/>
          <w:i/>
        </w:rPr>
        <w:t>et al.,</w:t>
      </w:r>
      <w:r w:rsidR="0054159A" w:rsidRPr="00352D9B">
        <w:rPr>
          <w:rFonts w:asciiTheme="minorHAnsi" w:hAnsiTheme="minorHAnsi" w:cstheme="minorHAnsi"/>
        </w:rPr>
        <w:t xml:space="preserve"> 2014).  Some repor</w:t>
      </w:r>
      <w:r w:rsidR="00CE7CC0" w:rsidRPr="00352D9B">
        <w:rPr>
          <w:rFonts w:asciiTheme="minorHAnsi" w:hAnsiTheme="minorHAnsi" w:cstheme="minorHAnsi"/>
        </w:rPr>
        <w:t>t</w:t>
      </w:r>
      <w:r w:rsidR="0054159A" w:rsidRPr="00352D9B">
        <w:rPr>
          <w:rFonts w:asciiTheme="minorHAnsi" w:hAnsiTheme="minorHAnsi" w:cstheme="minorHAnsi"/>
        </w:rPr>
        <w:t xml:space="preserve"> </w:t>
      </w:r>
      <w:r w:rsidR="00CE7CC0" w:rsidRPr="00352D9B">
        <w:rPr>
          <w:rFonts w:asciiTheme="minorHAnsi" w:hAnsiTheme="minorHAnsi" w:cstheme="minorHAnsi"/>
        </w:rPr>
        <w:t xml:space="preserve">feeling </w:t>
      </w:r>
      <w:r w:rsidR="0054159A" w:rsidRPr="00352D9B">
        <w:rPr>
          <w:rFonts w:asciiTheme="minorHAnsi" w:hAnsiTheme="minorHAnsi" w:cstheme="minorHAnsi"/>
        </w:rPr>
        <w:t xml:space="preserve">lonely and isolated, </w:t>
      </w:r>
      <w:r w:rsidR="00CE7CC0" w:rsidRPr="00352D9B">
        <w:rPr>
          <w:rFonts w:asciiTheme="minorHAnsi" w:hAnsiTheme="minorHAnsi" w:cstheme="minorHAnsi"/>
        </w:rPr>
        <w:t xml:space="preserve">not knowing where </w:t>
      </w:r>
      <w:r w:rsidR="00CE7CC0" w:rsidRPr="00352D9B">
        <w:rPr>
          <w:rFonts w:asciiTheme="minorHAnsi" w:hAnsiTheme="minorHAnsi" w:cstheme="minorHAnsi"/>
        </w:rPr>
        <w:lastRenderedPageBreak/>
        <w:t>to access support</w:t>
      </w:r>
      <w:r w:rsidR="0054159A" w:rsidRPr="00352D9B">
        <w:rPr>
          <w:rFonts w:asciiTheme="minorHAnsi" w:hAnsiTheme="minorHAnsi" w:cstheme="minorHAnsi"/>
        </w:rPr>
        <w:t xml:space="preserve">, and </w:t>
      </w:r>
      <w:r w:rsidR="00CE7CC0" w:rsidRPr="00352D9B">
        <w:rPr>
          <w:rFonts w:asciiTheme="minorHAnsi" w:hAnsiTheme="minorHAnsi" w:cstheme="minorHAnsi"/>
        </w:rPr>
        <w:t xml:space="preserve">not knowing what to do </w:t>
      </w:r>
      <w:r w:rsidR="0054159A" w:rsidRPr="00352D9B">
        <w:rPr>
          <w:rFonts w:asciiTheme="minorHAnsi" w:hAnsiTheme="minorHAnsi" w:cstheme="minorHAnsi"/>
        </w:rPr>
        <w:t xml:space="preserve">(Hyun </w:t>
      </w:r>
      <w:r w:rsidR="0054159A" w:rsidRPr="00352D9B">
        <w:rPr>
          <w:rFonts w:asciiTheme="minorHAnsi" w:hAnsiTheme="minorHAnsi" w:cstheme="minorHAnsi"/>
          <w:i/>
        </w:rPr>
        <w:t>et al.,</w:t>
      </w:r>
      <w:r w:rsidR="0054159A" w:rsidRPr="00352D9B">
        <w:rPr>
          <w:rFonts w:asciiTheme="minorHAnsi" w:hAnsiTheme="minorHAnsi" w:cstheme="minorHAnsi"/>
        </w:rPr>
        <w:t xml:space="preserve"> 2014)</w:t>
      </w:r>
      <w:r w:rsidR="00C44E3C" w:rsidRPr="00352D9B">
        <w:rPr>
          <w:rFonts w:asciiTheme="minorHAnsi" w:hAnsiTheme="minorHAnsi" w:cstheme="minorHAnsi"/>
        </w:rPr>
        <w:t xml:space="preserve"> and have been found to be a</w:t>
      </w:r>
      <w:r w:rsidR="006128DD" w:rsidRPr="00352D9B">
        <w:rPr>
          <w:rFonts w:asciiTheme="minorHAnsi" w:hAnsiTheme="minorHAnsi" w:cstheme="minorHAnsi"/>
        </w:rPr>
        <w:t xml:space="preserve">cquiescent, compliant, suggestible, </w:t>
      </w:r>
      <w:r w:rsidR="00C44E3C" w:rsidRPr="00352D9B">
        <w:rPr>
          <w:rFonts w:asciiTheme="minorHAnsi" w:hAnsiTheme="minorHAnsi" w:cstheme="minorHAnsi"/>
        </w:rPr>
        <w:t xml:space="preserve">and </w:t>
      </w:r>
      <w:r w:rsidR="001D1FFE" w:rsidRPr="00352D9B">
        <w:rPr>
          <w:rFonts w:asciiTheme="minorHAnsi" w:hAnsiTheme="minorHAnsi" w:cstheme="minorHAnsi"/>
        </w:rPr>
        <w:t>self-incriminating</w:t>
      </w:r>
      <w:r w:rsidR="006128DD" w:rsidRPr="00352D9B">
        <w:rPr>
          <w:rFonts w:asciiTheme="minorHAnsi" w:hAnsiTheme="minorHAnsi" w:cstheme="minorHAnsi"/>
        </w:rPr>
        <w:t xml:space="preserve"> (</w:t>
      </w:r>
      <w:r w:rsidR="006128DD" w:rsidRPr="00352D9B">
        <w:rPr>
          <w:rFonts w:asciiTheme="minorHAnsi" w:hAnsiTheme="minorHAnsi" w:cstheme="minorHAnsi"/>
          <w:color w:val="222222"/>
          <w:shd w:val="clear" w:color="auto" w:fill="FFFFFF"/>
        </w:rPr>
        <w:t>Gudjonsson and Joyce, 2011)</w:t>
      </w:r>
      <w:r w:rsidR="001458DE" w:rsidRPr="00352D9B">
        <w:rPr>
          <w:rFonts w:asciiTheme="minorHAnsi" w:hAnsiTheme="minorHAnsi" w:cstheme="minorHAnsi"/>
          <w:color w:val="222222"/>
          <w:shd w:val="clear" w:color="auto" w:fill="FFFFFF"/>
        </w:rPr>
        <w:t>.</w:t>
      </w:r>
    </w:p>
    <w:p w14:paraId="606B201E" w14:textId="77777777" w:rsidR="00985D3B" w:rsidRPr="00352D9B" w:rsidRDefault="00985D3B" w:rsidP="00A42A35">
      <w:pPr>
        <w:pStyle w:val="NormalWeb"/>
        <w:spacing w:before="0" w:beforeAutospacing="0" w:after="0" w:afterAutospacing="0" w:line="360" w:lineRule="auto"/>
        <w:ind w:left="720"/>
        <w:contextualSpacing/>
        <w:mirrorIndents/>
        <w:jc w:val="both"/>
        <w:rPr>
          <w:rFonts w:asciiTheme="minorHAnsi" w:hAnsiTheme="minorHAnsi" w:cstheme="minorHAnsi"/>
          <w:sz w:val="24"/>
          <w:szCs w:val="24"/>
        </w:rPr>
      </w:pPr>
    </w:p>
    <w:p w14:paraId="7BC403D1" w14:textId="77777777" w:rsidR="00982D10" w:rsidRPr="00352D9B" w:rsidRDefault="004C0C3F" w:rsidP="00982D10">
      <w:pPr>
        <w:pStyle w:val="NormalWeb"/>
        <w:spacing w:line="360" w:lineRule="auto"/>
        <w:contextualSpacing/>
        <w:mirrorIndents/>
        <w:jc w:val="both"/>
        <w:rPr>
          <w:rFonts w:asciiTheme="minorHAnsi" w:hAnsiTheme="minorHAnsi" w:cstheme="minorHAnsi"/>
          <w:sz w:val="24"/>
          <w:szCs w:val="24"/>
        </w:rPr>
      </w:pPr>
      <w:r w:rsidRPr="00352D9B">
        <w:rPr>
          <w:rFonts w:asciiTheme="minorHAnsi" w:hAnsiTheme="minorHAnsi" w:cstheme="minorHAnsi"/>
          <w:sz w:val="24"/>
          <w:szCs w:val="24"/>
        </w:rPr>
        <w:t xml:space="preserve">According to </w:t>
      </w:r>
      <w:r w:rsidR="00F20BF4" w:rsidRPr="00352D9B">
        <w:rPr>
          <w:rFonts w:asciiTheme="minorHAnsi" w:hAnsiTheme="minorHAnsi" w:cstheme="minorHAnsi"/>
          <w:sz w:val="24"/>
          <w:szCs w:val="24"/>
        </w:rPr>
        <w:t xml:space="preserve">Code C Para </w:t>
      </w:r>
      <w:r w:rsidR="00985D3B" w:rsidRPr="00352D9B">
        <w:rPr>
          <w:rFonts w:asciiTheme="minorHAnsi" w:hAnsiTheme="minorHAnsi" w:cstheme="minorHAnsi"/>
          <w:sz w:val="24"/>
          <w:szCs w:val="24"/>
        </w:rPr>
        <w:t xml:space="preserve">1.13 </w:t>
      </w:r>
      <w:r w:rsidR="00F20BF4" w:rsidRPr="00352D9B">
        <w:rPr>
          <w:rFonts w:asciiTheme="minorHAnsi" w:hAnsiTheme="minorHAnsi" w:cstheme="minorHAnsi"/>
          <w:sz w:val="24"/>
          <w:szCs w:val="24"/>
        </w:rPr>
        <w:t xml:space="preserve">(d) </w:t>
      </w:r>
      <w:r w:rsidR="00985D3B" w:rsidRPr="00352D9B">
        <w:rPr>
          <w:rFonts w:asciiTheme="minorHAnsi" w:hAnsiTheme="minorHAnsi" w:cstheme="minorHAnsi"/>
          <w:sz w:val="24"/>
          <w:szCs w:val="24"/>
        </w:rPr>
        <w:t>-  </w:t>
      </w:r>
    </w:p>
    <w:p w14:paraId="2283147C" w14:textId="616F0948" w:rsidR="00982D10" w:rsidRPr="00FC3A4F" w:rsidRDefault="00982D10" w:rsidP="00982D10">
      <w:pPr>
        <w:pStyle w:val="NormalWeb"/>
        <w:spacing w:line="360" w:lineRule="auto"/>
        <w:contextualSpacing/>
        <w:mirrorIndents/>
        <w:jc w:val="both"/>
        <w:rPr>
          <w:rFonts w:asciiTheme="minorHAnsi" w:hAnsiTheme="minorHAnsi" w:cstheme="minorHAnsi"/>
          <w:sz w:val="24"/>
          <w:szCs w:val="24"/>
        </w:rPr>
      </w:pPr>
      <w:r w:rsidRPr="00FC3A4F">
        <w:rPr>
          <w:rFonts w:asciiTheme="minorHAnsi" w:hAnsiTheme="minorHAnsi" w:cstheme="minorHAnsi"/>
          <w:sz w:val="24"/>
          <w:szCs w:val="24"/>
        </w:rPr>
        <w:t>‘vulnerable’ applies to any person who, because of a mental health condition or mental disorder (see Notes 1G and 1GB):</w:t>
      </w:r>
    </w:p>
    <w:p w14:paraId="66AE6D66" w14:textId="1BE8762C" w:rsidR="00982D10" w:rsidRPr="00FC3A4F" w:rsidRDefault="00982D10" w:rsidP="00982D10">
      <w:pPr>
        <w:pStyle w:val="NormalWeb"/>
        <w:spacing w:line="360" w:lineRule="auto"/>
        <w:contextualSpacing/>
        <w:mirrorIndents/>
        <w:jc w:val="both"/>
        <w:rPr>
          <w:rFonts w:asciiTheme="minorHAnsi" w:hAnsiTheme="minorHAnsi" w:cstheme="minorHAnsi"/>
          <w:sz w:val="24"/>
          <w:szCs w:val="24"/>
        </w:rPr>
      </w:pPr>
      <w:r w:rsidRPr="00FC3A4F">
        <w:rPr>
          <w:rFonts w:asciiTheme="minorHAnsi" w:hAnsiTheme="minorHAnsi" w:cstheme="minorHAnsi"/>
          <w:sz w:val="24"/>
          <w:szCs w:val="24"/>
        </w:rPr>
        <w:t>(</w:t>
      </w:r>
      <w:proofErr w:type="spellStart"/>
      <w:r w:rsidRPr="00FC3A4F">
        <w:rPr>
          <w:rFonts w:asciiTheme="minorHAnsi" w:hAnsiTheme="minorHAnsi" w:cstheme="minorHAnsi"/>
          <w:sz w:val="24"/>
          <w:szCs w:val="24"/>
        </w:rPr>
        <w:t>i</w:t>
      </w:r>
      <w:proofErr w:type="spellEnd"/>
      <w:r w:rsidRPr="00FC3A4F">
        <w:rPr>
          <w:rFonts w:asciiTheme="minorHAnsi" w:hAnsiTheme="minorHAnsi" w:cstheme="minorHAnsi"/>
          <w:sz w:val="24"/>
          <w:szCs w:val="24"/>
        </w:rPr>
        <w:t>) may have difficulty understanding or communicating effectively about the full</w:t>
      </w:r>
      <w:r w:rsidR="00FC3A4F">
        <w:rPr>
          <w:rFonts w:asciiTheme="minorHAnsi" w:hAnsiTheme="minorHAnsi" w:cstheme="minorHAnsi"/>
          <w:sz w:val="24"/>
          <w:szCs w:val="24"/>
        </w:rPr>
        <w:t xml:space="preserve"> </w:t>
      </w:r>
      <w:r w:rsidRPr="00FC3A4F">
        <w:rPr>
          <w:rFonts w:asciiTheme="minorHAnsi" w:hAnsiTheme="minorHAnsi" w:cstheme="minorHAnsi"/>
          <w:sz w:val="24"/>
          <w:szCs w:val="24"/>
        </w:rPr>
        <w:t>implications for them of any procedures and processes connected with:</w:t>
      </w:r>
    </w:p>
    <w:p w14:paraId="4CA7D25F" w14:textId="77777777" w:rsidR="00982D10" w:rsidRPr="00FC3A4F" w:rsidRDefault="00982D10" w:rsidP="00982D10">
      <w:pPr>
        <w:pStyle w:val="NormalWeb"/>
        <w:spacing w:line="360" w:lineRule="auto"/>
        <w:contextualSpacing/>
        <w:mirrorIndents/>
        <w:jc w:val="both"/>
        <w:rPr>
          <w:rFonts w:asciiTheme="minorHAnsi" w:hAnsiTheme="minorHAnsi" w:cstheme="minorHAnsi"/>
          <w:sz w:val="24"/>
          <w:szCs w:val="24"/>
        </w:rPr>
      </w:pPr>
      <w:r w:rsidRPr="00FC3A4F">
        <w:rPr>
          <w:rFonts w:asciiTheme="minorHAnsi" w:hAnsiTheme="minorHAnsi" w:cstheme="minorHAnsi"/>
          <w:sz w:val="24"/>
          <w:szCs w:val="24"/>
        </w:rPr>
        <w:t>• their arrest and detention; or (as the case may be)</w:t>
      </w:r>
    </w:p>
    <w:p w14:paraId="5D3E6B10" w14:textId="77777777" w:rsidR="00982D10" w:rsidRPr="005D4FA8" w:rsidRDefault="00982D10" w:rsidP="00982D10">
      <w:pPr>
        <w:pStyle w:val="NormalWeb"/>
        <w:spacing w:line="360" w:lineRule="auto"/>
        <w:contextualSpacing/>
        <w:mirrorIndents/>
        <w:jc w:val="both"/>
        <w:rPr>
          <w:rFonts w:asciiTheme="minorHAnsi" w:hAnsiTheme="minorHAnsi" w:cstheme="minorHAnsi"/>
          <w:sz w:val="24"/>
          <w:szCs w:val="24"/>
        </w:rPr>
      </w:pPr>
      <w:r w:rsidRPr="005D4FA8">
        <w:rPr>
          <w:rFonts w:asciiTheme="minorHAnsi" w:hAnsiTheme="minorHAnsi" w:cstheme="minorHAnsi"/>
          <w:sz w:val="24"/>
          <w:szCs w:val="24"/>
        </w:rPr>
        <w:t>• their voluntary attendance at a police station or their presence elsewhere</w:t>
      </w:r>
    </w:p>
    <w:p w14:paraId="3E9E3BE0" w14:textId="77777777" w:rsidR="00982D10" w:rsidRPr="005D4FA8" w:rsidRDefault="00982D10" w:rsidP="00982D10">
      <w:pPr>
        <w:pStyle w:val="NormalWeb"/>
        <w:spacing w:line="360" w:lineRule="auto"/>
        <w:contextualSpacing/>
        <w:mirrorIndents/>
        <w:jc w:val="both"/>
        <w:rPr>
          <w:rFonts w:asciiTheme="minorHAnsi" w:hAnsiTheme="minorHAnsi" w:cstheme="minorHAnsi"/>
          <w:sz w:val="24"/>
          <w:szCs w:val="24"/>
        </w:rPr>
      </w:pPr>
      <w:r w:rsidRPr="005D4FA8">
        <w:rPr>
          <w:rFonts w:asciiTheme="minorHAnsi" w:hAnsiTheme="minorHAnsi" w:cstheme="minorHAnsi"/>
          <w:sz w:val="24"/>
          <w:szCs w:val="24"/>
        </w:rPr>
        <w:t>(see paragraph 3.21), for the purpose of a voluntary interview; and</w:t>
      </w:r>
    </w:p>
    <w:p w14:paraId="576BCBE7" w14:textId="77777777" w:rsidR="00982D10" w:rsidRPr="005D4FA8" w:rsidRDefault="00982D10" w:rsidP="00982D10">
      <w:pPr>
        <w:pStyle w:val="NormalWeb"/>
        <w:spacing w:line="360" w:lineRule="auto"/>
        <w:contextualSpacing/>
        <w:mirrorIndents/>
        <w:jc w:val="both"/>
        <w:rPr>
          <w:rFonts w:asciiTheme="minorHAnsi" w:hAnsiTheme="minorHAnsi" w:cstheme="minorHAnsi"/>
          <w:sz w:val="24"/>
          <w:szCs w:val="24"/>
        </w:rPr>
      </w:pPr>
      <w:r w:rsidRPr="005D4FA8">
        <w:rPr>
          <w:rFonts w:asciiTheme="minorHAnsi" w:hAnsiTheme="minorHAnsi" w:cstheme="minorHAnsi"/>
          <w:sz w:val="24"/>
          <w:szCs w:val="24"/>
        </w:rPr>
        <w:t>• the exercise of their rights and entitlements.</w:t>
      </w:r>
    </w:p>
    <w:p w14:paraId="5D7A3A5A" w14:textId="77777777" w:rsidR="00982D10" w:rsidRPr="005D4FA8" w:rsidRDefault="00982D10" w:rsidP="00982D10">
      <w:pPr>
        <w:pStyle w:val="NormalWeb"/>
        <w:spacing w:line="360" w:lineRule="auto"/>
        <w:contextualSpacing/>
        <w:mirrorIndents/>
        <w:jc w:val="both"/>
        <w:rPr>
          <w:rFonts w:asciiTheme="minorHAnsi" w:hAnsiTheme="minorHAnsi" w:cstheme="minorHAnsi"/>
          <w:sz w:val="24"/>
          <w:szCs w:val="24"/>
        </w:rPr>
      </w:pPr>
      <w:r w:rsidRPr="005D4FA8">
        <w:rPr>
          <w:rFonts w:asciiTheme="minorHAnsi" w:hAnsiTheme="minorHAnsi" w:cstheme="minorHAnsi"/>
          <w:sz w:val="24"/>
          <w:szCs w:val="24"/>
        </w:rPr>
        <w:t>(ii) does not appear to understand the significance of what they are told, of</w:t>
      </w:r>
    </w:p>
    <w:p w14:paraId="351D7BF1" w14:textId="27ADB4CA" w:rsidR="00982D10" w:rsidRPr="005D4FA8" w:rsidRDefault="00982D10" w:rsidP="00982D10">
      <w:pPr>
        <w:pStyle w:val="NormalWeb"/>
        <w:spacing w:line="360" w:lineRule="auto"/>
        <w:contextualSpacing/>
        <w:mirrorIndents/>
        <w:jc w:val="both"/>
        <w:rPr>
          <w:rFonts w:asciiTheme="minorHAnsi" w:hAnsiTheme="minorHAnsi" w:cstheme="minorHAnsi"/>
          <w:sz w:val="24"/>
          <w:szCs w:val="24"/>
        </w:rPr>
      </w:pPr>
      <w:r w:rsidRPr="005D4FA8">
        <w:rPr>
          <w:rFonts w:asciiTheme="minorHAnsi" w:hAnsiTheme="minorHAnsi" w:cstheme="minorHAnsi"/>
          <w:sz w:val="24"/>
          <w:szCs w:val="24"/>
        </w:rPr>
        <w:t>questions they are asked or of their:</w:t>
      </w:r>
    </w:p>
    <w:p w14:paraId="47289FF2" w14:textId="77777777" w:rsidR="00982D10" w:rsidRPr="005D4FA8" w:rsidRDefault="00982D10" w:rsidP="00982D10">
      <w:pPr>
        <w:pStyle w:val="NormalWeb"/>
        <w:spacing w:line="360" w:lineRule="auto"/>
        <w:contextualSpacing/>
        <w:mirrorIndents/>
        <w:jc w:val="both"/>
        <w:rPr>
          <w:rFonts w:asciiTheme="minorHAnsi" w:hAnsiTheme="minorHAnsi" w:cstheme="minorHAnsi"/>
          <w:sz w:val="24"/>
          <w:szCs w:val="24"/>
        </w:rPr>
      </w:pPr>
      <w:r w:rsidRPr="005D4FA8">
        <w:rPr>
          <w:rFonts w:asciiTheme="minorHAnsi" w:hAnsiTheme="minorHAnsi" w:cstheme="minorHAnsi"/>
          <w:sz w:val="24"/>
          <w:szCs w:val="24"/>
        </w:rPr>
        <w:t>(iii) appears to be particularly prone to:</w:t>
      </w:r>
    </w:p>
    <w:p w14:paraId="7C8CE71E" w14:textId="77777777" w:rsidR="00982D10" w:rsidRPr="005D4FA8" w:rsidRDefault="00982D10" w:rsidP="00982D10">
      <w:pPr>
        <w:pStyle w:val="NormalWeb"/>
        <w:spacing w:line="360" w:lineRule="auto"/>
        <w:contextualSpacing/>
        <w:mirrorIndents/>
        <w:jc w:val="both"/>
        <w:rPr>
          <w:rFonts w:asciiTheme="minorHAnsi" w:hAnsiTheme="minorHAnsi" w:cstheme="minorHAnsi"/>
          <w:sz w:val="24"/>
          <w:szCs w:val="24"/>
        </w:rPr>
      </w:pPr>
      <w:r w:rsidRPr="005D4FA8">
        <w:rPr>
          <w:rFonts w:asciiTheme="minorHAnsi" w:hAnsiTheme="minorHAnsi" w:cstheme="minorHAnsi"/>
          <w:sz w:val="24"/>
          <w:szCs w:val="24"/>
        </w:rPr>
        <w:t>• becoming confused and unclear about their position;</w:t>
      </w:r>
    </w:p>
    <w:p w14:paraId="448B72CB" w14:textId="77777777" w:rsidR="00982D10" w:rsidRPr="005D4FA8" w:rsidRDefault="00982D10" w:rsidP="00982D10">
      <w:pPr>
        <w:pStyle w:val="NormalWeb"/>
        <w:spacing w:line="360" w:lineRule="auto"/>
        <w:contextualSpacing/>
        <w:mirrorIndents/>
        <w:jc w:val="both"/>
        <w:rPr>
          <w:rFonts w:asciiTheme="minorHAnsi" w:hAnsiTheme="minorHAnsi" w:cstheme="minorHAnsi"/>
          <w:sz w:val="24"/>
          <w:szCs w:val="24"/>
        </w:rPr>
      </w:pPr>
      <w:r w:rsidRPr="005D4FA8">
        <w:rPr>
          <w:rFonts w:asciiTheme="minorHAnsi" w:hAnsiTheme="minorHAnsi" w:cstheme="minorHAnsi"/>
          <w:sz w:val="24"/>
          <w:szCs w:val="24"/>
        </w:rPr>
        <w:t>• providing unreliable, misleading or incriminating information without knowing</w:t>
      </w:r>
    </w:p>
    <w:p w14:paraId="34BFAA31" w14:textId="77777777" w:rsidR="00982D10" w:rsidRPr="005D4FA8" w:rsidRDefault="00982D10" w:rsidP="00982D10">
      <w:pPr>
        <w:pStyle w:val="NormalWeb"/>
        <w:spacing w:line="360" w:lineRule="auto"/>
        <w:contextualSpacing/>
        <w:mirrorIndents/>
        <w:jc w:val="both"/>
        <w:rPr>
          <w:rFonts w:asciiTheme="minorHAnsi" w:hAnsiTheme="minorHAnsi" w:cstheme="minorHAnsi"/>
          <w:sz w:val="24"/>
          <w:szCs w:val="24"/>
        </w:rPr>
      </w:pPr>
      <w:r w:rsidRPr="005D4FA8">
        <w:rPr>
          <w:rFonts w:asciiTheme="minorHAnsi" w:hAnsiTheme="minorHAnsi" w:cstheme="minorHAnsi"/>
          <w:sz w:val="24"/>
          <w:szCs w:val="24"/>
        </w:rPr>
        <w:t>or wishing to do so;</w:t>
      </w:r>
    </w:p>
    <w:p w14:paraId="37F0E87A" w14:textId="77777777" w:rsidR="00982D10" w:rsidRPr="005D4FA8" w:rsidRDefault="00982D10" w:rsidP="00982D10">
      <w:pPr>
        <w:pStyle w:val="NormalWeb"/>
        <w:spacing w:line="360" w:lineRule="auto"/>
        <w:contextualSpacing/>
        <w:mirrorIndents/>
        <w:jc w:val="both"/>
        <w:rPr>
          <w:rFonts w:asciiTheme="minorHAnsi" w:hAnsiTheme="minorHAnsi" w:cstheme="minorHAnsi"/>
          <w:sz w:val="24"/>
          <w:szCs w:val="24"/>
        </w:rPr>
      </w:pPr>
      <w:r w:rsidRPr="005D4FA8">
        <w:rPr>
          <w:rFonts w:asciiTheme="minorHAnsi" w:hAnsiTheme="minorHAnsi" w:cstheme="minorHAnsi"/>
          <w:sz w:val="24"/>
          <w:szCs w:val="24"/>
        </w:rPr>
        <w:t>• accepting or acting on suggestions from others without consciously knowing</w:t>
      </w:r>
    </w:p>
    <w:p w14:paraId="30135F85" w14:textId="1063C19C" w:rsidR="00982D10" w:rsidRPr="005D4FA8" w:rsidRDefault="00982D10" w:rsidP="00982D10">
      <w:pPr>
        <w:pStyle w:val="NormalWeb"/>
        <w:spacing w:line="360" w:lineRule="auto"/>
        <w:contextualSpacing/>
        <w:mirrorIndents/>
        <w:jc w:val="both"/>
        <w:rPr>
          <w:rFonts w:asciiTheme="minorHAnsi" w:hAnsiTheme="minorHAnsi" w:cstheme="minorHAnsi"/>
          <w:sz w:val="24"/>
          <w:szCs w:val="24"/>
        </w:rPr>
      </w:pPr>
      <w:r w:rsidRPr="005D4FA8">
        <w:rPr>
          <w:rFonts w:asciiTheme="minorHAnsi" w:hAnsiTheme="minorHAnsi" w:cstheme="minorHAnsi"/>
          <w:sz w:val="24"/>
          <w:szCs w:val="24"/>
        </w:rPr>
        <w:t>or wishing to do so; or replies</w:t>
      </w:r>
    </w:p>
    <w:p w14:paraId="0A650226" w14:textId="77FE3A8A" w:rsidR="007D5A32" w:rsidRPr="005D4FA8" w:rsidRDefault="00982D10" w:rsidP="00982D10">
      <w:pPr>
        <w:pStyle w:val="NormalWeb"/>
        <w:spacing w:before="0" w:beforeAutospacing="0" w:after="0" w:afterAutospacing="0" w:line="360" w:lineRule="auto"/>
        <w:contextualSpacing/>
        <w:mirrorIndents/>
        <w:jc w:val="both"/>
        <w:rPr>
          <w:rFonts w:asciiTheme="minorHAnsi" w:hAnsiTheme="minorHAnsi" w:cstheme="minorHAnsi"/>
          <w:sz w:val="24"/>
          <w:szCs w:val="24"/>
        </w:rPr>
      </w:pPr>
      <w:r w:rsidRPr="005D4FA8">
        <w:rPr>
          <w:rFonts w:asciiTheme="minorHAnsi" w:hAnsiTheme="minorHAnsi" w:cstheme="minorHAnsi"/>
          <w:sz w:val="24"/>
          <w:szCs w:val="24"/>
        </w:rPr>
        <w:t>• readily agreeing to suggestions or proposals without any protest or question</w:t>
      </w:r>
      <w:r w:rsidR="00985D3B" w:rsidRPr="005D4FA8">
        <w:rPr>
          <w:rFonts w:asciiTheme="minorHAnsi" w:hAnsiTheme="minorHAnsi" w:cstheme="minorHAnsi"/>
          <w:sz w:val="24"/>
          <w:szCs w:val="24"/>
        </w:rPr>
        <w:t xml:space="preserve"> </w:t>
      </w:r>
    </w:p>
    <w:p w14:paraId="6F18A5A8" w14:textId="4A0DE209" w:rsidR="00982D10" w:rsidRPr="005D4FA8" w:rsidRDefault="00982D10" w:rsidP="00982D10">
      <w:pPr>
        <w:pStyle w:val="NormalWeb"/>
        <w:spacing w:before="0" w:beforeAutospacing="0" w:after="0" w:afterAutospacing="0" w:line="360" w:lineRule="auto"/>
        <w:contextualSpacing/>
        <w:mirrorIndents/>
        <w:jc w:val="both"/>
        <w:rPr>
          <w:rFonts w:asciiTheme="minorHAnsi" w:hAnsiTheme="minorHAnsi" w:cstheme="minorHAnsi"/>
          <w:sz w:val="24"/>
          <w:szCs w:val="24"/>
        </w:rPr>
      </w:pPr>
      <w:r w:rsidRPr="005D4FA8">
        <w:rPr>
          <w:rFonts w:asciiTheme="minorHAnsi" w:hAnsiTheme="minorHAnsi" w:cstheme="minorHAnsi"/>
          <w:sz w:val="24"/>
          <w:szCs w:val="24"/>
        </w:rPr>
        <w:t>(PACE Code C as amended 2019)</w:t>
      </w:r>
    </w:p>
    <w:p w14:paraId="60101DDB" w14:textId="77777777" w:rsidR="007D5A32" w:rsidRPr="004607A7" w:rsidRDefault="007D5A32" w:rsidP="00A42A35">
      <w:pPr>
        <w:spacing w:line="360" w:lineRule="auto"/>
        <w:contextualSpacing/>
        <w:mirrorIndents/>
        <w:jc w:val="both"/>
        <w:rPr>
          <w:rFonts w:asciiTheme="minorHAnsi" w:hAnsiTheme="minorHAnsi" w:cstheme="minorHAnsi"/>
        </w:rPr>
      </w:pPr>
    </w:p>
    <w:p w14:paraId="389C2428" w14:textId="47DE8ED8" w:rsidR="00A556E8" w:rsidRPr="00C80FD9" w:rsidRDefault="00985D3B" w:rsidP="00A42A35">
      <w:pPr>
        <w:spacing w:line="360" w:lineRule="auto"/>
        <w:contextualSpacing/>
        <w:mirrorIndents/>
        <w:jc w:val="both"/>
        <w:rPr>
          <w:rFonts w:asciiTheme="minorHAnsi" w:hAnsiTheme="minorHAnsi" w:cstheme="minorHAnsi"/>
        </w:rPr>
      </w:pPr>
      <w:r w:rsidRPr="00C80FD9">
        <w:rPr>
          <w:rFonts w:asciiTheme="minorHAnsi" w:hAnsiTheme="minorHAnsi" w:cstheme="minorHAnsi"/>
        </w:rPr>
        <w:t>Vulnerabilities seldom occur in isolation</w:t>
      </w:r>
      <w:r w:rsidR="00AF2BED" w:rsidRPr="00C80FD9">
        <w:rPr>
          <w:rFonts w:asciiTheme="minorHAnsi" w:hAnsiTheme="minorHAnsi" w:cstheme="minorHAnsi"/>
        </w:rPr>
        <w:t>,</w:t>
      </w:r>
      <w:r w:rsidRPr="00C80FD9">
        <w:rPr>
          <w:rFonts w:asciiTheme="minorHAnsi" w:hAnsiTheme="minorHAnsi" w:cstheme="minorHAnsi"/>
        </w:rPr>
        <w:t xml:space="preserve"> but rather</w:t>
      </w:r>
      <w:r w:rsidR="009D4093" w:rsidRPr="00C80FD9">
        <w:rPr>
          <w:rFonts w:asciiTheme="minorHAnsi" w:hAnsiTheme="minorHAnsi" w:cstheme="minorHAnsi"/>
        </w:rPr>
        <w:t>,</w:t>
      </w:r>
      <w:r w:rsidRPr="00C80FD9">
        <w:rPr>
          <w:rFonts w:asciiTheme="minorHAnsi" w:hAnsiTheme="minorHAnsi" w:cstheme="minorHAnsi"/>
        </w:rPr>
        <w:t xml:space="preserve"> often occur </w:t>
      </w:r>
      <w:r w:rsidR="00AF2BED" w:rsidRPr="00C80FD9">
        <w:rPr>
          <w:rFonts w:asciiTheme="minorHAnsi" w:hAnsiTheme="minorHAnsi" w:cstheme="minorHAnsi"/>
        </w:rPr>
        <w:t xml:space="preserve">simultaneously, </w:t>
      </w:r>
      <w:r w:rsidRPr="00C80FD9">
        <w:rPr>
          <w:rFonts w:asciiTheme="minorHAnsi" w:hAnsiTheme="minorHAnsi" w:cstheme="minorHAnsi"/>
        </w:rPr>
        <w:t>meaning that vulnerable people</w:t>
      </w:r>
      <w:r w:rsidR="00F20BF4" w:rsidRPr="00C80FD9">
        <w:rPr>
          <w:rFonts w:asciiTheme="minorHAnsi" w:hAnsiTheme="minorHAnsi" w:cstheme="minorHAnsi"/>
        </w:rPr>
        <w:t xml:space="preserve"> </w:t>
      </w:r>
      <w:r w:rsidR="00DA6E12" w:rsidRPr="00C80FD9">
        <w:rPr>
          <w:rFonts w:asciiTheme="minorHAnsi" w:hAnsiTheme="minorHAnsi" w:cstheme="minorHAnsi"/>
        </w:rPr>
        <w:t xml:space="preserve">can have </w:t>
      </w:r>
      <w:r w:rsidR="00AF2BED" w:rsidRPr="00C80FD9">
        <w:rPr>
          <w:rFonts w:asciiTheme="minorHAnsi" w:hAnsiTheme="minorHAnsi" w:cstheme="minorHAnsi"/>
        </w:rPr>
        <w:t xml:space="preserve">multiple and complex support needs </w:t>
      </w:r>
      <w:r w:rsidR="004D1CD2" w:rsidRPr="00C80FD9">
        <w:rPr>
          <w:rFonts w:asciiTheme="minorHAnsi" w:hAnsiTheme="minorHAnsi" w:cstheme="minorHAnsi"/>
        </w:rPr>
        <w:t xml:space="preserve">(Finn </w:t>
      </w:r>
      <w:r w:rsidR="004D1CD2" w:rsidRPr="00C80FD9">
        <w:rPr>
          <w:rFonts w:asciiTheme="minorHAnsi" w:hAnsiTheme="minorHAnsi" w:cstheme="minorHAnsi"/>
          <w:i/>
          <w:iCs/>
        </w:rPr>
        <w:t>et al</w:t>
      </w:r>
      <w:r w:rsidR="001458DE" w:rsidRPr="00C80FD9">
        <w:rPr>
          <w:rFonts w:asciiTheme="minorHAnsi" w:hAnsiTheme="minorHAnsi" w:cstheme="minorHAnsi"/>
          <w:i/>
          <w:iCs/>
        </w:rPr>
        <w:t>.</w:t>
      </w:r>
      <w:r w:rsidR="004D1CD2" w:rsidRPr="00C80FD9">
        <w:rPr>
          <w:rFonts w:asciiTheme="minorHAnsi" w:hAnsiTheme="minorHAnsi" w:cstheme="minorHAnsi"/>
          <w:i/>
          <w:iCs/>
        </w:rPr>
        <w:t>,</w:t>
      </w:r>
      <w:r w:rsidR="004D1CD2" w:rsidRPr="00C80FD9">
        <w:rPr>
          <w:rFonts w:asciiTheme="minorHAnsi" w:hAnsiTheme="minorHAnsi" w:cstheme="minorHAnsi"/>
        </w:rPr>
        <w:t xml:space="preserve"> 2000</w:t>
      </w:r>
      <w:r w:rsidR="006668F3" w:rsidRPr="00C80FD9">
        <w:rPr>
          <w:rFonts w:asciiTheme="minorHAnsi" w:hAnsiTheme="minorHAnsi" w:cstheme="minorHAnsi"/>
        </w:rPr>
        <w:t xml:space="preserve">; McKinnon </w:t>
      </w:r>
      <w:r w:rsidR="006668F3" w:rsidRPr="00C80FD9">
        <w:rPr>
          <w:rFonts w:asciiTheme="minorHAnsi" w:hAnsiTheme="minorHAnsi" w:cstheme="minorHAnsi"/>
          <w:i/>
          <w:iCs/>
        </w:rPr>
        <w:t>et al</w:t>
      </w:r>
      <w:r w:rsidR="001458DE" w:rsidRPr="00C80FD9">
        <w:rPr>
          <w:rFonts w:asciiTheme="minorHAnsi" w:hAnsiTheme="minorHAnsi" w:cstheme="minorHAnsi"/>
          <w:i/>
          <w:iCs/>
        </w:rPr>
        <w:t>.</w:t>
      </w:r>
      <w:r w:rsidR="006668F3" w:rsidRPr="00C80FD9">
        <w:rPr>
          <w:rFonts w:asciiTheme="minorHAnsi" w:hAnsiTheme="minorHAnsi" w:cstheme="minorHAnsi"/>
          <w:i/>
          <w:iCs/>
        </w:rPr>
        <w:t>,</w:t>
      </w:r>
      <w:r w:rsidR="006668F3" w:rsidRPr="00C80FD9">
        <w:rPr>
          <w:rFonts w:asciiTheme="minorHAnsi" w:hAnsiTheme="minorHAnsi" w:cstheme="minorHAnsi"/>
        </w:rPr>
        <w:t xml:space="preserve"> 2016</w:t>
      </w:r>
      <w:r w:rsidR="004D1CD2" w:rsidRPr="00C80FD9">
        <w:rPr>
          <w:rFonts w:asciiTheme="minorHAnsi" w:hAnsiTheme="minorHAnsi" w:cstheme="minorHAnsi"/>
        </w:rPr>
        <w:t>)</w:t>
      </w:r>
      <w:r w:rsidRPr="00C80FD9">
        <w:rPr>
          <w:rFonts w:asciiTheme="minorHAnsi" w:hAnsiTheme="minorHAnsi" w:cstheme="minorHAnsi"/>
        </w:rPr>
        <w:t>.</w:t>
      </w:r>
      <w:r w:rsidR="00DA6E12" w:rsidRPr="00C80FD9">
        <w:rPr>
          <w:rFonts w:asciiTheme="minorHAnsi" w:hAnsiTheme="minorHAnsi" w:cstheme="minorHAnsi"/>
        </w:rPr>
        <w:t xml:space="preserve">  These support needs often go beyond the requirements of PACE and the provision that is </w:t>
      </w:r>
      <w:r w:rsidR="0054159A" w:rsidRPr="00C80FD9">
        <w:rPr>
          <w:rFonts w:asciiTheme="minorHAnsi" w:hAnsiTheme="minorHAnsi" w:cstheme="minorHAnsi"/>
        </w:rPr>
        <w:t>available (Peacock and Cosgrove</w:t>
      </w:r>
      <w:r w:rsidR="00DA6E12" w:rsidRPr="00C80FD9">
        <w:rPr>
          <w:rFonts w:asciiTheme="minorHAnsi" w:hAnsiTheme="minorHAnsi" w:cstheme="minorHAnsi"/>
        </w:rPr>
        <w:t>,</w:t>
      </w:r>
      <w:r w:rsidR="0054159A" w:rsidRPr="00C80FD9">
        <w:rPr>
          <w:rFonts w:asciiTheme="minorHAnsi" w:hAnsiTheme="minorHAnsi" w:cstheme="minorHAnsi"/>
        </w:rPr>
        <w:t xml:space="preserve"> </w:t>
      </w:r>
      <w:r w:rsidR="00DA6E12" w:rsidRPr="00C80FD9">
        <w:rPr>
          <w:rFonts w:asciiTheme="minorHAnsi" w:hAnsiTheme="minorHAnsi" w:cstheme="minorHAnsi"/>
        </w:rPr>
        <w:t xml:space="preserve">2018; </w:t>
      </w:r>
      <w:proofErr w:type="spellStart"/>
      <w:r w:rsidR="00DA6E12" w:rsidRPr="00C80FD9">
        <w:rPr>
          <w:rFonts w:asciiTheme="minorHAnsi" w:hAnsiTheme="minorHAnsi" w:cstheme="minorHAnsi"/>
        </w:rPr>
        <w:t>Jessiman</w:t>
      </w:r>
      <w:proofErr w:type="spellEnd"/>
      <w:r w:rsidR="00DA6E12" w:rsidRPr="00C80FD9">
        <w:rPr>
          <w:rFonts w:asciiTheme="minorHAnsi" w:hAnsiTheme="minorHAnsi" w:cstheme="minorHAnsi"/>
        </w:rPr>
        <w:t xml:space="preserve"> and Cameron, 2017).</w:t>
      </w:r>
      <w:r w:rsidR="007C2FDB" w:rsidRPr="00C80FD9">
        <w:rPr>
          <w:rFonts w:asciiTheme="minorHAnsi" w:hAnsiTheme="minorHAnsi" w:cstheme="minorHAnsi"/>
        </w:rPr>
        <w:t xml:space="preserve"> </w:t>
      </w:r>
      <w:r w:rsidR="00A556E8" w:rsidRPr="00C80FD9">
        <w:rPr>
          <w:rFonts w:asciiTheme="minorHAnsi" w:hAnsiTheme="minorHAnsi" w:cstheme="minorHAnsi"/>
        </w:rPr>
        <w:t xml:space="preserve">It is recommended by Her Majesty’s Inspectorate of </w:t>
      </w:r>
      <w:r w:rsidR="004607A7" w:rsidRPr="00C80FD9">
        <w:rPr>
          <w:rFonts w:asciiTheme="minorHAnsi" w:hAnsiTheme="minorHAnsi" w:cstheme="minorHAnsi"/>
        </w:rPr>
        <w:t xml:space="preserve">Probation (HMIP) </w:t>
      </w:r>
      <w:r w:rsidR="00A556E8" w:rsidRPr="00C80FD9">
        <w:rPr>
          <w:rFonts w:asciiTheme="minorHAnsi" w:hAnsiTheme="minorHAnsi" w:cstheme="minorHAnsi"/>
        </w:rPr>
        <w:t>that police forces should:</w:t>
      </w:r>
    </w:p>
    <w:p w14:paraId="5923D478" w14:textId="77777777" w:rsidR="00A556E8" w:rsidRPr="00C80FD9" w:rsidRDefault="00A556E8" w:rsidP="00A42A35">
      <w:pPr>
        <w:spacing w:line="360" w:lineRule="auto"/>
        <w:ind w:left="720"/>
        <w:contextualSpacing/>
        <w:mirrorIndents/>
        <w:jc w:val="both"/>
        <w:rPr>
          <w:rFonts w:asciiTheme="minorHAnsi" w:hAnsiTheme="minorHAnsi" w:cstheme="minorHAnsi"/>
        </w:rPr>
      </w:pPr>
    </w:p>
    <w:p w14:paraId="4E9AD370" w14:textId="58F5A2B1" w:rsidR="00A556E8" w:rsidRPr="00A52DE3" w:rsidRDefault="00A556E8" w:rsidP="00A42A35">
      <w:pPr>
        <w:spacing w:line="360" w:lineRule="auto"/>
        <w:ind w:left="567" w:right="567"/>
        <w:contextualSpacing/>
        <w:mirrorIndents/>
        <w:jc w:val="both"/>
        <w:rPr>
          <w:rFonts w:asciiTheme="minorHAnsi" w:hAnsiTheme="minorHAnsi" w:cstheme="minorHAnsi"/>
        </w:rPr>
      </w:pPr>
      <w:r w:rsidRPr="00A52DE3">
        <w:rPr>
          <w:rFonts w:asciiTheme="minorHAnsi" w:hAnsiTheme="minorHAnsi" w:cstheme="minorHAnsi"/>
        </w:rPr>
        <w:lastRenderedPageBreak/>
        <w:t>Ensure that the rights and interests of people with learning disabilities in police custody are safeguarded through the provision of good quality Appropriate Adult schemes that are available both during and outside normal working hours (HMIP, 2014: 48).</w:t>
      </w:r>
    </w:p>
    <w:p w14:paraId="4CBEE36B" w14:textId="77777777" w:rsidR="00C44E3C" w:rsidRPr="00A52DE3" w:rsidRDefault="00C44E3C" w:rsidP="0090555C">
      <w:pPr>
        <w:spacing w:line="360" w:lineRule="auto"/>
        <w:ind w:right="567"/>
        <w:contextualSpacing/>
        <w:mirrorIndents/>
        <w:jc w:val="both"/>
        <w:rPr>
          <w:rFonts w:asciiTheme="minorHAnsi" w:hAnsiTheme="minorHAnsi" w:cstheme="minorHAnsi"/>
        </w:rPr>
      </w:pPr>
    </w:p>
    <w:p w14:paraId="2580F858" w14:textId="7CF0C772" w:rsidR="00C44E3C" w:rsidRPr="009F2FC5" w:rsidRDefault="00C44E3C" w:rsidP="00C44E3C">
      <w:pPr>
        <w:spacing w:line="360" w:lineRule="auto"/>
        <w:contextualSpacing/>
        <w:mirrorIndents/>
        <w:jc w:val="both"/>
        <w:rPr>
          <w:rFonts w:asciiTheme="minorHAnsi" w:hAnsiTheme="minorHAnsi" w:cstheme="minorHAnsi"/>
        </w:rPr>
      </w:pPr>
      <w:r w:rsidRPr="0069622C">
        <w:rPr>
          <w:rFonts w:asciiTheme="minorHAnsi" w:hAnsiTheme="minorHAnsi" w:cstheme="minorHAnsi"/>
        </w:rPr>
        <w:t>In interviews, the presence of an Appropriate Adult has important effects beyond their interaction, which has been found to be limited (Farrugia and Gabbert, 2019).  The presence of an Appropriate Adult increases the likelihood and level of input of legal representation and reduces the pressure of interrogation (Medford</w:t>
      </w:r>
      <w:r w:rsidR="00AF3934" w:rsidRPr="0069622C">
        <w:rPr>
          <w:rFonts w:asciiTheme="minorHAnsi" w:hAnsiTheme="minorHAnsi" w:cstheme="minorHAnsi"/>
        </w:rPr>
        <w:t xml:space="preserve"> </w:t>
      </w:r>
      <w:r w:rsidRPr="0069622C">
        <w:rPr>
          <w:rFonts w:asciiTheme="minorHAnsi" w:hAnsiTheme="minorHAnsi" w:cstheme="minorHAnsi"/>
          <w:i/>
          <w:iCs/>
        </w:rPr>
        <w:t>et al</w:t>
      </w:r>
      <w:r w:rsidR="00AF3934" w:rsidRPr="0069622C">
        <w:rPr>
          <w:rFonts w:asciiTheme="minorHAnsi" w:hAnsiTheme="minorHAnsi" w:cstheme="minorHAnsi"/>
          <w:i/>
          <w:iCs/>
        </w:rPr>
        <w:t>.,</w:t>
      </w:r>
      <w:r w:rsidRPr="0069622C">
        <w:rPr>
          <w:rFonts w:asciiTheme="minorHAnsi" w:hAnsiTheme="minorHAnsi" w:cstheme="minorHAnsi"/>
        </w:rPr>
        <w:t xml:space="preserve"> 2010).  </w:t>
      </w:r>
      <w:r w:rsidRPr="009F2FC5">
        <w:rPr>
          <w:rFonts w:asciiTheme="minorHAnsi" w:hAnsiTheme="minorHAnsi" w:cstheme="minorHAnsi"/>
        </w:rPr>
        <w:t xml:space="preserve">It is important to remember that the role of the Appropriate Adult however is to provide </w:t>
      </w:r>
      <w:r w:rsidR="0090555C" w:rsidRPr="009F2FC5">
        <w:rPr>
          <w:rFonts w:asciiTheme="minorHAnsi" w:hAnsiTheme="minorHAnsi" w:cstheme="minorHAnsi"/>
        </w:rPr>
        <w:t xml:space="preserve">welfare </w:t>
      </w:r>
      <w:r w:rsidRPr="009F2FC5">
        <w:rPr>
          <w:rFonts w:asciiTheme="minorHAnsi" w:hAnsiTheme="minorHAnsi" w:cstheme="minorHAnsi"/>
        </w:rPr>
        <w:t xml:space="preserve">support throughout the entire detention until disposal, and although the most </w:t>
      </w:r>
      <w:r w:rsidR="001D1FFE" w:rsidRPr="009F2FC5">
        <w:rPr>
          <w:rFonts w:asciiTheme="minorHAnsi" w:hAnsiTheme="minorHAnsi" w:cstheme="minorHAnsi"/>
        </w:rPr>
        <w:t>well-known</w:t>
      </w:r>
      <w:r w:rsidRPr="009F2FC5">
        <w:rPr>
          <w:rFonts w:asciiTheme="minorHAnsi" w:hAnsiTheme="minorHAnsi" w:cstheme="minorHAnsi"/>
        </w:rPr>
        <w:t xml:space="preserve"> part, the actual interview is only a small part of the support provided </w:t>
      </w:r>
      <w:r w:rsidR="005D4FA8" w:rsidRPr="009F2FC5">
        <w:rPr>
          <w:rFonts w:asciiTheme="minorHAnsi" w:hAnsiTheme="minorHAnsi" w:cstheme="minorHAnsi"/>
        </w:rPr>
        <w:t>(NAAN, 2018).</w:t>
      </w:r>
    </w:p>
    <w:p w14:paraId="24AE5358" w14:textId="77777777" w:rsidR="00A556E8" w:rsidRPr="009F2FC5" w:rsidRDefault="00A556E8" w:rsidP="00A42A35">
      <w:pPr>
        <w:spacing w:line="360" w:lineRule="auto"/>
        <w:contextualSpacing/>
        <w:mirrorIndents/>
        <w:jc w:val="both"/>
        <w:rPr>
          <w:rFonts w:asciiTheme="minorHAnsi" w:hAnsiTheme="minorHAnsi" w:cstheme="minorHAnsi"/>
        </w:rPr>
      </w:pPr>
    </w:p>
    <w:p w14:paraId="67A5AE26" w14:textId="001F616E" w:rsidR="0018481F" w:rsidRPr="008459E6" w:rsidRDefault="00E56B17" w:rsidP="00A42A35">
      <w:pPr>
        <w:spacing w:line="360" w:lineRule="auto"/>
        <w:contextualSpacing/>
        <w:mirrorIndents/>
        <w:jc w:val="both"/>
        <w:rPr>
          <w:rFonts w:asciiTheme="minorHAnsi" w:hAnsiTheme="minorHAnsi" w:cstheme="minorHAnsi"/>
        </w:rPr>
      </w:pPr>
      <w:r w:rsidRPr="009F2FC5">
        <w:rPr>
          <w:rFonts w:asciiTheme="minorHAnsi" w:hAnsiTheme="minorHAnsi" w:cstheme="minorHAnsi"/>
        </w:rPr>
        <w:t xml:space="preserve">Section 38 of the Crime and Disorder Act 1998 </w:t>
      </w:r>
      <w:r w:rsidR="00CE7CC0" w:rsidRPr="009F2FC5">
        <w:rPr>
          <w:rFonts w:asciiTheme="minorHAnsi" w:hAnsiTheme="minorHAnsi" w:cstheme="minorHAnsi"/>
        </w:rPr>
        <w:t xml:space="preserve">created the requirement for </w:t>
      </w:r>
      <w:r w:rsidRPr="009F2FC5">
        <w:rPr>
          <w:rFonts w:asciiTheme="minorHAnsi" w:hAnsiTheme="minorHAnsi" w:cstheme="minorHAnsi"/>
        </w:rPr>
        <w:t>local authorities</w:t>
      </w:r>
      <w:r w:rsidR="00CE7CC0" w:rsidRPr="009F2FC5">
        <w:rPr>
          <w:rFonts w:asciiTheme="minorHAnsi" w:hAnsiTheme="minorHAnsi" w:cstheme="minorHAnsi"/>
        </w:rPr>
        <w:t xml:space="preserve"> </w:t>
      </w:r>
      <w:r w:rsidRPr="009F2FC5">
        <w:rPr>
          <w:rFonts w:asciiTheme="minorHAnsi" w:hAnsiTheme="minorHAnsi" w:cstheme="minorHAnsi"/>
        </w:rPr>
        <w:t xml:space="preserve">to ‘ensure the provision of persons to act as </w:t>
      </w:r>
      <w:r w:rsidR="007D7A3D" w:rsidRPr="009F2FC5">
        <w:rPr>
          <w:rFonts w:asciiTheme="minorHAnsi" w:hAnsiTheme="minorHAnsi" w:cstheme="minorHAnsi"/>
        </w:rPr>
        <w:t>A</w:t>
      </w:r>
      <w:r w:rsidRPr="009F2FC5">
        <w:rPr>
          <w:rFonts w:asciiTheme="minorHAnsi" w:hAnsiTheme="minorHAnsi" w:cstheme="minorHAnsi"/>
        </w:rPr>
        <w:t xml:space="preserve">ppropriate </w:t>
      </w:r>
      <w:r w:rsidR="007D7A3D" w:rsidRPr="009F2FC5">
        <w:rPr>
          <w:rFonts w:asciiTheme="minorHAnsi" w:hAnsiTheme="minorHAnsi" w:cstheme="minorHAnsi"/>
        </w:rPr>
        <w:t>A</w:t>
      </w:r>
      <w:r w:rsidRPr="009F2FC5">
        <w:rPr>
          <w:rFonts w:asciiTheme="minorHAnsi" w:hAnsiTheme="minorHAnsi" w:cstheme="minorHAnsi"/>
        </w:rPr>
        <w:t>dults to safeguard the interests of children and young persons detained or questioned by police officers’</w:t>
      </w:r>
      <w:r w:rsidR="007D7A3D" w:rsidRPr="009F2FC5">
        <w:rPr>
          <w:rFonts w:asciiTheme="minorHAnsi" w:hAnsiTheme="minorHAnsi" w:cstheme="minorHAnsi"/>
        </w:rPr>
        <w:t xml:space="preserve"> </w:t>
      </w:r>
      <w:r w:rsidR="00CE7CC0" w:rsidRPr="009F2FC5">
        <w:rPr>
          <w:rFonts w:asciiTheme="minorHAnsi" w:hAnsiTheme="minorHAnsi" w:cstheme="minorHAnsi"/>
        </w:rPr>
        <w:t>(</w:t>
      </w:r>
      <w:r w:rsidR="007D7A3D" w:rsidRPr="009F2FC5">
        <w:rPr>
          <w:rFonts w:asciiTheme="minorHAnsi" w:hAnsiTheme="minorHAnsi" w:cstheme="minorHAnsi"/>
        </w:rPr>
        <w:t xml:space="preserve">NAAN, </w:t>
      </w:r>
      <w:r w:rsidR="00CE7CC0" w:rsidRPr="009F2FC5">
        <w:rPr>
          <w:rFonts w:asciiTheme="minorHAnsi" w:hAnsiTheme="minorHAnsi" w:cstheme="minorHAnsi"/>
        </w:rPr>
        <w:t>2015: 8).</w:t>
      </w:r>
      <w:r w:rsidRPr="009F2FC5">
        <w:rPr>
          <w:rFonts w:asciiTheme="minorHAnsi" w:hAnsiTheme="minorHAnsi" w:cstheme="minorHAnsi"/>
        </w:rPr>
        <w:t xml:space="preserve"> </w:t>
      </w:r>
      <w:r w:rsidR="00CE7CC0" w:rsidRPr="008E2B42">
        <w:rPr>
          <w:rFonts w:asciiTheme="minorHAnsi" w:hAnsiTheme="minorHAnsi" w:cstheme="minorHAnsi"/>
        </w:rPr>
        <w:t xml:space="preserve">While the provisions of PACE code C require the provision of an </w:t>
      </w:r>
      <w:r w:rsidR="002F0DF2" w:rsidRPr="008E2B42">
        <w:rPr>
          <w:rFonts w:asciiTheme="minorHAnsi" w:hAnsiTheme="minorHAnsi" w:cstheme="minorHAnsi"/>
        </w:rPr>
        <w:t>Appropriate Adult</w:t>
      </w:r>
      <w:r w:rsidR="00CE7CC0" w:rsidRPr="008E2B42">
        <w:rPr>
          <w:rFonts w:asciiTheme="minorHAnsi" w:hAnsiTheme="minorHAnsi" w:cstheme="minorHAnsi"/>
        </w:rPr>
        <w:t>, t</w:t>
      </w:r>
      <w:r w:rsidRPr="008E2B42">
        <w:rPr>
          <w:rFonts w:asciiTheme="minorHAnsi" w:hAnsiTheme="minorHAnsi" w:cstheme="minorHAnsi"/>
        </w:rPr>
        <w:t>here is no</w:t>
      </w:r>
      <w:r w:rsidR="00CE7CC0" w:rsidRPr="008E2B42">
        <w:rPr>
          <w:rFonts w:asciiTheme="minorHAnsi" w:hAnsiTheme="minorHAnsi" w:cstheme="minorHAnsi"/>
        </w:rPr>
        <w:t xml:space="preserve"> requirement on any organisation or authority to provide this, and so the provision is unregulated </w:t>
      </w:r>
      <w:r w:rsidR="00A556E8" w:rsidRPr="008E2B42">
        <w:rPr>
          <w:rFonts w:asciiTheme="minorHAnsi" w:hAnsiTheme="minorHAnsi" w:cstheme="minorHAnsi"/>
        </w:rPr>
        <w:t xml:space="preserve">and varies widely by area and funding source (Peacock and Cosgrove, 2018). Because there is no requirement to provide the service, </w:t>
      </w:r>
      <w:r w:rsidR="00836E3F" w:rsidRPr="008E2B42">
        <w:rPr>
          <w:rFonts w:asciiTheme="minorHAnsi" w:hAnsiTheme="minorHAnsi" w:cstheme="minorHAnsi"/>
        </w:rPr>
        <w:t xml:space="preserve">Appropriate Adult </w:t>
      </w:r>
      <w:r w:rsidR="00A556E8" w:rsidRPr="008E2B42">
        <w:rPr>
          <w:rFonts w:asciiTheme="minorHAnsi" w:hAnsiTheme="minorHAnsi" w:cstheme="minorHAnsi"/>
        </w:rPr>
        <w:t xml:space="preserve">provision </w:t>
      </w:r>
      <w:r w:rsidR="00836E3F" w:rsidRPr="008E2B42">
        <w:rPr>
          <w:rFonts w:asciiTheme="minorHAnsi" w:hAnsiTheme="minorHAnsi" w:cstheme="minorHAnsi"/>
        </w:rPr>
        <w:t xml:space="preserve">has been impacted by </w:t>
      </w:r>
      <w:r w:rsidR="00A556E8" w:rsidRPr="008E2B42">
        <w:rPr>
          <w:rFonts w:asciiTheme="minorHAnsi" w:hAnsiTheme="minorHAnsi" w:cstheme="minorHAnsi"/>
        </w:rPr>
        <w:t>severe pressure due to austerity</w:t>
      </w:r>
      <w:r w:rsidR="000405FF" w:rsidRPr="008E2B42">
        <w:rPr>
          <w:rFonts w:asciiTheme="minorHAnsi" w:hAnsiTheme="minorHAnsi" w:cstheme="minorHAnsi"/>
        </w:rPr>
        <w:t>-</w:t>
      </w:r>
      <w:r w:rsidR="00A556E8" w:rsidRPr="008E2B42">
        <w:rPr>
          <w:rFonts w:asciiTheme="minorHAnsi" w:hAnsiTheme="minorHAnsi" w:cstheme="minorHAnsi"/>
        </w:rPr>
        <w:t xml:space="preserve">led budget cuts (Peacock and Cosgrove, 2018).  </w:t>
      </w:r>
      <w:r w:rsidR="00FA390F" w:rsidRPr="006E3F9A">
        <w:rPr>
          <w:rFonts w:asciiTheme="minorHAnsi" w:hAnsiTheme="minorHAnsi" w:cstheme="minorHAnsi"/>
        </w:rPr>
        <w:t xml:space="preserve">Appropriate Adult </w:t>
      </w:r>
      <w:r w:rsidR="007D7A3D" w:rsidRPr="006E3F9A">
        <w:rPr>
          <w:rFonts w:asciiTheme="minorHAnsi" w:hAnsiTheme="minorHAnsi" w:cstheme="minorHAnsi"/>
        </w:rPr>
        <w:t>s</w:t>
      </w:r>
      <w:r w:rsidR="00FA390F" w:rsidRPr="006E3F9A">
        <w:rPr>
          <w:rFonts w:asciiTheme="minorHAnsi" w:hAnsiTheme="minorHAnsi" w:cstheme="minorHAnsi"/>
        </w:rPr>
        <w:t>chemes</w:t>
      </w:r>
      <w:r w:rsidRPr="006E3F9A">
        <w:rPr>
          <w:rFonts w:asciiTheme="minorHAnsi" w:hAnsiTheme="minorHAnsi" w:cstheme="minorHAnsi"/>
        </w:rPr>
        <w:t xml:space="preserve"> </w:t>
      </w:r>
      <w:r w:rsidR="00A556E8" w:rsidRPr="006E3F9A">
        <w:rPr>
          <w:rFonts w:asciiTheme="minorHAnsi" w:hAnsiTheme="minorHAnsi" w:cstheme="minorHAnsi"/>
        </w:rPr>
        <w:t xml:space="preserve">for vulnerable adults </w:t>
      </w:r>
      <w:r w:rsidRPr="006E3F9A">
        <w:rPr>
          <w:rFonts w:asciiTheme="minorHAnsi" w:hAnsiTheme="minorHAnsi" w:cstheme="minorHAnsi"/>
        </w:rPr>
        <w:t xml:space="preserve">are not prioritised in budget planning as they are a non-statutory service (appropriateadult.org.uk).  </w:t>
      </w:r>
      <w:r w:rsidR="00A556E8" w:rsidRPr="006E3F9A">
        <w:rPr>
          <w:rFonts w:asciiTheme="minorHAnsi" w:hAnsiTheme="minorHAnsi" w:cstheme="minorHAnsi"/>
        </w:rPr>
        <w:t xml:space="preserve">The provision of services </w:t>
      </w:r>
      <w:r w:rsidR="001D1FFE" w:rsidRPr="006E3F9A">
        <w:rPr>
          <w:rFonts w:asciiTheme="minorHAnsi" w:hAnsiTheme="minorHAnsi" w:cstheme="minorHAnsi"/>
        </w:rPr>
        <w:t>is described as</w:t>
      </w:r>
      <w:r w:rsidR="00A556E8" w:rsidRPr="006E3F9A">
        <w:rPr>
          <w:rFonts w:asciiTheme="minorHAnsi" w:hAnsiTheme="minorHAnsi" w:cstheme="minorHAnsi"/>
        </w:rPr>
        <w:t xml:space="preserve"> precarious by </w:t>
      </w:r>
      <w:r w:rsidR="009D0FF5" w:rsidRPr="006E3F9A">
        <w:rPr>
          <w:rFonts w:asciiTheme="minorHAnsi" w:hAnsiTheme="minorHAnsi" w:cstheme="minorHAnsi"/>
        </w:rPr>
        <w:t xml:space="preserve">NAAN </w:t>
      </w:r>
      <w:r w:rsidR="00A556E8" w:rsidRPr="006E3F9A">
        <w:rPr>
          <w:rFonts w:asciiTheme="minorHAnsi" w:hAnsiTheme="minorHAnsi" w:cstheme="minorHAnsi"/>
        </w:rPr>
        <w:t>(2015) within ‘There to Help</w:t>
      </w:r>
      <w:r w:rsidR="00DF35AA" w:rsidRPr="006E3F9A">
        <w:rPr>
          <w:rFonts w:asciiTheme="minorHAnsi" w:hAnsiTheme="minorHAnsi" w:cstheme="minorHAnsi"/>
        </w:rPr>
        <w:t xml:space="preserve">’, and </w:t>
      </w:r>
      <w:r w:rsidR="00A556E8" w:rsidRPr="006E3F9A">
        <w:rPr>
          <w:rFonts w:asciiTheme="minorHAnsi" w:hAnsiTheme="minorHAnsi" w:cstheme="minorHAnsi"/>
        </w:rPr>
        <w:t xml:space="preserve">Durcan </w:t>
      </w:r>
      <w:r w:rsidR="00A556E8" w:rsidRPr="006E3F9A">
        <w:rPr>
          <w:rFonts w:asciiTheme="minorHAnsi" w:hAnsiTheme="minorHAnsi" w:cstheme="minorHAnsi"/>
          <w:i/>
        </w:rPr>
        <w:t>et al</w:t>
      </w:r>
      <w:r w:rsidR="00AF3934" w:rsidRPr="006E3F9A">
        <w:rPr>
          <w:rFonts w:asciiTheme="minorHAnsi" w:hAnsiTheme="minorHAnsi" w:cstheme="minorHAnsi"/>
          <w:i/>
        </w:rPr>
        <w:t>.</w:t>
      </w:r>
      <w:r w:rsidR="00A556E8" w:rsidRPr="006E3F9A">
        <w:rPr>
          <w:rFonts w:asciiTheme="minorHAnsi" w:hAnsiTheme="minorHAnsi" w:cstheme="minorHAnsi"/>
        </w:rPr>
        <w:t xml:space="preserve"> describe a national picture which is ‘patchy and ad-hoc’ (2014:18).  </w:t>
      </w:r>
      <w:r w:rsidR="00A556E8" w:rsidRPr="008459E6">
        <w:rPr>
          <w:rFonts w:asciiTheme="minorHAnsi" w:hAnsiTheme="minorHAnsi" w:cstheme="minorHAnsi"/>
        </w:rPr>
        <w:t xml:space="preserve">Service provision is disconnected and incoherent and does not sufficiently assure the welfare of ‘vulnerable’ </w:t>
      </w:r>
      <w:r w:rsidR="008459E6" w:rsidRPr="008459E6">
        <w:rPr>
          <w:rFonts w:asciiTheme="minorHAnsi" w:hAnsiTheme="minorHAnsi" w:cstheme="minorHAnsi"/>
        </w:rPr>
        <w:t>service users</w:t>
      </w:r>
      <w:r w:rsidR="006128DD" w:rsidRPr="008459E6">
        <w:rPr>
          <w:rFonts w:asciiTheme="minorHAnsi" w:hAnsiTheme="minorHAnsi" w:cstheme="minorHAnsi"/>
        </w:rPr>
        <w:t xml:space="preserve"> (Peacock and Cosgrove, 2018). </w:t>
      </w:r>
      <w:r w:rsidR="007D7A3D" w:rsidRPr="008459E6">
        <w:rPr>
          <w:rFonts w:asciiTheme="minorHAnsi" w:hAnsiTheme="minorHAnsi" w:cstheme="minorHAnsi"/>
        </w:rPr>
        <w:t xml:space="preserve"> </w:t>
      </w:r>
      <w:proofErr w:type="spellStart"/>
      <w:r w:rsidR="007D7A3D" w:rsidRPr="008459E6">
        <w:rPr>
          <w:rFonts w:asciiTheme="minorHAnsi" w:hAnsiTheme="minorHAnsi" w:cstheme="minorHAnsi"/>
          <w:iCs/>
        </w:rPr>
        <w:t>Hellenbach</w:t>
      </w:r>
      <w:proofErr w:type="spellEnd"/>
      <w:r w:rsidR="007D7A3D" w:rsidRPr="008459E6">
        <w:rPr>
          <w:rFonts w:asciiTheme="minorHAnsi" w:hAnsiTheme="minorHAnsi" w:cstheme="minorHAnsi"/>
          <w:iCs/>
        </w:rPr>
        <w:t xml:space="preserve"> (2012) identifies the key police motivation for securing an Appropriate Adult as being evidential.</w:t>
      </w:r>
    </w:p>
    <w:p w14:paraId="427A42DD" w14:textId="4C280CAB" w:rsidR="00D33BB1" w:rsidRPr="008459E6" w:rsidRDefault="00D33BB1" w:rsidP="00A42A35">
      <w:pPr>
        <w:spacing w:line="360" w:lineRule="auto"/>
        <w:contextualSpacing/>
        <w:mirrorIndents/>
        <w:jc w:val="both"/>
        <w:rPr>
          <w:rFonts w:asciiTheme="minorHAnsi" w:hAnsiTheme="minorHAnsi" w:cstheme="minorHAnsi"/>
          <w:color w:val="FF0000"/>
        </w:rPr>
      </w:pPr>
    </w:p>
    <w:p w14:paraId="688FD00F" w14:textId="347F7C44" w:rsidR="00E2540D" w:rsidRPr="00015BEC" w:rsidRDefault="0090555C" w:rsidP="00E2540D">
      <w:pPr>
        <w:spacing w:line="360" w:lineRule="auto"/>
        <w:contextualSpacing/>
        <w:mirrorIndents/>
        <w:jc w:val="both"/>
        <w:rPr>
          <w:rFonts w:asciiTheme="minorHAnsi" w:hAnsiTheme="minorHAnsi" w:cstheme="minorHAnsi"/>
          <w:color w:val="000000" w:themeColor="text1"/>
        </w:rPr>
      </w:pPr>
      <w:r w:rsidRPr="00D3558F">
        <w:rPr>
          <w:rFonts w:asciiTheme="minorHAnsi" w:hAnsiTheme="minorHAnsi" w:cstheme="minorHAnsi"/>
          <w:color w:val="000000" w:themeColor="text1"/>
        </w:rPr>
        <w:lastRenderedPageBreak/>
        <w:t>T</w:t>
      </w:r>
      <w:r w:rsidR="00BF2CFB" w:rsidRPr="00D3558F">
        <w:rPr>
          <w:rFonts w:asciiTheme="minorHAnsi" w:hAnsiTheme="minorHAnsi" w:cstheme="minorHAnsi"/>
          <w:color w:val="000000" w:themeColor="text1"/>
        </w:rPr>
        <w:t>hresholds and definitions</w:t>
      </w:r>
      <w:r w:rsidRPr="00D3558F">
        <w:rPr>
          <w:rFonts w:asciiTheme="minorHAnsi" w:hAnsiTheme="minorHAnsi" w:cstheme="minorHAnsi"/>
          <w:color w:val="000000" w:themeColor="text1"/>
        </w:rPr>
        <w:t xml:space="preserve"> of vulnerability</w:t>
      </w:r>
      <w:r w:rsidR="00BF2CFB" w:rsidRPr="00D3558F">
        <w:rPr>
          <w:rFonts w:asciiTheme="minorHAnsi" w:hAnsiTheme="minorHAnsi" w:cstheme="minorHAnsi"/>
          <w:color w:val="000000" w:themeColor="text1"/>
        </w:rPr>
        <w:t xml:space="preserve"> were reviewed in 2018 to include those who did not have a condition or disability, but struggled to understand, and so that those with conditions or disabilities were no longer automatically included</w:t>
      </w:r>
      <w:r w:rsidR="00836E3F" w:rsidRPr="00D3558F">
        <w:rPr>
          <w:rFonts w:asciiTheme="minorHAnsi" w:hAnsiTheme="minorHAnsi" w:cstheme="minorHAnsi"/>
          <w:color w:val="000000" w:themeColor="text1"/>
        </w:rPr>
        <w:t xml:space="preserve"> (</w:t>
      </w:r>
      <w:r w:rsidR="001458DE" w:rsidRPr="00D3558F">
        <w:rPr>
          <w:rFonts w:asciiTheme="minorHAnsi" w:hAnsiTheme="minorHAnsi" w:cstheme="minorHAnsi"/>
          <w:color w:val="000000" w:themeColor="text1"/>
        </w:rPr>
        <w:t xml:space="preserve">Peacock and Cosgrove, 2019; </w:t>
      </w:r>
      <w:r w:rsidR="00BF2CFB" w:rsidRPr="00D3558F">
        <w:rPr>
          <w:rFonts w:asciiTheme="minorHAnsi" w:hAnsiTheme="minorHAnsi" w:cstheme="minorHAnsi"/>
          <w:color w:val="000000" w:themeColor="text1"/>
        </w:rPr>
        <w:t xml:space="preserve">NAAN, 2020; </w:t>
      </w:r>
      <w:proofErr w:type="spellStart"/>
      <w:r w:rsidR="00BF2CFB" w:rsidRPr="00D3558F">
        <w:rPr>
          <w:rFonts w:asciiTheme="minorHAnsi" w:hAnsiTheme="minorHAnsi" w:cstheme="minorHAnsi"/>
          <w:color w:val="000000" w:themeColor="text1"/>
        </w:rPr>
        <w:t>Dehaghani</w:t>
      </w:r>
      <w:proofErr w:type="spellEnd"/>
      <w:r w:rsidR="00BF2CFB" w:rsidRPr="00D3558F">
        <w:rPr>
          <w:rFonts w:asciiTheme="minorHAnsi" w:hAnsiTheme="minorHAnsi" w:cstheme="minorHAnsi"/>
          <w:color w:val="000000" w:themeColor="text1"/>
        </w:rPr>
        <w:t xml:space="preserve"> and Bath,</w:t>
      </w:r>
      <w:r w:rsidR="00D33BB1" w:rsidRPr="00D3558F">
        <w:rPr>
          <w:rFonts w:asciiTheme="minorHAnsi" w:hAnsiTheme="minorHAnsi" w:cstheme="minorHAnsi"/>
          <w:color w:val="000000" w:themeColor="text1"/>
        </w:rPr>
        <w:t xml:space="preserve"> </w:t>
      </w:r>
      <w:r w:rsidR="00BF2CFB" w:rsidRPr="00D3558F">
        <w:rPr>
          <w:rFonts w:asciiTheme="minorHAnsi" w:hAnsiTheme="minorHAnsi" w:cstheme="minorHAnsi"/>
          <w:color w:val="000000" w:themeColor="text1"/>
        </w:rPr>
        <w:t xml:space="preserve">2020).  </w:t>
      </w:r>
      <w:r w:rsidR="00D33BB1" w:rsidRPr="00015BEC">
        <w:rPr>
          <w:rFonts w:asciiTheme="minorHAnsi" w:hAnsiTheme="minorHAnsi" w:cstheme="minorHAnsi"/>
          <w:color w:val="000000" w:themeColor="text1"/>
        </w:rPr>
        <w:t xml:space="preserve">Family members were/are also given the option to act as an </w:t>
      </w:r>
      <w:r w:rsidR="00836E3F" w:rsidRPr="00015BEC">
        <w:rPr>
          <w:rFonts w:asciiTheme="minorHAnsi" w:hAnsiTheme="minorHAnsi" w:cstheme="minorHAnsi"/>
          <w:color w:val="000000" w:themeColor="text1"/>
        </w:rPr>
        <w:t>A</w:t>
      </w:r>
      <w:r w:rsidR="00D33BB1" w:rsidRPr="00015BEC">
        <w:rPr>
          <w:rFonts w:asciiTheme="minorHAnsi" w:hAnsiTheme="minorHAnsi" w:cstheme="minorHAnsi"/>
          <w:color w:val="000000" w:themeColor="text1"/>
        </w:rPr>
        <w:t xml:space="preserve">ppropriate </w:t>
      </w:r>
      <w:r w:rsidR="00836E3F" w:rsidRPr="00015BEC">
        <w:rPr>
          <w:rFonts w:asciiTheme="minorHAnsi" w:hAnsiTheme="minorHAnsi" w:cstheme="minorHAnsi"/>
          <w:color w:val="000000" w:themeColor="text1"/>
        </w:rPr>
        <w:t>A</w:t>
      </w:r>
      <w:r w:rsidR="00D33BB1" w:rsidRPr="00015BEC">
        <w:rPr>
          <w:rFonts w:asciiTheme="minorHAnsi" w:hAnsiTheme="minorHAnsi" w:cstheme="minorHAnsi"/>
          <w:color w:val="000000" w:themeColor="text1"/>
        </w:rPr>
        <w:t xml:space="preserve">dult for a </w:t>
      </w:r>
      <w:r w:rsidR="00836E3F" w:rsidRPr="00015BEC">
        <w:rPr>
          <w:rFonts w:asciiTheme="minorHAnsi" w:hAnsiTheme="minorHAnsi" w:cstheme="minorHAnsi"/>
          <w:color w:val="000000" w:themeColor="text1"/>
        </w:rPr>
        <w:t xml:space="preserve">relative </w:t>
      </w:r>
      <w:r w:rsidR="00D33BB1" w:rsidRPr="00015BEC">
        <w:rPr>
          <w:rFonts w:asciiTheme="minorHAnsi" w:hAnsiTheme="minorHAnsi" w:cstheme="minorHAnsi"/>
          <w:color w:val="000000" w:themeColor="text1"/>
        </w:rPr>
        <w:t>in custody</w:t>
      </w:r>
      <w:r w:rsidR="00BF2CFB" w:rsidRPr="00015BEC">
        <w:rPr>
          <w:rFonts w:asciiTheme="minorHAnsi" w:hAnsiTheme="minorHAnsi" w:cstheme="minorHAnsi"/>
          <w:color w:val="000000" w:themeColor="text1"/>
        </w:rPr>
        <w:t>, however</w:t>
      </w:r>
      <w:r w:rsidR="00D33BB1" w:rsidRPr="00015BEC">
        <w:rPr>
          <w:rFonts w:asciiTheme="minorHAnsi" w:hAnsiTheme="minorHAnsi" w:cstheme="minorHAnsi"/>
          <w:color w:val="000000" w:themeColor="text1"/>
        </w:rPr>
        <w:t xml:space="preserve"> </w:t>
      </w:r>
      <w:r w:rsidR="007C2F6F" w:rsidRPr="00015BEC">
        <w:rPr>
          <w:rFonts w:asciiTheme="minorHAnsi" w:hAnsiTheme="minorHAnsi" w:cstheme="minorHAnsi"/>
          <w:color w:val="000000" w:themeColor="text1"/>
        </w:rPr>
        <w:t>“</w:t>
      </w:r>
      <w:r w:rsidR="00BF2CFB" w:rsidRPr="00015BEC">
        <w:rPr>
          <w:rFonts w:asciiTheme="minorHAnsi" w:hAnsiTheme="minorHAnsi" w:cstheme="minorHAnsi"/>
        </w:rPr>
        <w:t>…t</w:t>
      </w:r>
      <w:r w:rsidR="007C2F6F" w:rsidRPr="00015BEC">
        <w:rPr>
          <w:rFonts w:asciiTheme="minorHAnsi" w:hAnsiTheme="minorHAnsi" w:cstheme="minorHAnsi"/>
        </w:rPr>
        <w:t>he police, service users and providers alike have raised concerns about the suitability of using family members as AAs – who are unlikely to be trained or have any knowledge relating to the AA role, and are sometimes over-involved with or, conversely, antagonistic towards the suspect. In contrast, it has also been recognised that an AA’s familiarity with the suspect and capacity to offer personal, emotional support can be of benefit” (</w:t>
      </w:r>
      <w:r w:rsidR="009D0FF5" w:rsidRPr="00015BEC">
        <w:rPr>
          <w:rFonts w:asciiTheme="minorHAnsi" w:hAnsiTheme="minorHAnsi" w:cstheme="minorHAnsi"/>
        </w:rPr>
        <w:t xml:space="preserve">NAAN </w:t>
      </w:r>
      <w:r w:rsidR="007C2F6F" w:rsidRPr="00015BEC">
        <w:rPr>
          <w:rFonts w:asciiTheme="minorHAnsi" w:hAnsiTheme="minorHAnsi" w:cstheme="minorHAnsi"/>
        </w:rPr>
        <w:t>2015: 12)</w:t>
      </w:r>
      <w:r w:rsidR="00BF2CFB" w:rsidRPr="00015BEC">
        <w:rPr>
          <w:rFonts w:asciiTheme="minorHAnsi" w:hAnsiTheme="minorHAnsi" w:cstheme="minorHAnsi"/>
        </w:rPr>
        <w:t>.</w:t>
      </w:r>
      <w:r w:rsidR="00E2540D" w:rsidRPr="00015BEC">
        <w:rPr>
          <w:rFonts w:asciiTheme="minorHAnsi" w:hAnsiTheme="minorHAnsi" w:cstheme="minorHAnsi"/>
          <w:color w:val="000000" w:themeColor="text1"/>
        </w:rPr>
        <w:t xml:space="preserve"> Traditionally the role of Appropriate Adult was undertaken by a social worker in custody who would be assigned to a young person or a vulnerable adult.  </w:t>
      </w:r>
    </w:p>
    <w:p w14:paraId="603E4732" w14:textId="77777777" w:rsidR="007C2F6F" w:rsidRPr="00015BEC" w:rsidRDefault="007C2F6F" w:rsidP="00A42A35">
      <w:pPr>
        <w:spacing w:line="360" w:lineRule="auto"/>
        <w:contextualSpacing/>
        <w:mirrorIndents/>
        <w:jc w:val="both"/>
        <w:rPr>
          <w:rFonts w:asciiTheme="minorHAnsi" w:hAnsiTheme="minorHAnsi" w:cstheme="minorHAnsi"/>
          <w:color w:val="000000" w:themeColor="text1"/>
        </w:rPr>
      </w:pPr>
    </w:p>
    <w:p w14:paraId="72CE45D4" w14:textId="7EC2CCF2" w:rsidR="00903325" w:rsidRPr="00AA5C7B" w:rsidRDefault="009D0FF5" w:rsidP="00A42A35">
      <w:pPr>
        <w:spacing w:line="360" w:lineRule="auto"/>
        <w:contextualSpacing/>
        <w:mirrorIndents/>
        <w:jc w:val="both"/>
        <w:rPr>
          <w:rFonts w:asciiTheme="minorHAnsi" w:hAnsiTheme="minorHAnsi" w:cstheme="minorHAnsi"/>
          <w:color w:val="000000" w:themeColor="text1"/>
        </w:rPr>
      </w:pPr>
      <w:r w:rsidRPr="00146F2B">
        <w:rPr>
          <w:rFonts w:asciiTheme="minorHAnsi" w:hAnsiTheme="minorHAnsi" w:cstheme="minorHAnsi"/>
          <w:color w:val="000000" w:themeColor="text1"/>
        </w:rPr>
        <w:t>F</w:t>
      </w:r>
      <w:r w:rsidR="00D33BB1" w:rsidRPr="00146F2B">
        <w:rPr>
          <w:rFonts w:asciiTheme="minorHAnsi" w:hAnsiTheme="minorHAnsi" w:cstheme="minorHAnsi"/>
          <w:color w:val="000000" w:themeColor="text1"/>
        </w:rPr>
        <w:t>rom the 2000s there has been a move away from statutory services to the use of third sector organisations, community volunteers</w:t>
      </w:r>
      <w:r w:rsidR="000405FF" w:rsidRPr="00146F2B">
        <w:rPr>
          <w:rFonts w:asciiTheme="minorHAnsi" w:hAnsiTheme="minorHAnsi" w:cstheme="minorHAnsi"/>
          <w:color w:val="000000" w:themeColor="text1"/>
        </w:rPr>
        <w:t>,</w:t>
      </w:r>
      <w:r w:rsidR="00D33BB1" w:rsidRPr="00146F2B">
        <w:rPr>
          <w:rFonts w:asciiTheme="minorHAnsi" w:hAnsiTheme="minorHAnsi" w:cstheme="minorHAnsi"/>
          <w:color w:val="000000" w:themeColor="text1"/>
        </w:rPr>
        <w:t xml:space="preserve"> or social enterprises (Peacock and Cosgrove, 2018). In 2007 the Labour government commissioned the Bradley report (2009) </w:t>
      </w:r>
      <w:r w:rsidR="00836E3F" w:rsidRPr="00146F2B">
        <w:rPr>
          <w:rFonts w:asciiTheme="minorHAnsi" w:hAnsiTheme="minorHAnsi" w:cstheme="minorHAnsi"/>
          <w:color w:val="000000" w:themeColor="text1"/>
        </w:rPr>
        <w:t xml:space="preserve">which highlighted </w:t>
      </w:r>
      <w:r w:rsidR="00D33BB1" w:rsidRPr="00146F2B">
        <w:rPr>
          <w:rFonts w:asciiTheme="minorHAnsi" w:hAnsiTheme="minorHAnsi" w:cstheme="minorHAnsi"/>
          <w:color w:val="000000" w:themeColor="text1"/>
        </w:rPr>
        <w:t xml:space="preserve">significant problems concerning </w:t>
      </w:r>
      <w:r w:rsidR="000405FF" w:rsidRPr="00146F2B">
        <w:rPr>
          <w:rFonts w:asciiTheme="minorHAnsi" w:hAnsiTheme="minorHAnsi" w:cstheme="minorHAnsi"/>
          <w:color w:val="000000" w:themeColor="text1"/>
        </w:rPr>
        <w:t>custody support</w:t>
      </w:r>
      <w:r w:rsidR="00D33BB1" w:rsidRPr="00146F2B">
        <w:rPr>
          <w:rFonts w:asciiTheme="minorHAnsi" w:hAnsiTheme="minorHAnsi" w:cstheme="minorHAnsi"/>
          <w:color w:val="000000" w:themeColor="text1"/>
        </w:rPr>
        <w:t xml:space="preserve"> and requested immediate enhancement to the services</w:t>
      </w:r>
      <w:r w:rsidR="0090555C" w:rsidRPr="00146F2B">
        <w:rPr>
          <w:rFonts w:asciiTheme="minorHAnsi" w:hAnsiTheme="minorHAnsi" w:cstheme="minorHAnsi"/>
          <w:color w:val="000000" w:themeColor="text1"/>
        </w:rPr>
        <w:t xml:space="preserve"> (Cummins, 2011)</w:t>
      </w:r>
      <w:r w:rsidR="00D33BB1" w:rsidRPr="00146F2B">
        <w:rPr>
          <w:rFonts w:asciiTheme="minorHAnsi" w:hAnsiTheme="minorHAnsi" w:cstheme="minorHAnsi"/>
          <w:color w:val="000000" w:themeColor="text1"/>
        </w:rPr>
        <w:t xml:space="preserve">. </w:t>
      </w:r>
      <w:r w:rsidR="00903325" w:rsidRPr="00AA5C7B">
        <w:rPr>
          <w:rFonts w:asciiTheme="minorHAnsi" w:hAnsiTheme="minorHAnsi" w:cstheme="minorHAnsi"/>
          <w:color w:val="000000" w:themeColor="text1"/>
        </w:rPr>
        <w:t xml:space="preserve">Because of austerity cuts, local authorities who would often step in to provide services have found themselves so diminished in staffing and resource that they have been unable to provide support beyond their statutory obligations.  The result is that it has been left to third sector and private organisations to attempt to enact the enhancements recommended by Bradley. </w:t>
      </w:r>
    </w:p>
    <w:p w14:paraId="21F548FD" w14:textId="77777777" w:rsidR="00903325" w:rsidRPr="00AA5C7B" w:rsidRDefault="00903325" w:rsidP="00A42A35">
      <w:pPr>
        <w:spacing w:line="360" w:lineRule="auto"/>
        <w:contextualSpacing/>
        <w:mirrorIndents/>
        <w:jc w:val="both"/>
        <w:rPr>
          <w:rFonts w:asciiTheme="minorHAnsi" w:hAnsiTheme="minorHAnsi" w:cstheme="minorHAnsi"/>
          <w:color w:val="FF0000"/>
        </w:rPr>
      </w:pPr>
    </w:p>
    <w:p w14:paraId="0B9BF95D" w14:textId="203ED5E3" w:rsidR="009D0FF5" w:rsidRPr="00E72CD8" w:rsidRDefault="009D0FF5" w:rsidP="00A42A35">
      <w:pPr>
        <w:spacing w:line="360" w:lineRule="auto"/>
        <w:contextualSpacing/>
        <w:mirrorIndents/>
        <w:jc w:val="both"/>
        <w:rPr>
          <w:rFonts w:asciiTheme="minorHAnsi" w:hAnsiTheme="minorHAnsi" w:cstheme="minorHAnsi"/>
          <w:color w:val="000000" w:themeColor="text1"/>
        </w:rPr>
      </w:pPr>
      <w:r w:rsidRPr="00AA5C7B">
        <w:rPr>
          <w:rFonts w:asciiTheme="minorHAnsi" w:hAnsiTheme="minorHAnsi" w:cstheme="minorHAnsi"/>
          <w:color w:val="000000" w:themeColor="text1"/>
        </w:rPr>
        <w:t xml:space="preserve">The </w:t>
      </w:r>
      <w:r w:rsidR="00D33BB1" w:rsidRPr="00AA5C7B">
        <w:rPr>
          <w:rFonts w:asciiTheme="minorHAnsi" w:hAnsiTheme="minorHAnsi" w:cstheme="minorHAnsi"/>
          <w:color w:val="000000" w:themeColor="text1"/>
        </w:rPr>
        <w:t>National Appropriate Adult Network</w:t>
      </w:r>
      <w:r w:rsidR="00836E3F" w:rsidRPr="00AA5C7B">
        <w:rPr>
          <w:rFonts w:asciiTheme="minorHAnsi" w:hAnsiTheme="minorHAnsi" w:cstheme="minorHAnsi"/>
          <w:color w:val="000000" w:themeColor="text1"/>
        </w:rPr>
        <w:t xml:space="preserve"> (NAAN)</w:t>
      </w:r>
      <w:r w:rsidRPr="00AA5C7B">
        <w:rPr>
          <w:rFonts w:asciiTheme="minorHAnsi" w:hAnsiTheme="minorHAnsi" w:cstheme="minorHAnsi"/>
          <w:color w:val="000000" w:themeColor="text1"/>
        </w:rPr>
        <w:t xml:space="preserve"> was established in 1995 to share best practice</w:t>
      </w:r>
      <w:r w:rsidR="00D33BB1" w:rsidRPr="00AA5C7B">
        <w:rPr>
          <w:rFonts w:asciiTheme="minorHAnsi" w:hAnsiTheme="minorHAnsi" w:cstheme="minorHAnsi"/>
          <w:color w:val="000000" w:themeColor="text1"/>
        </w:rPr>
        <w:t xml:space="preserve">, </w:t>
      </w:r>
      <w:r w:rsidR="00903325" w:rsidRPr="00AA5C7B">
        <w:rPr>
          <w:rFonts w:asciiTheme="minorHAnsi" w:hAnsiTheme="minorHAnsi" w:cstheme="minorHAnsi"/>
          <w:color w:val="000000" w:themeColor="text1"/>
        </w:rPr>
        <w:t xml:space="preserve">and </w:t>
      </w:r>
      <w:r w:rsidR="00D33BB1" w:rsidRPr="00AA5C7B">
        <w:rPr>
          <w:rFonts w:asciiTheme="minorHAnsi" w:hAnsiTheme="minorHAnsi" w:cstheme="minorHAnsi"/>
          <w:color w:val="000000" w:themeColor="text1"/>
        </w:rPr>
        <w:t xml:space="preserve">to maintain consistency across </w:t>
      </w:r>
      <w:r w:rsidR="00FA390F" w:rsidRPr="00AA5C7B">
        <w:rPr>
          <w:rFonts w:asciiTheme="minorHAnsi" w:hAnsiTheme="minorHAnsi" w:cstheme="minorHAnsi"/>
          <w:color w:val="000000" w:themeColor="text1"/>
        </w:rPr>
        <w:t>Appropriate Adult Schemes</w:t>
      </w:r>
      <w:r w:rsidR="00D33BB1" w:rsidRPr="00AA5C7B">
        <w:rPr>
          <w:rFonts w:asciiTheme="minorHAnsi" w:hAnsiTheme="minorHAnsi" w:cstheme="minorHAnsi"/>
          <w:color w:val="000000" w:themeColor="text1"/>
        </w:rPr>
        <w:t xml:space="preserve"> in the UK</w:t>
      </w:r>
      <w:r w:rsidRPr="00AA5C7B">
        <w:rPr>
          <w:rFonts w:asciiTheme="minorHAnsi" w:hAnsiTheme="minorHAnsi" w:cstheme="minorHAnsi"/>
          <w:color w:val="000000" w:themeColor="text1"/>
        </w:rPr>
        <w:t>; they registered as a charity in 2004 (</w:t>
      </w:r>
      <w:r w:rsidR="00BF2CFB" w:rsidRPr="00AA5C7B">
        <w:rPr>
          <w:rFonts w:asciiTheme="minorHAnsi" w:hAnsiTheme="minorHAnsi" w:cstheme="minorHAnsi"/>
          <w:color w:val="000000" w:themeColor="text1"/>
        </w:rPr>
        <w:t>NAAN</w:t>
      </w:r>
      <w:r w:rsidRPr="00AA5C7B">
        <w:rPr>
          <w:rFonts w:asciiTheme="minorHAnsi" w:hAnsiTheme="minorHAnsi" w:cstheme="minorHAnsi"/>
          <w:color w:val="000000" w:themeColor="text1"/>
        </w:rPr>
        <w:t>, 2020)</w:t>
      </w:r>
      <w:r w:rsidR="00D33BB1" w:rsidRPr="00AA5C7B">
        <w:rPr>
          <w:rFonts w:asciiTheme="minorHAnsi" w:hAnsiTheme="minorHAnsi" w:cstheme="minorHAnsi"/>
          <w:color w:val="000000" w:themeColor="text1"/>
        </w:rPr>
        <w:t xml:space="preserve">. </w:t>
      </w:r>
      <w:r w:rsidR="00836E3F" w:rsidRPr="001D34C0">
        <w:rPr>
          <w:rFonts w:asciiTheme="minorHAnsi" w:hAnsiTheme="minorHAnsi" w:cstheme="minorHAnsi"/>
          <w:color w:val="000000" w:themeColor="text1"/>
        </w:rPr>
        <w:t xml:space="preserve">NAAN </w:t>
      </w:r>
      <w:r w:rsidR="00903325" w:rsidRPr="001D34C0">
        <w:rPr>
          <w:rFonts w:asciiTheme="minorHAnsi" w:hAnsiTheme="minorHAnsi" w:cstheme="minorHAnsi"/>
          <w:color w:val="000000" w:themeColor="text1"/>
        </w:rPr>
        <w:t xml:space="preserve">supports the </w:t>
      </w:r>
      <w:r w:rsidR="001D1FFE" w:rsidRPr="001D34C0">
        <w:rPr>
          <w:rFonts w:asciiTheme="minorHAnsi" w:hAnsiTheme="minorHAnsi" w:cstheme="minorHAnsi"/>
          <w:color w:val="000000" w:themeColor="text1"/>
        </w:rPr>
        <w:t>setup</w:t>
      </w:r>
      <w:r w:rsidR="00D33BB1" w:rsidRPr="001D34C0">
        <w:rPr>
          <w:rFonts w:asciiTheme="minorHAnsi" w:hAnsiTheme="minorHAnsi" w:cstheme="minorHAnsi"/>
          <w:color w:val="000000" w:themeColor="text1"/>
        </w:rPr>
        <w:t xml:space="preserve"> </w:t>
      </w:r>
      <w:r w:rsidR="00903325" w:rsidRPr="001D34C0">
        <w:rPr>
          <w:rFonts w:asciiTheme="minorHAnsi" w:hAnsiTheme="minorHAnsi" w:cstheme="minorHAnsi"/>
          <w:color w:val="000000" w:themeColor="text1"/>
        </w:rPr>
        <w:t>of Appropriate Adult schemes, provide CPD and</w:t>
      </w:r>
      <w:r w:rsidR="00D33BB1" w:rsidRPr="001D34C0">
        <w:rPr>
          <w:rFonts w:asciiTheme="minorHAnsi" w:hAnsiTheme="minorHAnsi" w:cstheme="minorHAnsi"/>
          <w:color w:val="000000" w:themeColor="text1"/>
        </w:rPr>
        <w:t xml:space="preserve"> train</w:t>
      </w:r>
      <w:r w:rsidR="00903325" w:rsidRPr="001D34C0">
        <w:rPr>
          <w:rFonts w:asciiTheme="minorHAnsi" w:hAnsiTheme="minorHAnsi" w:cstheme="minorHAnsi"/>
          <w:color w:val="000000" w:themeColor="text1"/>
        </w:rPr>
        <w:t xml:space="preserve">ing events and materials. </w:t>
      </w:r>
      <w:r w:rsidR="00D33BB1" w:rsidRPr="001D34C0">
        <w:rPr>
          <w:rFonts w:asciiTheme="minorHAnsi" w:hAnsiTheme="minorHAnsi" w:cstheme="minorHAnsi"/>
          <w:color w:val="000000" w:themeColor="text1"/>
        </w:rPr>
        <w:t xml:space="preserve">  </w:t>
      </w:r>
      <w:r w:rsidR="00903325" w:rsidRPr="001D34C0">
        <w:rPr>
          <w:rFonts w:asciiTheme="minorHAnsi" w:hAnsiTheme="minorHAnsi" w:cstheme="minorHAnsi"/>
          <w:color w:val="000000" w:themeColor="text1"/>
        </w:rPr>
        <w:t>T</w:t>
      </w:r>
      <w:r w:rsidR="00D33BB1" w:rsidRPr="001D34C0">
        <w:rPr>
          <w:rFonts w:asciiTheme="minorHAnsi" w:hAnsiTheme="minorHAnsi" w:cstheme="minorHAnsi"/>
          <w:color w:val="000000" w:themeColor="text1"/>
        </w:rPr>
        <w:t>hey describe a ‘patchwork’ of volunteers, professional services</w:t>
      </w:r>
      <w:r w:rsidR="00903325" w:rsidRPr="001D34C0">
        <w:rPr>
          <w:rFonts w:asciiTheme="minorHAnsi" w:hAnsiTheme="minorHAnsi" w:cstheme="minorHAnsi"/>
          <w:color w:val="000000" w:themeColor="text1"/>
        </w:rPr>
        <w:t>,</w:t>
      </w:r>
      <w:r w:rsidR="00D33BB1" w:rsidRPr="001D34C0">
        <w:rPr>
          <w:rFonts w:asciiTheme="minorHAnsi" w:hAnsiTheme="minorHAnsi" w:cstheme="minorHAnsi"/>
          <w:color w:val="000000" w:themeColor="text1"/>
        </w:rPr>
        <w:t xml:space="preserve"> friends and family</w:t>
      </w:r>
      <w:r w:rsidR="00397320" w:rsidRPr="001D34C0">
        <w:rPr>
          <w:rFonts w:asciiTheme="minorHAnsi" w:hAnsiTheme="minorHAnsi" w:cstheme="minorHAnsi"/>
          <w:color w:val="000000" w:themeColor="text1"/>
        </w:rPr>
        <w:t>,</w:t>
      </w:r>
      <w:r w:rsidR="00D33BB1" w:rsidRPr="001D34C0">
        <w:rPr>
          <w:rFonts w:asciiTheme="minorHAnsi" w:hAnsiTheme="minorHAnsi" w:cstheme="minorHAnsi"/>
          <w:color w:val="000000" w:themeColor="text1"/>
        </w:rPr>
        <w:t xml:space="preserve"> and non-profit making provisions (Peacock and Cosgrove 2018).</w:t>
      </w:r>
      <w:r w:rsidR="009D272A" w:rsidRPr="001D34C0">
        <w:rPr>
          <w:rFonts w:asciiTheme="minorHAnsi" w:hAnsiTheme="minorHAnsi" w:cstheme="minorHAnsi"/>
          <w:color w:val="000000" w:themeColor="text1"/>
        </w:rPr>
        <w:t xml:space="preserve"> </w:t>
      </w:r>
      <w:r w:rsidR="00E2540D" w:rsidRPr="001D34C0">
        <w:rPr>
          <w:rFonts w:asciiTheme="minorHAnsi" w:hAnsiTheme="minorHAnsi" w:cstheme="minorHAnsi"/>
        </w:rPr>
        <w:t xml:space="preserve">In 2018 the Home Office published a voluntary partnership agreement framework, </w:t>
      </w:r>
      <w:r w:rsidR="003D0150" w:rsidRPr="001D34C0">
        <w:rPr>
          <w:rFonts w:asciiTheme="minorHAnsi" w:hAnsiTheme="minorHAnsi" w:cstheme="minorHAnsi"/>
        </w:rPr>
        <w:t>(NAAN, 2020: 7</w:t>
      </w:r>
      <w:r w:rsidR="00E2540D" w:rsidRPr="001D34C0">
        <w:rPr>
          <w:rFonts w:asciiTheme="minorHAnsi" w:hAnsiTheme="minorHAnsi" w:cstheme="minorHAnsi"/>
        </w:rPr>
        <w:t xml:space="preserve">; </w:t>
      </w:r>
      <w:r w:rsidR="00E2540D" w:rsidRPr="001D34C0">
        <w:rPr>
          <w:rFonts w:asciiTheme="minorHAnsi" w:hAnsiTheme="minorHAnsi" w:cstheme="minorHAnsi"/>
        </w:rPr>
        <w:lastRenderedPageBreak/>
        <w:t>https://www.gov.uk/government/publications/appropriate-adult-pcc-local-authority-partnership-agreement-england</w:t>
      </w:r>
      <w:r w:rsidR="003D0150" w:rsidRPr="001D34C0">
        <w:rPr>
          <w:rFonts w:asciiTheme="minorHAnsi" w:hAnsiTheme="minorHAnsi" w:cstheme="minorHAnsi"/>
        </w:rPr>
        <w:t xml:space="preserve">), </w:t>
      </w:r>
      <w:r w:rsidR="003D0150" w:rsidRPr="00E72CD8">
        <w:rPr>
          <w:rFonts w:asciiTheme="minorHAnsi" w:hAnsiTheme="minorHAnsi" w:cstheme="minorHAnsi"/>
        </w:rPr>
        <w:t xml:space="preserve">however did not make any change to statute, and so the inconsistent approach to service provision remained; </w:t>
      </w:r>
      <w:r w:rsidR="003D0150" w:rsidRPr="00E72CD8">
        <w:rPr>
          <w:rFonts w:asciiTheme="minorHAnsi" w:hAnsiTheme="minorHAnsi" w:cstheme="minorHAnsi"/>
          <w:color w:val="000000" w:themeColor="text1"/>
        </w:rPr>
        <w:t xml:space="preserve">this </w:t>
      </w:r>
      <w:r w:rsidR="00D85719" w:rsidRPr="00E72CD8">
        <w:rPr>
          <w:rFonts w:asciiTheme="minorHAnsi" w:hAnsiTheme="minorHAnsi" w:cstheme="minorHAnsi"/>
          <w:color w:val="000000" w:themeColor="text1"/>
        </w:rPr>
        <w:t>create</w:t>
      </w:r>
      <w:r w:rsidR="00397320" w:rsidRPr="00E72CD8">
        <w:rPr>
          <w:rFonts w:asciiTheme="minorHAnsi" w:hAnsiTheme="minorHAnsi" w:cstheme="minorHAnsi"/>
          <w:color w:val="000000" w:themeColor="text1"/>
        </w:rPr>
        <w:t>s</w:t>
      </w:r>
      <w:r w:rsidR="00D85719" w:rsidRPr="00E72CD8">
        <w:rPr>
          <w:rFonts w:asciiTheme="minorHAnsi" w:hAnsiTheme="minorHAnsi" w:cstheme="minorHAnsi"/>
          <w:color w:val="000000" w:themeColor="text1"/>
        </w:rPr>
        <w:t xml:space="preserve"> a less than ideal </w:t>
      </w:r>
      <w:r w:rsidR="002E54C1" w:rsidRPr="00E72CD8">
        <w:rPr>
          <w:rFonts w:asciiTheme="minorHAnsi" w:hAnsiTheme="minorHAnsi" w:cstheme="minorHAnsi"/>
          <w:color w:val="000000" w:themeColor="text1"/>
        </w:rPr>
        <w:t xml:space="preserve">environment </w:t>
      </w:r>
      <w:r w:rsidR="00903325" w:rsidRPr="00E72CD8">
        <w:rPr>
          <w:rFonts w:asciiTheme="minorHAnsi" w:hAnsiTheme="minorHAnsi" w:cstheme="minorHAnsi"/>
          <w:color w:val="000000" w:themeColor="text1"/>
        </w:rPr>
        <w:t>for</w:t>
      </w:r>
      <w:r w:rsidR="009D272A" w:rsidRPr="00E72CD8">
        <w:rPr>
          <w:rFonts w:asciiTheme="minorHAnsi" w:hAnsiTheme="minorHAnsi" w:cstheme="minorHAnsi"/>
          <w:color w:val="000000" w:themeColor="text1"/>
        </w:rPr>
        <w:t xml:space="preserve"> organising a universal way of</w:t>
      </w:r>
      <w:r w:rsidR="00AA0166" w:rsidRPr="00E72CD8">
        <w:rPr>
          <w:rFonts w:asciiTheme="minorHAnsi" w:hAnsiTheme="minorHAnsi" w:cstheme="minorHAnsi"/>
          <w:color w:val="000000" w:themeColor="text1"/>
        </w:rPr>
        <w:t xml:space="preserve"> implementing service user involvement into </w:t>
      </w:r>
      <w:r w:rsidR="00903325" w:rsidRPr="00E72CD8">
        <w:rPr>
          <w:rFonts w:asciiTheme="minorHAnsi" w:hAnsiTheme="minorHAnsi" w:cstheme="minorHAnsi"/>
          <w:color w:val="000000" w:themeColor="text1"/>
        </w:rPr>
        <w:t>Appropr</w:t>
      </w:r>
      <w:r w:rsidR="003D0150" w:rsidRPr="00E72CD8">
        <w:rPr>
          <w:rFonts w:asciiTheme="minorHAnsi" w:hAnsiTheme="minorHAnsi" w:cstheme="minorHAnsi"/>
          <w:color w:val="000000" w:themeColor="text1"/>
        </w:rPr>
        <w:t>iat</w:t>
      </w:r>
      <w:r w:rsidR="00903325" w:rsidRPr="00E72CD8">
        <w:rPr>
          <w:rFonts w:asciiTheme="minorHAnsi" w:hAnsiTheme="minorHAnsi" w:cstheme="minorHAnsi"/>
          <w:color w:val="000000" w:themeColor="text1"/>
        </w:rPr>
        <w:t xml:space="preserve">e Adult schemes. </w:t>
      </w:r>
    </w:p>
    <w:p w14:paraId="39964001" w14:textId="77777777" w:rsidR="0018481F" w:rsidRPr="001D34C0" w:rsidRDefault="0018481F" w:rsidP="00A42A35">
      <w:pPr>
        <w:spacing w:line="360" w:lineRule="auto"/>
        <w:contextualSpacing/>
        <w:mirrorIndents/>
        <w:jc w:val="both"/>
        <w:rPr>
          <w:rFonts w:asciiTheme="minorHAnsi" w:hAnsiTheme="minorHAnsi" w:cstheme="minorHAnsi"/>
          <w:color w:val="FF0000"/>
        </w:rPr>
      </w:pPr>
    </w:p>
    <w:p w14:paraId="315ED2E2" w14:textId="77777777" w:rsidR="00F01450" w:rsidRPr="001D34C0" w:rsidRDefault="00F01450" w:rsidP="00A42A35">
      <w:pPr>
        <w:spacing w:line="360" w:lineRule="auto"/>
        <w:contextualSpacing/>
        <w:mirrorIndents/>
        <w:jc w:val="both"/>
        <w:rPr>
          <w:rFonts w:asciiTheme="minorHAnsi" w:hAnsiTheme="minorHAnsi" w:cstheme="minorHAnsi"/>
          <w:color w:val="000000"/>
        </w:rPr>
      </w:pPr>
    </w:p>
    <w:p w14:paraId="105EE3D5" w14:textId="328EF256" w:rsidR="0066276E" w:rsidRPr="00E72CD8" w:rsidRDefault="00B76CCC" w:rsidP="00A42A35">
      <w:pPr>
        <w:spacing w:line="360" w:lineRule="auto"/>
        <w:contextualSpacing/>
        <w:mirrorIndents/>
        <w:jc w:val="both"/>
        <w:rPr>
          <w:rFonts w:asciiTheme="minorHAnsi" w:hAnsiTheme="minorHAnsi" w:cstheme="minorHAnsi"/>
          <w:b/>
        </w:rPr>
      </w:pPr>
      <w:r w:rsidRPr="00E72CD8">
        <w:rPr>
          <w:rFonts w:asciiTheme="minorHAnsi" w:hAnsiTheme="minorHAnsi" w:cstheme="minorHAnsi"/>
          <w:b/>
        </w:rPr>
        <w:t>Models of participation</w:t>
      </w:r>
    </w:p>
    <w:p w14:paraId="30F39A0C" w14:textId="0C6978CF" w:rsidR="009C623A" w:rsidRPr="00E72CD8" w:rsidRDefault="009C623A" w:rsidP="00A42A35">
      <w:pPr>
        <w:spacing w:line="360" w:lineRule="auto"/>
        <w:contextualSpacing/>
        <w:mirrorIndents/>
        <w:jc w:val="both"/>
        <w:rPr>
          <w:rFonts w:asciiTheme="minorHAnsi" w:hAnsiTheme="minorHAnsi" w:cstheme="minorHAnsi"/>
          <w:b/>
        </w:rPr>
      </w:pPr>
    </w:p>
    <w:p w14:paraId="747AFDA3" w14:textId="3AB2BF76" w:rsidR="00341C16" w:rsidRPr="00E656DD" w:rsidRDefault="00437891" w:rsidP="00A42A35">
      <w:pPr>
        <w:spacing w:line="360" w:lineRule="auto"/>
        <w:contextualSpacing/>
        <w:mirrorIndents/>
        <w:jc w:val="both"/>
        <w:rPr>
          <w:rFonts w:asciiTheme="minorHAnsi" w:hAnsiTheme="minorHAnsi" w:cstheme="minorHAnsi"/>
          <w:lang w:bidi="en-US"/>
        </w:rPr>
      </w:pPr>
      <w:r w:rsidRPr="00E72CD8">
        <w:rPr>
          <w:rFonts w:asciiTheme="minorHAnsi" w:hAnsiTheme="minorHAnsi" w:cstheme="minorHAnsi"/>
          <w:lang w:bidi="en-US"/>
        </w:rPr>
        <w:t xml:space="preserve">Over the past 20 </w:t>
      </w:r>
      <w:r w:rsidR="001D1FFE" w:rsidRPr="00E72CD8">
        <w:rPr>
          <w:rFonts w:asciiTheme="minorHAnsi" w:hAnsiTheme="minorHAnsi" w:cstheme="minorHAnsi"/>
          <w:lang w:bidi="en-US"/>
        </w:rPr>
        <w:t>years, service</w:t>
      </w:r>
      <w:r w:rsidR="00815E0B" w:rsidRPr="00E72CD8">
        <w:rPr>
          <w:rFonts w:asciiTheme="minorHAnsi" w:hAnsiTheme="minorHAnsi" w:cstheme="minorHAnsi"/>
          <w:lang w:bidi="en-US"/>
        </w:rPr>
        <w:t xml:space="preserve"> user</w:t>
      </w:r>
      <w:r w:rsidR="00CE6E41" w:rsidRPr="00E72CD8">
        <w:rPr>
          <w:rFonts w:asciiTheme="minorHAnsi" w:hAnsiTheme="minorHAnsi" w:cstheme="minorHAnsi"/>
          <w:lang w:bidi="en-US"/>
        </w:rPr>
        <w:t xml:space="preserve"> and patient involvement</w:t>
      </w:r>
      <w:r w:rsidR="00A53D8A" w:rsidRPr="00E72CD8">
        <w:rPr>
          <w:rFonts w:asciiTheme="minorHAnsi" w:hAnsiTheme="minorHAnsi" w:cstheme="minorHAnsi"/>
          <w:lang w:bidi="en-US"/>
        </w:rPr>
        <w:t xml:space="preserve"> ha</w:t>
      </w:r>
      <w:r w:rsidR="00F17CB1" w:rsidRPr="00E72CD8">
        <w:rPr>
          <w:rFonts w:asciiTheme="minorHAnsi" w:hAnsiTheme="minorHAnsi" w:cstheme="minorHAnsi"/>
          <w:lang w:bidi="en-US"/>
        </w:rPr>
        <w:t>ve</w:t>
      </w:r>
      <w:r w:rsidR="00A53D8A" w:rsidRPr="00E72CD8">
        <w:rPr>
          <w:rFonts w:asciiTheme="minorHAnsi" w:hAnsiTheme="minorHAnsi" w:cstheme="minorHAnsi"/>
          <w:lang w:bidi="en-US"/>
        </w:rPr>
        <w:t xml:space="preserve"> been central to social policy in the </w:t>
      </w:r>
      <w:r w:rsidR="001D1FFE" w:rsidRPr="00E72CD8">
        <w:rPr>
          <w:rFonts w:asciiTheme="minorHAnsi" w:hAnsiTheme="minorHAnsi" w:cstheme="minorHAnsi"/>
          <w:lang w:bidi="en-US"/>
        </w:rPr>
        <w:t>UK, in</w:t>
      </w:r>
      <w:r w:rsidR="00A53D8A" w:rsidRPr="00E72CD8">
        <w:rPr>
          <w:rFonts w:asciiTheme="minorHAnsi" w:hAnsiTheme="minorHAnsi" w:cstheme="minorHAnsi"/>
          <w:lang w:bidi="en-US"/>
        </w:rPr>
        <w:t xml:space="preserve"> particular</w:t>
      </w:r>
      <w:r w:rsidR="00432DBB" w:rsidRPr="00E72CD8">
        <w:rPr>
          <w:rFonts w:asciiTheme="minorHAnsi" w:hAnsiTheme="minorHAnsi" w:cstheme="minorHAnsi"/>
          <w:lang w:bidi="en-US"/>
        </w:rPr>
        <w:t xml:space="preserve"> within social work and health care services (</w:t>
      </w:r>
      <w:r w:rsidR="001E3F29" w:rsidRPr="00E72CD8">
        <w:rPr>
          <w:rFonts w:asciiTheme="minorHAnsi" w:hAnsiTheme="minorHAnsi" w:cstheme="minorHAnsi"/>
          <w:lang w:bidi="en-US"/>
        </w:rPr>
        <w:t xml:space="preserve">Hanley </w:t>
      </w:r>
      <w:r w:rsidR="00E2540D" w:rsidRPr="00E72CD8">
        <w:rPr>
          <w:rFonts w:asciiTheme="minorHAnsi" w:hAnsiTheme="minorHAnsi" w:cstheme="minorHAnsi"/>
          <w:i/>
          <w:iCs/>
          <w:lang w:bidi="en-US"/>
        </w:rPr>
        <w:t>et al.,</w:t>
      </w:r>
      <w:r w:rsidR="00E2540D" w:rsidRPr="00E72CD8">
        <w:rPr>
          <w:rFonts w:asciiTheme="minorHAnsi" w:hAnsiTheme="minorHAnsi" w:cstheme="minorHAnsi"/>
          <w:lang w:bidi="en-US"/>
        </w:rPr>
        <w:t xml:space="preserve"> </w:t>
      </w:r>
      <w:r w:rsidR="001E3F29" w:rsidRPr="00E72CD8">
        <w:rPr>
          <w:rFonts w:asciiTheme="minorHAnsi" w:hAnsiTheme="minorHAnsi" w:cstheme="minorHAnsi"/>
          <w:lang w:bidi="en-US"/>
        </w:rPr>
        <w:t xml:space="preserve">2004; </w:t>
      </w:r>
      <w:proofErr w:type="spellStart"/>
      <w:r w:rsidR="00323158" w:rsidRPr="00E72CD8">
        <w:rPr>
          <w:rFonts w:asciiTheme="minorHAnsi" w:hAnsiTheme="minorHAnsi" w:cstheme="minorHAnsi"/>
          <w:lang w:bidi="en-US"/>
        </w:rPr>
        <w:t>Forbat</w:t>
      </w:r>
      <w:proofErr w:type="spellEnd"/>
      <w:r w:rsidR="00323158" w:rsidRPr="00E72CD8">
        <w:rPr>
          <w:rFonts w:asciiTheme="minorHAnsi" w:hAnsiTheme="minorHAnsi" w:cstheme="minorHAnsi"/>
          <w:lang w:bidi="en-US"/>
        </w:rPr>
        <w:t xml:space="preserve"> </w:t>
      </w:r>
      <w:r w:rsidR="00323158" w:rsidRPr="00E72CD8">
        <w:rPr>
          <w:rFonts w:asciiTheme="minorHAnsi" w:hAnsiTheme="minorHAnsi" w:cstheme="minorHAnsi"/>
          <w:i/>
          <w:iCs/>
          <w:lang w:bidi="en-US"/>
        </w:rPr>
        <w:t>et</w:t>
      </w:r>
      <w:r w:rsidR="00E2540D" w:rsidRPr="00E72CD8">
        <w:rPr>
          <w:rFonts w:asciiTheme="minorHAnsi" w:hAnsiTheme="minorHAnsi" w:cstheme="minorHAnsi"/>
          <w:i/>
          <w:iCs/>
          <w:lang w:bidi="en-US"/>
        </w:rPr>
        <w:t xml:space="preserve"> </w:t>
      </w:r>
      <w:r w:rsidR="00323158" w:rsidRPr="00E72CD8">
        <w:rPr>
          <w:rFonts w:asciiTheme="minorHAnsi" w:hAnsiTheme="minorHAnsi" w:cstheme="minorHAnsi"/>
          <w:i/>
          <w:iCs/>
          <w:lang w:bidi="en-US"/>
        </w:rPr>
        <w:t>al.</w:t>
      </w:r>
      <w:r w:rsidR="001D1FFE" w:rsidRPr="00E72CD8">
        <w:rPr>
          <w:rFonts w:asciiTheme="minorHAnsi" w:hAnsiTheme="minorHAnsi" w:cstheme="minorHAnsi"/>
          <w:i/>
          <w:iCs/>
          <w:lang w:bidi="en-US"/>
        </w:rPr>
        <w:t>,</w:t>
      </w:r>
      <w:r w:rsidR="001D1FFE" w:rsidRPr="00E72CD8">
        <w:rPr>
          <w:rFonts w:asciiTheme="minorHAnsi" w:hAnsiTheme="minorHAnsi" w:cstheme="minorHAnsi"/>
          <w:lang w:bidi="en-US"/>
        </w:rPr>
        <w:t xml:space="preserve"> 2008</w:t>
      </w:r>
      <w:r w:rsidR="00323158" w:rsidRPr="00E72CD8">
        <w:rPr>
          <w:rFonts w:asciiTheme="minorHAnsi" w:hAnsiTheme="minorHAnsi" w:cstheme="minorHAnsi"/>
          <w:lang w:bidi="en-US"/>
        </w:rPr>
        <w:t xml:space="preserve">; </w:t>
      </w:r>
      <w:proofErr w:type="spellStart"/>
      <w:r w:rsidR="001F0EA9" w:rsidRPr="00E72CD8">
        <w:rPr>
          <w:rFonts w:asciiTheme="minorHAnsi" w:hAnsiTheme="minorHAnsi" w:cstheme="minorHAnsi"/>
          <w:lang w:bidi="en-US"/>
        </w:rPr>
        <w:t>Askheim</w:t>
      </w:r>
      <w:proofErr w:type="spellEnd"/>
      <w:r w:rsidR="001F0EA9" w:rsidRPr="00E72CD8">
        <w:rPr>
          <w:rFonts w:asciiTheme="minorHAnsi" w:hAnsiTheme="minorHAnsi" w:cstheme="minorHAnsi"/>
          <w:lang w:bidi="en-US"/>
        </w:rPr>
        <w:t xml:space="preserve"> </w:t>
      </w:r>
      <w:r w:rsidR="001F0EA9" w:rsidRPr="00E72CD8">
        <w:rPr>
          <w:rFonts w:asciiTheme="minorHAnsi" w:hAnsiTheme="minorHAnsi" w:cstheme="minorHAnsi"/>
          <w:i/>
          <w:iCs/>
          <w:lang w:bidi="en-US"/>
        </w:rPr>
        <w:t>et</w:t>
      </w:r>
      <w:r w:rsidR="00E2540D" w:rsidRPr="00E72CD8">
        <w:rPr>
          <w:rFonts w:asciiTheme="minorHAnsi" w:hAnsiTheme="minorHAnsi" w:cstheme="minorHAnsi"/>
          <w:i/>
          <w:iCs/>
          <w:lang w:bidi="en-US"/>
        </w:rPr>
        <w:t xml:space="preserve"> </w:t>
      </w:r>
      <w:r w:rsidR="001F0EA9" w:rsidRPr="00E72CD8">
        <w:rPr>
          <w:rFonts w:asciiTheme="minorHAnsi" w:hAnsiTheme="minorHAnsi" w:cstheme="minorHAnsi"/>
          <w:i/>
          <w:iCs/>
          <w:lang w:bidi="en-US"/>
        </w:rPr>
        <w:t>al.</w:t>
      </w:r>
      <w:r w:rsidR="00E2540D" w:rsidRPr="00E72CD8">
        <w:rPr>
          <w:rFonts w:asciiTheme="minorHAnsi" w:hAnsiTheme="minorHAnsi" w:cstheme="minorHAnsi"/>
          <w:i/>
          <w:iCs/>
          <w:lang w:bidi="en-US"/>
        </w:rPr>
        <w:t>,</w:t>
      </w:r>
      <w:r w:rsidR="001F0EA9" w:rsidRPr="00E72CD8">
        <w:rPr>
          <w:rFonts w:asciiTheme="minorHAnsi" w:hAnsiTheme="minorHAnsi" w:cstheme="minorHAnsi"/>
          <w:lang w:bidi="en-US"/>
        </w:rPr>
        <w:t xml:space="preserve"> 2017</w:t>
      </w:r>
      <w:r w:rsidR="001E3F29" w:rsidRPr="00E72CD8">
        <w:rPr>
          <w:rFonts w:asciiTheme="minorHAnsi" w:hAnsiTheme="minorHAnsi" w:cstheme="minorHAnsi"/>
          <w:lang w:bidi="en-US"/>
        </w:rPr>
        <w:t xml:space="preserve">). </w:t>
      </w:r>
      <w:r w:rsidR="00E2540D" w:rsidRPr="00722214">
        <w:rPr>
          <w:rFonts w:asciiTheme="minorHAnsi" w:hAnsiTheme="minorHAnsi" w:cstheme="minorHAnsi"/>
          <w:lang w:bidi="en-US"/>
        </w:rPr>
        <w:t xml:space="preserve">The </w:t>
      </w:r>
      <w:r w:rsidR="00CA7958" w:rsidRPr="00722214">
        <w:rPr>
          <w:rFonts w:asciiTheme="minorHAnsi" w:hAnsiTheme="minorHAnsi" w:cstheme="minorHAnsi"/>
          <w:lang w:bidi="en-US"/>
        </w:rPr>
        <w:t xml:space="preserve">Health and Social Care Act </w:t>
      </w:r>
      <w:r w:rsidR="00057667" w:rsidRPr="00722214">
        <w:rPr>
          <w:rFonts w:asciiTheme="minorHAnsi" w:hAnsiTheme="minorHAnsi" w:cstheme="minorHAnsi"/>
          <w:lang w:bidi="en-US"/>
        </w:rPr>
        <w:t>(2001)</w:t>
      </w:r>
      <w:r w:rsidR="00E2540D" w:rsidRPr="00722214">
        <w:rPr>
          <w:rFonts w:asciiTheme="minorHAnsi" w:hAnsiTheme="minorHAnsi" w:cstheme="minorHAnsi"/>
          <w:lang w:bidi="en-US"/>
        </w:rPr>
        <w:t xml:space="preserve"> </w:t>
      </w:r>
      <w:r w:rsidR="00057667" w:rsidRPr="00722214">
        <w:rPr>
          <w:rFonts w:asciiTheme="minorHAnsi" w:hAnsiTheme="minorHAnsi" w:cstheme="minorHAnsi"/>
          <w:lang w:bidi="en-US"/>
        </w:rPr>
        <w:t>establis</w:t>
      </w:r>
      <w:r w:rsidR="00E2540D" w:rsidRPr="00722214">
        <w:rPr>
          <w:rFonts w:asciiTheme="minorHAnsi" w:hAnsiTheme="minorHAnsi" w:cstheme="minorHAnsi"/>
          <w:lang w:bidi="en-US"/>
        </w:rPr>
        <w:t>hed</w:t>
      </w:r>
      <w:r w:rsidR="00057667" w:rsidRPr="00722214">
        <w:rPr>
          <w:rFonts w:asciiTheme="minorHAnsi" w:hAnsiTheme="minorHAnsi" w:cstheme="minorHAnsi"/>
          <w:lang w:bidi="en-US"/>
        </w:rPr>
        <w:t xml:space="preserve"> of distinct strands of public involvement and accountability.</w:t>
      </w:r>
      <w:r w:rsidR="003012A6" w:rsidRPr="00722214">
        <w:rPr>
          <w:rFonts w:asciiTheme="minorHAnsi" w:hAnsiTheme="minorHAnsi" w:cstheme="minorHAnsi"/>
          <w:lang w:bidi="en-US"/>
        </w:rPr>
        <w:t xml:space="preserve"> In 2003, the commission for patient and public involvement established </w:t>
      </w:r>
      <w:r w:rsidR="000C5633" w:rsidRPr="00722214">
        <w:rPr>
          <w:rFonts w:asciiTheme="minorHAnsi" w:hAnsiTheme="minorHAnsi" w:cstheme="minorHAnsi"/>
          <w:lang w:bidi="en-US"/>
        </w:rPr>
        <w:t xml:space="preserve">national forums where members of the public can feed into health strategies </w:t>
      </w:r>
      <w:r w:rsidR="00930DAC" w:rsidRPr="00722214">
        <w:rPr>
          <w:rFonts w:asciiTheme="minorHAnsi" w:hAnsiTheme="minorHAnsi" w:cstheme="minorHAnsi"/>
          <w:lang w:bidi="en-US"/>
        </w:rPr>
        <w:t>at a</w:t>
      </w:r>
      <w:r w:rsidR="000C5633" w:rsidRPr="00722214">
        <w:rPr>
          <w:rFonts w:asciiTheme="minorHAnsi" w:hAnsiTheme="minorHAnsi" w:cstheme="minorHAnsi"/>
          <w:lang w:bidi="en-US"/>
        </w:rPr>
        <w:t xml:space="preserve"> local and national level</w:t>
      </w:r>
      <w:r w:rsidR="002565FB" w:rsidRPr="00722214">
        <w:rPr>
          <w:rFonts w:asciiTheme="minorHAnsi" w:hAnsiTheme="minorHAnsi" w:cstheme="minorHAnsi"/>
          <w:lang w:bidi="en-US"/>
        </w:rPr>
        <w:t xml:space="preserve"> (Taylor-</w:t>
      </w:r>
      <w:proofErr w:type="spellStart"/>
      <w:r w:rsidR="002565FB" w:rsidRPr="00722214">
        <w:rPr>
          <w:rFonts w:asciiTheme="minorHAnsi" w:hAnsiTheme="minorHAnsi" w:cstheme="minorHAnsi"/>
          <w:lang w:bidi="en-US"/>
        </w:rPr>
        <w:t>Gooby</w:t>
      </w:r>
      <w:proofErr w:type="spellEnd"/>
      <w:r w:rsidR="00E2540D" w:rsidRPr="00722214">
        <w:rPr>
          <w:rFonts w:asciiTheme="minorHAnsi" w:hAnsiTheme="minorHAnsi" w:cstheme="minorHAnsi"/>
          <w:lang w:bidi="en-US"/>
        </w:rPr>
        <w:t>,</w:t>
      </w:r>
      <w:r w:rsidR="002565FB" w:rsidRPr="00722214">
        <w:rPr>
          <w:rFonts w:asciiTheme="minorHAnsi" w:hAnsiTheme="minorHAnsi" w:cstheme="minorHAnsi"/>
          <w:lang w:bidi="en-US"/>
        </w:rPr>
        <w:t xml:space="preserve"> 2012).  </w:t>
      </w:r>
      <w:r w:rsidR="00836E3F" w:rsidRPr="00E11BEB">
        <w:rPr>
          <w:rFonts w:asciiTheme="minorHAnsi" w:hAnsiTheme="minorHAnsi" w:cstheme="minorHAnsi"/>
          <w:lang w:bidi="en-US"/>
        </w:rPr>
        <w:t>Wi</w:t>
      </w:r>
      <w:r w:rsidR="009254F5" w:rsidRPr="00E11BEB">
        <w:rPr>
          <w:rFonts w:asciiTheme="minorHAnsi" w:hAnsiTheme="minorHAnsi" w:cstheme="minorHAnsi"/>
          <w:lang w:bidi="en-US"/>
        </w:rPr>
        <w:t>thin health and social care there has been a clear strategy to facilitate service user and patient involvement in the development</w:t>
      </w:r>
      <w:r w:rsidR="00AB770E" w:rsidRPr="00E11BEB">
        <w:rPr>
          <w:rFonts w:asciiTheme="minorHAnsi" w:hAnsiTheme="minorHAnsi" w:cstheme="minorHAnsi"/>
          <w:lang w:bidi="en-US"/>
        </w:rPr>
        <w:t xml:space="preserve"> and commissioning of service</w:t>
      </w:r>
      <w:r w:rsidR="00836E3F" w:rsidRPr="00E11BEB">
        <w:rPr>
          <w:rFonts w:asciiTheme="minorHAnsi" w:hAnsiTheme="minorHAnsi" w:cstheme="minorHAnsi"/>
          <w:lang w:bidi="en-US"/>
        </w:rPr>
        <w:t>s, yet the</w:t>
      </w:r>
      <w:r w:rsidR="00AB770E" w:rsidRPr="00E11BEB">
        <w:rPr>
          <w:rFonts w:asciiTheme="minorHAnsi" w:hAnsiTheme="minorHAnsi" w:cstheme="minorHAnsi"/>
          <w:lang w:bidi="en-US"/>
        </w:rPr>
        <w:t xml:space="preserve"> concept of partnership work and service user involvement has been significantly criticised</w:t>
      </w:r>
      <w:r w:rsidR="003D0150" w:rsidRPr="00E11BEB">
        <w:rPr>
          <w:rFonts w:asciiTheme="minorHAnsi" w:hAnsiTheme="minorHAnsi" w:cstheme="minorHAnsi"/>
          <w:lang w:bidi="en-US"/>
        </w:rPr>
        <w:t>,</w:t>
      </w:r>
      <w:r w:rsidR="00AB770E" w:rsidRPr="00E11BEB">
        <w:rPr>
          <w:rFonts w:asciiTheme="minorHAnsi" w:hAnsiTheme="minorHAnsi" w:cstheme="minorHAnsi"/>
          <w:lang w:bidi="en-US"/>
        </w:rPr>
        <w:t xml:space="preserve"> often as tokenistic (</w:t>
      </w:r>
      <w:r w:rsidR="00AA35DE" w:rsidRPr="00E11BEB">
        <w:rPr>
          <w:rFonts w:asciiTheme="minorHAnsi" w:hAnsiTheme="minorHAnsi" w:cstheme="minorHAnsi"/>
          <w:lang w:bidi="en-US"/>
        </w:rPr>
        <w:t xml:space="preserve">Macdonald and </w:t>
      </w:r>
      <w:r w:rsidR="00EE5802" w:rsidRPr="00E11BEB">
        <w:rPr>
          <w:rFonts w:asciiTheme="minorHAnsi" w:hAnsiTheme="minorHAnsi" w:cstheme="minorHAnsi"/>
          <w:lang w:bidi="en-US"/>
        </w:rPr>
        <w:t>Taylor-</w:t>
      </w:r>
      <w:proofErr w:type="spellStart"/>
      <w:r w:rsidR="00EE5802" w:rsidRPr="00E11BEB">
        <w:rPr>
          <w:rFonts w:asciiTheme="minorHAnsi" w:hAnsiTheme="minorHAnsi" w:cstheme="minorHAnsi"/>
          <w:lang w:bidi="en-US"/>
        </w:rPr>
        <w:t>Gooby</w:t>
      </w:r>
      <w:proofErr w:type="spellEnd"/>
      <w:r w:rsidR="00EE5802" w:rsidRPr="00E11BEB">
        <w:rPr>
          <w:rFonts w:asciiTheme="minorHAnsi" w:hAnsiTheme="minorHAnsi" w:cstheme="minorHAnsi"/>
          <w:lang w:bidi="en-US"/>
        </w:rPr>
        <w:t xml:space="preserve"> 201</w:t>
      </w:r>
      <w:r w:rsidR="00202BA1" w:rsidRPr="00E11BEB">
        <w:rPr>
          <w:rFonts w:asciiTheme="minorHAnsi" w:hAnsiTheme="minorHAnsi" w:cstheme="minorHAnsi"/>
          <w:lang w:bidi="en-US"/>
        </w:rPr>
        <w:t>4</w:t>
      </w:r>
      <w:r w:rsidR="00AB770E" w:rsidRPr="00E11BEB">
        <w:rPr>
          <w:rFonts w:asciiTheme="minorHAnsi" w:hAnsiTheme="minorHAnsi" w:cstheme="minorHAnsi"/>
          <w:lang w:bidi="en-US"/>
        </w:rPr>
        <w:t xml:space="preserve">). </w:t>
      </w:r>
      <w:r w:rsidR="008265AE" w:rsidRPr="00E11BEB">
        <w:rPr>
          <w:rFonts w:asciiTheme="minorHAnsi" w:hAnsiTheme="minorHAnsi" w:cstheme="minorHAnsi"/>
          <w:lang w:bidi="en-US"/>
        </w:rPr>
        <w:t>Unlike within health and social care services, criminal justice agencies have not been as committed to the development of partnership work between service users (</w:t>
      </w:r>
      <w:r w:rsidR="001D1FFE" w:rsidRPr="00E11BEB">
        <w:rPr>
          <w:rFonts w:asciiTheme="minorHAnsi" w:hAnsiTheme="minorHAnsi" w:cstheme="minorHAnsi"/>
          <w:lang w:bidi="en-US"/>
        </w:rPr>
        <w:t>i.e.,</w:t>
      </w:r>
      <w:r w:rsidR="008265AE" w:rsidRPr="00E11BEB">
        <w:rPr>
          <w:rFonts w:asciiTheme="minorHAnsi" w:hAnsiTheme="minorHAnsi" w:cstheme="minorHAnsi"/>
          <w:lang w:bidi="en-US"/>
        </w:rPr>
        <w:t xml:space="preserve"> perpetrators or victims) and law enforcement agencies</w:t>
      </w:r>
      <w:r w:rsidR="007C5E0B" w:rsidRPr="00E11BEB">
        <w:rPr>
          <w:rFonts w:asciiTheme="minorHAnsi" w:hAnsiTheme="minorHAnsi" w:cstheme="minorHAnsi"/>
          <w:lang w:bidi="en-US"/>
        </w:rPr>
        <w:t xml:space="preserve"> (Buck </w:t>
      </w:r>
      <w:r w:rsidR="007C5E0B" w:rsidRPr="00E11BEB">
        <w:rPr>
          <w:rFonts w:asciiTheme="minorHAnsi" w:hAnsiTheme="minorHAnsi" w:cstheme="minorHAnsi"/>
          <w:i/>
          <w:iCs/>
          <w:lang w:bidi="en-US"/>
        </w:rPr>
        <w:t>et al</w:t>
      </w:r>
      <w:r w:rsidR="005D4FA8" w:rsidRPr="00E11BEB">
        <w:rPr>
          <w:rFonts w:asciiTheme="minorHAnsi" w:hAnsiTheme="minorHAnsi" w:cstheme="minorHAnsi"/>
          <w:i/>
          <w:iCs/>
          <w:lang w:bidi="en-US"/>
        </w:rPr>
        <w:t>.</w:t>
      </w:r>
      <w:r w:rsidR="007C5E0B" w:rsidRPr="00E11BEB">
        <w:rPr>
          <w:rFonts w:asciiTheme="minorHAnsi" w:hAnsiTheme="minorHAnsi" w:cstheme="minorHAnsi"/>
          <w:i/>
          <w:iCs/>
          <w:lang w:bidi="en-US"/>
        </w:rPr>
        <w:t>,</w:t>
      </w:r>
      <w:r w:rsidR="007C5E0B" w:rsidRPr="00E11BEB">
        <w:rPr>
          <w:rFonts w:asciiTheme="minorHAnsi" w:hAnsiTheme="minorHAnsi" w:cstheme="minorHAnsi"/>
          <w:lang w:bidi="en-US"/>
        </w:rPr>
        <w:t xml:space="preserve"> 2020</w:t>
      </w:r>
      <w:r w:rsidR="0021460B" w:rsidRPr="00E11BEB">
        <w:rPr>
          <w:rFonts w:asciiTheme="minorHAnsi" w:hAnsiTheme="minorHAnsi" w:cstheme="minorHAnsi"/>
          <w:lang w:bidi="en-US"/>
        </w:rPr>
        <w:t>; McCartan, 2019</w:t>
      </w:r>
      <w:r w:rsidR="007C5E0B" w:rsidRPr="00E11BEB">
        <w:rPr>
          <w:rFonts w:asciiTheme="minorHAnsi" w:hAnsiTheme="minorHAnsi" w:cstheme="minorHAnsi"/>
          <w:lang w:bidi="en-US"/>
        </w:rPr>
        <w:t>)</w:t>
      </w:r>
      <w:r w:rsidR="008265AE" w:rsidRPr="00E11BEB">
        <w:rPr>
          <w:rFonts w:asciiTheme="minorHAnsi" w:hAnsiTheme="minorHAnsi" w:cstheme="minorHAnsi"/>
          <w:lang w:bidi="en-US"/>
        </w:rPr>
        <w:t xml:space="preserve">. </w:t>
      </w:r>
      <w:r w:rsidR="008265AE" w:rsidRPr="0005723C">
        <w:rPr>
          <w:rFonts w:asciiTheme="minorHAnsi" w:hAnsiTheme="minorHAnsi" w:cstheme="minorHAnsi"/>
          <w:lang w:bidi="en-US"/>
        </w:rPr>
        <w:t>When examining the literature on models of involvement by offenders or detainees</w:t>
      </w:r>
      <w:r w:rsidR="00836E3F" w:rsidRPr="0005723C">
        <w:rPr>
          <w:rFonts w:asciiTheme="minorHAnsi" w:hAnsiTheme="minorHAnsi" w:cstheme="minorHAnsi"/>
          <w:lang w:bidi="en-US"/>
        </w:rPr>
        <w:t>,</w:t>
      </w:r>
      <w:r w:rsidR="008265AE" w:rsidRPr="0005723C">
        <w:rPr>
          <w:rFonts w:asciiTheme="minorHAnsi" w:hAnsiTheme="minorHAnsi" w:cstheme="minorHAnsi"/>
          <w:lang w:bidi="en-US"/>
        </w:rPr>
        <w:t xml:space="preserve"> the </w:t>
      </w:r>
      <w:r w:rsidR="0021460B" w:rsidRPr="0005723C">
        <w:rPr>
          <w:rFonts w:asciiTheme="minorHAnsi" w:hAnsiTheme="minorHAnsi" w:cstheme="minorHAnsi"/>
          <w:lang w:bidi="en-US"/>
        </w:rPr>
        <w:t>limited research which does exist</w:t>
      </w:r>
      <w:r w:rsidR="008265AE" w:rsidRPr="0005723C">
        <w:rPr>
          <w:rFonts w:asciiTheme="minorHAnsi" w:hAnsiTheme="minorHAnsi" w:cstheme="minorHAnsi"/>
          <w:lang w:bidi="en-US"/>
        </w:rPr>
        <w:t xml:space="preserve"> focuses on incorporating the voices of parents in the rehabilitation of young offenders (Chavira, </w:t>
      </w:r>
      <w:r w:rsidR="008265AE" w:rsidRPr="0005723C">
        <w:rPr>
          <w:rFonts w:asciiTheme="minorHAnsi" w:hAnsiTheme="minorHAnsi" w:cstheme="minorHAnsi"/>
          <w:i/>
          <w:iCs/>
          <w:lang w:bidi="en-US"/>
        </w:rPr>
        <w:t>et al</w:t>
      </w:r>
      <w:r w:rsidR="008265AE" w:rsidRPr="0005723C">
        <w:rPr>
          <w:rFonts w:asciiTheme="minorHAnsi" w:hAnsiTheme="minorHAnsi" w:cstheme="minorHAnsi"/>
          <w:lang w:bidi="en-US"/>
        </w:rPr>
        <w:t>. 2018)</w:t>
      </w:r>
      <w:r w:rsidR="007C5E0B" w:rsidRPr="0005723C">
        <w:rPr>
          <w:rFonts w:asciiTheme="minorHAnsi" w:hAnsiTheme="minorHAnsi" w:cstheme="minorHAnsi"/>
          <w:lang w:bidi="en-US"/>
        </w:rPr>
        <w:t xml:space="preserve"> or is otherwise focused on young offenders as participants (See for e.g. Little, 2015)</w:t>
      </w:r>
      <w:r w:rsidR="0021460B" w:rsidRPr="0005723C">
        <w:rPr>
          <w:rFonts w:asciiTheme="minorHAnsi" w:hAnsiTheme="minorHAnsi" w:cstheme="minorHAnsi"/>
          <w:lang w:bidi="en-US"/>
        </w:rPr>
        <w:t xml:space="preserve"> or prisoners (McCartan</w:t>
      </w:r>
      <w:r w:rsidR="00E2540D" w:rsidRPr="0005723C">
        <w:rPr>
          <w:rFonts w:asciiTheme="minorHAnsi" w:hAnsiTheme="minorHAnsi" w:cstheme="minorHAnsi"/>
          <w:lang w:bidi="en-US"/>
        </w:rPr>
        <w:t>, 2019</w:t>
      </w:r>
      <w:r w:rsidR="0021460B" w:rsidRPr="0005723C">
        <w:rPr>
          <w:rFonts w:asciiTheme="minorHAnsi" w:hAnsiTheme="minorHAnsi" w:cstheme="minorHAnsi"/>
          <w:lang w:bidi="en-US"/>
        </w:rPr>
        <w:t>)</w:t>
      </w:r>
      <w:r w:rsidR="008265AE" w:rsidRPr="0005723C">
        <w:rPr>
          <w:rFonts w:asciiTheme="minorHAnsi" w:hAnsiTheme="minorHAnsi" w:cstheme="minorHAnsi"/>
          <w:lang w:bidi="en-US"/>
        </w:rPr>
        <w:t>.  There have also been similar projects focusing on partnership work with victims (</w:t>
      </w:r>
      <w:r w:rsidR="00B86C87" w:rsidRPr="0005723C">
        <w:rPr>
          <w:rFonts w:asciiTheme="minorHAnsi" w:hAnsiTheme="minorHAnsi" w:cstheme="minorHAnsi"/>
          <w:lang w:bidi="en-US"/>
        </w:rPr>
        <w:t>Edwards, 2004</w:t>
      </w:r>
      <w:r w:rsidR="008265AE" w:rsidRPr="0005723C">
        <w:rPr>
          <w:rFonts w:asciiTheme="minorHAnsi" w:hAnsiTheme="minorHAnsi" w:cstheme="minorHAnsi"/>
          <w:lang w:bidi="en-US"/>
        </w:rPr>
        <w:t xml:space="preserve">). </w:t>
      </w:r>
      <w:r w:rsidR="008265AE" w:rsidRPr="00FB67E8">
        <w:rPr>
          <w:rFonts w:asciiTheme="minorHAnsi" w:hAnsiTheme="minorHAnsi" w:cstheme="minorHAnsi"/>
          <w:lang w:bidi="en-US"/>
        </w:rPr>
        <w:t xml:space="preserve">The most widely acknowledged approach has been </w:t>
      </w:r>
      <w:bookmarkStart w:id="3" w:name="_Hlk71900219"/>
      <w:proofErr w:type="spellStart"/>
      <w:r w:rsidR="008265AE" w:rsidRPr="00FB67E8">
        <w:rPr>
          <w:rFonts w:asciiTheme="minorHAnsi" w:hAnsiTheme="minorHAnsi" w:cstheme="minorHAnsi"/>
          <w:lang w:bidi="en-US"/>
        </w:rPr>
        <w:t>Arnstein’s</w:t>
      </w:r>
      <w:bookmarkEnd w:id="3"/>
      <w:proofErr w:type="spellEnd"/>
      <w:r w:rsidR="008265AE" w:rsidRPr="00FB67E8">
        <w:rPr>
          <w:rFonts w:asciiTheme="minorHAnsi" w:hAnsiTheme="minorHAnsi" w:cstheme="minorHAnsi"/>
          <w:lang w:bidi="en-US"/>
        </w:rPr>
        <w:t xml:space="preserve"> ladder of participation, by social workers working in </w:t>
      </w:r>
      <w:r w:rsidR="00092BD2" w:rsidRPr="00FB67E8">
        <w:rPr>
          <w:rFonts w:asciiTheme="minorHAnsi" w:hAnsiTheme="minorHAnsi" w:cstheme="minorHAnsi"/>
          <w:lang w:bidi="en-US"/>
        </w:rPr>
        <w:t xml:space="preserve">the </w:t>
      </w:r>
      <w:r w:rsidR="00E2540D" w:rsidRPr="00FB67E8">
        <w:rPr>
          <w:rFonts w:asciiTheme="minorHAnsi" w:hAnsiTheme="minorHAnsi" w:cstheme="minorHAnsi"/>
          <w:lang w:bidi="en-US"/>
        </w:rPr>
        <w:t>C</w:t>
      </w:r>
      <w:r w:rsidR="008265AE" w:rsidRPr="00FB67E8">
        <w:rPr>
          <w:rFonts w:asciiTheme="minorHAnsi" w:hAnsiTheme="minorHAnsi" w:cstheme="minorHAnsi"/>
          <w:lang w:bidi="en-US"/>
        </w:rPr>
        <w:t xml:space="preserve">riminal </w:t>
      </w:r>
      <w:r w:rsidR="00E2540D" w:rsidRPr="00FB67E8">
        <w:rPr>
          <w:rFonts w:asciiTheme="minorHAnsi" w:hAnsiTheme="minorHAnsi" w:cstheme="minorHAnsi"/>
          <w:lang w:bidi="en-US"/>
        </w:rPr>
        <w:t>J</w:t>
      </w:r>
      <w:r w:rsidR="008265AE" w:rsidRPr="00FB67E8">
        <w:rPr>
          <w:rFonts w:asciiTheme="minorHAnsi" w:hAnsiTheme="minorHAnsi" w:cstheme="minorHAnsi"/>
          <w:lang w:bidi="en-US"/>
        </w:rPr>
        <w:t>ustice</w:t>
      </w:r>
      <w:r w:rsidR="00092BD2" w:rsidRPr="00FB67E8">
        <w:rPr>
          <w:rFonts w:asciiTheme="minorHAnsi" w:hAnsiTheme="minorHAnsi" w:cstheme="minorHAnsi"/>
          <w:lang w:bidi="en-US"/>
        </w:rPr>
        <w:t xml:space="preserve"> </w:t>
      </w:r>
      <w:r w:rsidR="00E2540D" w:rsidRPr="00FB67E8">
        <w:rPr>
          <w:rFonts w:asciiTheme="minorHAnsi" w:hAnsiTheme="minorHAnsi" w:cstheme="minorHAnsi"/>
          <w:lang w:bidi="en-US"/>
        </w:rPr>
        <w:t>S</w:t>
      </w:r>
      <w:r w:rsidR="00092BD2" w:rsidRPr="00FB67E8">
        <w:rPr>
          <w:rFonts w:asciiTheme="minorHAnsi" w:hAnsiTheme="minorHAnsi" w:cstheme="minorHAnsi"/>
          <w:lang w:bidi="en-US"/>
        </w:rPr>
        <w:t>ystem</w:t>
      </w:r>
      <w:r w:rsidR="008265AE" w:rsidRPr="00FB67E8">
        <w:rPr>
          <w:rFonts w:asciiTheme="minorHAnsi" w:hAnsiTheme="minorHAnsi" w:cstheme="minorHAnsi"/>
          <w:lang w:bidi="en-US"/>
        </w:rPr>
        <w:t>, in research focusing on rehabilitation (Weaver</w:t>
      </w:r>
      <w:r w:rsidR="00E2540D" w:rsidRPr="00FB67E8">
        <w:rPr>
          <w:rFonts w:asciiTheme="minorHAnsi" w:hAnsiTheme="minorHAnsi" w:cstheme="minorHAnsi"/>
          <w:lang w:bidi="en-US"/>
        </w:rPr>
        <w:t>,</w:t>
      </w:r>
      <w:r w:rsidR="008265AE" w:rsidRPr="00FB67E8">
        <w:rPr>
          <w:rFonts w:asciiTheme="minorHAnsi" w:hAnsiTheme="minorHAnsi" w:cstheme="minorHAnsi"/>
          <w:lang w:bidi="en-US"/>
        </w:rPr>
        <w:t xml:space="preserve"> 2010). Yet almost no work has been done assessing the level and success of involvement of offenders and victims within the </w:t>
      </w:r>
      <w:r w:rsidR="00141F3B" w:rsidRPr="00FB67E8">
        <w:rPr>
          <w:rFonts w:asciiTheme="minorHAnsi" w:hAnsiTheme="minorHAnsi" w:cstheme="minorHAnsi"/>
          <w:lang w:bidi="en-US"/>
        </w:rPr>
        <w:t>C</w:t>
      </w:r>
      <w:r w:rsidR="008265AE" w:rsidRPr="00FB67E8">
        <w:rPr>
          <w:rFonts w:asciiTheme="minorHAnsi" w:hAnsiTheme="minorHAnsi" w:cstheme="minorHAnsi"/>
          <w:lang w:bidi="en-US"/>
        </w:rPr>
        <w:t xml:space="preserve">riminal </w:t>
      </w:r>
      <w:r w:rsidR="00141F3B" w:rsidRPr="00FB67E8">
        <w:rPr>
          <w:rFonts w:asciiTheme="minorHAnsi" w:hAnsiTheme="minorHAnsi" w:cstheme="minorHAnsi"/>
          <w:lang w:bidi="en-US"/>
        </w:rPr>
        <w:t>J</w:t>
      </w:r>
      <w:r w:rsidR="008265AE" w:rsidRPr="00FB67E8">
        <w:rPr>
          <w:rFonts w:asciiTheme="minorHAnsi" w:hAnsiTheme="minorHAnsi" w:cstheme="minorHAnsi"/>
          <w:lang w:bidi="en-US"/>
        </w:rPr>
        <w:t xml:space="preserve">ustice </w:t>
      </w:r>
      <w:r w:rsidR="00141F3B" w:rsidRPr="00FB67E8">
        <w:rPr>
          <w:rFonts w:asciiTheme="minorHAnsi" w:hAnsiTheme="minorHAnsi" w:cstheme="minorHAnsi"/>
          <w:lang w:bidi="en-US"/>
        </w:rPr>
        <w:t>S</w:t>
      </w:r>
      <w:r w:rsidR="008265AE" w:rsidRPr="00FB67E8">
        <w:rPr>
          <w:rFonts w:asciiTheme="minorHAnsi" w:hAnsiTheme="minorHAnsi" w:cstheme="minorHAnsi"/>
          <w:lang w:bidi="en-US"/>
        </w:rPr>
        <w:t xml:space="preserve">ystem </w:t>
      </w:r>
      <w:r w:rsidR="007C5E0B" w:rsidRPr="00FB67E8">
        <w:rPr>
          <w:rFonts w:asciiTheme="minorHAnsi" w:hAnsiTheme="minorHAnsi" w:cstheme="minorHAnsi"/>
          <w:lang w:bidi="en-US"/>
        </w:rPr>
        <w:t xml:space="preserve">(Buck </w:t>
      </w:r>
      <w:r w:rsidR="007C5E0B" w:rsidRPr="00FB67E8">
        <w:rPr>
          <w:rFonts w:asciiTheme="minorHAnsi" w:hAnsiTheme="minorHAnsi" w:cstheme="minorHAnsi"/>
          <w:i/>
          <w:iCs/>
          <w:lang w:bidi="en-US"/>
        </w:rPr>
        <w:t>et al</w:t>
      </w:r>
      <w:r w:rsidR="00E2540D" w:rsidRPr="00FB67E8">
        <w:rPr>
          <w:rFonts w:asciiTheme="minorHAnsi" w:hAnsiTheme="minorHAnsi" w:cstheme="minorHAnsi"/>
          <w:i/>
          <w:iCs/>
          <w:lang w:bidi="en-US"/>
        </w:rPr>
        <w:t>.</w:t>
      </w:r>
      <w:r w:rsidR="007C5E0B" w:rsidRPr="00FB67E8">
        <w:rPr>
          <w:rFonts w:asciiTheme="minorHAnsi" w:hAnsiTheme="minorHAnsi" w:cstheme="minorHAnsi"/>
          <w:i/>
          <w:iCs/>
          <w:lang w:bidi="en-US"/>
        </w:rPr>
        <w:t xml:space="preserve">, </w:t>
      </w:r>
      <w:r w:rsidR="007C5E0B" w:rsidRPr="00FB67E8">
        <w:rPr>
          <w:rFonts w:asciiTheme="minorHAnsi" w:hAnsiTheme="minorHAnsi" w:cstheme="minorHAnsi"/>
          <w:lang w:bidi="en-US"/>
        </w:rPr>
        <w:lastRenderedPageBreak/>
        <w:t>2020)</w:t>
      </w:r>
      <w:r w:rsidR="008265AE" w:rsidRPr="00FB67E8">
        <w:rPr>
          <w:rFonts w:asciiTheme="minorHAnsi" w:hAnsiTheme="minorHAnsi" w:cstheme="minorHAnsi"/>
          <w:lang w:bidi="en-US"/>
        </w:rPr>
        <w:t>.</w:t>
      </w:r>
      <w:r w:rsidR="0021460B" w:rsidRPr="00FB67E8">
        <w:rPr>
          <w:rFonts w:asciiTheme="minorHAnsi" w:hAnsiTheme="minorHAnsi" w:cstheme="minorHAnsi"/>
          <w:lang w:bidi="en-US"/>
        </w:rPr>
        <w:t xml:space="preserve">  Crucially “</w:t>
      </w:r>
      <w:r w:rsidR="0021460B" w:rsidRPr="00FB67E8">
        <w:rPr>
          <w:rFonts w:asciiTheme="minorHAnsi" w:hAnsiTheme="minorHAnsi" w:cstheme="minorHAnsi"/>
        </w:rPr>
        <w:t xml:space="preserve">privileging the service user’s voice can serve as an early-warning system that treatment is not working. </w:t>
      </w:r>
      <w:r w:rsidR="0021460B" w:rsidRPr="00E656DD">
        <w:rPr>
          <w:rFonts w:asciiTheme="minorHAnsi" w:hAnsiTheme="minorHAnsi" w:cstheme="minorHAnsi"/>
        </w:rPr>
        <w:t xml:space="preserve">It can help to prevent client-driven complaints and grievances and identify the most efficient means for improving services” (McCartan </w:t>
      </w:r>
      <w:r w:rsidR="0021460B" w:rsidRPr="00E656DD">
        <w:rPr>
          <w:rFonts w:asciiTheme="minorHAnsi" w:hAnsiTheme="minorHAnsi" w:cstheme="minorHAnsi"/>
          <w:i/>
          <w:iCs/>
        </w:rPr>
        <w:t>et al</w:t>
      </w:r>
      <w:r w:rsidR="00E2540D" w:rsidRPr="00E656DD">
        <w:rPr>
          <w:rFonts w:asciiTheme="minorHAnsi" w:hAnsiTheme="minorHAnsi" w:cstheme="minorHAnsi"/>
          <w:i/>
          <w:iCs/>
        </w:rPr>
        <w:t>.</w:t>
      </w:r>
      <w:r w:rsidR="0021460B" w:rsidRPr="00E656DD">
        <w:rPr>
          <w:rFonts w:asciiTheme="minorHAnsi" w:hAnsiTheme="minorHAnsi" w:cstheme="minorHAnsi"/>
          <w:i/>
          <w:iCs/>
        </w:rPr>
        <w:t>,</w:t>
      </w:r>
      <w:r w:rsidR="0021460B" w:rsidRPr="00E656DD">
        <w:rPr>
          <w:rFonts w:asciiTheme="minorHAnsi" w:hAnsiTheme="minorHAnsi" w:cstheme="minorHAnsi"/>
        </w:rPr>
        <w:t xml:space="preserve"> 2019: 4)</w:t>
      </w:r>
    </w:p>
    <w:p w14:paraId="077FB82D" w14:textId="77777777" w:rsidR="00341C16" w:rsidRPr="00E656DD" w:rsidRDefault="00341C16" w:rsidP="00A42A35">
      <w:pPr>
        <w:spacing w:line="360" w:lineRule="auto"/>
        <w:contextualSpacing/>
        <w:mirrorIndents/>
        <w:jc w:val="both"/>
        <w:rPr>
          <w:rFonts w:asciiTheme="minorHAnsi" w:hAnsiTheme="minorHAnsi" w:cstheme="minorHAnsi"/>
          <w:lang w:bidi="en-US"/>
        </w:rPr>
      </w:pPr>
    </w:p>
    <w:p w14:paraId="71B58760" w14:textId="77777777" w:rsidR="00F37AC4" w:rsidRPr="000658EC" w:rsidRDefault="00F44543" w:rsidP="00A42A35">
      <w:pPr>
        <w:spacing w:line="360" w:lineRule="auto"/>
        <w:contextualSpacing/>
        <w:mirrorIndents/>
        <w:jc w:val="both"/>
        <w:rPr>
          <w:rFonts w:asciiTheme="minorHAnsi" w:hAnsiTheme="minorHAnsi" w:cstheme="minorHAnsi"/>
          <w:lang w:bidi="en-US"/>
        </w:rPr>
      </w:pPr>
      <w:r w:rsidRPr="009F6073">
        <w:rPr>
          <w:rFonts w:asciiTheme="minorHAnsi" w:hAnsiTheme="minorHAnsi" w:cstheme="minorHAnsi"/>
          <w:lang w:bidi="en-US"/>
        </w:rPr>
        <w:t xml:space="preserve">The theorisation of meaningful participation has its roots in the 1960s in the classic work of Sherry </w:t>
      </w:r>
      <w:bookmarkStart w:id="4" w:name="_Hlk71796447"/>
      <w:proofErr w:type="spellStart"/>
      <w:r w:rsidRPr="009F6073">
        <w:rPr>
          <w:rFonts w:asciiTheme="minorHAnsi" w:hAnsiTheme="minorHAnsi" w:cstheme="minorHAnsi"/>
          <w:lang w:bidi="en-US"/>
        </w:rPr>
        <w:t>Arnstein</w:t>
      </w:r>
      <w:bookmarkEnd w:id="4"/>
      <w:proofErr w:type="spellEnd"/>
      <w:r w:rsidRPr="009F6073">
        <w:rPr>
          <w:rFonts w:asciiTheme="minorHAnsi" w:hAnsiTheme="minorHAnsi" w:cstheme="minorHAnsi"/>
          <w:lang w:bidi="en-US"/>
        </w:rPr>
        <w:t xml:space="preserve">, (1969). </w:t>
      </w:r>
      <w:proofErr w:type="spellStart"/>
      <w:r w:rsidR="00627FF9" w:rsidRPr="009F6073">
        <w:rPr>
          <w:rFonts w:asciiTheme="minorHAnsi" w:hAnsiTheme="minorHAnsi" w:cstheme="minorHAnsi"/>
          <w:lang w:bidi="en-US"/>
        </w:rPr>
        <w:t>Arnstein’s</w:t>
      </w:r>
      <w:proofErr w:type="spellEnd"/>
      <w:r w:rsidR="00627FF9" w:rsidRPr="009F6073">
        <w:rPr>
          <w:rFonts w:asciiTheme="minorHAnsi" w:hAnsiTheme="minorHAnsi" w:cstheme="minorHAnsi"/>
          <w:lang w:bidi="en-US"/>
        </w:rPr>
        <w:t xml:space="preserve"> research</w:t>
      </w:r>
      <w:r w:rsidR="00AC3418" w:rsidRPr="009F6073">
        <w:rPr>
          <w:rFonts w:asciiTheme="minorHAnsi" w:hAnsiTheme="minorHAnsi" w:cstheme="minorHAnsi"/>
          <w:lang w:bidi="en-US"/>
        </w:rPr>
        <w:t>, which focused on town planning, developed a</w:t>
      </w:r>
      <w:r w:rsidR="007D3B64" w:rsidRPr="009F6073">
        <w:rPr>
          <w:rFonts w:asciiTheme="minorHAnsi" w:hAnsiTheme="minorHAnsi" w:cstheme="minorHAnsi"/>
          <w:lang w:bidi="en-US"/>
        </w:rPr>
        <w:t xml:space="preserve"> </w:t>
      </w:r>
      <w:r w:rsidR="00141F3B" w:rsidRPr="009F6073">
        <w:rPr>
          <w:rFonts w:asciiTheme="minorHAnsi" w:hAnsiTheme="minorHAnsi" w:cstheme="minorHAnsi"/>
          <w:lang w:bidi="en-US"/>
        </w:rPr>
        <w:t xml:space="preserve">model of </w:t>
      </w:r>
      <w:r w:rsidR="00E3674F" w:rsidRPr="009F6073">
        <w:rPr>
          <w:rFonts w:asciiTheme="minorHAnsi" w:hAnsiTheme="minorHAnsi" w:cstheme="minorHAnsi"/>
          <w:lang w:bidi="en-US"/>
        </w:rPr>
        <w:t>degree</w:t>
      </w:r>
      <w:r w:rsidR="00141F3B" w:rsidRPr="009F6073">
        <w:rPr>
          <w:rFonts w:asciiTheme="minorHAnsi" w:hAnsiTheme="minorHAnsi" w:cstheme="minorHAnsi"/>
          <w:lang w:bidi="en-US"/>
        </w:rPr>
        <w:t>s</w:t>
      </w:r>
      <w:r w:rsidR="00E3674F" w:rsidRPr="009F6073">
        <w:rPr>
          <w:rFonts w:asciiTheme="minorHAnsi" w:hAnsiTheme="minorHAnsi" w:cstheme="minorHAnsi"/>
          <w:lang w:bidi="en-US"/>
        </w:rPr>
        <w:t xml:space="preserve"> of participation</w:t>
      </w:r>
      <w:r w:rsidR="001F429F" w:rsidRPr="009F6073">
        <w:rPr>
          <w:rFonts w:asciiTheme="minorHAnsi" w:hAnsiTheme="minorHAnsi" w:cstheme="minorHAnsi"/>
          <w:lang w:bidi="en-US"/>
        </w:rPr>
        <w:t xml:space="preserve"> referred to as ‘</w:t>
      </w:r>
      <w:proofErr w:type="spellStart"/>
      <w:r w:rsidR="00783F5C" w:rsidRPr="009F6073">
        <w:rPr>
          <w:rFonts w:asciiTheme="minorHAnsi" w:hAnsiTheme="minorHAnsi" w:cstheme="minorHAnsi"/>
          <w:lang w:bidi="en-US"/>
        </w:rPr>
        <w:t>Arnstein’s</w:t>
      </w:r>
      <w:proofErr w:type="spellEnd"/>
      <w:r w:rsidR="00783F5C" w:rsidRPr="009F6073">
        <w:rPr>
          <w:rFonts w:asciiTheme="minorHAnsi" w:hAnsiTheme="minorHAnsi" w:cstheme="minorHAnsi"/>
          <w:lang w:bidi="en-US"/>
        </w:rPr>
        <w:t xml:space="preserve"> ladder of participation’. Within her work</w:t>
      </w:r>
      <w:r w:rsidR="00A50441" w:rsidRPr="009F6073">
        <w:rPr>
          <w:rFonts w:asciiTheme="minorHAnsi" w:hAnsiTheme="minorHAnsi" w:cstheme="minorHAnsi"/>
          <w:lang w:bidi="en-US"/>
        </w:rPr>
        <w:t>,</w:t>
      </w:r>
      <w:r w:rsidR="00783F5C" w:rsidRPr="009F6073">
        <w:rPr>
          <w:rFonts w:asciiTheme="minorHAnsi" w:hAnsiTheme="minorHAnsi" w:cstheme="minorHAnsi"/>
          <w:lang w:bidi="en-US"/>
        </w:rPr>
        <w:t xml:space="preserve"> she focused on power dynamics concerning</w:t>
      </w:r>
      <w:r w:rsidR="00617FFE" w:rsidRPr="009F6073">
        <w:rPr>
          <w:rFonts w:asciiTheme="minorHAnsi" w:hAnsiTheme="minorHAnsi" w:cstheme="minorHAnsi"/>
          <w:lang w:bidi="en-US"/>
        </w:rPr>
        <w:t xml:space="preserve"> services and stakeholders and their relationship with the public, particularly</w:t>
      </w:r>
      <w:r w:rsidR="006B3204" w:rsidRPr="009F6073">
        <w:rPr>
          <w:rFonts w:asciiTheme="minorHAnsi" w:hAnsiTheme="minorHAnsi" w:cstheme="minorHAnsi"/>
          <w:lang w:bidi="en-US"/>
        </w:rPr>
        <w:t xml:space="preserve"> socially excluded populations in the USA.</w:t>
      </w:r>
      <w:r w:rsidR="00574A0A" w:rsidRPr="009F6073">
        <w:rPr>
          <w:rFonts w:asciiTheme="minorHAnsi" w:hAnsiTheme="minorHAnsi" w:cstheme="minorHAnsi"/>
          <w:lang w:bidi="en-US"/>
        </w:rPr>
        <w:t xml:space="preserve"> </w:t>
      </w:r>
      <w:proofErr w:type="spellStart"/>
      <w:r w:rsidR="00574A0A" w:rsidRPr="000658EC">
        <w:rPr>
          <w:rFonts w:asciiTheme="minorHAnsi" w:hAnsiTheme="minorHAnsi" w:cstheme="minorHAnsi"/>
          <w:lang w:bidi="en-US"/>
        </w:rPr>
        <w:t>Arnstein</w:t>
      </w:r>
      <w:proofErr w:type="spellEnd"/>
      <w:r w:rsidR="00574A0A" w:rsidRPr="000658EC">
        <w:rPr>
          <w:rFonts w:asciiTheme="minorHAnsi" w:hAnsiTheme="minorHAnsi" w:cstheme="minorHAnsi"/>
          <w:lang w:bidi="en-US"/>
        </w:rPr>
        <w:t xml:space="preserve"> </w:t>
      </w:r>
      <w:r w:rsidR="009C6A23" w:rsidRPr="000658EC">
        <w:rPr>
          <w:rFonts w:asciiTheme="minorHAnsi" w:hAnsiTheme="minorHAnsi" w:cstheme="minorHAnsi"/>
          <w:lang w:bidi="en-US"/>
        </w:rPr>
        <w:t>developed eight run</w:t>
      </w:r>
      <w:r w:rsidR="00141F3B" w:rsidRPr="000658EC">
        <w:rPr>
          <w:rFonts w:asciiTheme="minorHAnsi" w:hAnsiTheme="minorHAnsi" w:cstheme="minorHAnsi"/>
          <w:lang w:bidi="en-US"/>
        </w:rPr>
        <w:t>g</w:t>
      </w:r>
      <w:r w:rsidR="009C6A23" w:rsidRPr="000658EC">
        <w:rPr>
          <w:rFonts w:asciiTheme="minorHAnsi" w:hAnsiTheme="minorHAnsi" w:cstheme="minorHAnsi"/>
          <w:lang w:bidi="en-US"/>
        </w:rPr>
        <w:t>s of citizen participation</w:t>
      </w:r>
      <w:r w:rsidR="00A83F25" w:rsidRPr="000658EC">
        <w:rPr>
          <w:rFonts w:asciiTheme="minorHAnsi" w:hAnsiTheme="minorHAnsi" w:cstheme="minorHAnsi"/>
          <w:lang w:bidi="en-US"/>
        </w:rPr>
        <w:t xml:space="preserve"> starting at the</w:t>
      </w:r>
      <w:r w:rsidR="002962AF" w:rsidRPr="000658EC">
        <w:rPr>
          <w:rFonts w:asciiTheme="minorHAnsi" w:hAnsiTheme="minorHAnsi" w:cstheme="minorHAnsi"/>
          <w:lang w:bidi="en-US"/>
        </w:rPr>
        <w:t xml:space="preserve"> lowest</w:t>
      </w:r>
      <w:r w:rsidR="00A83F25" w:rsidRPr="000658EC">
        <w:rPr>
          <w:rFonts w:asciiTheme="minorHAnsi" w:hAnsiTheme="minorHAnsi" w:cstheme="minorHAnsi"/>
          <w:lang w:bidi="en-US"/>
        </w:rPr>
        <w:t xml:space="preserve"> level of ‘manipulation’ and concluding at the highest degree of participation at ‘citizens control’. </w:t>
      </w:r>
    </w:p>
    <w:p w14:paraId="05A27829" w14:textId="77777777" w:rsidR="00F37AC4" w:rsidRPr="000658EC" w:rsidRDefault="00F37AC4" w:rsidP="00A42A35">
      <w:pPr>
        <w:spacing w:line="360" w:lineRule="auto"/>
        <w:contextualSpacing/>
        <w:mirrorIndents/>
        <w:jc w:val="both"/>
        <w:rPr>
          <w:rFonts w:asciiTheme="minorHAnsi" w:hAnsiTheme="minorHAnsi" w:cstheme="minorHAnsi"/>
          <w:lang w:bidi="en-US"/>
        </w:rPr>
      </w:pPr>
    </w:p>
    <w:p w14:paraId="1C31A23A" w14:textId="6C64E88B" w:rsidR="00F37AC4" w:rsidRPr="004A0366" w:rsidRDefault="000E5A60" w:rsidP="00A42A35">
      <w:pPr>
        <w:spacing w:line="360" w:lineRule="auto"/>
        <w:contextualSpacing/>
        <w:mirrorIndents/>
        <w:jc w:val="both"/>
        <w:rPr>
          <w:rFonts w:asciiTheme="minorHAnsi" w:hAnsiTheme="minorHAnsi" w:cstheme="minorHAnsi"/>
          <w:lang w:bidi="en-US"/>
        </w:rPr>
      </w:pPr>
      <w:r w:rsidRPr="000658EC">
        <w:rPr>
          <w:rFonts w:asciiTheme="minorHAnsi" w:hAnsiTheme="minorHAnsi" w:cstheme="minorHAnsi"/>
          <w:lang w:bidi="en-US"/>
        </w:rPr>
        <w:t xml:space="preserve">Although </w:t>
      </w:r>
      <w:proofErr w:type="spellStart"/>
      <w:r w:rsidRPr="000658EC">
        <w:rPr>
          <w:rFonts w:asciiTheme="minorHAnsi" w:hAnsiTheme="minorHAnsi" w:cstheme="minorHAnsi"/>
          <w:lang w:bidi="en-US"/>
        </w:rPr>
        <w:t>Arnstein’s</w:t>
      </w:r>
      <w:proofErr w:type="spellEnd"/>
      <w:r w:rsidRPr="000658EC">
        <w:rPr>
          <w:rFonts w:asciiTheme="minorHAnsi" w:hAnsiTheme="minorHAnsi" w:cstheme="minorHAnsi"/>
          <w:lang w:bidi="en-US"/>
        </w:rPr>
        <w:t xml:space="preserve"> </w:t>
      </w:r>
      <w:r w:rsidR="00A23521" w:rsidRPr="000658EC">
        <w:rPr>
          <w:rFonts w:asciiTheme="minorHAnsi" w:hAnsiTheme="minorHAnsi" w:cstheme="minorHAnsi"/>
          <w:lang w:bidi="en-US"/>
        </w:rPr>
        <w:t xml:space="preserve">(1969) </w:t>
      </w:r>
      <w:r w:rsidRPr="000658EC">
        <w:rPr>
          <w:rFonts w:asciiTheme="minorHAnsi" w:hAnsiTheme="minorHAnsi" w:cstheme="minorHAnsi"/>
          <w:lang w:bidi="en-US"/>
        </w:rPr>
        <w:t>work</w:t>
      </w:r>
      <w:r w:rsidR="006F1E12" w:rsidRPr="000658EC">
        <w:rPr>
          <w:rFonts w:asciiTheme="minorHAnsi" w:hAnsiTheme="minorHAnsi" w:cstheme="minorHAnsi"/>
          <w:lang w:bidi="en-US"/>
        </w:rPr>
        <w:t xml:space="preserve"> can now seem somewhat dated when focusing on the </w:t>
      </w:r>
      <w:r w:rsidR="002962AF" w:rsidRPr="000658EC">
        <w:rPr>
          <w:rFonts w:asciiTheme="minorHAnsi" w:hAnsiTheme="minorHAnsi" w:cstheme="minorHAnsi"/>
          <w:lang w:bidi="en-US"/>
        </w:rPr>
        <w:t xml:space="preserve">ladder </w:t>
      </w:r>
      <w:r w:rsidR="006F1E12" w:rsidRPr="000658EC">
        <w:rPr>
          <w:rFonts w:asciiTheme="minorHAnsi" w:hAnsiTheme="minorHAnsi" w:cstheme="minorHAnsi"/>
          <w:lang w:bidi="en-US"/>
        </w:rPr>
        <w:t>run</w:t>
      </w:r>
      <w:r w:rsidR="00141F3B" w:rsidRPr="000658EC">
        <w:rPr>
          <w:rFonts w:asciiTheme="minorHAnsi" w:hAnsiTheme="minorHAnsi" w:cstheme="minorHAnsi"/>
          <w:lang w:bidi="en-US"/>
        </w:rPr>
        <w:t>g</w:t>
      </w:r>
      <w:r w:rsidR="006F1E12" w:rsidRPr="000658EC">
        <w:rPr>
          <w:rFonts w:asciiTheme="minorHAnsi" w:hAnsiTheme="minorHAnsi" w:cstheme="minorHAnsi"/>
          <w:lang w:bidi="en-US"/>
        </w:rPr>
        <w:t>s, th</w:t>
      </w:r>
      <w:r w:rsidR="00141F3B" w:rsidRPr="000658EC">
        <w:rPr>
          <w:rFonts w:asciiTheme="minorHAnsi" w:hAnsiTheme="minorHAnsi" w:cstheme="minorHAnsi"/>
          <w:lang w:bidi="en-US"/>
        </w:rPr>
        <w:t>e</w:t>
      </w:r>
      <w:r w:rsidR="006F1E12" w:rsidRPr="000658EC">
        <w:rPr>
          <w:rFonts w:asciiTheme="minorHAnsi" w:hAnsiTheme="minorHAnsi" w:cstheme="minorHAnsi"/>
          <w:lang w:bidi="en-US"/>
        </w:rPr>
        <w:t xml:space="preserve"> model </w:t>
      </w:r>
      <w:r w:rsidR="00141F3B" w:rsidRPr="000658EC">
        <w:rPr>
          <w:rFonts w:asciiTheme="minorHAnsi" w:hAnsiTheme="minorHAnsi" w:cstheme="minorHAnsi"/>
          <w:lang w:bidi="en-US"/>
        </w:rPr>
        <w:t>sorts the rungs into a three</w:t>
      </w:r>
      <w:r w:rsidR="005D4FA8" w:rsidRPr="000658EC">
        <w:rPr>
          <w:rFonts w:asciiTheme="minorHAnsi" w:hAnsiTheme="minorHAnsi" w:cstheme="minorHAnsi"/>
          <w:lang w:bidi="en-US"/>
        </w:rPr>
        <w:t>-</w:t>
      </w:r>
      <w:r w:rsidR="00141F3B" w:rsidRPr="000658EC">
        <w:rPr>
          <w:rFonts w:asciiTheme="minorHAnsi" w:hAnsiTheme="minorHAnsi" w:cstheme="minorHAnsi"/>
          <w:lang w:bidi="en-US"/>
        </w:rPr>
        <w:t xml:space="preserve">tier system </w:t>
      </w:r>
      <w:r w:rsidR="000F6D1E" w:rsidRPr="000658EC">
        <w:rPr>
          <w:rFonts w:asciiTheme="minorHAnsi" w:hAnsiTheme="minorHAnsi" w:cstheme="minorHAnsi"/>
          <w:lang w:bidi="en-US"/>
        </w:rPr>
        <w:t xml:space="preserve">defining what is meant by the different degrees </w:t>
      </w:r>
      <w:r w:rsidR="00141F3B" w:rsidRPr="000658EC">
        <w:rPr>
          <w:rFonts w:asciiTheme="minorHAnsi" w:hAnsiTheme="minorHAnsi" w:cstheme="minorHAnsi"/>
          <w:lang w:bidi="en-US"/>
        </w:rPr>
        <w:t>of</w:t>
      </w:r>
      <w:r w:rsidR="00F4699D" w:rsidRPr="000658EC">
        <w:rPr>
          <w:rFonts w:asciiTheme="minorHAnsi" w:hAnsiTheme="minorHAnsi" w:cstheme="minorHAnsi"/>
          <w:lang w:bidi="en-US"/>
        </w:rPr>
        <w:t xml:space="preserve"> involvement</w:t>
      </w:r>
      <w:r w:rsidR="00141F3B" w:rsidRPr="000658EC">
        <w:rPr>
          <w:rFonts w:asciiTheme="minorHAnsi" w:hAnsiTheme="minorHAnsi" w:cstheme="minorHAnsi"/>
          <w:lang w:bidi="en-US"/>
        </w:rPr>
        <w:t xml:space="preserve"> which is still relevant to contemporary professional practice</w:t>
      </w:r>
      <w:r w:rsidR="000F6D1E" w:rsidRPr="000658EC">
        <w:rPr>
          <w:rFonts w:asciiTheme="minorHAnsi" w:hAnsiTheme="minorHAnsi" w:cstheme="minorHAnsi"/>
          <w:lang w:bidi="en-US"/>
        </w:rPr>
        <w:t xml:space="preserve">. </w:t>
      </w:r>
      <w:proofErr w:type="spellStart"/>
      <w:r w:rsidR="000F6D1E" w:rsidRPr="000C084C">
        <w:rPr>
          <w:rFonts w:asciiTheme="minorHAnsi" w:hAnsiTheme="minorHAnsi" w:cstheme="minorHAnsi"/>
          <w:lang w:bidi="en-US"/>
        </w:rPr>
        <w:t>Arnstein</w:t>
      </w:r>
      <w:proofErr w:type="spellEnd"/>
      <w:r w:rsidR="00A23521" w:rsidRPr="000C084C">
        <w:rPr>
          <w:rFonts w:asciiTheme="minorHAnsi" w:hAnsiTheme="minorHAnsi" w:cstheme="minorHAnsi"/>
          <w:lang w:bidi="en-US"/>
        </w:rPr>
        <w:t xml:space="preserve"> (1969)</w:t>
      </w:r>
      <w:r w:rsidR="00F4699D" w:rsidRPr="000C084C">
        <w:rPr>
          <w:rFonts w:asciiTheme="minorHAnsi" w:hAnsiTheme="minorHAnsi" w:cstheme="minorHAnsi"/>
          <w:lang w:bidi="en-US"/>
        </w:rPr>
        <w:t xml:space="preserve"> suggests </w:t>
      </w:r>
      <w:r w:rsidR="00141F3B" w:rsidRPr="000C084C">
        <w:rPr>
          <w:rFonts w:asciiTheme="minorHAnsi" w:hAnsiTheme="minorHAnsi" w:cstheme="minorHAnsi"/>
          <w:lang w:bidi="en-US"/>
        </w:rPr>
        <w:t xml:space="preserve">that </w:t>
      </w:r>
      <w:r w:rsidR="00246042" w:rsidRPr="000C084C">
        <w:rPr>
          <w:rFonts w:asciiTheme="minorHAnsi" w:hAnsiTheme="minorHAnsi" w:cstheme="minorHAnsi"/>
          <w:lang w:bidi="en-US"/>
        </w:rPr>
        <w:t>the dominant form</w:t>
      </w:r>
      <w:r w:rsidR="00141F3B" w:rsidRPr="000C084C">
        <w:rPr>
          <w:rFonts w:asciiTheme="minorHAnsi" w:hAnsiTheme="minorHAnsi" w:cstheme="minorHAnsi"/>
          <w:lang w:bidi="en-US"/>
        </w:rPr>
        <w:t>s</w:t>
      </w:r>
      <w:r w:rsidR="00246042" w:rsidRPr="000C084C">
        <w:rPr>
          <w:rFonts w:asciiTheme="minorHAnsi" w:hAnsiTheme="minorHAnsi" w:cstheme="minorHAnsi"/>
          <w:lang w:bidi="en-US"/>
        </w:rPr>
        <w:t xml:space="preserve"> of partnership work can be </w:t>
      </w:r>
      <w:r w:rsidR="00141F3B" w:rsidRPr="000C084C">
        <w:rPr>
          <w:rFonts w:asciiTheme="minorHAnsi" w:hAnsiTheme="minorHAnsi" w:cstheme="minorHAnsi"/>
          <w:lang w:bidi="en-US"/>
        </w:rPr>
        <w:t>identified</w:t>
      </w:r>
      <w:r w:rsidR="00246042" w:rsidRPr="000C084C">
        <w:rPr>
          <w:rFonts w:asciiTheme="minorHAnsi" w:hAnsiTheme="minorHAnsi" w:cstheme="minorHAnsi"/>
          <w:lang w:bidi="en-US"/>
        </w:rPr>
        <w:t xml:space="preserve"> as</w:t>
      </w:r>
      <w:r w:rsidR="000F6D1E" w:rsidRPr="000C084C">
        <w:rPr>
          <w:rFonts w:asciiTheme="minorHAnsi" w:hAnsiTheme="minorHAnsi" w:cstheme="minorHAnsi"/>
          <w:lang w:bidi="en-US"/>
        </w:rPr>
        <w:t xml:space="preserve"> ‘</w:t>
      </w:r>
      <w:r w:rsidR="00FD2CFC" w:rsidRPr="000C084C">
        <w:rPr>
          <w:rFonts w:asciiTheme="minorHAnsi" w:hAnsiTheme="minorHAnsi" w:cstheme="minorHAnsi"/>
          <w:lang w:bidi="en-US"/>
        </w:rPr>
        <w:t xml:space="preserve">non-participation’ </w:t>
      </w:r>
      <w:r w:rsidR="00246042" w:rsidRPr="000C084C">
        <w:rPr>
          <w:rFonts w:asciiTheme="minorHAnsi" w:hAnsiTheme="minorHAnsi" w:cstheme="minorHAnsi"/>
          <w:lang w:bidi="en-US"/>
        </w:rPr>
        <w:t xml:space="preserve">where services </w:t>
      </w:r>
      <w:r w:rsidR="00FD2CFC" w:rsidRPr="000C084C">
        <w:rPr>
          <w:rFonts w:asciiTheme="minorHAnsi" w:hAnsiTheme="minorHAnsi" w:cstheme="minorHAnsi"/>
          <w:lang w:bidi="en-US"/>
        </w:rPr>
        <w:t>do not have the aim of meaningfully involving people in a process where power is shared</w:t>
      </w:r>
      <w:r w:rsidR="00141F3B" w:rsidRPr="000C084C">
        <w:rPr>
          <w:rFonts w:asciiTheme="minorHAnsi" w:hAnsiTheme="minorHAnsi" w:cstheme="minorHAnsi"/>
          <w:lang w:bidi="en-US"/>
        </w:rPr>
        <w:t>,</w:t>
      </w:r>
      <w:r w:rsidR="00EB5880" w:rsidRPr="000C084C">
        <w:rPr>
          <w:rFonts w:asciiTheme="minorHAnsi" w:hAnsiTheme="minorHAnsi" w:cstheme="minorHAnsi"/>
          <w:lang w:bidi="en-US"/>
        </w:rPr>
        <w:t xml:space="preserve"> </w:t>
      </w:r>
      <w:r w:rsidR="004A7266" w:rsidRPr="000C084C">
        <w:rPr>
          <w:rFonts w:asciiTheme="minorHAnsi" w:hAnsiTheme="minorHAnsi" w:cstheme="minorHAnsi"/>
          <w:lang w:bidi="en-US"/>
        </w:rPr>
        <w:t>‘</w:t>
      </w:r>
      <w:r w:rsidR="00EB5880" w:rsidRPr="000C084C">
        <w:rPr>
          <w:rFonts w:asciiTheme="minorHAnsi" w:hAnsiTheme="minorHAnsi" w:cstheme="minorHAnsi"/>
          <w:lang w:bidi="en-US"/>
        </w:rPr>
        <w:t>degrees of tokenism</w:t>
      </w:r>
      <w:r w:rsidR="004A7266" w:rsidRPr="000C084C">
        <w:rPr>
          <w:rFonts w:asciiTheme="minorHAnsi" w:hAnsiTheme="minorHAnsi" w:cstheme="minorHAnsi"/>
          <w:lang w:bidi="en-US"/>
        </w:rPr>
        <w:t>’</w:t>
      </w:r>
      <w:r w:rsidR="00621359" w:rsidRPr="000C084C">
        <w:rPr>
          <w:rFonts w:asciiTheme="minorHAnsi" w:hAnsiTheme="minorHAnsi" w:cstheme="minorHAnsi"/>
          <w:lang w:bidi="en-US"/>
        </w:rPr>
        <w:t xml:space="preserve"> where there is some attempt of partnership </w:t>
      </w:r>
      <w:r w:rsidR="005D4FA8" w:rsidRPr="000C084C">
        <w:rPr>
          <w:rFonts w:asciiTheme="minorHAnsi" w:hAnsiTheme="minorHAnsi" w:cstheme="minorHAnsi"/>
          <w:lang w:bidi="en-US"/>
        </w:rPr>
        <w:t>work,</w:t>
      </w:r>
      <w:r w:rsidR="00621359" w:rsidRPr="000C084C">
        <w:rPr>
          <w:rFonts w:asciiTheme="minorHAnsi" w:hAnsiTheme="minorHAnsi" w:cstheme="minorHAnsi"/>
          <w:lang w:bidi="en-US"/>
        </w:rPr>
        <w:t xml:space="preserve"> but the decision-making is in the hands of the powerful</w:t>
      </w:r>
      <w:r w:rsidR="000E2396" w:rsidRPr="000C084C">
        <w:rPr>
          <w:rFonts w:asciiTheme="minorHAnsi" w:hAnsiTheme="minorHAnsi" w:cstheme="minorHAnsi"/>
          <w:lang w:bidi="en-US"/>
        </w:rPr>
        <w:t>;</w:t>
      </w:r>
      <w:r w:rsidR="00EB5880" w:rsidRPr="000C084C">
        <w:rPr>
          <w:rFonts w:asciiTheme="minorHAnsi" w:hAnsiTheme="minorHAnsi" w:cstheme="minorHAnsi"/>
          <w:lang w:bidi="en-US"/>
        </w:rPr>
        <w:t xml:space="preserve"> and</w:t>
      </w:r>
      <w:r w:rsidR="00D47C47" w:rsidRPr="000C084C">
        <w:rPr>
          <w:rFonts w:asciiTheme="minorHAnsi" w:hAnsiTheme="minorHAnsi" w:cstheme="minorHAnsi"/>
          <w:lang w:bidi="en-US"/>
        </w:rPr>
        <w:t xml:space="preserve"> finally</w:t>
      </w:r>
      <w:r w:rsidR="000E2396" w:rsidRPr="000C084C">
        <w:rPr>
          <w:rFonts w:asciiTheme="minorHAnsi" w:hAnsiTheme="minorHAnsi" w:cstheme="minorHAnsi"/>
          <w:lang w:bidi="en-US"/>
        </w:rPr>
        <w:t>,</w:t>
      </w:r>
      <w:r w:rsidR="00EB5880" w:rsidRPr="000C084C">
        <w:rPr>
          <w:rFonts w:asciiTheme="minorHAnsi" w:hAnsiTheme="minorHAnsi" w:cstheme="minorHAnsi"/>
          <w:lang w:bidi="en-US"/>
        </w:rPr>
        <w:t xml:space="preserve"> </w:t>
      </w:r>
      <w:r w:rsidR="004A7266" w:rsidRPr="000C084C">
        <w:rPr>
          <w:rFonts w:asciiTheme="minorHAnsi" w:hAnsiTheme="minorHAnsi" w:cstheme="minorHAnsi"/>
          <w:lang w:bidi="en-US"/>
        </w:rPr>
        <w:t>‘</w:t>
      </w:r>
      <w:r w:rsidR="00EB5880" w:rsidRPr="000C084C">
        <w:rPr>
          <w:rFonts w:asciiTheme="minorHAnsi" w:hAnsiTheme="minorHAnsi" w:cstheme="minorHAnsi"/>
          <w:lang w:bidi="en-US"/>
        </w:rPr>
        <w:t>degrees of citizen power</w:t>
      </w:r>
      <w:r w:rsidR="004A7266" w:rsidRPr="000C084C">
        <w:rPr>
          <w:rFonts w:asciiTheme="minorHAnsi" w:hAnsiTheme="minorHAnsi" w:cstheme="minorHAnsi"/>
          <w:lang w:bidi="en-US"/>
        </w:rPr>
        <w:t xml:space="preserve">’ </w:t>
      </w:r>
      <w:r w:rsidR="00141F3B" w:rsidRPr="000C084C">
        <w:rPr>
          <w:rFonts w:asciiTheme="minorHAnsi" w:hAnsiTheme="minorHAnsi" w:cstheme="minorHAnsi"/>
          <w:lang w:bidi="en-US"/>
        </w:rPr>
        <w:t>where</w:t>
      </w:r>
      <w:r w:rsidR="004A7266" w:rsidRPr="000C084C">
        <w:rPr>
          <w:rFonts w:asciiTheme="minorHAnsi" w:hAnsiTheme="minorHAnsi" w:cstheme="minorHAnsi"/>
          <w:lang w:bidi="en-US"/>
        </w:rPr>
        <w:t xml:space="preserve"> power is distributed between the powerful and powerless (</w:t>
      </w:r>
      <w:proofErr w:type="spellStart"/>
      <w:r w:rsidR="00223A2A" w:rsidRPr="000C084C">
        <w:rPr>
          <w:rFonts w:asciiTheme="minorHAnsi" w:hAnsiTheme="minorHAnsi" w:cstheme="minorHAnsi"/>
          <w:lang w:bidi="en-US"/>
        </w:rPr>
        <w:t>Arnstein</w:t>
      </w:r>
      <w:proofErr w:type="spellEnd"/>
      <w:r w:rsidR="00E2540D" w:rsidRPr="000C084C">
        <w:rPr>
          <w:rFonts w:asciiTheme="minorHAnsi" w:hAnsiTheme="minorHAnsi" w:cstheme="minorHAnsi"/>
          <w:lang w:bidi="en-US"/>
        </w:rPr>
        <w:t>,</w:t>
      </w:r>
      <w:r w:rsidR="00223A2A" w:rsidRPr="000C084C">
        <w:rPr>
          <w:rFonts w:asciiTheme="minorHAnsi" w:hAnsiTheme="minorHAnsi" w:cstheme="minorHAnsi"/>
          <w:lang w:bidi="en-US"/>
        </w:rPr>
        <w:t xml:space="preserve"> </w:t>
      </w:r>
      <w:r w:rsidR="00E955B2" w:rsidRPr="000C084C">
        <w:rPr>
          <w:rFonts w:asciiTheme="minorHAnsi" w:hAnsiTheme="minorHAnsi" w:cstheme="minorHAnsi"/>
          <w:lang w:bidi="en-US"/>
        </w:rPr>
        <w:t>1969: 26)</w:t>
      </w:r>
      <w:r w:rsidR="00EB5880" w:rsidRPr="000C084C">
        <w:rPr>
          <w:rFonts w:asciiTheme="minorHAnsi" w:hAnsiTheme="minorHAnsi" w:cstheme="minorHAnsi"/>
          <w:lang w:bidi="en-US"/>
        </w:rPr>
        <w:t>.</w:t>
      </w:r>
      <w:r w:rsidR="00F37AC4" w:rsidRPr="000C084C">
        <w:rPr>
          <w:rFonts w:asciiTheme="minorHAnsi" w:hAnsiTheme="minorHAnsi" w:cstheme="minorHAnsi"/>
          <w:lang w:bidi="en-US"/>
        </w:rPr>
        <w:t xml:space="preserve">  </w:t>
      </w:r>
      <w:r w:rsidR="00D47C47" w:rsidRPr="000C084C">
        <w:rPr>
          <w:rFonts w:asciiTheme="minorHAnsi" w:hAnsiTheme="minorHAnsi" w:cstheme="minorHAnsi"/>
          <w:lang w:bidi="en-US"/>
        </w:rPr>
        <w:t xml:space="preserve">Although </w:t>
      </w:r>
      <w:proofErr w:type="spellStart"/>
      <w:r w:rsidR="00D47C47" w:rsidRPr="000C084C">
        <w:rPr>
          <w:rFonts w:asciiTheme="minorHAnsi" w:hAnsiTheme="minorHAnsi" w:cstheme="minorHAnsi"/>
          <w:lang w:bidi="en-US"/>
        </w:rPr>
        <w:t>Arnstein</w:t>
      </w:r>
      <w:r w:rsidR="00C41C48" w:rsidRPr="000C084C">
        <w:rPr>
          <w:rFonts w:asciiTheme="minorHAnsi" w:hAnsiTheme="minorHAnsi" w:cstheme="minorHAnsi"/>
          <w:lang w:bidi="en-US"/>
        </w:rPr>
        <w:t>’s</w:t>
      </w:r>
      <w:proofErr w:type="spellEnd"/>
      <w:r w:rsidR="00C41C48" w:rsidRPr="000C084C">
        <w:rPr>
          <w:rFonts w:asciiTheme="minorHAnsi" w:hAnsiTheme="minorHAnsi" w:cstheme="minorHAnsi"/>
          <w:lang w:bidi="en-US"/>
        </w:rPr>
        <w:t xml:space="preserve"> ladder</w:t>
      </w:r>
      <w:r w:rsidR="00D00F46" w:rsidRPr="000C084C">
        <w:rPr>
          <w:rFonts w:asciiTheme="minorHAnsi" w:hAnsiTheme="minorHAnsi" w:cstheme="minorHAnsi"/>
          <w:lang w:bidi="en-US"/>
        </w:rPr>
        <w:t xml:space="preserve"> is still applied</w:t>
      </w:r>
      <w:r w:rsidR="002D502A" w:rsidRPr="000C084C">
        <w:rPr>
          <w:rFonts w:asciiTheme="minorHAnsi" w:hAnsiTheme="minorHAnsi" w:cstheme="minorHAnsi"/>
          <w:lang w:bidi="en-US"/>
        </w:rPr>
        <w:t xml:space="preserve"> in evaluating partnership work and service user involvement in</w:t>
      </w:r>
      <w:r w:rsidR="005E4C74" w:rsidRPr="000C084C">
        <w:rPr>
          <w:rFonts w:asciiTheme="minorHAnsi" w:hAnsiTheme="minorHAnsi" w:cstheme="minorHAnsi"/>
          <w:lang w:bidi="en-US"/>
        </w:rPr>
        <w:t xml:space="preserve"> health and social care services </w:t>
      </w:r>
      <w:r w:rsidR="00C41C48" w:rsidRPr="000C084C">
        <w:rPr>
          <w:rFonts w:asciiTheme="minorHAnsi" w:hAnsiTheme="minorHAnsi" w:cstheme="minorHAnsi"/>
          <w:lang w:bidi="en-US"/>
        </w:rPr>
        <w:t>(</w:t>
      </w:r>
      <w:r w:rsidR="005E4C74" w:rsidRPr="000C084C">
        <w:rPr>
          <w:rFonts w:asciiTheme="minorHAnsi" w:hAnsiTheme="minorHAnsi" w:cstheme="minorHAnsi"/>
          <w:lang w:bidi="en-US"/>
        </w:rPr>
        <w:t>Charles and DeMaio</w:t>
      </w:r>
      <w:r w:rsidR="00A23521" w:rsidRPr="000C084C">
        <w:rPr>
          <w:rFonts w:asciiTheme="minorHAnsi" w:hAnsiTheme="minorHAnsi" w:cstheme="minorHAnsi"/>
          <w:lang w:bidi="en-US"/>
        </w:rPr>
        <w:t>,</w:t>
      </w:r>
      <w:r w:rsidR="005E4C74" w:rsidRPr="000C084C">
        <w:rPr>
          <w:rFonts w:asciiTheme="minorHAnsi" w:hAnsiTheme="minorHAnsi" w:cstheme="minorHAnsi"/>
          <w:lang w:bidi="en-US"/>
        </w:rPr>
        <w:t xml:space="preserve"> 1993;</w:t>
      </w:r>
      <w:r w:rsidR="00102196" w:rsidRPr="000C084C">
        <w:rPr>
          <w:rFonts w:asciiTheme="minorHAnsi" w:hAnsiTheme="minorHAnsi" w:cstheme="minorHAnsi"/>
          <w:lang w:bidi="en-US"/>
        </w:rPr>
        <w:t xml:space="preserve"> </w:t>
      </w:r>
      <w:r w:rsidR="00A45825" w:rsidRPr="000C084C">
        <w:rPr>
          <w:rFonts w:asciiTheme="minorHAnsi" w:hAnsiTheme="minorHAnsi" w:cstheme="minorHAnsi"/>
          <w:lang w:bidi="en-US"/>
        </w:rPr>
        <w:t xml:space="preserve">Allain </w:t>
      </w:r>
      <w:r w:rsidR="00A45825" w:rsidRPr="000C084C">
        <w:rPr>
          <w:rFonts w:asciiTheme="minorHAnsi" w:hAnsiTheme="minorHAnsi" w:cstheme="minorHAnsi"/>
          <w:i/>
          <w:iCs/>
          <w:lang w:bidi="en-US"/>
        </w:rPr>
        <w:t>et al.</w:t>
      </w:r>
      <w:r w:rsidR="00A23521" w:rsidRPr="000C084C">
        <w:rPr>
          <w:rFonts w:asciiTheme="minorHAnsi" w:hAnsiTheme="minorHAnsi" w:cstheme="minorHAnsi"/>
          <w:lang w:bidi="en-US"/>
        </w:rPr>
        <w:t xml:space="preserve">, </w:t>
      </w:r>
      <w:r w:rsidR="00A45825" w:rsidRPr="004A0366">
        <w:rPr>
          <w:rFonts w:asciiTheme="minorHAnsi" w:hAnsiTheme="minorHAnsi" w:cstheme="minorHAnsi"/>
          <w:lang w:bidi="en-US"/>
        </w:rPr>
        <w:t>2006</w:t>
      </w:r>
      <w:r w:rsidR="005E4C74" w:rsidRPr="004A0366">
        <w:rPr>
          <w:rFonts w:asciiTheme="minorHAnsi" w:hAnsiTheme="minorHAnsi" w:cstheme="minorHAnsi"/>
          <w:lang w:bidi="en-US"/>
        </w:rPr>
        <w:t>;</w:t>
      </w:r>
      <w:r w:rsidR="00A45825" w:rsidRPr="004A0366">
        <w:rPr>
          <w:rFonts w:asciiTheme="minorHAnsi" w:hAnsiTheme="minorHAnsi" w:cstheme="minorHAnsi"/>
          <w:lang w:bidi="en-US"/>
        </w:rPr>
        <w:t xml:space="preserve"> </w:t>
      </w:r>
      <w:r w:rsidR="00102196" w:rsidRPr="004A0366">
        <w:rPr>
          <w:rFonts w:asciiTheme="minorHAnsi" w:hAnsiTheme="minorHAnsi" w:cstheme="minorHAnsi"/>
          <w:lang w:bidi="en-US"/>
        </w:rPr>
        <w:t>Webber</w:t>
      </w:r>
      <w:r w:rsidR="00907E0B" w:rsidRPr="004A0366">
        <w:rPr>
          <w:rFonts w:asciiTheme="minorHAnsi" w:hAnsiTheme="minorHAnsi" w:cstheme="minorHAnsi"/>
          <w:lang w:bidi="en-US"/>
        </w:rPr>
        <w:t xml:space="preserve"> and Robinson</w:t>
      </w:r>
      <w:r w:rsidR="00A23521" w:rsidRPr="004A0366">
        <w:rPr>
          <w:rFonts w:asciiTheme="minorHAnsi" w:hAnsiTheme="minorHAnsi" w:cstheme="minorHAnsi"/>
          <w:lang w:bidi="en-US"/>
        </w:rPr>
        <w:t xml:space="preserve">, </w:t>
      </w:r>
      <w:r w:rsidR="00102196" w:rsidRPr="004A0366">
        <w:rPr>
          <w:rFonts w:asciiTheme="minorHAnsi" w:hAnsiTheme="minorHAnsi" w:cstheme="minorHAnsi"/>
          <w:lang w:bidi="en-US"/>
        </w:rPr>
        <w:t>2012</w:t>
      </w:r>
      <w:r w:rsidR="00A45825" w:rsidRPr="004A0366">
        <w:rPr>
          <w:rFonts w:asciiTheme="minorHAnsi" w:hAnsiTheme="minorHAnsi" w:cstheme="minorHAnsi"/>
          <w:lang w:bidi="en-US"/>
        </w:rPr>
        <w:t>)</w:t>
      </w:r>
      <w:r w:rsidR="002D502A" w:rsidRPr="004A0366">
        <w:rPr>
          <w:rFonts w:asciiTheme="minorHAnsi" w:hAnsiTheme="minorHAnsi" w:cstheme="minorHAnsi"/>
          <w:lang w:bidi="en-US"/>
        </w:rPr>
        <w:t xml:space="preserve">, </w:t>
      </w:r>
      <w:r w:rsidR="004C2AF0" w:rsidRPr="004A0366">
        <w:rPr>
          <w:rFonts w:asciiTheme="minorHAnsi" w:hAnsiTheme="minorHAnsi" w:cstheme="minorHAnsi"/>
          <w:lang w:bidi="en-US"/>
        </w:rPr>
        <w:t>it is the three</w:t>
      </w:r>
      <w:r w:rsidR="00A50441" w:rsidRPr="004A0366">
        <w:rPr>
          <w:rFonts w:asciiTheme="minorHAnsi" w:hAnsiTheme="minorHAnsi" w:cstheme="minorHAnsi"/>
          <w:lang w:bidi="en-US"/>
        </w:rPr>
        <w:t>-</w:t>
      </w:r>
      <w:r w:rsidR="004C2AF0" w:rsidRPr="004A0366">
        <w:rPr>
          <w:rFonts w:asciiTheme="minorHAnsi" w:hAnsiTheme="minorHAnsi" w:cstheme="minorHAnsi"/>
          <w:lang w:bidi="en-US"/>
        </w:rPr>
        <w:t>tier system</w:t>
      </w:r>
      <w:r w:rsidR="00FE6E97" w:rsidRPr="004A0366">
        <w:rPr>
          <w:rFonts w:asciiTheme="minorHAnsi" w:hAnsiTheme="minorHAnsi" w:cstheme="minorHAnsi"/>
          <w:lang w:bidi="en-US"/>
        </w:rPr>
        <w:t xml:space="preserve"> which is had the greatest impact on contemporary ideas of partnership work and service user involvement.</w:t>
      </w:r>
      <w:r w:rsidR="004F6213" w:rsidRPr="004A0366">
        <w:rPr>
          <w:rFonts w:asciiTheme="minorHAnsi" w:hAnsiTheme="minorHAnsi" w:cstheme="minorHAnsi"/>
          <w:lang w:bidi="en-US"/>
        </w:rPr>
        <w:t xml:space="preserve"> </w:t>
      </w:r>
    </w:p>
    <w:p w14:paraId="447C7097" w14:textId="77777777" w:rsidR="00F37AC4" w:rsidRPr="004A0366" w:rsidRDefault="00F37AC4" w:rsidP="00A42A35">
      <w:pPr>
        <w:spacing w:line="360" w:lineRule="auto"/>
        <w:contextualSpacing/>
        <w:mirrorIndents/>
        <w:jc w:val="both"/>
        <w:rPr>
          <w:rFonts w:asciiTheme="minorHAnsi" w:hAnsiTheme="minorHAnsi" w:cstheme="minorHAnsi"/>
          <w:lang w:bidi="en-US"/>
        </w:rPr>
      </w:pPr>
    </w:p>
    <w:p w14:paraId="54CFDFBB" w14:textId="7D0E0853" w:rsidR="0052434F" w:rsidRPr="00FB74C7" w:rsidRDefault="00617DA5" w:rsidP="00A42A35">
      <w:pPr>
        <w:spacing w:line="360" w:lineRule="auto"/>
        <w:contextualSpacing/>
        <w:mirrorIndents/>
        <w:jc w:val="both"/>
        <w:rPr>
          <w:rFonts w:asciiTheme="minorHAnsi" w:hAnsiTheme="minorHAnsi" w:cstheme="minorHAnsi"/>
          <w:lang w:bidi="en-US"/>
        </w:rPr>
      </w:pPr>
      <w:r w:rsidRPr="004A0366">
        <w:rPr>
          <w:rFonts w:asciiTheme="minorHAnsi" w:hAnsiTheme="minorHAnsi" w:cstheme="minorHAnsi"/>
          <w:lang w:bidi="en-US"/>
        </w:rPr>
        <w:t>In guidelines</w:t>
      </w:r>
      <w:r w:rsidR="003C1C04" w:rsidRPr="004A0366">
        <w:rPr>
          <w:rFonts w:asciiTheme="minorHAnsi" w:hAnsiTheme="minorHAnsi" w:cstheme="minorHAnsi"/>
          <w:lang w:bidi="en-US"/>
        </w:rPr>
        <w:t xml:space="preserve"> for involving the public in health and social care research</w:t>
      </w:r>
      <w:r w:rsidR="007E3BBF" w:rsidRPr="004A0366">
        <w:rPr>
          <w:rFonts w:asciiTheme="minorHAnsi" w:hAnsiTheme="minorHAnsi" w:cstheme="minorHAnsi"/>
          <w:lang w:bidi="en-US"/>
        </w:rPr>
        <w:t xml:space="preserve"> by Hanley </w:t>
      </w:r>
      <w:r w:rsidR="007E3BBF" w:rsidRPr="004A0366">
        <w:rPr>
          <w:rFonts w:asciiTheme="minorHAnsi" w:hAnsiTheme="minorHAnsi" w:cstheme="minorHAnsi"/>
          <w:i/>
          <w:iCs/>
          <w:lang w:bidi="en-US"/>
        </w:rPr>
        <w:t>et al</w:t>
      </w:r>
      <w:r w:rsidR="00A23521" w:rsidRPr="004A0366">
        <w:rPr>
          <w:rFonts w:asciiTheme="minorHAnsi" w:hAnsiTheme="minorHAnsi" w:cstheme="minorHAnsi"/>
          <w:i/>
          <w:iCs/>
          <w:lang w:bidi="en-US"/>
        </w:rPr>
        <w:t>.</w:t>
      </w:r>
      <w:r w:rsidR="007E3BBF" w:rsidRPr="004A0366">
        <w:rPr>
          <w:rFonts w:asciiTheme="minorHAnsi" w:hAnsiTheme="minorHAnsi" w:cstheme="minorHAnsi"/>
          <w:i/>
          <w:iCs/>
          <w:lang w:bidi="en-US"/>
        </w:rPr>
        <w:t xml:space="preserve">, </w:t>
      </w:r>
      <w:r w:rsidR="007E3BBF" w:rsidRPr="004A0366">
        <w:rPr>
          <w:rFonts w:asciiTheme="minorHAnsi" w:hAnsiTheme="minorHAnsi" w:cstheme="minorHAnsi"/>
          <w:lang w:bidi="en-US"/>
        </w:rPr>
        <w:t>(2004)</w:t>
      </w:r>
      <w:r w:rsidR="007B3D95" w:rsidRPr="004A0366">
        <w:rPr>
          <w:rFonts w:asciiTheme="minorHAnsi" w:hAnsiTheme="minorHAnsi" w:cstheme="minorHAnsi"/>
          <w:lang w:bidi="en-US"/>
        </w:rPr>
        <w:t>, the</w:t>
      </w:r>
      <w:r w:rsidR="00A50441" w:rsidRPr="004A0366">
        <w:rPr>
          <w:rFonts w:asciiTheme="minorHAnsi" w:hAnsiTheme="minorHAnsi" w:cstheme="minorHAnsi"/>
          <w:lang w:bidi="en-US"/>
        </w:rPr>
        <w:t>y</w:t>
      </w:r>
      <w:r w:rsidR="007B3D95" w:rsidRPr="004A0366">
        <w:rPr>
          <w:rFonts w:asciiTheme="minorHAnsi" w:hAnsiTheme="minorHAnsi" w:cstheme="minorHAnsi"/>
          <w:lang w:bidi="en-US"/>
        </w:rPr>
        <w:t xml:space="preserve"> </w:t>
      </w:r>
      <w:r w:rsidR="00F37AC4" w:rsidRPr="004A0366">
        <w:rPr>
          <w:rFonts w:asciiTheme="minorHAnsi" w:hAnsiTheme="minorHAnsi" w:cstheme="minorHAnsi"/>
          <w:lang w:bidi="en-US"/>
        </w:rPr>
        <w:t xml:space="preserve">apply a </w:t>
      </w:r>
      <w:r w:rsidR="00A23521" w:rsidRPr="004A0366">
        <w:rPr>
          <w:rFonts w:asciiTheme="minorHAnsi" w:hAnsiTheme="minorHAnsi" w:cstheme="minorHAnsi"/>
          <w:lang w:bidi="en-US"/>
        </w:rPr>
        <w:t>similar</w:t>
      </w:r>
      <w:r w:rsidR="007B3D95" w:rsidRPr="004A0366">
        <w:rPr>
          <w:rFonts w:asciiTheme="minorHAnsi" w:hAnsiTheme="minorHAnsi" w:cstheme="minorHAnsi"/>
          <w:lang w:bidi="en-US"/>
        </w:rPr>
        <w:t xml:space="preserve"> three</w:t>
      </w:r>
      <w:r w:rsidR="0026789A" w:rsidRPr="004A0366">
        <w:rPr>
          <w:rFonts w:asciiTheme="minorHAnsi" w:hAnsiTheme="minorHAnsi" w:cstheme="minorHAnsi"/>
          <w:lang w:bidi="en-US"/>
        </w:rPr>
        <w:t>-</w:t>
      </w:r>
      <w:r w:rsidR="007B3D95" w:rsidRPr="004A0366">
        <w:rPr>
          <w:rFonts w:asciiTheme="minorHAnsi" w:hAnsiTheme="minorHAnsi" w:cstheme="minorHAnsi"/>
          <w:lang w:bidi="en-US"/>
        </w:rPr>
        <w:t>tier system</w:t>
      </w:r>
      <w:r w:rsidR="0026789A" w:rsidRPr="004A0366">
        <w:rPr>
          <w:rFonts w:asciiTheme="minorHAnsi" w:hAnsiTheme="minorHAnsi" w:cstheme="minorHAnsi"/>
          <w:lang w:bidi="en-US"/>
        </w:rPr>
        <w:t xml:space="preserve"> </w:t>
      </w:r>
      <w:r w:rsidR="00A50441" w:rsidRPr="004A0366">
        <w:rPr>
          <w:rFonts w:asciiTheme="minorHAnsi" w:hAnsiTheme="minorHAnsi" w:cstheme="minorHAnsi"/>
          <w:lang w:bidi="en-US"/>
        </w:rPr>
        <w:t>that</w:t>
      </w:r>
      <w:r w:rsidR="0026789A" w:rsidRPr="004A0366">
        <w:rPr>
          <w:rFonts w:asciiTheme="minorHAnsi" w:hAnsiTheme="minorHAnsi" w:cstheme="minorHAnsi"/>
          <w:lang w:bidi="en-US"/>
        </w:rPr>
        <w:t xml:space="preserve"> can be applied to different forms of involvement within the NHS. </w:t>
      </w:r>
      <w:r w:rsidR="008B0039" w:rsidRPr="008A7B1E">
        <w:rPr>
          <w:rFonts w:asciiTheme="minorHAnsi" w:hAnsiTheme="minorHAnsi" w:cstheme="minorHAnsi"/>
          <w:lang w:bidi="en-US"/>
        </w:rPr>
        <w:t xml:space="preserve">However unlike in the work of </w:t>
      </w:r>
      <w:proofErr w:type="spellStart"/>
      <w:r w:rsidR="008B0039" w:rsidRPr="008A7B1E">
        <w:rPr>
          <w:rFonts w:asciiTheme="minorHAnsi" w:hAnsiTheme="minorHAnsi" w:cstheme="minorHAnsi"/>
          <w:lang w:bidi="en-US"/>
        </w:rPr>
        <w:t>Arnstein</w:t>
      </w:r>
      <w:proofErr w:type="spellEnd"/>
      <w:r w:rsidR="00E2540D" w:rsidRPr="008A7B1E">
        <w:rPr>
          <w:rFonts w:asciiTheme="minorHAnsi" w:hAnsiTheme="minorHAnsi" w:cstheme="minorHAnsi"/>
          <w:lang w:bidi="en-US"/>
        </w:rPr>
        <w:t xml:space="preserve"> (1969)</w:t>
      </w:r>
      <w:r w:rsidR="008B0039" w:rsidRPr="008A7B1E">
        <w:rPr>
          <w:rFonts w:asciiTheme="minorHAnsi" w:hAnsiTheme="minorHAnsi" w:cstheme="minorHAnsi"/>
          <w:lang w:bidi="en-US"/>
        </w:rPr>
        <w:t xml:space="preserve"> </w:t>
      </w:r>
      <w:r w:rsidR="00015F57" w:rsidRPr="008A7B1E">
        <w:rPr>
          <w:rFonts w:asciiTheme="minorHAnsi" w:hAnsiTheme="minorHAnsi" w:cstheme="minorHAnsi"/>
          <w:lang w:bidi="en-US"/>
        </w:rPr>
        <w:t>the</w:t>
      </w:r>
      <w:r w:rsidR="00C412FD" w:rsidRPr="008A7B1E">
        <w:rPr>
          <w:rFonts w:asciiTheme="minorHAnsi" w:hAnsiTheme="minorHAnsi" w:cstheme="minorHAnsi"/>
          <w:lang w:bidi="en-US"/>
        </w:rPr>
        <w:t>y</w:t>
      </w:r>
      <w:r w:rsidR="00015F57" w:rsidRPr="008A7B1E">
        <w:rPr>
          <w:rFonts w:asciiTheme="minorHAnsi" w:hAnsiTheme="minorHAnsi" w:cstheme="minorHAnsi"/>
          <w:lang w:bidi="en-US"/>
        </w:rPr>
        <w:t xml:space="preserve"> do </w:t>
      </w:r>
      <w:r w:rsidR="00015F57" w:rsidRPr="008A7B1E">
        <w:rPr>
          <w:rFonts w:asciiTheme="minorHAnsi" w:hAnsiTheme="minorHAnsi" w:cstheme="minorHAnsi"/>
          <w:lang w:bidi="en-US"/>
        </w:rPr>
        <w:lastRenderedPageBreak/>
        <w:t>not present a hierarchical approach to partnership involvement but suggest that health and social care researchers must be transparent in the type of partnership work</w:t>
      </w:r>
      <w:r w:rsidR="00CB2DEB" w:rsidRPr="008A7B1E">
        <w:rPr>
          <w:rFonts w:asciiTheme="minorHAnsi" w:hAnsiTheme="minorHAnsi" w:cstheme="minorHAnsi"/>
          <w:lang w:bidi="en-US"/>
        </w:rPr>
        <w:t xml:space="preserve"> that they are conducting with patients and service users. </w:t>
      </w:r>
      <w:r w:rsidR="0026789A" w:rsidRPr="008A7B1E">
        <w:rPr>
          <w:rFonts w:asciiTheme="minorHAnsi" w:hAnsiTheme="minorHAnsi" w:cstheme="minorHAnsi"/>
          <w:lang w:bidi="en-US"/>
        </w:rPr>
        <w:t xml:space="preserve">Hanley </w:t>
      </w:r>
      <w:r w:rsidR="0026789A" w:rsidRPr="008A7B1E">
        <w:rPr>
          <w:rFonts w:asciiTheme="minorHAnsi" w:hAnsiTheme="minorHAnsi" w:cstheme="minorHAnsi"/>
          <w:i/>
          <w:iCs/>
          <w:lang w:bidi="en-US"/>
        </w:rPr>
        <w:t>et al</w:t>
      </w:r>
      <w:r w:rsidR="00A23521" w:rsidRPr="008A7B1E">
        <w:rPr>
          <w:rFonts w:asciiTheme="minorHAnsi" w:hAnsiTheme="minorHAnsi" w:cstheme="minorHAnsi"/>
          <w:i/>
          <w:iCs/>
          <w:lang w:bidi="en-US"/>
        </w:rPr>
        <w:t>.</w:t>
      </w:r>
      <w:r w:rsidR="0026789A" w:rsidRPr="008A7B1E">
        <w:rPr>
          <w:rFonts w:asciiTheme="minorHAnsi" w:hAnsiTheme="minorHAnsi" w:cstheme="minorHAnsi"/>
          <w:i/>
          <w:iCs/>
          <w:lang w:bidi="en-US"/>
        </w:rPr>
        <w:t>,</w:t>
      </w:r>
      <w:r w:rsidR="0026789A" w:rsidRPr="008A7B1E">
        <w:rPr>
          <w:rFonts w:asciiTheme="minorHAnsi" w:hAnsiTheme="minorHAnsi" w:cstheme="minorHAnsi"/>
          <w:lang w:bidi="en-US"/>
        </w:rPr>
        <w:t xml:space="preserve"> (2004) </w:t>
      </w:r>
      <w:r w:rsidR="00CF3B5F" w:rsidRPr="008A7B1E">
        <w:rPr>
          <w:rFonts w:asciiTheme="minorHAnsi" w:hAnsiTheme="minorHAnsi" w:cstheme="minorHAnsi"/>
          <w:lang w:bidi="en-US"/>
        </w:rPr>
        <w:t>remove</w:t>
      </w:r>
      <w:r w:rsidR="00F37AC4" w:rsidRPr="008A7B1E">
        <w:rPr>
          <w:rFonts w:asciiTheme="minorHAnsi" w:hAnsiTheme="minorHAnsi" w:cstheme="minorHAnsi"/>
          <w:lang w:bidi="en-US"/>
        </w:rPr>
        <w:t xml:space="preserve"> </w:t>
      </w:r>
      <w:r w:rsidR="00986DEC" w:rsidRPr="008A7B1E">
        <w:rPr>
          <w:rFonts w:asciiTheme="minorHAnsi" w:hAnsiTheme="minorHAnsi" w:cstheme="minorHAnsi"/>
          <w:lang w:bidi="en-US"/>
        </w:rPr>
        <w:t>discussions around institutional power, which</w:t>
      </w:r>
      <w:r w:rsidR="00F37AC4" w:rsidRPr="008A7B1E">
        <w:rPr>
          <w:rFonts w:asciiTheme="minorHAnsi" w:hAnsiTheme="minorHAnsi" w:cstheme="minorHAnsi"/>
          <w:lang w:bidi="en-US"/>
        </w:rPr>
        <w:t xml:space="preserve"> had been</w:t>
      </w:r>
      <w:r w:rsidR="00986DEC" w:rsidRPr="008A7B1E">
        <w:rPr>
          <w:rFonts w:asciiTheme="minorHAnsi" w:hAnsiTheme="minorHAnsi" w:cstheme="minorHAnsi"/>
          <w:lang w:bidi="en-US"/>
        </w:rPr>
        <w:t xml:space="preserve"> central to </w:t>
      </w:r>
      <w:proofErr w:type="spellStart"/>
      <w:r w:rsidR="00986DEC" w:rsidRPr="008A7B1E">
        <w:rPr>
          <w:rFonts w:asciiTheme="minorHAnsi" w:hAnsiTheme="minorHAnsi" w:cstheme="minorHAnsi"/>
          <w:lang w:bidi="en-US"/>
        </w:rPr>
        <w:t>Arnstein’s</w:t>
      </w:r>
      <w:proofErr w:type="spellEnd"/>
      <w:r w:rsidR="00986DEC" w:rsidRPr="008A7B1E">
        <w:rPr>
          <w:rFonts w:asciiTheme="minorHAnsi" w:hAnsiTheme="minorHAnsi" w:cstheme="minorHAnsi"/>
          <w:lang w:bidi="en-US"/>
        </w:rPr>
        <w:t xml:space="preserve"> research, and focus more on</w:t>
      </w:r>
      <w:r w:rsidR="00830C38" w:rsidRPr="008A7B1E">
        <w:rPr>
          <w:rFonts w:asciiTheme="minorHAnsi" w:hAnsiTheme="minorHAnsi" w:cstheme="minorHAnsi"/>
          <w:lang w:bidi="en-US"/>
        </w:rPr>
        <w:t xml:space="preserve"> levels of involvement. They categorise these levels as </w:t>
      </w:r>
      <w:r w:rsidR="008C00F7" w:rsidRPr="008A7B1E">
        <w:rPr>
          <w:rFonts w:asciiTheme="minorHAnsi" w:hAnsiTheme="minorHAnsi" w:cstheme="minorHAnsi"/>
          <w:lang w:bidi="en-US"/>
        </w:rPr>
        <w:t>‘</w:t>
      </w:r>
      <w:r w:rsidR="00830C38" w:rsidRPr="008A7B1E">
        <w:rPr>
          <w:rFonts w:asciiTheme="minorHAnsi" w:hAnsiTheme="minorHAnsi" w:cstheme="minorHAnsi"/>
          <w:lang w:bidi="en-US"/>
        </w:rPr>
        <w:t>consultation</w:t>
      </w:r>
      <w:r w:rsidR="008C00F7" w:rsidRPr="008A7B1E">
        <w:rPr>
          <w:rFonts w:asciiTheme="minorHAnsi" w:hAnsiTheme="minorHAnsi" w:cstheme="minorHAnsi"/>
          <w:lang w:bidi="en-US"/>
        </w:rPr>
        <w:t>’</w:t>
      </w:r>
      <w:r w:rsidR="00830C38" w:rsidRPr="008A7B1E">
        <w:rPr>
          <w:rFonts w:asciiTheme="minorHAnsi" w:hAnsiTheme="minorHAnsi" w:cstheme="minorHAnsi"/>
          <w:lang w:bidi="en-US"/>
        </w:rPr>
        <w:t xml:space="preserve">, </w:t>
      </w:r>
      <w:r w:rsidR="008C00F7" w:rsidRPr="008A7B1E">
        <w:rPr>
          <w:rFonts w:asciiTheme="minorHAnsi" w:hAnsiTheme="minorHAnsi" w:cstheme="minorHAnsi"/>
          <w:lang w:bidi="en-US"/>
        </w:rPr>
        <w:t>‘</w:t>
      </w:r>
      <w:r w:rsidR="00830C38" w:rsidRPr="008A7B1E">
        <w:rPr>
          <w:rFonts w:asciiTheme="minorHAnsi" w:hAnsiTheme="minorHAnsi" w:cstheme="minorHAnsi"/>
          <w:lang w:bidi="en-US"/>
        </w:rPr>
        <w:t>collaboration</w:t>
      </w:r>
      <w:r w:rsidR="008C00F7" w:rsidRPr="008A7B1E">
        <w:rPr>
          <w:rFonts w:asciiTheme="minorHAnsi" w:hAnsiTheme="minorHAnsi" w:cstheme="minorHAnsi"/>
          <w:lang w:bidi="en-US"/>
        </w:rPr>
        <w:t>’</w:t>
      </w:r>
      <w:r w:rsidR="00C412FD" w:rsidRPr="008A7B1E">
        <w:rPr>
          <w:rFonts w:asciiTheme="minorHAnsi" w:hAnsiTheme="minorHAnsi" w:cstheme="minorHAnsi"/>
          <w:lang w:bidi="en-US"/>
        </w:rPr>
        <w:t>,</w:t>
      </w:r>
      <w:r w:rsidR="00830C38" w:rsidRPr="008A7B1E">
        <w:rPr>
          <w:rFonts w:asciiTheme="minorHAnsi" w:hAnsiTheme="minorHAnsi" w:cstheme="minorHAnsi"/>
          <w:lang w:bidi="en-US"/>
        </w:rPr>
        <w:t xml:space="preserve"> and </w:t>
      </w:r>
      <w:r w:rsidR="008C00F7" w:rsidRPr="008A7B1E">
        <w:rPr>
          <w:rFonts w:asciiTheme="minorHAnsi" w:hAnsiTheme="minorHAnsi" w:cstheme="minorHAnsi"/>
          <w:lang w:bidi="en-US"/>
        </w:rPr>
        <w:t>‘</w:t>
      </w:r>
      <w:r w:rsidR="00830C38" w:rsidRPr="008A7B1E">
        <w:rPr>
          <w:rFonts w:asciiTheme="minorHAnsi" w:hAnsiTheme="minorHAnsi" w:cstheme="minorHAnsi"/>
          <w:lang w:bidi="en-US"/>
        </w:rPr>
        <w:t>user control</w:t>
      </w:r>
      <w:r w:rsidR="008C00F7" w:rsidRPr="008A7B1E">
        <w:rPr>
          <w:rFonts w:asciiTheme="minorHAnsi" w:hAnsiTheme="minorHAnsi" w:cstheme="minorHAnsi"/>
          <w:lang w:bidi="en-US"/>
        </w:rPr>
        <w:t>’</w:t>
      </w:r>
      <w:r w:rsidR="00D42B64" w:rsidRPr="008A7B1E">
        <w:rPr>
          <w:rFonts w:asciiTheme="minorHAnsi" w:hAnsiTheme="minorHAnsi" w:cstheme="minorHAnsi"/>
          <w:lang w:bidi="en-US"/>
        </w:rPr>
        <w:t xml:space="preserve"> (Hanley </w:t>
      </w:r>
      <w:r w:rsidR="00D42B64" w:rsidRPr="008A7B1E">
        <w:rPr>
          <w:rFonts w:asciiTheme="minorHAnsi" w:hAnsiTheme="minorHAnsi" w:cstheme="minorHAnsi"/>
          <w:i/>
          <w:iCs/>
          <w:lang w:bidi="en-US"/>
        </w:rPr>
        <w:t>et al</w:t>
      </w:r>
      <w:r w:rsidR="00A23521" w:rsidRPr="008A7B1E">
        <w:rPr>
          <w:rFonts w:asciiTheme="minorHAnsi" w:hAnsiTheme="minorHAnsi" w:cstheme="minorHAnsi"/>
          <w:i/>
          <w:iCs/>
          <w:lang w:bidi="en-US"/>
        </w:rPr>
        <w:t>.</w:t>
      </w:r>
      <w:r w:rsidR="00D42B64" w:rsidRPr="008A7B1E">
        <w:rPr>
          <w:rFonts w:asciiTheme="minorHAnsi" w:hAnsiTheme="minorHAnsi" w:cstheme="minorHAnsi"/>
          <w:i/>
          <w:iCs/>
          <w:lang w:bidi="en-US"/>
        </w:rPr>
        <w:t>,</w:t>
      </w:r>
      <w:r w:rsidR="00D42B64" w:rsidRPr="008A7B1E">
        <w:rPr>
          <w:rFonts w:asciiTheme="minorHAnsi" w:hAnsiTheme="minorHAnsi" w:cstheme="minorHAnsi"/>
          <w:lang w:bidi="en-US"/>
        </w:rPr>
        <w:t xml:space="preserve"> 2004</w:t>
      </w:r>
      <w:r w:rsidR="00AA35DE" w:rsidRPr="008A7B1E">
        <w:rPr>
          <w:rFonts w:asciiTheme="minorHAnsi" w:hAnsiTheme="minorHAnsi" w:cstheme="minorHAnsi"/>
          <w:lang w:bidi="en-US"/>
        </w:rPr>
        <w:t>: 8</w:t>
      </w:r>
      <w:r w:rsidR="00D42B64" w:rsidRPr="008A7B1E">
        <w:rPr>
          <w:rFonts w:asciiTheme="minorHAnsi" w:hAnsiTheme="minorHAnsi" w:cstheme="minorHAnsi"/>
          <w:lang w:bidi="en-US"/>
        </w:rPr>
        <w:t>)</w:t>
      </w:r>
      <w:r w:rsidR="00830C38" w:rsidRPr="008A7B1E">
        <w:rPr>
          <w:rFonts w:asciiTheme="minorHAnsi" w:hAnsiTheme="minorHAnsi" w:cstheme="minorHAnsi"/>
          <w:lang w:bidi="en-US"/>
        </w:rPr>
        <w:t>.</w:t>
      </w:r>
      <w:r w:rsidR="008C00F7" w:rsidRPr="008A7B1E">
        <w:rPr>
          <w:rFonts w:asciiTheme="minorHAnsi" w:hAnsiTheme="minorHAnsi" w:cstheme="minorHAnsi"/>
          <w:lang w:bidi="en-US"/>
        </w:rPr>
        <w:t xml:space="preserve"> </w:t>
      </w:r>
      <w:r w:rsidR="006122CB" w:rsidRPr="00D243BC">
        <w:rPr>
          <w:rFonts w:asciiTheme="minorHAnsi" w:hAnsiTheme="minorHAnsi" w:cstheme="minorHAnsi"/>
          <w:lang w:bidi="en-US"/>
        </w:rPr>
        <w:t>Thus, consultation</w:t>
      </w:r>
      <w:r w:rsidR="00D3353A" w:rsidRPr="00D243BC">
        <w:rPr>
          <w:rFonts w:asciiTheme="minorHAnsi" w:hAnsiTheme="minorHAnsi" w:cstheme="minorHAnsi"/>
          <w:lang w:bidi="en-US"/>
        </w:rPr>
        <w:t xml:space="preserve"> is when service user voices</w:t>
      </w:r>
      <w:r w:rsidR="003B3DC0" w:rsidRPr="00D243BC">
        <w:rPr>
          <w:rFonts w:asciiTheme="minorHAnsi" w:hAnsiTheme="minorHAnsi" w:cstheme="minorHAnsi"/>
          <w:lang w:bidi="en-US"/>
        </w:rPr>
        <w:t xml:space="preserve"> are collected</w:t>
      </w:r>
      <w:r w:rsidR="00CC023F" w:rsidRPr="00D243BC">
        <w:rPr>
          <w:rFonts w:asciiTheme="minorHAnsi" w:hAnsiTheme="minorHAnsi" w:cstheme="minorHAnsi"/>
          <w:lang w:bidi="en-US"/>
        </w:rPr>
        <w:t xml:space="preserve"> through meetings, forums</w:t>
      </w:r>
      <w:r w:rsidR="00C412FD" w:rsidRPr="00D243BC">
        <w:rPr>
          <w:rFonts w:asciiTheme="minorHAnsi" w:hAnsiTheme="minorHAnsi" w:cstheme="minorHAnsi"/>
          <w:lang w:bidi="en-US"/>
        </w:rPr>
        <w:t>,</w:t>
      </w:r>
      <w:r w:rsidR="00CC023F" w:rsidRPr="00D243BC">
        <w:rPr>
          <w:rFonts w:asciiTheme="minorHAnsi" w:hAnsiTheme="minorHAnsi" w:cstheme="minorHAnsi"/>
          <w:lang w:bidi="en-US"/>
        </w:rPr>
        <w:t xml:space="preserve"> or research and</w:t>
      </w:r>
      <w:r w:rsidR="003B3DC0" w:rsidRPr="00D243BC">
        <w:rPr>
          <w:rFonts w:asciiTheme="minorHAnsi" w:hAnsiTheme="minorHAnsi" w:cstheme="minorHAnsi"/>
          <w:lang w:bidi="en-US"/>
        </w:rPr>
        <w:t xml:space="preserve"> included in the decision-making process</w:t>
      </w:r>
      <w:r w:rsidR="00AA35DE" w:rsidRPr="00D243BC">
        <w:rPr>
          <w:rFonts w:asciiTheme="minorHAnsi" w:hAnsiTheme="minorHAnsi" w:cstheme="minorHAnsi"/>
          <w:lang w:bidi="en-US"/>
        </w:rPr>
        <w:t xml:space="preserve"> (Hanley </w:t>
      </w:r>
      <w:r w:rsidR="00AA35DE" w:rsidRPr="00D243BC">
        <w:rPr>
          <w:rFonts w:asciiTheme="minorHAnsi" w:hAnsiTheme="minorHAnsi" w:cstheme="minorHAnsi"/>
          <w:i/>
          <w:iCs/>
          <w:lang w:bidi="en-US"/>
        </w:rPr>
        <w:t>et al</w:t>
      </w:r>
      <w:r w:rsidR="00A23521" w:rsidRPr="00D243BC">
        <w:rPr>
          <w:rFonts w:asciiTheme="minorHAnsi" w:hAnsiTheme="minorHAnsi" w:cstheme="minorHAnsi"/>
          <w:i/>
          <w:iCs/>
          <w:lang w:bidi="en-US"/>
        </w:rPr>
        <w:t>.</w:t>
      </w:r>
      <w:r w:rsidR="00AA35DE" w:rsidRPr="00D243BC">
        <w:rPr>
          <w:rFonts w:asciiTheme="minorHAnsi" w:hAnsiTheme="minorHAnsi" w:cstheme="minorHAnsi"/>
          <w:i/>
          <w:iCs/>
          <w:lang w:bidi="en-US"/>
        </w:rPr>
        <w:t>,</w:t>
      </w:r>
      <w:r w:rsidR="00AA35DE" w:rsidRPr="00D243BC">
        <w:rPr>
          <w:rFonts w:asciiTheme="minorHAnsi" w:hAnsiTheme="minorHAnsi" w:cstheme="minorHAnsi"/>
          <w:lang w:bidi="en-US"/>
        </w:rPr>
        <w:t xml:space="preserve"> 2004)</w:t>
      </w:r>
      <w:r w:rsidR="003B3DC0" w:rsidRPr="00D243BC">
        <w:rPr>
          <w:rFonts w:asciiTheme="minorHAnsi" w:hAnsiTheme="minorHAnsi" w:cstheme="minorHAnsi"/>
          <w:lang w:bidi="en-US"/>
        </w:rPr>
        <w:t>.</w:t>
      </w:r>
      <w:r w:rsidR="00CC023F" w:rsidRPr="00D243BC">
        <w:rPr>
          <w:rFonts w:asciiTheme="minorHAnsi" w:hAnsiTheme="minorHAnsi" w:cstheme="minorHAnsi"/>
          <w:lang w:bidi="en-US"/>
        </w:rPr>
        <w:t xml:space="preserve"> Collaboration</w:t>
      </w:r>
      <w:r w:rsidR="001665DB" w:rsidRPr="00D243BC">
        <w:rPr>
          <w:rFonts w:asciiTheme="minorHAnsi" w:hAnsiTheme="minorHAnsi" w:cstheme="minorHAnsi"/>
          <w:lang w:bidi="en-US"/>
        </w:rPr>
        <w:t xml:space="preserve"> refers to</w:t>
      </w:r>
      <w:r w:rsidR="00126555" w:rsidRPr="00D243BC">
        <w:rPr>
          <w:rFonts w:asciiTheme="minorHAnsi" w:hAnsiTheme="minorHAnsi" w:cstheme="minorHAnsi"/>
          <w:lang w:bidi="en-US"/>
        </w:rPr>
        <w:t xml:space="preserve"> an ongoing involvement with service users and patients</w:t>
      </w:r>
      <w:r w:rsidR="008E7B77" w:rsidRPr="00D243BC">
        <w:rPr>
          <w:rFonts w:asciiTheme="minorHAnsi" w:hAnsiTheme="minorHAnsi" w:cstheme="minorHAnsi"/>
          <w:lang w:bidi="en-US"/>
        </w:rPr>
        <w:t xml:space="preserve"> often through steering committees</w:t>
      </w:r>
      <w:r w:rsidR="00424BE3" w:rsidRPr="00D243BC">
        <w:rPr>
          <w:rFonts w:asciiTheme="minorHAnsi" w:hAnsiTheme="minorHAnsi" w:cstheme="minorHAnsi"/>
          <w:lang w:bidi="en-US"/>
        </w:rPr>
        <w:t xml:space="preserve"> </w:t>
      </w:r>
      <w:r w:rsidR="00C412FD" w:rsidRPr="00D243BC">
        <w:rPr>
          <w:rFonts w:asciiTheme="minorHAnsi" w:hAnsiTheme="minorHAnsi" w:cstheme="minorHAnsi"/>
          <w:lang w:bidi="en-US"/>
        </w:rPr>
        <w:t>that</w:t>
      </w:r>
      <w:r w:rsidR="00424BE3" w:rsidRPr="00D243BC">
        <w:rPr>
          <w:rFonts w:asciiTheme="minorHAnsi" w:hAnsiTheme="minorHAnsi" w:cstheme="minorHAnsi"/>
          <w:lang w:bidi="en-US"/>
        </w:rPr>
        <w:t xml:space="preserve"> feed into</w:t>
      </w:r>
      <w:r w:rsidR="00EB62AB" w:rsidRPr="00D243BC">
        <w:rPr>
          <w:rFonts w:asciiTheme="minorHAnsi" w:hAnsiTheme="minorHAnsi" w:cstheme="minorHAnsi"/>
          <w:lang w:bidi="en-US"/>
        </w:rPr>
        <w:t xml:space="preserve"> the development of the service</w:t>
      </w:r>
      <w:r w:rsidR="00AA35DE" w:rsidRPr="00D243BC">
        <w:rPr>
          <w:rFonts w:asciiTheme="minorHAnsi" w:hAnsiTheme="minorHAnsi" w:cstheme="minorHAnsi"/>
          <w:lang w:bidi="en-US"/>
        </w:rPr>
        <w:t xml:space="preserve"> (Hanley </w:t>
      </w:r>
      <w:r w:rsidR="00AA35DE" w:rsidRPr="00D243BC">
        <w:rPr>
          <w:rFonts w:asciiTheme="minorHAnsi" w:hAnsiTheme="minorHAnsi" w:cstheme="minorHAnsi"/>
          <w:i/>
          <w:iCs/>
          <w:lang w:bidi="en-US"/>
        </w:rPr>
        <w:t>et al</w:t>
      </w:r>
      <w:r w:rsidR="00A23521" w:rsidRPr="00D243BC">
        <w:rPr>
          <w:rFonts w:asciiTheme="minorHAnsi" w:hAnsiTheme="minorHAnsi" w:cstheme="minorHAnsi"/>
          <w:i/>
          <w:iCs/>
          <w:lang w:bidi="en-US"/>
        </w:rPr>
        <w:t>.</w:t>
      </w:r>
      <w:r w:rsidR="00AA35DE" w:rsidRPr="00D243BC">
        <w:rPr>
          <w:rFonts w:asciiTheme="minorHAnsi" w:hAnsiTheme="minorHAnsi" w:cstheme="minorHAnsi"/>
          <w:i/>
          <w:iCs/>
          <w:lang w:bidi="en-US"/>
        </w:rPr>
        <w:t>,</w:t>
      </w:r>
      <w:r w:rsidR="00AA35DE" w:rsidRPr="00D243BC">
        <w:rPr>
          <w:rFonts w:asciiTheme="minorHAnsi" w:hAnsiTheme="minorHAnsi" w:cstheme="minorHAnsi"/>
          <w:lang w:bidi="en-US"/>
        </w:rPr>
        <w:t xml:space="preserve"> 2004)</w:t>
      </w:r>
      <w:r w:rsidR="008E7B77" w:rsidRPr="00D243BC">
        <w:rPr>
          <w:rFonts w:asciiTheme="minorHAnsi" w:hAnsiTheme="minorHAnsi" w:cstheme="minorHAnsi"/>
          <w:lang w:bidi="en-US"/>
        </w:rPr>
        <w:t>.</w:t>
      </w:r>
      <w:r w:rsidR="00EB62AB" w:rsidRPr="00D243BC">
        <w:rPr>
          <w:rFonts w:asciiTheme="minorHAnsi" w:hAnsiTheme="minorHAnsi" w:cstheme="minorHAnsi"/>
          <w:lang w:bidi="en-US"/>
        </w:rPr>
        <w:t xml:space="preserve"> Finally, user control</w:t>
      </w:r>
      <w:r w:rsidR="00974498" w:rsidRPr="00D243BC">
        <w:rPr>
          <w:rFonts w:asciiTheme="minorHAnsi" w:hAnsiTheme="minorHAnsi" w:cstheme="minorHAnsi"/>
          <w:lang w:bidi="en-US"/>
        </w:rPr>
        <w:t xml:space="preserve"> acknowledges the power dynamics when developing a partnership</w:t>
      </w:r>
      <w:r w:rsidR="00E611EE" w:rsidRPr="00D243BC">
        <w:rPr>
          <w:rFonts w:asciiTheme="minorHAnsi" w:hAnsiTheme="minorHAnsi" w:cstheme="minorHAnsi"/>
          <w:lang w:bidi="en-US"/>
        </w:rPr>
        <w:t xml:space="preserve"> between professionals and </w:t>
      </w:r>
      <w:r w:rsidR="00974498" w:rsidRPr="00D243BC">
        <w:rPr>
          <w:rFonts w:asciiTheme="minorHAnsi" w:hAnsiTheme="minorHAnsi" w:cstheme="minorHAnsi"/>
          <w:lang w:bidi="en-US"/>
        </w:rPr>
        <w:t>service users</w:t>
      </w:r>
      <w:r w:rsidR="00F37AC4" w:rsidRPr="00D243BC">
        <w:rPr>
          <w:rFonts w:asciiTheme="minorHAnsi" w:hAnsiTheme="minorHAnsi" w:cstheme="minorHAnsi"/>
          <w:lang w:bidi="en-US"/>
        </w:rPr>
        <w:t>.</w:t>
      </w:r>
      <w:r w:rsidR="00E611EE" w:rsidRPr="00D243BC">
        <w:rPr>
          <w:rFonts w:asciiTheme="minorHAnsi" w:hAnsiTheme="minorHAnsi" w:cstheme="minorHAnsi"/>
          <w:lang w:bidi="en-US"/>
        </w:rPr>
        <w:t xml:space="preserve"> </w:t>
      </w:r>
      <w:r w:rsidR="00F37AC4" w:rsidRPr="006227FB">
        <w:rPr>
          <w:rFonts w:asciiTheme="minorHAnsi" w:hAnsiTheme="minorHAnsi" w:cstheme="minorHAnsi"/>
          <w:lang w:bidi="en-US"/>
        </w:rPr>
        <w:t>The</w:t>
      </w:r>
      <w:r w:rsidR="00E611EE" w:rsidRPr="006227FB">
        <w:rPr>
          <w:rFonts w:asciiTheme="minorHAnsi" w:hAnsiTheme="minorHAnsi" w:cstheme="minorHAnsi"/>
          <w:lang w:bidi="en-US"/>
        </w:rPr>
        <w:t xml:space="preserve"> approach attempts to </w:t>
      </w:r>
      <w:r w:rsidR="008B0E87" w:rsidRPr="006227FB">
        <w:rPr>
          <w:rFonts w:asciiTheme="minorHAnsi" w:hAnsiTheme="minorHAnsi" w:cstheme="minorHAnsi"/>
          <w:lang w:bidi="en-US"/>
        </w:rPr>
        <w:t>facilitate</w:t>
      </w:r>
      <w:r w:rsidR="004642FE" w:rsidRPr="006227FB">
        <w:rPr>
          <w:rFonts w:asciiTheme="minorHAnsi" w:hAnsiTheme="minorHAnsi" w:cstheme="minorHAnsi"/>
          <w:lang w:bidi="en-US"/>
        </w:rPr>
        <w:t xml:space="preserve"> an authentic form of partnership work by enabling</w:t>
      </w:r>
      <w:r w:rsidR="008B0E87" w:rsidRPr="006227FB">
        <w:rPr>
          <w:rFonts w:asciiTheme="minorHAnsi" w:hAnsiTheme="minorHAnsi" w:cstheme="minorHAnsi"/>
          <w:lang w:bidi="en-US"/>
        </w:rPr>
        <w:t xml:space="preserve"> service users</w:t>
      </w:r>
      <w:r w:rsidR="004642FE" w:rsidRPr="006227FB">
        <w:rPr>
          <w:rFonts w:asciiTheme="minorHAnsi" w:hAnsiTheme="minorHAnsi" w:cstheme="minorHAnsi"/>
          <w:lang w:bidi="en-US"/>
        </w:rPr>
        <w:t xml:space="preserve"> and patient</w:t>
      </w:r>
      <w:r w:rsidR="00C412FD" w:rsidRPr="006227FB">
        <w:rPr>
          <w:rFonts w:asciiTheme="minorHAnsi" w:hAnsiTheme="minorHAnsi" w:cstheme="minorHAnsi"/>
          <w:lang w:bidi="en-US"/>
        </w:rPr>
        <w:t>s</w:t>
      </w:r>
      <w:r w:rsidR="004642FE" w:rsidRPr="006227FB">
        <w:rPr>
          <w:rFonts w:asciiTheme="minorHAnsi" w:hAnsiTheme="minorHAnsi" w:cstheme="minorHAnsi"/>
          <w:lang w:bidi="en-US"/>
        </w:rPr>
        <w:t xml:space="preserve"> to take control of</w:t>
      </w:r>
      <w:r w:rsidR="00D42B64" w:rsidRPr="006227FB">
        <w:rPr>
          <w:rFonts w:asciiTheme="minorHAnsi" w:hAnsiTheme="minorHAnsi" w:cstheme="minorHAnsi"/>
          <w:lang w:bidi="en-US"/>
        </w:rPr>
        <w:t xml:space="preserve"> the decision-making process of service development</w:t>
      </w:r>
      <w:r w:rsidR="00AA35DE" w:rsidRPr="006227FB">
        <w:rPr>
          <w:rFonts w:asciiTheme="minorHAnsi" w:hAnsiTheme="minorHAnsi" w:cstheme="minorHAnsi"/>
          <w:lang w:bidi="en-US"/>
        </w:rPr>
        <w:t xml:space="preserve"> (Hanley </w:t>
      </w:r>
      <w:r w:rsidR="00AA35DE" w:rsidRPr="006227FB">
        <w:rPr>
          <w:rFonts w:asciiTheme="minorHAnsi" w:hAnsiTheme="minorHAnsi" w:cstheme="minorHAnsi"/>
          <w:i/>
          <w:iCs/>
          <w:lang w:bidi="en-US"/>
        </w:rPr>
        <w:t>et al</w:t>
      </w:r>
      <w:r w:rsidR="00A23521" w:rsidRPr="006227FB">
        <w:rPr>
          <w:rFonts w:asciiTheme="minorHAnsi" w:hAnsiTheme="minorHAnsi" w:cstheme="minorHAnsi"/>
          <w:i/>
          <w:iCs/>
          <w:lang w:bidi="en-US"/>
        </w:rPr>
        <w:t>.</w:t>
      </w:r>
      <w:r w:rsidR="00AA35DE" w:rsidRPr="006227FB">
        <w:rPr>
          <w:rFonts w:asciiTheme="minorHAnsi" w:hAnsiTheme="minorHAnsi" w:cstheme="minorHAnsi"/>
          <w:i/>
          <w:iCs/>
          <w:lang w:bidi="en-US"/>
        </w:rPr>
        <w:t>,</w:t>
      </w:r>
      <w:r w:rsidR="00AA35DE" w:rsidRPr="006227FB">
        <w:rPr>
          <w:rFonts w:asciiTheme="minorHAnsi" w:hAnsiTheme="minorHAnsi" w:cstheme="minorHAnsi"/>
          <w:lang w:bidi="en-US"/>
        </w:rPr>
        <w:t xml:space="preserve"> 2004)</w:t>
      </w:r>
      <w:r w:rsidR="00D42B64" w:rsidRPr="006227FB">
        <w:rPr>
          <w:rFonts w:asciiTheme="minorHAnsi" w:hAnsiTheme="minorHAnsi" w:cstheme="minorHAnsi"/>
          <w:lang w:bidi="en-US"/>
        </w:rPr>
        <w:t>.</w:t>
      </w:r>
      <w:r w:rsidR="00F42B27" w:rsidRPr="006227FB">
        <w:rPr>
          <w:rFonts w:asciiTheme="minorHAnsi" w:hAnsiTheme="minorHAnsi" w:cstheme="minorHAnsi"/>
          <w:lang w:bidi="en-US"/>
        </w:rPr>
        <w:t xml:space="preserve"> </w:t>
      </w:r>
      <w:r w:rsidR="00851CBC" w:rsidRPr="00FB74C7">
        <w:rPr>
          <w:rFonts w:asciiTheme="minorHAnsi" w:hAnsiTheme="minorHAnsi" w:cstheme="minorHAnsi"/>
          <w:lang w:bidi="en-US"/>
        </w:rPr>
        <w:t xml:space="preserve">Although </w:t>
      </w:r>
      <w:proofErr w:type="spellStart"/>
      <w:r w:rsidR="00851CBC" w:rsidRPr="00FB74C7">
        <w:rPr>
          <w:rFonts w:asciiTheme="minorHAnsi" w:hAnsiTheme="minorHAnsi" w:cstheme="minorHAnsi"/>
          <w:lang w:bidi="en-US"/>
        </w:rPr>
        <w:t>Arnstein’s</w:t>
      </w:r>
      <w:proofErr w:type="spellEnd"/>
      <w:r w:rsidR="003809B3" w:rsidRPr="00FB74C7">
        <w:rPr>
          <w:rFonts w:asciiTheme="minorHAnsi" w:hAnsiTheme="minorHAnsi" w:cstheme="minorHAnsi"/>
          <w:lang w:bidi="en-US"/>
        </w:rPr>
        <w:t xml:space="preserve"> (196</w:t>
      </w:r>
      <w:r w:rsidR="00A23521" w:rsidRPr="00FB74C7">
        <w:rPr>
          <w:rFonts w:asciiTheme="minorHAnsi" w:hAnsiTheme="minorHAnsi" w:cstheme="minorHAnsi"/>
          <w:lang w:bidi="en-US"/>
        </w:rPr>
        <w:t>9</w:t>
      </w:r>
      <w:r w:rsidR="003809B3" w:rsidRPr="00FB74C7">
        <w:rPr>
          <w:rFonts w:asciiTheme="minorHAnsi" w:hAnsiTheme="minorHAnsi" w:cstheme="minorHAnsi"/>
          <w:lang w:bidi="en-US"/>
        </w:rPr>
        <w:t>)</w:t>
      </w:r>
      <w:r w:rsidR="00851CBC" w:rsidRPr="00FB74C7">
        <w:rPr>
          <w:rFonts w:asciiTheme="minorHAnsi" w:hAnsiTheme="minorHAnsi" w:cstheme="minorHAnsi"/>
          <w:lang w:bidi="en-US"/>
        </w:rPr>
        <w:t xml:space="preserve"> theorisation of degrees of power and </w:t>
      </w:r>
      <w:r w:rsidR="003809B3" w:rsidRPr="00FB74C7">
        <w:rPr>
          <w:rFonts w:asciiTheme="minorHAnsi" w:hAnsiTheme="minorHAnsi" w:cstheme="minorHAnsi"/>
          <w:lang w:bidi="en-US"/>
        </w:rPr>
        <w:t xml:space="preserve">Hanley </w:t>
      </w:r>
      <w:r w:rsidR="003809B3" w:rsidRPr="00FB74C7">
        <w:rPr>
          <w:rFonts w:asciiTheme="minorHAnsi" w:hAnsiTheme="minorHAnsi" w:cstheme="minorHAnsi"/>
          <w:i/>
          <w:iCs/>
          <w:lang w:bidi="en-US"/>
        </w:rPr>
        <w:t>et al</w:t>
      </w:r>
      <w:r w:rsidR="00A23521" w:rsidRPr="00FB74C7">
        <w:rPr>
          <w:rFonts w:asciiTheme="minorHAnsi" w:hAnsiTheme="minorHAnsi" w:cstheme="minorHAnsi"/>
          <w:i/>
          <w:iCs/>
          <w:lang w:bidi="en-US"/>
        </w:rPr>
        <w:t>.</w:t>
      </w:r>
      <w:r w:rsidR="003809B3" w:rsidRPr="00FB74C7">
        <w:rPr>
          <w:rFonts w:asciiTheme="minorHAnsi" w:hAnsiTheme="minorHAnsi" w:cstheme="minorHAnsi"/>
          <w:i/>
          <w:iCs/>
          <w:lang w:bidi="en-US"/>
        </w:rPr>
        <w:t>,</w:t>
      </w:r>
      <w:r w:rsidR="003809B3" w:rsidRPr="00FB74C7">
        <w:rPr>
          <w:rFonts w:asciiTheme="minorHAnsi" w:hAnsiTheme="minorHAnsi" w:cstheme="minorHAnsi"/>
          <w:lang w:bidi="en-US"/>
        </w:rPr>
        <w:t xml:space="preserve"> (2004) </w:t>
      </w:r>
      <w:r w:rsidR="0019624B" w:rsidRPr="00FB74C7">
        <w:rPr>
          <w:rFonts w:asciiTheme="minorHAnsi" w:hAnsiTheme="minorHAnsi" w:cstheme="minorHAnsi"/>
          <w:lang w:bidi="en-US"/>
        </w:rPr>
        <w:t>model of transparency can be useful in assessing the types of partnership</w:t>
      </w:r>
      <w:r w:rsidR="002619E4" w:rsidRPr="00FB74C7">
        <w:rPr>
          <w:rFonts w:asciiTheme="minorHAnsi" w:hAnsiTheme="minorHAnsi" w:cstheme="minorHAnsi"/>
          <w:lang w:bidi="en-US"/>
        </w:rPr>
        <w:t xml:space="preserve"> that services are engaging in at a micro level, </w:t>
      </w:r>
      <w:proofErr w:type="spellStart"/>
      <w:r w:rsidR="002619E4" w:rsidRPr="00FB74C7">
        <w:rPr>
          <w:rFonts w:asciiTheme="minorHAnsi" w:hAnsiTheme="minorHAnsi" w:cstheme="minorHAnsi"/>
          <w:lang w:bidi="en-US"/>
        </w:rPr>
        <w:t>Forbat</w:t>
      </w:r>
      <w:proofErr w:type="spellEnd"/>
      <w:r w:rsidR="009B4968" w:rsidRPr="00FB74C7">
        <w:rPr>
          <w:rFonts w:asciiTheme="minorHAnsi" w:hAnsiTheme="minorHAnsi" w:cstheme="minorHAnsi"/>
          <w:lang w:bidi="en-US"/>
        </w:rPr>
        <w:t xml:space="preserve"> </w:t>
      </w:r>
      <w:r w:rsidR="009B4968" w:rsidRPr="00FB74C7">
        <w:rPr>
          <w:rFonts w:asciiTheme="minorHAnsi" w:hAnsiTheme="minorHAnsi" w:cstheme="minorHAnsi"/>
          <w:i/>
          <w:iCs/>
          <w:lang w:bidi="en-US"/>
        </w:rPr>
        <w:t>et al</w:t>
      </w:r>
      <w:r w:rsidR="00AF3934" w:rsidRPr="00FB74C7">
        <w:rPr>
          <w:rFonts w:asciiTheme="minorHAnsi" w:hAnsiTheme="minorHAnsi" w:cstheme="minorHAnsi"/>
          <w:i/>
          <w:iCs/>
          <w:lang w:bidi="en-US"/>
        </w:rPr>
        <w:t>.</w:t>
      </w:r>
      <w:r w:rsidR="00C162F3" w:rsidRPr="00FB74C7">
        <w:rPr>
          <w:rFonts w:asciiTheme="minorHAnsi" w:hAnsiTheme="minorHAnsi" w:cstheme="minorHAnsi"/>
          <w:i/>
          <w:iCs/>
          <w:lang w:bidi="en-US"/>
        </w:rPr>
        <w:t xml:space="preserve"> </w:t>
      </w:r>
      <w:r w:rsidR="00C162F3" w:rsidRPr="00FB74C7">
        <w:rPr>
          <w:rFonts w:asciiTheme="minorHAnsi" w:hAnsiTheme="minorHAnsi" w:cstheme="minorHAnsi"/>
          <w:lang w:bidi="en-US"/>
        </w:rPr>
        <w:t>(2009) present</w:t>
      </w:r>
      <w:r w:rsidR="00D222D1" w:rsidRPr="00FB74C7">
        <w:rPr>
          <w:rFonts w:asciiTheme="minorHAnsi" w:hAnsiTheme="minorHAnsi" w:cstheme="minorHAnsi"/>
          <w:lang w:bidi="en-US"/>
        </w:rPr>
        <w:t xml:space="preserve">s a far more comprehensive structural analysis of different types of </w:t>
      </w:r>
      <w:r w:rsidR="000B4F8B" w:rsidRPr="00FB74C7">
        <w:rPr>
          <w:rFonts w:asciiTheme="minorHAnsi" w:hAnsiTheme="minorHAnsi" w:cstheme="minorHAnsi"/>
          <w:lang w:bidi="en-US"/>
        </w:rPr>
        <w:t xml:space="preserve">involvement </w:t>
      </w:r>
      <w:r w:rsidR="00D222D1" w:rsidRPr="00FB74C7">
        <w:rPr>
          <w:rFonts w:asciiTheme="minorHAnsi" w:hAnsiTheme="minorHAnsi" w:cstheme="minorHAnsi"/>
          <w:lang w:bidi="en-US"/>
        </w:rPr>
        <w:t>which manifest themselves in contemporary</w:t>
      </w:r>
      <w:r w:rsidR="00565F25" w:rsidRPr="00FB74C7">
        <w:rPr>
          <w:rFonts w:asciiTheme="minorHAnsi" w:hAnsiTheme="minorHAnsi" w:cstheme="minorHAnsi"/>
          <w:lang w:bidi="en-US"/>
        </w:rPr>
        <w:t xml:space="preserve"> public services.</w:t>
      </w:r>
      <w:r w:rsidR="00565F25" w:rsidRPr="00FB74C7">
        <w:rPr>
          <w:rFonts w:asciiTheme="minorHAnsi" w:hAnsiTheme="minorHAnsi" w:cstheme="minorHAnsi"/>
        </w:rPr>
        <w:t xml:space="preserve"> </w:t>
      </w:r>
    </w:p>
    <w:p w14:paraId="7C8BB9DA" w14:textId="77777777" w:rsidR="0052434F" w:rsidRPr="00FB74C7" w:rsidRDefault="0052434F" w:rsidP="00A42A35">
      <w:pPr>
        <w:spacing w:line="360" w:lineRule="auto"/>
        <w:contextualSpacing/>
        <w:mirrorIndents/>
        <w:jc w:val="both"/>
        <w:rPr>
          <w:rFonts w:asciiTheme="minorHAnsi" w:hAnsiTheme="minorHAnsi" w:cstheme="minorHAnsi"/>
        </w:rPr>
      </w:pPr>
    </w:p>
    <w:p w14:paraId="16F3B91D" w14:textId="0B5195DC" w:rsidR="009D0317" w:rsidRPr="00233629" w:rsidRDefault="00565F25" w:rsidP="00A42A35">
      <w:pPr>
        <w:spacing w:line="360" w:lineRule="auto"/>
        <w:contextualSpacing/>
        <w:mirrorIndents/>
        <w:jc w:val="both"/>
        <w:rPr>
          <w:rFonts w:asciiTheme="minorHAnsi" w:hAnsiTheme="minorHAnsi" w:cstheme="minorHAnsi"/>
          <w:color w:val="FF0000"/>
          <w:lang w:bidi="en-US"/>
        </w:rPr>
      </w:pPr>
      <w:proofErr w:type="spellStart"/>
      <w:r w:rsidRPr="00FB74C7">
        <w:rPr>
          <w:rFonts w:asciiTheme="minorHAnsi" w:hAnsiTheme="minorHAnsi" w:cstheme="minorHAnsi"/>
          <w:lang w:bidi="en-US"/>
        </w:rPr>
        <w:t>Forbat</w:t>
      </w:r>
      <w:proofErr w:type="spellEnd"/>
      <w:r w:rsidRPr="00FB74C7">
        <w:rPr>
          <w:rFonts w:asciiTheme="minorHAnsi" w:hAnsiTheme="minorHAnsi" w:cstheme="minorHAnsi"/>
          <w:lang w:bidi="en-US"/>
        </w:rPr>
        <w:t xml:space="preserve"> </w:t>
      </w:r>
      <w:r w:rsidRPr="00FB74C7">
        <w:rPr>
          <w:rFonts w:asciiTheme="minorHAnsi" w:hAnsiTheme="minorHAnsi" w:cstheme="minorHAnsi"/>
          <w:i/>
          <w:iCs/>
          <w:lang w:bidi="en-US"/>
        </w:rPr>
        <w:t>et al</w:t>
      </w:r>
      <w:r w:rsidR="00AF3934" w:rsidRPr="00FB74C7">
        <w:rPr>
          <w:rFonts w:asciiTheme="minorHAnsi" w:hAnsiTheme="minorHAnsi" w:cstheme="minorHAnsi"/>
          <w:i/>
          <w:iCs/>
          <w:lang w:bidi="en-US"/>
        </w:rPr>
        <w:t>.</w:t>
      </w:r>
      <w:r w:rsidRPr="00FB74C7">
        <w:rPr>
          <w:rFonts w:asciiTheme="minorHAnsi" w:hAnsiTheme="minorHAnsi" w:cstheme="minorHAnsi"/>
          <w:lang w:bidi="en-US"/>
        </w:rPr>
        <w:t xml:space="preserve"> </w:t>
      </w:r>
      <w:r w:rsidRPr="00E02D34">
        <w:rPr>
          <w:rFonts w:asciiTheme="minorHAnsi" w:hAnsiTheme="minorHAnsi" w:cstheme="minorHAnsi"/>
          <w:lang w:bidi="en-US"/>
        </w:rPr>
        <w:t xml:space="preserve">(2009) </w:t>
      </w:r>
      <w:r w:rsidR="00757CAB" w:rsidRPr="00E02D34">
        <w:rPr>
          <w:rFonts w:asciiTheme="minorHAnsi" w:hAnsiTheme="minorHAnsi" w:cstheme="minorHAnsi"/>
          <w:lang w:bidi="en-US"/>
        </w:rPr>
        <w:t xml:space="preserve">suggest that there are four theoretical models </w:t>
      </w:r>
      <w:r w:rsidR="00F85FC8" w:rsidRPr="00E02D34">
        <w:rPr>
          <w:rFonts w:asciiTheme="minorHAnsi" w:hAnsiTheme="minorHAnsi" w:cstheme="minorHAnsi"/>
          <w:lang w:bidi="en-US"/>
        </w:rPr>
        <w:t>that</w:t>
      </w:r>
      <w:r w:rsidR="00757CAB" w:rsidRPr="00E02D34">
        <w:rPr>
          <w:rFonts w:asciiTheme="minorHAnsi" w:hAnsiTheme="minorHAnsi" w:cstheme="minorHAnsi"/>
          <w:lang w:bidi="en-US"/>
        </w:rPr>
        <w:t xml:space="preserve"> define</w:t>
      </w:r>
      <w:r w:rsidR="004047CE" w:rsidRPr="00E02D34">
        <w:rPr>
          <w:rFonts w:asciiTheme="minorHAnsi" w:hAnsiTheme="minorHAnsi" w:cstheme="minorHAnsi"/>
          <w:lang w:bidi="en-US"/>
        </w:rPr>
        <w:t xml:space="preserve"> the hierarchy of different types of service user involvement which </w:t>
      </w:r>
      <w:r w:rsidR="002A28E2" w:rsidRPr="00E02D34">
        <w:rPr>
          <w:rFonts w:asciiTheme="minorHAnsi" w:hAnsiTheme="minorHAnsi" w:cstheme="minorHAnsi"/>
          <w:lang w:bidi="en-US"/>
        </w:rPr>
        <w:t>inform</w:t>
      </w:r>
      <w:r w:rsidR="004047CE" w:rsidRPr="00E02D34">
        <w:rPr>
          <w:rFonts w:asciiTheme="minorHAnsi" w:hAnsiTheme="minorHAnsi" w:cstheme="minorHAnsi"/>
          <w:lang w:bidi="en-US"/>
        </w:rPr>
        <w:t xml:space="preserve"> all forms of public services.</w:t>
      </w:r>
      <w:r w:rsidR="00D33B20" w:rsidRPr="00E02D34">
        <w:rPr>
          <w:rFonts w:asciiTheme="minorHAnsi" w:hAnsiTheme="minorHAnsi" w:cstheme="minorHAnsi"/>
          <w:lang w:bidi="en-US"/>
        </w:rPr>
        <w:t xml:space="preserve"> They suggest that each</w:t>
      </w:r>
      <w:r w:rsidR="00F46DF9" w:rsidRPr="00E02D34">
        <w:rPr>
          <w:rFonts w:asciiTheme="minorHAnsi" w:hAnsiTheme="minorHAnsi" w:cstheme="minorHAnsi"/>
          <w:lang w:bidi="en-US"/>
        </w:rPr>
        <w:t xml:space="preserve"> form </w:t>
      </w:r>
      <w:r w:rsidR="00D33B20" w:rsidRPr="00E02D34">
        <w:rPr>
          <w:rFonts w:asciiTheme="minorHAnsi" w:hAnsiTheme="minorHAnsi" w:cstheme="minorHAnsi"/>
          <w:lang w:bidi="en-US"/>
        </w:rPr>
        <w:t>of service user involvement</w:t>
      </w:r>
      <w:r w:rsidR="008A409A" w:rsidRPr="00E02D34">
        <w:rPr>
          <w:rFonts w:asciiTheme="minorHAnsi" w:hAnsiTheme="minorHAnsi" w:cstheme="minorHAnsi"/>
          <w:lang w:bidi="en-US"/>
        </w:rPr>
        <w:t xml:space="preserve"> is</w:t>
      </w:r>
      <w:r w:rsidR="00F46DF9" w:rsidRPr="00E02D34">
        <w:rPr>
          <w:rFonts w:asciiTheme="minorHAnsi" w:hAnsiTheme="minorHAnsi" w:cstheme="minorHAnsi"/>
          <w:lang w:bidi="en-US"/>
        </w:rPr>
        <w:t xml:space="preserve"> formulated by different ideological drivers</w:t>
      </w:r>
      <w:r w:rsidR="008A409A" w:rsidRPr="00E02D34">
        <w:rPr>
          <w:rFonts w:asciiTheme="minorHAnsi" w:hAnsiTheme="minorHAnsi" w:cstheme="minorHAnsi"/>
          <w:lang w:bidi="en-US"/>
        </w:rPr>
        <w:t>.</w:t>
      </w:r>
      <w:r w:rsidR="005D5A71" w:rsidRPr="00E02D34">
        <w:rPr>
          <w:rFonts w:asciiTheme="minorHAnsi" w:hAnsiTheme="minorHAnsi" w:cstheme="minorHAnsi"/>
          <w:lang w:bidi="en-US"/>
        </w:rPr>
        <w:t xml:space="preserve"> </w:t>
      </w:r>
      <w:proofErr w:type="spellStart"/>
      <w:r w:rsidR="006277B5" w:rsidRPr="00E02D34">
        <w:rPr>
          <w:rFonts w:asciiTheme="minorHAnsi" w:hAnsiTheme="minorHAnsi" w:cstheme="minorHAnsi"/>
          <w:lang w:bidi="en-US"/>
        </w:rPr>
        <w:t>Forbat</w:t>
      </w:r>
      <w:proofErr w:type="spellEnd"/>
      <w:r w:rsidR="006277B5" w:rsidRPr="00E02D34">
        <w:rPr>
          <w:rFonts w:asciiTheme="minorHAnsi" w:hAnsiTheme="minorHAnsi" w:cstheme="minorHAnsi"/>
          <w:lang w:bidi="en-US"/>
        </w:rPr>
        <w:t xml:space="preserve"> </w:t>
      </w:r>
      <w:r w:rsidR="006277B5" w:rsidRPr="00E02D34">
        <w:rPr>
          <w:rFonts w:asciiTheme="minorHAnsi" w:hAnsiTheme="minorHAnsi" w:cstheme="minorHAnsi"/>
          <w:i/>
          <w:iCs/>
          <w:lang w:bidi="en-US"/>
        </w:rPr>
        <w:t>et al</w:t>
      </w:r>
      <w:r w:rsidR="00AF3934" w:rsidRPr="00E02D34">
        <w:rPr>
          <w:rFonts w:asciiTheme="minorHAnsi" w:hAnsiTheme="minorHAnsi" w:cstheme="minorHAnsi"/>
          <w:i/>
          <w:iCs/>
          <w:lang w:bidi="en-US"/>
        </w:rPr>
        <w:t>.</w:t>
      </w:r>
      <w:r w:rsidR="006277B5" w:rsidRPr="00E02D34">
        <w:rPr>
          <w:rFonts w:asciiTheme="minorHAnsi" w:hAnsiTheme="minorHAnsi" w:cstheme="minorHAnsi"/>
          <w:lang w:bidi="en-US"/>
        </w:rPr>
        <w:t xml:space="preserve"> (2009)</w:t>
      </w:r>
      <w:r w:rsidR="005D5A71" w:rsidRPr="00E02D34">
        <w:rPr>
          <w:rFonts w:asciiTheme="minorHAnsi" w:hAnsiTheme="minorHAnsi" w:cstheme="minorHAnsi"/>
          <w:lang w:bidi="en-US"/>
        </w:rPr>
        <w:t xml:space="preserve"> suggest that the first and most common form of involvement in contemporary services are</w:t>
      </w:r>
      <w:r w:rsidR="0052434F" w:rsidRPr="00E02D34">
        <w:rPr>
          <w:rFonts w:asciiTheme="minorHAnsi" w:hAnsiTheme="minorHAnsi" w:cstheme="minorHAnsi"/>
          <w:lang w:bidi="en-US"/>
        </w:rPr>
        <w:t xml:space="preserve"> consumer</w:t>
      </w:r>
      <w:r w:rsidR="00F85FC8" w:rsidRPr="00E02D34">
        <w:rPr>
          <w:rFonts w:asciiTheme="minorHAnsi" w:hAnsiTheme="minorHAnsi" w:cstheme="minorHAnsi"/>
          <w:lang w:bidi="en-US"/>
        </w:rPr>
        <w:t>-</w:t>
      </w:r>
      <w:r w:rsidR="0052434F" w:rsidRPr="00E02D34">
        <w:rPr>
          <w:rFonts w:asciiTheme="minorHAnsi" w:hAnsiTheme="minorHAnsi" w:cstheme="minorHAnsi"/>
          <w:lang w:bidi="en-US"/>
        </w:rPr>
        <w:t>led approaches to partnership work and public involvement.</w:t>
      </w:r>
      <w:r w:rsidR="00C454CE" w:rsidRPr="00E02D34">
        <w:rPr>
          <w:rFonts w:asciiTheme="minorHAnsi" w:hAnsiTheme="minorHAnsi" w:cstheme="minorHAnsi"/>
          <w:lang w:bidi="en-US"/>
        </w:rPr>
        <w:t xml:space="preserve"> </w:t>
      </w:r>
      <w:r w:rsidR="00C454CE" w:rsidRPr="006D6009">
        <w:rPr>
          <w:rFonts w:asciiTheme="minorHAnsi" w:hAnsiTheme="minorHAnsi" w:cstheme="minorHAnsi"/>
          <w:lang w:bidi="en-US"/>
        </w:rPr>
        <w:t>They define this as</w:t>
      </w:r>
      <w:r w:rsidR="009C3300" w:rsidRPr="006D6009">
        <w:rPr>
          <w:rFonts w:asciiTheme="minorHAnsi" w:hAnsiTheme="minorHAnsi" w:cstheme="minorHAnsi"/>
          <w:lang w:bidi="en-US"/>
        </w:rPr>
        <w:t xml:space="preserve"> the ‘free market economy’ model of involvement</w:t>
      </w:r>
      <w:r w:rsidR="006277B5" w:rsidRPr="006D6009">
        <w:rPr>
          <w:rFonts w:asciiTheme="minorHAnsi" w:hAnsiTheme="minorHAnsi" w:cstheme="minorHAnsi"/>
          <w:lang w:bidi="en-US"/>
        </w:rPr>
        <w:t xml:space="preserve"> (</w:t>
      </w:r>
      <w:proofErr w:type="spellStart"/>
      <w:r w:rsidR="006277B5" w:rsidRPr="006D6009">
        <w:rPr>
          <w:rFonts w:asciiTheme="minorHAnsi" w:hAnsiTheme="minorHAnsi" w:cstheme="minorHAnsi"/>
          <w:lang w:bidi="en-US"/>
        </w:rPr>
        <w:t>Forbat</w:t>
      </w:r>
      <w:proofErr w:type="spellEnd"/>
      <w:r w:rsidR="006277B5" w:rsidRPr="006D6009">
        <w:rPr>
          <w:rFonts w:asciiTheme="minorHAnsi" w:hAnsiTheme="minorHAnsi" w:cstheme="minorHAnsi"/>
          <w:lang w:bidi="en-US"/>
        </w:rPr>
        <w:t xml:space="preserve"> </w:t>
      </w:r>
      <w:r w:rsidR="00AF3934" w:rsidRPr="006D6009">
        <w:rPr>
          <w:rFonts w:asciiTheme="minorHAnsi" w:hAnsiTheme="minorHAnsi" w:cstheme="minorHAnsi"/>
          <w:i/>
          <w:iCs/>
          <w:lang w:bidi="en-US"/>
        </w:rPr>
        <w:t xml:space="preserve">et al., </w:t>
      </w:r>
      <w:r w:rsidR="006277B5" w:rsidRPr="006D6009">
        <w:rPr>
          <w:rFonts w:asciiTheme="minorHAnsi" w:hAnsiTheme="minorHAnsi" w:cstheme="minorHAnsi"/>
          <w:lang w:bidi="en-US"/>
        </w:rPr>
        <w:t>2009;</w:t>
      </w:r>
      <w:r w:rsidR="006277B5" w:rsidRPr="006D6009">
        <w:rPr>
          <w:rFonts w:asciiTheme="minorHAnsi" w:hAnsiTheme="minorHAnsi" w:cstheme="minorHAnsi"/>
        </w:rPr>
        <w:t xml:space="preserve"> </w:t>
      </w:r>
      <w:bookmarkStart w:id="5" w:name="_Hlk71807856"/>
      <w:r w:rsidR="006277B5" w:rsidRPr="006D6009">
        <w:rPr>
          <w:rFonts w:asciiTheme="minorHAnsi" w:hAnsiTheme="minorHAnsi" w:cstheme="minorHAnsi"/>
          <w:lang w:bidi="en-US"/>
        </w:rPr>
        <w:t>Macdonald and Taylor-</w:t>
      </w:r>
      <w:proofErr w:type="spellStart"/>
      <w:r w:rsidR="006277B5" w:rsidRPr="006D6009">
        <w:rPr>
          <w:rFonts w:asciiTheme="minorHAnsi" w:hAnsiTheme="minorHAnsi" w:cstheme="minorHAnsi"/>
          <w:lang w:bidi="en-US"/>
        </w:rPr>
        <w:t>Gooby</w:t>
      </w:r>
      <w:proofErr w:type="spellEnd"/>
      <w:r w:rsidR="006277B5" w:rsidRPr="006D6009">
        <w:rPr>
          <w:rFonts w:asciiTheme="minorHAnsi" w:hAnsiTheme="minorHAnsi" w:cstheme="minorHAnsi"/>
          <w:lang w:bidi="en-US"/>
        </w:rPr>
        <w:t xml:space="preserve"> 201</w:t>
      </w:r>
      <w:bookmarkEnd w:id="5"/>
      <w:r w:rsidR="00202BA1" w:rsidRPr="006D6009">
        <w:rPr>
          <w:rFonts w:asciiTheme="minorHAnsi" w:hAnsiTheme="minorHAnsi" w:cstheme="minorHAnsi"/>
          <w:lang w:bidi="en-US"/>
        </w:rPr>
        <w:t>4</w:t>
      </w:r>
      <w:r w:rsidR="006277B5" w:rsidRPr="006D6009">
        <w:rPr>
          <w:rFonts w:asciiTheme="minorHAnsi" w:hAnsiTheme="minorHAnsi" w:cstheme="minorHAnsi"/>
          <w:lang w:bidi="en-US"/>
        </w:rPr>
        <w:t>)</w:t>
      </w:r>
      <w:r w:rsidR="009C3300" w:rsidRPr="006D6009">
        <w:rPr>
          <w:rFonts w:asciiTheme="minorHAnsi" w:hAnsiTheme="minorHAnsi" w:cstheme="minorHAnsi"/>
          <w:lang w:bidi="en-US"/>
        </w:rPr>
        <w:t xml:space="preserve">. This perspective is defined by </w:t>
      </w:r>
      <w:r w:rsidR="00A337A5" w:rsidRPr="006D6009">
        <w:rPr>
          <w:rFonts w:asciiTheme="minorHAnsi" w:hAnsiTheme="minorHAnsi" w:cstheme="minorHAnsi"/>
          <w:lang w:bidi="en-US"/>
        </w:rPr>
        <w:t xml:space="preserve">a </w:t>
      </w:r>
      <w:r w:rsidR="009C3300" w:rsidRPr="006D6009">
        <w:rPr>
          <w:rFonts w:asciiTheme="minorHAnsi" w:hAnsiTheme="minorHAnsi" w:cstheme="minorHAnsi"/>
          <w:lang w:bidi="en-US"/>
        </w:rPr>
        <w:t>neoliberal approach</w:t>
      </w:r>
      <w:r w:rsidR="00A337A5" w:rsidRPr="006D6009">
        <w:rPr>
          <w:rFonts w:asciiTheme="minorHAnsi" w:hAnsiTheme="minorHAnsi" w:cstheme="minorHAnsi"/>
          <w:lang w:bidi="en-US"/>
        </w:rPr>
        <w:t xml:space="preserve"> to services, where service users</w:t>
      </w:r>
      <w:r w:rsidR="00D030D0" w:rsidRPr="006D6009">
        <w:rPr>
          <w:rFonts w:asciiTheme="minorHAnsi" w:hAnsiTheme="minorHAnsi" w:cstheme="minorHAnsi"/>
          <w:lang w:bidi="en-US"/>
        </w:rPr>
        <w:t xml:space="preserve"> choose to use a particular service</w:t>
      </w:r>
      <w:r w:rsidR="00B32CDF" w:rsidRPr="006D6009">
        <w:rPr>
          <w:rFonts w:asciiTheme="minorHAnsi" w:hAnsiTheme="minorHAnsi" w:cstheme="minorHAnsi"/>
          <w:lang w:bidi="en-US"/>
        </w:rPr>
        <w:t xml:space="preserve"> over another one. </w:t>
      </w:r>
      <w:r w:rsidR="007067DA" w:rsidRPr="006D6009">
        <w:rPr>
          <w:rFonts w:asciiTheme="minorHAnsi" w:hAnsiTheme="minorHAnsi" w:cstheme="minorHAnsi"/>
          <w:lang w:bidi="en-US"/>
        </w:rPr>
        <w:t>Thus,</w:t>
      </w:r>
      <w:r w:rsidR="00B32CDF" w:rsidRPr="006D6009">
        <w:rPr>
          <w:rFonts w:asciiTheme="minorHAnsi" w:hAnsiTheme="minorHAnsi" w:cstheme="minorHAnsi"/>
          <w:lang w:bidi="en-US"/>
        </w:rPr>
        <w:t xml:space="preserve"> this create</w:t>
      </w:r>
      <w:r w:rsidR="00F85FC8" w:rsidRPr="006D6009">
        <w:rPr>
          <w:rFonts w:asciiTheme="minorHAnsi" w:hAnsiTheme="minorHAnsi" w:cstheme="minorHAnsi"/>
          <w:lang w:bidi="en-US"/>
        </w:rPr>
        <w:t>s</w:t>
      </w:r>
      <w:r w:rsidR="00B32CDF" w:rsidRPr="006D6009">
        <w:rPr>
          <w:rFonts w:asciiTheme="minorHAnsi" w:hAnsiTheme="minorHAnsi" w:cstheme="minorHAnsi"/>
          <w:lang w:bidi="en-US"/>
        </w:rPr>
        <w:t xml:space="preserve"> a quas</w:t>
      </w:r>
      <w:r w:rsidR="00836E3F" w:rsidRPr="006D6009">
        <w:rPr>
          <w:rFonts w:asciiTheme="minorHAnsi" w:hAnsiTheme="minorHAnsi" w:cstheme="minorHAnsi"/>
          <w:lang w:bidi="en-US"/>
        </w:rPr>
        <w:t>i-</w:t>
      </w:r>
      <w:r w:rsidR="00B32CDF" w:rsidRPr="006D6009">
        <w:rPr>
          <w:rFonts w:asciiTheme="minorHAnsi" w:hAnsiTheme="minorHAnsi" w:cstheme="minorHAnsi"/>
          <w:lang w:bidi="en-US"/>
        </w:rPr>
        <w:t xml:space="preserve"> market where services</w:t>
      </w:r>
      <w:r w:rsidR="004B7B2C" w:rsidRPr="006D6009">
        <w:rPr>
          <w:rFonts w:asciiTheme="minorHAnsi" w:hAnsiTheme="minorHAnsi" w:cstheme="minorHAnsi"/>
          <w:lang w:bidi="en-US"/>
        </w:rPr>
        <w:t xml:space="preserve"> compete for service user customers</w:t>
      </w:r>
      <w:r w:rsidR="007067DA" w:rsidRPr="006D6009">
        <w:rPr>
          <w:rFonts w:asciiTheme="minorHAnsi" w:hAnsiTheme="minorHAnsi" w:cstheme="minorHAnsi"/>
          <w:lang w:bidi="en-US"/>
        </w:rPr>
        <w:t>. From this perspective services are commissioned by local authorities</w:t>
      </w:r>
      <w:r w:rsidR="000727CE" w:rsidRPr="006D6009">
        <w:rPr>
          <w:rFonts w:asciiTheme="minorHAnsi" w:hAnsiTheme="minorHAnsi" w:cstheme="minorHAnsi"/>
          <w:lang w:bidi="en-US"/>
        </w:rPr>
        <w:t>, the National Health Service</w:t>
      </w:r>
      <w:r w:rsidR="00F85FC8" w:rsidRPr="006D6009">
        <w:rPr>
          <w:rFonts w:asciiTheme="minorHAnsi" w:hAnsiTheme="minorHAnsi" w:cstheme="minorHAnsi"/>
          <w:lang w:bidi="en-US"/>
        </w:rPr>
        <w:t>,</w:t>
      </w:r>
      <w:r w:rsidR="000727CE" w:rsidRPr="006D6009">
        <w:rPr>
          <w:rFonts w:asciiTheme="minorHAnsi" w:hAnsiTheme="minorHAnsi" w:cstheme="minorHAnsi"/>
          <w:lang w:bidi="en-US"/>
        </w:rPr>
        <w:t xml:space="preserve"> or </w:t>
      </w:r>
      <w:r w:rsidR="00281BA2" w:rsidRPr="006D6009">
        <w:rPr>
          <w:rFonts w:asciiTheme="minorHAnsi" w:hAnsiTheme="minorHAnsi" w:cstheme="minorHAnsi"/>
          <w:lang w:bidi="en-US"/>
        </w:rPr>
        <w:t>Police and Crime Commission</w:t>
      </w:r>
      <w:r w:rsidR="002A28E2" w:rsidRPr="006D6009">
        <w:rPr>
          <w:rFonts w:asciiTheme="minorHAnsi" w:hAnsiTheme="minorHAnsi" w:cstheme="minorHAnsi"/>
          <w:lang w:bidi="en-US"/>
        </w:rPr>
        <w:t>ers</w:t>
      </w:r>
      <w:r w:rsidR="00281BA2" w:rsidRPr="006D6009">
        <w:rPr>
          <w:rFonts w:asciiTheme="minorHAnsi" w:hAnsiTheme="minorHAnsi" w:cstheme="minorHAnsi"/>
          <w:lang w:bidi="en-US"/>
        </w:rPr>
        <w:t xml:space="preserve"> Office</w:t>
      </w:r>
      <w:r w:rsidR="002A28E2" w:rsidRPr="006D6009">
        <w:rPr>
          <w:rFonts w:asciiTheme="minorHAnsi" w:hAnsiTheme="minorHAnsi" w:cstheme="minorHAnsi"/>
          <w:lang w:bidi="en-US"/>
        </w:rPr>
        <w:t>s</w:t>
      </w:r>
      <w:r w:rsidR="00281BA2" w:rsidRPr="006D6009">
        <w:rPr>
          <w:rFonts w:asciiTheme="minorHAnsi" w:hAnsiTheme="minorHAnsi" w:cstheme="minorHAnsi"/>
          <w:lang w:bidi="en-US"/>
        </w:rPr>
        <w:t xml:space="preserve"> </w:t>
      </w:r>
      <w:r w:rsidR="002A28E2" w:rsidRPr="006D6009">
        <w:rPr>
          <w:rFonts w:asciiTheme="minorHAnsi" w:hAnsiTheme="minorHAnsi" w:cstheme="minorHAnsi"/>
          <w:lang w:bidi="en-US"/>
        </w:rPr>
        <w:t>based upon</w:t>
      </w:r>
      <w:r w:rsidR="003B7F54" w:rsidRPr="006D6009">
        <w:rPr>
          <w:rFonts w:asciiTheme="minorHAnsi" w:hAnsiTheme="minorHAnsi" w:cstheme="minorHAnsi"/>
          <w:lang w:bidi="en-US"/>
        </w:rPr>
        <w:t xml:space="preserve"> </w:t>
      </w:r>
      <w:r w:rsidR="002A28E2" w:rsidRPr="006D6009">
        <w:rPr>
          <w:rFonts w:asciiTheme="minorHAnsi" w:hAnsiTheme="minorHAnsi" w:cstheme="minorHAnsi"/>
          <w:lang w:bidi="en-US"/>
        </w:rPr>
        <w:t xml:space="preserve">cost and benefit analyses </w:t>
      </w:r>
      <w:r w:rsidR="006277B5" w:rsidRPr="006D6009">
        <w:rPr>
          <w:rFonts w:asciiTheme="minorHAnsi" w:hAnsiTheme="minorHAnsi" w:cstheme="minorHAnsi"/>
          <w:lang w:bidi="en-US"/>
        </w:rPr>
        <w:t>(</w:t>
      </w:r>
      <w:proofErr w:type="spellStart"/>
      <w:r w:rsidR="006277B5" w:rsidRPr="006D6009">
        <w:rPr>
          <w:rFonts w:asciiTheme="minorHAnsi" w:hAnsiTheme="minorHAnsi" w:cstheme="minorHAnsi"/>
          <w:lang w:bidi="en-US"/>
        </w:rPr>
        <w:t>Forbat</w:t>
      </w:r>
      <w:proofErr w:type="spellEnd"/>
      <w:r w:rsidR="006277B5" w:rsidRPr="006D6009">
        <w:rPr>
          <w:rFonts w:asciiTheme="minorHAnsi" w:hAnsiTheme="minorHAnsi" w:cstheme="minorHAnsi"/>
          <w:lang w:bidi="en-US"/>
        </w:rPr>
        <w:t xml:space="preserve"> </w:t>
      </w:r>
      <w:r w:rsidR="006277B5" w:rsidRPr="006D6009">
        <w:rPr>
          <w:rFonts w:asciiTheme="minorHAnsi" w:hAnsiTheme="minorHAnsi" w:cstheme="minorHAnsi"/>
          <w:i/>
          <w:iCs/>
          <w:lang w:bidi="en-US"/>
        </w:rPr>
        <w:t>et al</w:t>
      </w:r>
      <w:r w:rsidR="00AF3934" w:rsidRPr="006D6009">
        <w:rPr>
          <w:rFonts w:asciiTheme="minorHAnsi" w:hAnsiTheme="minorHAnsi" w:cstheme="minorHAnsi"/>
          <w:lang w:bidi="en-US"/>
        </w:rPr>
        <w:t xml:space="preserve">., </w:t>
      </w:r>
      <w:r w:rsidR="006277B5" w:rsidRPr="00F562B3">
        <w:rPr>
          <w:rFonts w:asciiTheme="minorHAnsi" w:hAnsiTheme="minorHAnsi" w:cstheme="minorHAnsi"/>
          <w:lang w:bidi="en-US"/>
        </w:rPr>
        <w:lastRenderedPageBreak/>
        <w:t>2009</w:t>
      </w:r>
      <w:r w:rsidR="00281BA2" w:rsidRPr="00F562B3">
        <w:rPr>
          <w:rFonts w:asciiTheme="minorHAnsi" w:hAnsiTheme="minorHAnsi" w:cstheme="minorHAnsi"/>
          <w:lang w:bidi="en-US"/>
        </w:rPr>
        <w:t xml:space="preserve">; </w:t>
      </w:r>
      <w:r w:rsidR="000B43BB" w:rsidRPr="00F562B3">
        <w:rPr>
          <w:rFonts w:asciiTheme="minorHAnsi" w:hAnsiTheme="minorHAnsi" w:cstheme="minorHAnsi"/>
          <w:lang w:bidi="en-US"/>
        </w:rPr>
        <w:t>Peacock and Cosgrove</w:t>
      </w:r>
      <w:r w:rsidR="00AF3934" w:rsidRPr="00F562B3">
        <w:rPr>
          <w:rFonts w:asciiTheme="minorHAnsi" w:hAnsiTheme="minorHAnsi" w:cstheme="minorHAnsi"/>
          <w:lang w:bidi="en-US"/>
        </w:rPr>
        <w:t>,</w:t>
      </w:r>
      <w:r w:rsidR="000B43BB" w:rsidRPr="00F562B3">
        <w:rPr>
          <w:rFonts w:asciiTheme="minorHAnsi" w:hAnsiTheme="minorHAnsi" w:cstheme="minorHAnsi"/>
          <w:lang w:bidi="en-US"/>
        </w:rPr>
        <w:t xml:space="preserve"> 2018</w:t>
      </w:r>
      <w:r w:rsidR="006277B5" w:rsidRPr="00F562B3">
        <w:rPr>
          <w:rFonts w:asciiTheme="minorHAnsi" w:hAnsiTheme="minorHAnsi" w:cstheme="minorHAnsi"/>
          <w:lang w:bidi="en-US"/>
        </w:rPr>
        <w:t>)</w:t>
      </w:r>
      <w:r w:rsidR="003B7F54" w:rsidRPr="00F562B3">
        <w:rPr>
          <w:rFonts w:asciiTheme="minorHAnsi" w:hAnsiTheme="minorHAnsi" w:cstheme="minorHAnsi"/>
          <w:lang w:bidi="en-US"/>
        </w:rPr>
        <w:t>. This is often judged on</w:t>
      </w:r>
      <w:r w:rsidR="00C2783F" w:rsidRPr="00F562B3">
        <w:rPr>
          <w:rFonts w:asciiTheme="minorHAnsi" w:hAnsiTheme="minorHAnsi" w:cstheme="minorHAnsi"/>
          <w:lang w:bidi="en-US"/>
        </w:rPr>
        <w:t xml:space="preserve"> service user engagement, service user feedback</w:t>
      </w:r>
      <w:r w:rsidR="00F85FC8" w:rsidRPr="00F562B3">
        <w:rPr>
          <w:rFonts w:asciiTheme="minorHAnsi" w:hAnsiTheme="minorHAnsi" w:cstheme="minorHAnsi"/>
          <w:lang w:bidi="en-US"/>
        </w:rPr>
        <w:t>,</w:t>
      </w:r>
      <w:r w:rsidR="00C2783F" w:rsidRPr="00F562B3">
        <w:rPr>
          <w:rFonts w:asciiTheme="minorHAnsi" w:hAnsiTheme="minorHAnsi" w:cstheme="minorHAnsi"/>
          <w:lang w:bidi="en-US"/>
        </w:rPr>
        <w:t xml:space="preserve"> and service efficiency. </w:t>
      </w:r>
      <w:r w:rsidR="002805F5" w:rsidRPr="00F562B3">
        <w:rPr>
          <w:rFonts w:asciiTheme="minorHAnsi" w:hAnsiTheme="minorHAnsi" w:cstheme="minorHAnsi"/>
          <w:lang w:bidi="en-US"/>
        </w:rPr>
        <w:t>The success of the service is based on</w:t>
      </w:r>
      <w:r w:rsidR="009A4B72" w:rsidRPr="00F562B3">
        <w:rPr>
          <w:rFonts w:asciiTheme="minorHAnsi" w:hAnsiTheme="minorHAnsi" w:cstheme="minorHAnsi"/>
          <w:lang w:bidi="en-US"/>
        </w:rPr>
        <w:t xml:space="preserve"> the </w:t>
      </w:r>
      <w:r w:rsidR="007325C2" w:rsidRPr="00F562B3">
        <w:rPr>
          <w:rFonts w:asciiTheme="minorHAnsi" w:hAnsiTheme="minorHAnsi" w:cstheme="minorHAnsi"/>
          <w:lang w:bidi="en-US"/>
        </w:rPr>
        <w:t>preferences of service users wh</w:t>
      </w:r>
      <w:r w:rsidR="002A28E2" w:rsidRPr="00F562B3">
        <w:rPr>
          <w:rFonts w:asciiTheme="minorHAnsi" w:hAnsiTheme="minorHAnsi" w:cstheme="minorHAnsi"/>
          <w:lang w:bidi="en-US"/>
        </w:rPr>
        <w:t>o</w:t>
      </w:r>
      <w:r w:rsidR="007325C2" w:rsidRPr="00F562B3">
        <w:rPr>
          <w:rFonts w:asciiTheme="minorHAnsi" w:hAnsiTheme="minorHAnsi" w:cstheme="minorHAnsi"/>
          <w:lang w:bidi="en-US"/>
        </w:rPr>
        <w:t xml:space="preserve"> </w:t>
      </w:r>
      <w:r w:rsidR="00F85FC8" w:rsidRPr="00F562B3">
        <w:rPr>
          <w:rFonts w:asciiTheme="minorHAnsi" w:hAnsiTheme="minorHAnsi" w:cstheme="minorHAnsi"/>
          <w:lang w:bidi="en-US"/>
        </w:rPr>
        <w:t xml:space="preserve">are </w:t>
      </w:r>
      <w:r w:rsidR="007325C2" w:rsidRPr="00F562B3">
        <w:rPr>
          <w:rFonts w:asciiTheme="minorHAnsi" w:hAnsiTheme="minorHAnsi" w:cstheme="minorHAnsi"/>
          <w:lang w:bidi="en-US"/>
        </w:rPr>
        <w:t>conceptualised as customers.</w:t>
      </w:r>
      <w:r w:rsidR="001E5E10" w:rsidRPr="00F562B3">
        <w:rPr>
          <w:rFonts w:asciiTheme="minorHAnsi" w:hAnsiTheme="minorHAnsi" w:cstheme="minorHAnsi"/>
          <w:lang w:bidi="en-US"/>
        </w:rPr>
        <w:t xml:space="preserve"> </w:t>
      </w:r>
      <w:r w:rsidR="002A28E2" w:rsidRPr="00F562B3">
        <w:rPr>
          <w:rFonts w:asciiTheme="minorHAnsi" w:hAnsiTheme="minorHAnsi" w:cstheme="minorHAnsi"/>
          <w:lang w:bidi="en-US"/>
        </w:rPr>
        <w:t>W</w:t>
      </w:r>
      <w:r w:rsidR="001E5E10" w:rsidRPr="00F562B3">
        <w:rPr>
          <w:rFonts w:asciiTheme="minorHAnsi" w:hAnsiTheme="minorHAnsi" w:cstheme="minorHAnsi"/>
          <w:lang w:bidi="en-US"/>
        </w:rPr>
        <w:t xml:space="preserve">ithin the </w:t>
      </w:r>
      <w:r w:rsidR="009B053C" w:rsidRPr="00F562B3">
        <w:rPr>
          <w:rFonts w:asciiTheme="minorHAnsi" w:hAnsiTheme="minorHAnsi" w:cstheme="minorHAnsi"/>
          <w:lang w:bidi="en-US"/>
        </w:rPr>
        <w:t>C</w:t>
      </w:r>
      <w:r w:rsidR="001E5E10" w:rsidRPr="00F562B3">
        <w:rPr>
          <w:rFonts w:asciiTheme="minorHAnsi" w:hAnsiTheme="minorHAnsi" w:cstheme="minorHAnsi"/>
          <w:lang w:bidi="en-US"/>
        </w:rPr>
        <w:t xml:space="preserve">riminal </w:t>
      </w:r>
      <w:r w:rsidR="009B053C" w:rsidRPr="00F562B3">
        <w:rPr>
          <w:rFonts w:asciiTheme="minorHAnsi" w:hAnsiTheme="minorHAnsi" w:cstheme="minorHAnsi"/>
          <w:lang w:bidi="en-US"/>
        </w:rPr>
        <w:t>J</w:t>
      </w:r>
      <w:r w:rsidR="001E5E10" w:rsidRPr="00F562B3">
        <w:rPr>
          <w:rFonts w:asciiTheme="minorHAnsi" w:hAnsiTheme="minorHAnsi" w:cstheme="minorHAnsi"/>
          <w:lang w:bidi="en-US"/>
        </w:rPr>
        <w:t xml:space="preserve">ustice </w:t>
      </w:r>
      <w:r w:rsidR="009B053C" w:rsidRPr="00F562B3">
        <w:rPr>
          <w:rFonts w:asciiTheme="minorHAnsi" w:hAnsiTheme="minorHAnsi" w:cstheme="minorHAnsi"/>
          <w:lang w:bidi="en-US"/>
        </w:rPr>
        <w:t>S</w:t>
      </w:r>
      <w:r w:rsidR="001E5E10" w:rsidRPr="00F562B3">
        <w:rPr>
          <w:rFonts w:asciiTheme="minorHAnsi" w:hAnsiTheme="minorHAnsi" w:cstheme="minorHAnsi"/>
          <w:lang w:bidi="en-US"/>
        </w:rPr>
        <w:t>ystem</w:t>
      </w:r>
      <w:r w:rsidR="00F85FC8" w:rsidRPr="00F562B3">
        <w:rPr>
          <w:rFonts w:asciiTheme="minorHAnsi" w:hAnsiTheme="minorHAnsi" w:cstheme="minorHAnsi"/>
          <w:lang w:bidi="en-US"/>
        </w:rPr>
        <w:t>,</w:t>
      </w:r>
      <w:r w:rsidR="001E5E10" w:rsidRPr="00F562B3">
        <w:rPr>
          <w:rFonts w:asciiTheme="minorHAnsi" w:hAnsiTheme="minorHAnsi" w:cstheme="minorHAnsi"/>
          <w:lang w:bidi="en-US"/>
        </w:rPr>
        <w:t xml:space="preserve"> the notion of choice is often replaced with customer feedback processes</w:t>
      </w:r>
      <w:r w:rsidR="002A28E2" w:rsidRPr="00F562B3">
        <w:rPr>
          <w:rFonts w:asciiTheme="minorHAnsi" w:hAnsiTheme="minorHAnsi" w:cstheme="minorHAnsi"/>
          <w:lang w:bidi="en-US"/>
        </w:rPr>
        <w:t xml:space="preserve">.  </w:t>
      </w:r>
      <w:r w:rsidR="00A47CCF" w:rsidRPr="00233629">
        <w:rPr>
          <w:rFonts w:asciiTheme="minorHAnsi" w:hAnsiTheme="minorHAnsi" w:cstheme="minorHAnsi"/>
          <w:lang w:bidi="en-US"/>
        </w:rPr>
        <w:t xml:space="preserve">An example of this model within the </w:t>
      </w:r>
      <w:r w:rsidR="009B053C" w:rsidRPr="00233629">
        <w:rPr>
          <w:rFonts w:asciiTheme="minorHAnsi" w:hAnsiTheme="minorHAnsi" w:cstheme="minorHAnsi"/>
          <w:lang w:bidi="en-US"/>
        </w:rPr>
        <w:t>C</w:t>
      </w:r>
      <w:r w:rsidR="00A47CCF" w:rsidRPr="00233629">
        <w:rPr>
          <w:rFonts w:asciiTheme="minorHAnsi" w:hAnsiTheme="minorHAnsi" w:cstheme="minorHAnsi"/>
          <w:lang w:bidi="en-US"/>
        </w:rPr>
        <w:t xml:space="preserve">riminal </w:t>
      </w:r>
      <w:r w:rsidR="009B053C" w:rsidRPr="00233629">
        <w:rPr>
          <w:rFonts w:asciiTheme="minorHAnsi" w:hAnsiTheme="minorHAnsi" w:cstheme="minorHAnsi"/>
          <w:lang w:bidi="en-US"/>
        </w:rPr>
        <w:t>J</w:t>
      </w:r>
      <w:r w:rsidR="00A47CCF" w:rsidRPr="00233629">
        <w:rPr>
          <w:rFonts w:asciiTheme="minorHAnsi" w:hAnsiTheme="minorHAnsi" w:cstheme="minorHAnsi"/>
          <w:lang w:bidi="en-US"/>
        </w:rPr>
        <w:t xml:space="preserve">ustice </w:t>
      </w:r>
      <w:r w:rsidR="009B053C" w:rsidRPr="00233629">
        <w:rPr>
          <w:rFonts w:asciiTheme="minorHAnsi" w:hAnsiTheme="minorHAnsi" w:cstheme="minorHAnsi"/>
          <w:lang w:bidi="en-US"/>
        </w:rPr>
        <w:t>S</w:t>
      </w:r>
      <w:r w:rsidR="00A47CCF" w:rsidRPr="00233629">
        <w:rPr>
          <w:rFonts w:asciiTheme="minorHAnsi" w:hAnsiTheme="minorHAnsi" w:cstheme="minorHAnsi"/>
          <w:lang w:bidi="en-US"/>
        </w:rPr>
        <w:t>ystem can be seen with the privatisation of probation services and the development of</w:t>
      </w:r>
      <w:r w:rsidR="00DE2C35" w:rsidRPr="00233629">
        <w:rPr>
          <w:rFonts w:asciiTheme="minorHAnsi" w:hAnsiTheme="minorHAnsi" w:cstheme="minorHAnsi"/>
          <w:lang w:bidi="en-US"/>
        </w:rPr>
        <w:t xml:space="preserve"> privatised</w:t>
      </w:r>
      <w:r w:rsidR="003448F2" w:rsidRPr="00233629">
        <w:rPr>
          <w:rFonts w:asciiTheme="minorHAnsi" w:hAnsiTheme="minorHAnsi" w:cstheme="minorHAnsi"/>
          <w:lang w:bidi="en-US"/>
        </w:rPr>
        <w:t xml:space="preserve"> Community Rehabilitation Companies (Roberts</w:t>
      </w:r>
      <w:r w:rsidR="009B053C" w:rsidRPr="00233629">
        <w:rPr>
          <w:rFonts w:asciiTheme="minorHAnsi" w:hAnsiTheme="minorHAnsi" w:cstheme="minorHAnsi"/>
          <w:lang w:bidi="en-US"/>
        </w:rPr>
        <w:t>,</w:t>
      </w:r>
      <w:r w:rsidR="003448F2" w:rsidRPr="00233629">
        <w:rPr>
          <w:rFonts w:asciiTheme="minorHAnsi" w:hAnsiTheme="minorHAnsi" w:cstheme="minorHAnsi"/>
          <w:lang w:bidi="en-US"/>
        </w:rPr>
        <w:t xml:space="preserve"> 2018)</w:t>
      </w:r>
      <w:r w:rsidR="00D71BFA" w:rsidRPr="00233629">
        <w:rPr>
          <w:rFonts w:asciiTheme="minorHAnsi" w:hAnsiTheme="minorHAnsi" w:cstheme="minorHAnsi"/>
          <w:lang w:bidi="en-US"/>
        </w:rPr>
        <w:t xml:space="preserve"> based upon payment by results. </w:t>
      </w:r>
    </w:p>
    <w:p w14:paraId="751754D4" w14:textId="77777777" w:rsidR="009D0317" w:rsidRPr="00233629" w:rsidRDefault="009D0317" w:rsidP="00A42A35">
      <w:pPr>
        <w:spacing w:line="360" w:lineRule="auto"/>
        <w:contextualSpacing/>
        <w:mirrorIndents/>
        <w:jc w:val="both"/>
        <w:rPr>
          <w:rFonts w:asciiTheme="minorHAnsi" w:hAnsiTheme="minorHAnsi" w:cstheme="minorHAnsi"/>
          <w:lang w:bidi="en-US"/>
        </w:rPr>
      </w:pPr>
    </w:p>
    <w:p w14:paraId="58871C81" w14:textId="27B26526" w:rsidR="000E4AD8" w:rsidRPr="00AC3331" w:rsidRDefault="004D1CF7" w:rsidP="00AA51B8">
      <w:pPr>
        <w:spacing w:line="360" w:lineRule="auto"/>
        <w:contextualSpacing/>
        <w:mirrorIndents/>
        <w:jc w:val="both"/>
        <w:rPr>
          <w:rFonts w:asciiTheme="minorHAnsi" w:hAnsiTheme="minorHAnsi" w:cstheme="minorHAnsi"/>
          <w:lang w:bidi="en-US"/>
        </w:rPr>
      </w:pPr>
      <w:r w:rsidRPr="00233629">
        <w:rPr>
          <w:rFonts w:asciiTheme="minorHAnsi" w:hAnsiTheme="minorHAnsi" w:cstheme="minorHAnsi"/>
          <w:lang w:bidi="en-US"/>
        </w:rPr>
        <w:t>The second model of participation is defined by</w:t>
      </w:r>
      <w:r w:rsidR="00414C77" w:rsidRPr="00233629">
        <w:rPr>
          <w:rFonts w:asciiTheme="minorHAnsi" w:hAnsiTheme="minorHAnsi" w:cstheme="minorHAnsi"/>
          <w:lang w:bidi="en-US"/>
        </w:rPr>
        <w:t xml:space="preserve"> </w:t>
      </w:r>
      <w:r w:rsidR="00D71BFA" w:rsidRPr="00233629">
        <w:rPr>
          <w:rFonts w:asciiTheme="minorHAnsi" w:hAnsiTheme="minorHAnsi" w:cstheme="minorHAnsi"/>
          <w:lang w:bidi="en-US"/>
        </w:rPr>
        <w:t xml:space="preserve">the concept of </w:t>
      </w:r>
      <w:r w:rsidR="00EE4168" w:rsidRPr="00233629">
        <w:rPr>
          <w:rFonts w:asciiTheme="minorHAnsi" w:hAnsiTheme="minorHAnsi" w:cstheme="minorHAnsi"/>
          <w:lang w:bidi="en-US"/>
        </w:rPr>
        <w:t>service users as active citizens</w:t>
      </w:r>
      <w:r w:rsidR="00414C77" w:rsidRPr="00233629">
        <w:rPr>
          <w:rFonts w:asciiTheme="minorHAnsi" w:hAnsiTheme="minorHAnsi" w:cstheme="minorHAnsi"/>
          <w:lang w:bidi="en-US"/>
        </w:rPr>
        <w:t xml:space="preserve">. </w:t>
      </w:r>
      <w:bookmarkStart w:id="6" w:name="_Hlk71806338"/>
      <w:proofErr w:type="spellStart"/>
      <w:r w:rsidR="00414C77" w:rsidRPr="00233629">
        <w:rPr>
          <w:rFonts w:asciiTheme="minorHAnsi" w:hAnsiTheme="minorHAnsi" w:cstheme="minorHAnsi"/>
          <w:lang w:bidi="en-US"/>
        </w:rPr>
        <w:t>Forbat</w:t>
      </w:r>
      <w:proofErr w:type="spellEnd"/>
      <w:r w:rsidR="00414C77" w:rsidRPr="00233629">
        <w:rPr>
          <w:rFonts w:asciiTheme="minorHAnsi" w:hAnsiTheme="minorHAnsi" w:cstheme="minorHAnsi"/>
          <w:lang w:bidi="en-US"/>
        </w:rPr>
        <w:t xml:space="preserve"> </w:t>
      </w:r>
      <w:r w:rsidR="00414C77" w:rsidRPr="00233629">
        <w:rPr>
          <w:rFonts w:asciiTheme="minorHAnsi" w:hAnsiTheme="minorHAnsi" w:cstheme="minorHAnsi"/>
          <w:i/>
          <w:iCs/>
          <w:lang w:bidi="en-US"/>
        </w:rPr>
        <w:t>et al</w:t>
      </w:r>
      <w:r w:rsidR="00AF3934" w:rsidRPr="00233629">
        <w:rPr>
          <w:rFonts w:asciiTheme="minorHAnsi" w:hAnsiTheme="minorHAnsi" w:cstheme="minorHAnsi"/>
          <w:i/>
          <w:iCs/>
          <w:lang w:bidi="en-US"/>
        </w:rPr>
        <w:t>.</w:t>
      </w:r>
      <w:r w:rsidR="00AF3934" w:rsidRPr="00233629">
        <w:rPr>
          <w:rFonts w:asciiTheme="minorHAnsi" w:hAnsiTheme="minorHAnsi" w:cstheme="minorHAnsi"/>
          <w:lang w:bidi="en-US"/>
        </w:rPr>
        <w:t xml:space="preserve"> </w:t>
      </w:r>
      <w:r w:rsidR="00414C77" w:rsidRPr="00233629">
        <w:rPr>
          <w:rFonts w:asciiTheme="minorHAnsi" w:hAnsiTheme="minorHAnsi" w:cstheme="minorHAnsi"/>
          <w:lang w:bidi="en-US"/>
        </w:rPr>
        <w:t xml:space="preserve">(2009) </w:t>
      </w:r>
      <w:bookmarkEnd w:id="6"/>
      <w:r w:rsidR="00A61891" w:rsidRPr="00233629">
        <w:rPr>
          <w:rFonts w:asciiTheme="minorHAnsi" w:hAnsiTheme="minorHAnsi" w:cstheme="minorHAnsi"/>
          <w:lang w:bidi="en-US"/>
        </w:rPr>
        <w:t>refer to this as the ‘social-democratic’ model</w:t>
      </w:r>
      <w:r w:rsidR="00254CF4" w:rsidRPr="00233629">
        <w:rPr>
          <w:rFonts w:asciiTheme="minorHAnsi" w:hAnsiTheme="minorHAnsi" w:cstheme="minorHAnsi"/>
          <w:lang w:bidi="en-US"/>
        </w:rPr>
        <w:t xml:space="preserve"> where service users</w:t>
      </w:r>
      <w:r w:rsidR="00920C13" w:rsidRPr="00233629">
        <w:rPr>
          <w:rFonts w:asciiTheme="minorHAnsi" w:hAnsiTheme="minorHAnsi" w:cstheme="minorHAnsi"/>
          <w:lang w:bidi="en-US"/>
        </w:rPr>
        <w:t xml:space="preserve"> become collective </w:t>
      </w:r>
      <w:r w:rsidR="00CC26FD" w:rsidRPr="00233629">
        <w:rPr>
          <w:rFonts w:asciiTheme="minorHAnsi" w:hAnsiTheme="minorHAnsi" w:cstheme="minorHAnsi"/>
          <w:lang w:bidi="en-US"/>
        </w:rPr>
        <w:t xml:space="preserve">active citizens which through their capacity to vote in local and national </w:t>
      </w:r>
      <w:r w:rsidR="001D1FFE" w:rsidRPr="00233629">
        <w:rPr>
          <w:rFonts w:asciiTheme="minorHAnsi" w:hAnsiTheme="minorHAnsi" w:cstheme="minorHAnsi"/>
          <w:lang w:bidi="en-US"/>
        </w:rPr>
        <w:t>elections and</w:t>
      </w:r>
      <w:r w:rsidR="00D71BFA" w:rsidRPr="00233629">
        <w:rPr>
          <w:rFonts w:asciiTheme="minorHAnsi" w:hAnsiTheme="minorHAnsi" w:cstheme="minorHAnsi"/>
          <w:lang w:bidi="en-US"/>
        </w:rPr>
        <w:t xml:space="preserve"> </w:t>
      </w:r>
      <w:r w:rsidR="00CC26FD" w:rsidRPr="00233629">
        <w:rPr>
          <w:rFonts w:asciiTheme="minorHAnsi" w:hAnsiTheme="minorHAnsi" w:cstheme="minorHAnsi"/>
          <w:lang w:bidi="en-US"/>
        </w:rPr>
        <w:t xml:space="preserve">can </w:t>
      </w:r>
      <w:r w:rsidR="00D71BFA" w:rsidRPr="00233629">
        <w:rPr>
          <w:rFonts w:asciiTheme="minorHAnsi" w:hAnsiTheme="minorHAnsi" w:cstheme="minorHAnsi"/>
          <w:lang w:bidi="en-US"/>
        </w:rPr>
        <w:t xml:space="preserve">therefore </w:t>
      </w:r>
      <w:r w:rsidR="00CC26FD" w:rsidRPr="00233629">
        <w:rPr>
          <w:rFonts w:asciiTheme="minorHAnsi" w:hAnsiTheme="minorHAnsi" w:cstheme="minorHAnsi"/>
          <w:lang w:bidi="en-US"/>
        </w:rPr>
        <w:t>influence policy development</w:t>
      </w:r>
      <w:r w:rsidR="007F63DB" w:rsidRPr="00233629">
        <w:rPr>
          <w:rFonts w:asciiTheme="minorHAnsi" w:hAnsiTheme="minorHAnsi" w:cstheme="minorHAnsi"/>
          <w:lang w:bidi="en-US"/>
        </w:rPr>
        <w:t xml:space="preserve"> and service development</w:t>
      </w:r>
      <w:r w:rsidR="00BE7061" w:rsidRPr="00233629">
        <w:rPr>
          <w:rFonts w:asciiTheme="minorHAnsi" w:hAnsiTheme="minorHAnsi" w:cstheme="minorHAnsi"/>
          <w:lang w:bidi="en-US"/>
        </w:rPr>
        <w:t xml:space="preserve">. </w:t>
      </w:r>
      <w:r w:rsidR="00D71BFA" w:rsidRPr="00EF6FE7">
        <w:rPr>
          <w:rFonts w:asciiTheme="minorHAnsi" w:hAnsiTheme="minorHAnsi" w:cstheme="minorHAnsi"/>
          <w:lang w:bidi="en-US"/>
        </w:rPr>
        <w:t>F</w:t>
      </w:r>
      <w:r w:rsidR="00F5733A" w:rsidRPr="00EF6FE7">
        <w:rPr>
          <w:rFonts w:asciiTheme="minorHAnsi" w:hAnsiTheme="minorHAnsi" w:cstheme="minorHAnsi"/>
          <w:lang w:bidi="en-US"/>
        </w:rPr>
        <w:t>rom this perspective</w:t>
      </w:r>
      <w:r w:rsidR="001D0ADC" w:rsidRPr="00EF6FE7">
        <w:rPr>
          <w:rFonts w:asciiTheme="minorHAnsi" w:hAnsiTheme="minorHAnsi" w:cstheme="minorHAnsi"/>
          <w:lang w:bidi="en-US"/>
        </w:rPr>
        <w:t xml:space="preserve"> service users as political citizens delegate </w:t>
      </w:r>
      <w:r w:rsidR="00CB6BB0" w:rsidRPr="00EF6FE7">
        <w:rPr>
          <w:rFonts w:asciiTheme="minorHAnsi" w:hAnsiTheme="minorHAnsi" w:cstheme="minorHAnsi"/>
          <w:lang w:bidi="en-US"/>
        </w:rPr>
        <w:t>the decision-making process to professionals and politicians</w:t>
      </w:r>
      <w:r w:rsidR="00D71BFA" w:rsidRPr="00EF6FE7">
        <w:rPr>
          <w:rFonts w:asciiTheme="minorHAnsi" w:hAnsiTheme="minorHAnsi" w:cstheme="minorHAnsi"/>
          <w:lang w:bidi="en-US"/>
        </w:rPr>
        <w:t>,</w:t>
      </w:r>
      <w:r w:rsidR="00CB6BB0" w:rsidRPr="00EF6FE7">
        <w:rPr>
          <w:rFonts w:asciiTheme="minorHAnsi" w:hAnsiTheme="minorHAnsi" w:cstheme="minorHAnsi"/>
          <w:lang w:bidi="en-US"/>
        </w:rPr>
        <w:t xml:space="preserve"> yet hold them accountable if services fail to meet the standards which are expected</w:t>
      </w:r>
      <w:r w:rsidR="00A924D3" w:rsidRPr="00EF6FE7">
        <w:rPr>
          <w:rFonts w:asciiTheme="minorHAnsi" w:hAnsiTheme="minorHAnsi" w:cstheme="minorHAnsi"/>
          <w:lang w:bidi="en-US"/>
        </w:rPr>
        <w:t>.</w:t>
      </w:r>
      <w:r w:rsidR="009D0317" w:rsidRPr="00EF6FE7">
        <w:rPr>
          <w:rFonts w:asciiTheme="minorHAnsi" w:hAnsiTheme="minorHAnsi" w:cstheme="minorHAnsi"/>
          <w:lang w:bidi="en-US"/>
        </w:rPr>
        <w:t xml:space="preserve"> </w:t>
      </w:r>
      <w:r w:rsidR="00D71BFA" w:rsidRPr="00EF6FE7">
        <w:rPr>
          <w:rFonts w:asciiTheme="minorHAnsi" w:hAnsiTheme="minorHAnsi" w:cstheme="minorHAnsi"/>
          <w:lang w:bidi="en-US"/>
        </w:rPr>
        <w:t>P</w:t>
      </w:r>
      <w:r w:rsidR="00CD0690" w:rsidRPr="00EF6FE7">
        <w:rPr>
          <w:rFonts w:asciiTheme="minorHAnsi" w:hAnsiTheme="minorHAnsi" w:cstheme="minorHAnsi"/>
          <w:lang w:bidi="en-US"/>
        </w:rPr>
        <w:t>artnership happens at a collective macro level rather than at a micro</w:t>
      </w:r>
      <w:r w:rsidR="006122C7" w:rsidRPr="00EF6FE7">
        <w:rPr>
          <w:rFonts w:asciiTheme="minorHAnsi" w:hAnsiTheme="minorHAnsi" w:cstheme="minorHAnsi"/>
          <w:lang w:bidi="en-US"/>
        </w:rPr>
        <w:t>-</w:t>
      </w:r>
      <w:r w:rsidR="00CD0690" w:rsidRPr="00EF6FE7">
        <w:rPr>
          <w:rFonts w:asciiTheme="minorHAnsi" w:hAnsiTheme="minorHAnsi" w:cstheme="minorHAnsi"/>
          <w:lang w:bidi="en-US"/>
        </w:rPr>
        <w:t>level.</w:t>
      </w:r>
      <w:r w:rsidR="0050727A" w:rsidRPr="00EF6FE7">
        <w:rPr>
          <w:rFonts w:asciiTheme="minorHAnsi" w:hAnsiTheme="minorHAnsi" w:cstheme="minorHAnsi"/>
          <w:lang w:bidi="en-US"/>
        </w:rPr>
        <w:t xml:space="preserve"> </w:t>
      </w:r>
      <w:r w:rsidR="0097302A" w:rsidRPr="00EF6FE7">
        <w:rPr>
          <w:rFonts w:asciiTheme="minorHAnsi" w:hAnsiTheme="minorHAnsi" w:cstheme="minorHAnsi"/>
          <w:lang w:bidi="en-US"/>
        </w:rPr>
        <w:t xml:space="preserve">Yet, when the needs of citizens are not met by the dominant political </w:t>
      </w:r>
      <w:r w:rsidR="006931D5" w:rsidRPr="00EF6FE7">
        <w:rPr>
          <w:rFonts w:asciiTheme="minorHAnsi" w:hAnsiTheme="minorHAnsi" w:cstheme="minorHAnsi"/>
          <w:lang w:bidi="en-US"/>
        </w:rPr>
        <w:t>parties,</w:t>
      </w:r>
      <w:r w:rsidR="00675C97" w:rsidRPr="00EF6FE7">
        <w:rPr>
          <w:rFonts w:asciiTheme="minorHAnsi" w:hAnsiTheme="minorHAnsi" w:cstheme="minorHAnsi"/>
          <w:lang w:bidi="en-US"/>
        </w:rPr>
        <w:t xml:space="preserve"> patient and service user groups develop </w:t>
      </w:r>
      <w:r w:rsidR="00D71BFA" w:rsidRPr="00EF6FE7">
        <w:rPr>
          <w:rFonts w:asciiTheme="minorHAnsi" w:hAnsiTheme="minorHAnsi" w:cstheme="minorHAnsi"/>
          <w:lang w:bidi="en-US"/>
        </w:rPr>
        <w:t xml:space="preserve">political </w:t>
      </w:r>
      <w:r w:rsidR="00675C97" w:rsidRPr="00EF6FE7">
        <w:rPr>
          <w:rFonts w:asciiTheme="minorHAnsi" w:hAnsiTheme="minorHAnsi" w:cstheme="minorHAnsi"/>
          <w:lang w:bidi="en-US"/>
        </w:rPr>
        <w:t>movement</w:t>
      </w:r>
      <w:r w:rsidR="006122C7" w:rsidRPr="00EF6FE7">
        <w:rPr>
          <w:rFonts w:asciiTheme="minorHAnsi" w:hAnsiTheme="minorHAnsi" w:cstheme="minorHAnsi"/>
          <w:lang w:bidi="en-US"/>
        </w:rPr>
        <w:t>s</w:t>
      </w:r>
      <w:r w:rsidR="00675C97" w:rsidRPr="00EF6FE7">
        <w:rPr>
          <w:rFonts w:asciiTheme="minorHAnsi" w:hAnsiTheme="minorHAnsi" w:cstheme="minorHAnsi"/>
          <w:lang w:bidi="en-US"/>
        </w:rPr>
        <w:t xml:space="preserve"> and social activist groups</w:t>
      </w:r>
      <w:r w:rsidR="006931D5" w:rsidRPr="00EF6FE7">
        <w:rPr>
          <w:rFonts w:asciiTheme="minorHAnsi" w:hAnsiTheme="minorHAnsi" w:cstheme="minorHAnsi"/>
          <w:lang w:bidi="en-US"/>
        </w:rPr>
        <w:t xml:space="preserve"> </w:t>
      </w:r>
      <w:r w:rsidR="0005308F" w:rsidRPr="00EF6FE7">
        <w:rPr>
          <w:rFonts w:asciiTheme="minorHAnsi" w:hAnsiTheme="minorHAnsi" w:cstheme="minorHAnsi"/>
          <w:lang w:bidi="en-US"/>
        </w:rPr>
        <w:t>to</w:t>
      </w:r>
      <w:r w:rsidR="006931D5" w:rsidRPr="00EF6FE7">
        <w:rPr>
          <w:rFonts w:asciiTheme="minorHAnsi" w:hAnsiTheme="minorHAnsi" w:cstheme="minorHAnsi"/>
          <w:lang w:bidi="en-US"/>
        </w:rPr>
        <w:t xml:space="preserve"> lobby and challenge services a</w:t>
      </w:r>
      <w:r w:rsidR="00D71BFA" w:rsidRPr="00EF6FE7">
        <w:rPr>
          <w:rFonts w:asciiTheme="minorHAnsi" w:hAnsiTheme="minorHAnsi" w:cstheme="minorHAnsi"/>
          <w:lang w:bidi="en-US"/>
        </w:rPr>
        <w:t>t</w:t>
      </w:r>
      <w:r w:rsidR="006931D5" w:rsidRPr="00EF6FE7">
        <w:rPr>
          <w:rFonts w:asciiTheme="minorHAnsi" w:hAnsiTheme="minorHAnsi" w:cstheme="minorHAnsi"/>
          <w:lang w:bidi="en-US"/>
        </w:rPr>
        <w:t xml:space="preserve"> a local and national level.</w:t>
      </w:r>
      <w:r w:rsidR="00BF45E7" w:rsidRPr="00EF6FE7">
        <w:rPr>
          <w:rFonts w:asciiTheme="minorHAnsi" w:hAnsiTheme="minorHAnsi" w:cstheme="minorHAnsi"/>
          <w:lang w:bidi="en-US"/>
        </w:rPr>
        <w:t xml:space="preserve"> </w:t>
      </w:r>
      <w:r w:rsidR="00D661A0" w:rsidRPr="00AC3331">
        <w:rPr>
          <w:rFonts w:asciiTheme="minorHAnsi" w:hAnsiTheme="minorHAnsi" w:cstheme="minorHAnsi"/>
          <w:lang w:bidi="en-US"/>
        </w:rPr>
        <w:t>Thus, involvement is a process of political action rather than</w:t>
      </w:r>
      <w:r w:rsidR="00740C5D" w:rsidRPr="00AC3331">
        <w:rPr>
          <w:rFonts w:asciiTheme="minorHAnsi" w:hAnsiTheme="minorHAnsi" w:cstheme="minorHAnsi"/>
          <w:lang w:bidi="en-US"/>
        </w:rPr>
        <w:t xml:space="preserve"> </w:t>
      </w:r>
      <w:r w:rsidR="006122C7" w:rsidRPr="00AC3331">
        <w:rPr>
          <w:rFonts w:asciiTheme="minorHAnsi" w:hAnsiTheme="minorHAnsi" w:cstheme="minorHAnsi"/>
          <w:lang w:bidi="en-US"/>
        </w:rPr>
        <w:t xml:space="preserve">an </w:t>
      </w:r>
      <w:r w:rsidR="00740C5D" w:rsidRPr="00AC3331">
        <w:rPr>
          <w:rFonts w:asciiTheme="minorHAnsi" w:hAnsiTheme="minorHAnsi" w:cstheme="minorHAnsi"/>
          <w:lang w:bidi="en-US"/>
        </w:rPr>
        <w:t>organisational issue which developed through partnerships</w:t>
      </w:r>
      <w:r w:rsidR="00740C5D" w:rsidRPr="00AC3331">
        <w:rPr>
          <w:rFonts w:asciiTheme="minorHAnsi" w:hAnsiTheme="minorHAnsi" w:cstheme="minorHAnsi"/>
        </w:rPr>
        <w:t xml:space="preserve"> (</w:t>
      </w:r>
      <w:proofErr w:type="spellStart"/>
      <w:r w:rsidR="00740C5D" w:rsidRPr="00AC3331">
        <w:rPr>
          <w:rFonts w:asciiTheme="minorHAnsi" w:hAnsiTheme="minorHAnsi" w:cstheme="minorHAnsi"/>
          <w:lang w:bidi="en-US"/>
        </w:rPr>
        <w:t>Forbat</w:t>
      </w:r>
      <w:proofErr w:type="spellEnd"/>
      <w:r w:rsidR="00740C5D" w:rsidRPr="00AC3331">
        <w:rPr>
          <w:rFonts w:asciiTheme="minorHAnsi" w:hAnsiTheme="minorHAnsi" w:cstheme="minorHAnsi"/>
          <w:lang w:bidi="en-US"/>
        </w:rPr>
        <w:t xml:space="preserve"> </w:t>
      </w:r>
      <w:r w:rsidR="00740C5D" w:rsidRPr="00AC3331">
        <w:rPr>
          <w:rFonts w:asciiTheme="minorHAnsi" w:hAnsiTheme="minorHAnsi" w:cstheme="minorHAnsi"/>
          <w:i/>
          <w:iCs/>
          <w:lang w:bidi="en-US"/>
        </w:rPr>
        <w:t>e</w:t>
      </w:r>
      <w:r w:rsidR="009B053C" w:rsidRPr="00AC3331">
        <w:rPr>
          <w:rFonts w:asciiTheme="minorHAnsi" w:hAnsiTheme="minorHAnsi" w:cstheme="minorHAnsi"/>
          <w:i/>
          <w:iCs/>
          <w:lang w:bidi="en-US"/>
        </w:rPr>
        <w:t>t</w:t>
      </w:r>
      <w:r w:rsidR="00740C5D" w:rsidRPr="00AC3331">
        <w:rPr>
          <w:rFonts w:asciiTheme="minorHAnsi" w:hAnsiTheme="minorHAnsi" w:cstheme="minorHAnsi"/>
          <w:i/>
          <w:iCs/>
          <w:lang w:bidi="en-US"/>
        </w:rPr>
        <w:t xml:space="preserve"> al</w:t>
      </w:r>
      <w:r w:rsidR="00AF3934" w:rsidRPr="00AC3331">
        <w:rPr>
          <w:rFonts w:asciiTheme="minorHAnsi" w:hAnsiTheme="minorHAnsi" w:cstheme="minorHAnsi"/>
          <w:i/>
          <w:iCs/>
          <w:lang w:bidi="en-US"/>
        </w:rPr>
        <w:t>.</w:t>
      </w:r>
      <w:r w:rsidR="009B053C" w:rsidRPr="00AC3331">
        <w:rPr>
          <w:rFonts w:asciiTheme="minorHAnsi" w:hAnsiTheme="minorHAnsi" w:cstheme="minorHAnsi"/>
          <w:i/>
          <w:iCs/>
          <w:lang w:bidi="en-US"/>
        </w:rPr>
        <w:t>,</w:t>
      </w:r>
      <w:r w:rsidR="00740C5D" w:rsidRPr="00AC3331">
        <w:rPr>
          <w:rFonts w:asciiTheme="minorHAnsi" w:hAnsiTheme="minorHAnsi" w:cstheme="minorHAnsi"/>
          <w:lang w:bidi="en-US"/>
        </w:rPr>
        <w:t xml:space="preserve"> 2009). </w:t>
      </w:r>
      <w:r w:rsidR="00BB6FCA" w:rsidRPr="00AC3331">
        <w:rPr>
          <w:rFonts w:asciiTheme="minorHAnsi" w:hAnsiTheme="minorHAnsi" w:cstheme="minorHAnsi"/>
          <w:lang w:bidi="en-US"/>
        </w:rPr>
        <w:t>From the criminal justice perspective, the police service is held accountable at a national level to the government, and a</w:t>
      </w:r>
      <w:r w:rsidR="00D71BFA" w:rsidRPr="00AC3331">
        <w:rPr>
          <w:rFonts w:asciiTheme="minorHAnsi" w:hAnsiTheme="minorHAnsi" w:cstheme="minorHAnsi"/>
          <w:lang w:bidi="en-US"/>
        </w:rPr>
        <w:t>t</w:t>
      </w:r>
      <w:r w:rsidR="00BB6FCA" w:rsidRPr="00AC3331">
        <w:rPr>
          <w:rFonts w:asciiTheme="minorHAnsi" w:hAnsiTheme="minorHAnsi" w:cstheme="minorHAnsi"/>
          <w:lang w:bidi="en-US"/>
        </w:rPr>
        <w:t xml:space="preserve"> local level</w:t>
      </w:r>
      <w:r w:rsidR="00174C25" w:rsidRPr="00AC3331">
        <w:rPr>
          <w:rFonts w:asciiTheme="minorHAnsi" w:hAnsiTheme="minorHAnsi" w:cstheme="minorHAnsi"/>
          <w:lang w:bidi="en-US"/>
        </w:rPr>
        <w:t xml:space="preserve"> to the </w:t>
      </w:r>
      <w:r w:rsidR="00D71BFA" w:rsidRPr="00AC3331">
        <w:rPr>
          <w:rFonts w:asciiTheme="minorHAnsi" w:hAnsiTheme="minorHAnsi" w:cstheme="minorHAnsi"/>
          <w:lang w:bidi="en-US"/>
        </w:rPr>
        <w:t>P</w:t>
      </w:r>
      <w:r w:rsidR="00174C25" w:rsidRPr="00AC3331">
        <w:rPr>
          <w:rFonts w:asciiTheme="minorHAnsi" w:hAnsiTheme="minorHAnsi" w:cstheme="minorHAnsi"/>
          <w:lang w:bidi="en-US"/>
        </w:rPr>
        <w:t xml:space="preserve">olice and </w:t>
      </w:r>
      <w:r w:rsidR="00D71BFA" w:rsidRPr="00AC3331">
        <w:rPr>
          <w:rFonts w:asciiTheme="minorHAnsi" w:hAnsiTheme="minorHAnsi" w:cstheme="minorHAnsi"/>
          <w:lang w:bidi="en-US"/>
        </w:rPr>
        <w:t>C</w:t>
      </w:r>
      <w:r w:rsidR="00174C25" w:rsidRPr="00AC3331">
        <w:rPr>
          <w:rFonts w:asciiTheme="minorHAnsi" w:hAnsiTheme="minorHAnsi" w:cstheme="minorHAnsi"/>
          <w:lang w:bidi="en-US"/>
        </w:rPr>
        <w:t xml:space="preserve">rime </w:t>
      </w:r>
      <w:r w:rsidR="00D71BFA" w:rsidRPr="00AC3331">
        <w:rPr>
          <w:rFonts w:asciiTheme="minorHAnsi" w:hAnsiTheme="minorHAnsi" w:cstheme="minorHAnsi"/>
          <w:lang w:bidi="en-US"/>
        </w:rPr>
        <w:t>C</w:t>
      </w:r>
      <w:r w:rsidR="00174C25" w:rsidRPr="00AC3331">
        <w:rPr>
          <w:rFonts w:asciiTheme="minorHAnsi" w:hAnsiTheme="minorHAnsi" w:cstheme="minorHAnsi"/>
          <w:lang w:bidi="en-US"/>
        </w:rPr>
        <w:t>ommissioners</w:t>
      </w:r>
      <w:r w:rsidR="0005308F" w:rsidRPr="00AC3331">
        <w:rPr>
          <w:rFonts w:asciiTheme="minorHAnsi" w:hAnsiTheme="minorHAnsi" w:cstheme="minorHAnsi"/>
          <w:lang w:bidi="en-US"/>
        </w:rPr>
        <w:t xml:space="preserve"> that are voted in through local elections.</w:t>
      </w:r>
    </w:p>
    <w:p w14:paraId="205D839B" w14:textId="3E8E97F7" w:rsidR="0005308F" w:rsidRPr="00AC3331" w:rsidRDefault="0005308F" w:rsidP="00AA51B8">
      <w:pPr>
        <w:spacing w:line="360" w:lineRule="auto"/>
        <w:contextualSpacing/>
        <w:mirrorIndents/>
        <w:jc w:val="both"/>
        <w:rPr>
          <w:rFonts w:asciiTheme="minorHAnsi" w:hAnsiTheme="minorHAnsi" w:cstheme="minorHAnsi"/>
          <w:lang w:bidi="en-US"/>
        </w:rPr>
      </w:pPr>
    </w:p>
    <w:p w14:paraId="50FED68C" w14:textId="763A046B" w:rsidR="00743C8C" w:rsidRPr="0064339B" w:rsidRDefault="00015593" w:rsidP="00AA51B8">
      <w:pPr>
        <w:spacing w:line="360" w:lineRule="auto"/>
        <w:contextualSpacing/>
        <w:mirrorIndents/>
        <w:jc w:val="both"/>
        <w:rPr>
          <w:rFonts w:asciiTheme="minorHAnsi" w:hAnsiTheme="minorHAnsi" w:cstheme="minorHAnsi"/>
        </w:rPr>
      </w:pPr>
      <w:r w:rsidRPr="00AC3331">
        <w:rPr>
          <w:rFonts w:asciiTheme="minorHAnsi" w:hAnsiTheme="minorHAnsi" w:cstheme="minorHAnsi"/>
          <w:lang w:bidi="en-US"/>
        </w:rPr>
        <w:t>The third model involves</w:t>
      </w:r>
      <w:r w:rsidR="00AC2024" w:rsidRPr="00AC3331">
        <w:rPr>
          <w:rFonts w:asciiTheme="minorHAnsi" w:hAnsiTheme="minorHAnsi" w:cstheme="minorHAnsi"/>
          <w:lang w:bidi="en-US"/>
        </w:rPr>
        <w:t xml:space="preserve"> service users</w:t>
      </w:r>
      <w:r w:rsidR="00AC652C" w:rsidRPr="00AC3331">
        <w:rPr>
          <w:rFonts w:asciiTheme="minorHAnsi" w:hAnsiTheme="minorHAnsi" w:cstheme="minorHAnsi"/>
          <w:lang w:bidi="en-US"/>
        </w:rPr>
        <w:t xml:space="preserve"> becoming active in decision-making</w:t>
      </w:r>
      <w:r w:rsidR="00900399" w:rsidRPr="00AC3331">
        <w:rPr>
          <w:rFonts w:asciiTheme="minorHAnsi" w:hAnsiTheme="minorHAnsi" w:cstheme="minorHAnsi"/>
          <w:lang w:bidi="en-US"/>
        </w:rPr>
        <w:t xml:space="preserve"> concerning</w:t>
      </w:r>
      <w:r w:rsidR="00634797" w:rsidRPr="00AC3331">
        <w:rPr>
          <w:rFonts w:asciiTheme="minorHAnsi" w:hAnsiTheme="minorHAnsi" w:cstheme="minorHAnsi"/>
          <w:lang w:bidi="en-US"/>
        </w:rPr>
        <w:t xml:space="preserve"> the type of services they use.</w:t>
      </w:r>
      <w:r w:rsidR="002B4D5F" w:rsidRPr="00AC3331">
        <w:rPr>
          <w:rFonts w:asciiTheme="minorHAnsi" w:hAnsiTheme="minorHAnsi" w:cstheme="minorHAnsi"/>
          <w:lang w:bidi="en-US"/>
        </w:rPr>
        <w:t xml:space="preserve"> </w:t>
      </w:r>
      <w:proofErr w:type="spellStart"/>
      <w:r w:rsidR="002B4D5F" w:rsidRPr="00AC3331">
        <w:rPr>
          <w:rFonts w:asciiTheme="minorHAnsi" w:hAnsiTheme="minorHAnsi" w:cstheme="minorHAnsi"/>
          <w:lang w:bidi="en-US"/>
        </w:rPr>
        <w:t>Forbat</w:t>
      </w:r>
      <w:proofErr w:type="spellEnd"/>
      <w:r w:rsidR="002B4D5F" w:rsidRPr="00AC3331">
        <w:rPr>
          <w:rFonts w:asciiTheme="minorHAnsi" w:hAnsiTheme="minorHAnsi" w:cstheme="minorHAnsi"/>
          <w:lang w:bidi="en-US"/>
        </w:rPr>
        <w:t xml:space="preserve"> </w:t>
      </w:r>
      <w:r w:rsidR="002B4D5F" w:rsidRPr="00AC3331">
        <w:rPr>
          <w:rFonts w:asciiTheme="minorHAnsi" w:hAnsiTheme="minorHAnsi" w:cstheme="minorHAnsi"/>
          <w:i/>
          <w:iCs/>
          <w:lang w:bidi="en-US"/>
        </w:rPr>
        <w:t>et al</w:t>
      </w:r>
      <w:r w:rsidR="00AF3934" w:rsidRPr="00AC3331">
        <w:rPr>
          <w:rFonts w:asciiTheme="minorHAnsi" w:hAnsiTheme="minorHAnsi" w:cstheme="minorHAnsi"/>
          <w:lang w:bidi="en-US"/>
        </w:rPr>
        <w:t>.</w:t>
      </w:r>
      <w:r w:rsidR="002B4D5F" w:rsidRPr="00AC3331">
        <w:rPr>
          <w:rFonts w:asciiTheme="minorHAnsi" w:hAnsiTheme="minorHAnsi" w:cstheme="minorHAnsi"/>
          <w:lang w:bidi="en-US"/>
        </w:rPr>
        <w:t xml:space="preserve"> (2009) </w:t>
      </w:r>
      <w:r w:rsidR="00D71BFA" w:rsidRPr="00AC3331">
        <w:rPr>
          <w:rFonts w:asciiTheme="minorHAnsi" w:hAnsiTheme="minorHAnsi" w:cstheme="minorHAnsi"/>
          <w:lang w:bidi="en-US"/>
        </w:rPr>
        <w:t xml:space="preserve">define this approach as </w:t>
      </w:r>
      <w:r w:rsidR="00BD293D" w:rsidRPr="00AC3331">
        <w:rPr>
          <w:rFonts w:asciiTheme="minorHAnsi" w:hAnsiTheme="minorHAnsi" w:cstheme="minorHAnsi"/>
          <w:lang w:bidi="en-US"/>
        </w:rPr>
        <w:t>the ‘experiential knowledge’ model of involvement.</w:t>
      </w:r>
      <w:r w:rsidR="0088068F" w:rsidRPr="00AC3331">
        <w:rPr>
          <w:rFonts w:asciiTheme="minorHAnsi" w:hAnsiTheme="minorHAnsi" w:cstheme="minorHAnsi"/>
          <w:lang w:bidi="en-US"/>
        </w:rPr>
        <w:t xml:space="preserve"> </w:t>
      </w:r>
      <w:r w:rsidR="0088068F" w:rsidRPr="00070B61">
        <w:rPr>
          <w:rFonts w:asciiTheme="minorHAnsi" w:hAnsiTheme="minorHAnsi" w:cstheme="minorHAnsi"/>
          <w:lang w:bidi="en-US"/>
        </w:rPr>
        <w:t>From this perspective service users</w:t>
      </w:r>
      <w:r w:rsidR="00067CAE" w:rsidRPr="00070B61">
        <w:rPr>
          <w:rFonts w:asciiTheme="minorHAnsi" w:hAnsiTheme="minorHAnsi" w:cstheme="minorHAnsi"/>
          <w:lang w:bidi="en-US"/>
        </w:rPr>
        <w:t xml:space="preserve"> develop knowledge of services to make informed choices </w:t>
      </w:r>
      <w:r w:rsidR="00121C8B" w:rsidRPr="00070B61">
        <w:rPr>
          <w:rFonts w:asciiTheme="minorHAnsi" w:hAnsiTheme="minorHAnsi" w:cstheme="minorHAnsi"/>
          <w:lang w:bidi="en-US"/>
        </w:rPr>
        <w:t>concerning</w:t>
      </w:r>
      <w:r w:rsidR="00F27292" w:rsidRPr="00070B61">
        <w:rPr>
          <w:rFonts w:asciiTheme="minorHAnsi" w:hAnsiTheme="minorHAnsi" w:cstheme="minorHAnsi"/>
          <w:lang w:bidi="en-US"/>
        </w:rPr>
        <w:t xml:space="preserve"> the type of service the</w:t>
      </w:r>
      <w:r w:rsidR="00121C8B" w:rsidRPr="00070B61">
        <w:rPr>
          <w:rFonts w:asciiTheme="minorHAnsi" w:hAnsiTheme="minorHAnsi" w:cstheme="minorHAnsi"/>
          <w:lang w:bidi="en-US"/>
        </w:rPr>
        <w:t>y</w:t>
      </w:r>
      <w:r w:rsidR="00F27292" w:rsidRPr="00070B61">
        <w:rPr>
          <w:rFonts w:asciiTheme="minorHAnsi" w:hAnsiTheme="minorHAnsi" w:cstheme="minorHAnsi"/>
          <w:lang w:bidi="en-US"/>
        </w:rPr>
        <w:t xml:space="preserve"> engag</w:t>
      </w:r>
      <w:r w:rsidR="00121C8B" w:rsidRPr="00070B61">
        <w:rPr>
          <w:rFonts w:asciiTheme="minorHAnsi" w:hAnsiTheme="minorHAnsi" w:cstheme="minorHAnsi"/>
          <w:lang w:bidi="en-US"/>
        </w:rPr>
        <w:t>e with</w:t>
      </w:r>
      <w:r w:rsidR="00F27292" w:rsidRPr="00070B61">
        <w:rPr>
          <w:rFonts w:asciiTheme="minorHAnsi" w:hAnsiTheme="minorHAnsi" w:cstheme="minorHAnsi"/>
          <w:lang w:bidi="en-US"/>
        </w:rPr>
        <w:t xml:space="preserve">. This is different from the neoliberal form of involvement, as service users do not conceptualise themselves as ‘customers’ </w:t>
      </w:r>
      <w:r w:rsidR="00F13652" w:rsidRPr="00070B61">
        <w:rPr>
          <w:rFonts w:asciiTheme="minorHAnsi" w:hAnsiTheme="minorHAnsi" w:cstheme="minorHAnsi"/>
          <w:lang w:bidi="en-US"/>
        </w:rPr>
        <w:t xml:space="preserve">but as </w:t>
      </w:r>
      <w:r w:rsidR="00B9225B" w:rsidRPr="00070B61">
        <w:rPr>
          <w:rFonts w:asciiTheme="minorHAnsi" w:hAnsiTheme="minorHAnsi" w:cstheme="minorHAnsi"/>
          <w:lang w:bidi="en-US"/>
        </w:rPr>
        <w:t xml:space="preserve">an </w:t>
      </w:r>
      <w:r w:rsidR="00F13652" w:rsidRPr="00070B61">
        <w:rPr>
          <w:rFonts w:asciiTheme="minorHAnsi" w:hAnsiTheme="minorHAnsi" w:cstheme="minorHAnsi"/>
          <w:lang w:bidi="en-US"/>
        </w:rPr>
        <w:t>expert</w:t>
      </w:r>
      <w:r w:rsidR="00954ACB" w:rsidRPr="00070B61">
        <w:rPr>
          <w:rFonts w:asciiTheme="minorHAnsi" w:hAnsiTheme="minorHAnsi" w:cstheme="minorHAnsi"/>
          <w:lang w:bidi="en-US"/>
        </w:rPr>
        <w:t xml:space="preserve"> over the</w:t>
      </w:r>
      <w:r w:rsidR="009B053C" w:rsidRPr="00070B61">
        <w:rPr>
          <w:rFonts w:asciiTheme="minorHAnsi" w:hAnsiTheme="minorHAnsi" w:cstheme="minorHAnsi"/>
          <w:lang w:bidi="en-US"/>
        </w:rPr>
        <w:t>ir</w:t>
      </w:r>
      <w:r w:rsidR="00954ACB" w:rsidRPr="00070B61">
        <w:rPr>
          <w:rFonts w:asciiTheme="minorHAnsi" w:hAnsiTheme="minorHAnsi" w:cstheme="minorHAnsi"/>
          <w:lang w:bidi="en-US"/>
        </w:rPr>
        <w:t xml:space="preserve"> personal needs</w:t>
      </w:r>
      <w:r w:rsidR="00CF7A26" w:rsidRPr="00070B61">
        <w:rPr>
          <w:rFonts w:asciiTheme="minorHAnsi" w:hAnsiTheme="minorHAnsi" w:cstheme="minorHAnsi"/>
          <w:lang w:bidi="en-US"/>
        </w:rPr>
        <w:t xml:space="preserve"> (</w:t>
      </w:r>
      <w:proofErr w:type="spellStart"/>
      <w:r w:rsidR="00CF7A26" w:rsidRPr="00070B61">
        <w:rPr>
          <w:rFonts w:asciiTheme="minorHAnsi" w:hAnsiTheme="minorHAnsi" w:cstheme="minorHAnsi"/>
          <w:lang w:bidi="en-US"/>
        </w:rPr>
        <w:t>Forbat</w:t>
      </w:r>
      <w:proofErr w:type="spellEnd"/>
      <w:r w:rsidR="00CF7A26" w:rsidRPr="00070B61">
        <w:rPr>
          <w:rFonts w:asciiTheme="minorHAnsi" w:hAnsiTheme="minorHAnsi" w:cstheme="minorHAnsi"/>
          <w:lang w:bidi="en-US"/>
        </w:rPr>
        <w:t xml:space="preserve"> </w:t>
      </w:r>
      <w:r w:rsidR="00CF7A26" w:rsidRPr="00070B61">
        <w:rPr>
          <w:rFonts w:asciiTheme="minorHAnsi" w:hAnsiTheme="minorHAnsi" w:cstheme="minorHAnsi"/>
          <w:i/>
          <w:iCs/>
          <w:lang w:bidi="en-US"/>
        </w:rPr>
        <w:t>et al</w:t>
      </w:r>
      <w:r w:rsidR="00AF3934" w:rsidRPr="00070B61">
        <w:rPr>
          <w:rFonts w:asciiTheme="minorHAnsi" w:hAnsiTheme="minorHAnsi" w:cstheme="minorHAnsi"/>
          <w:lang w:bidi="en-US"/>
        </w:rPr>
        <w:t>.,</w:t>
      </w:r>
      <w:r w:rsidR="00CF7A26" w:rsidRPr="00070B61">
        <w:rPr>
          <w:rFonts w:asciiTheme="minorHAnsi" w:hAnsiTheme="minorHAnsi" w:cstheme="minorHAnsi"/>
          <w:lang w:bidi="en-US"/>
        </w:rPr>
        <w:t xml:space="preserve"> 2009)</w:t>
      </w:r>
      <w:r w:rsidR="00954ACB" w:rsidRPr="00070B61">
        <w:rPr>
          <w:rFonts w:asciiTheme="minorHAnsi" w:hAnsiTheme="minorHAnsi" w:cstheme="minorHAnsi"/>
          <w:lang w:bidi="en-US"/>
        </w:rPr>
        <w:t>. From this perspective their own</w:t>
      </w:r>
      <w:r w:rsidR="007D35F9" w:rsidRPr="00070B61">
        <w:rPr>
          <w:rFonts w:asciiTheme="minorHAnsi" w:hAnsiTheme="minorHAnsi" w:cstheme="minorHAnsi"/>
          <w:lang w:bidi="en-US"/>
        </w:rPr>
        <w:t xml:space="preserve"> experiences </w:t>
      </w:r>
      <w:r w:rsidR="007D35F9" w:rsidRPr="00070B61">
        <w:rPr>
          <w:rFonts w:asciiTheme="minorHAnsi" w:hAnsiTheme="minorHAnsi" w:cstheme="minorHAnsi"/>
          <w:lang w:bidi="en-US"/>
        </w:rPr>
        <w:lastRenderedPageBreak/>
        <w:t>and expert knowledge of how successful a particular service</w:t>
      </w:r>
      <w:r w:rsidR="009B053C" w:rsidRPr="00070B61">
        <w:rPr>
          <w:rFonts w:asciiTheme="minorHAnsi" w:hAnsiTheme="minorHAnsi" w:cstheme="minorHAnsi"/>
          <w:lang w:bidi="en-US"/>
        </w:rPr>
        <w:t xml:space="preserve"> </w:t>
      </w:r>
      <w:r w:rsidR="001D1FFE" w:rsidRPr="00070B61">
        <w:rPr>
          <w:rFonts w:asciiTheme="minorHAnsi" w:hAnsiTheme="minorHAnsi" w:cstheme="minorHAnsi"/>
          <w:lang w:bidi="en-US"/>
        </w:rPr>
        <w:t>is becomes</w:t>
      </w:r>
      <w:r w:rsidR="007D35F9" w:rsidRPr="00070B61">
        <w:rPr>
          <w:rFonts w:asciiTheme="minorHAnsi" w:hAnsiTheme="minorHAnsi" w:cstheme="minorHAnsi"/>
          <w:lang w:bidi="en-US"/>
        </w:rPr>
        <w:t xml:space="preserve"> central to the decision-making process </w:t>
      </w:r>
      <w:r w:rsidR="001D1FFE" w:rsidRPr="00070B61">
        <w:rPr>
          <w:rFonts w:asciiTheme="minorHAnsi" w:hAnsiTheme="minorHAnsi" w:cstheme="minorHAnsi"/>
          <w:lang w:bidi="en-US"/>
        </w:rPr>
        <w:t>regarding</w:t>
      </w:r>
      <w:r w:rsidR="007D35F9" w:rsidRPr="00070B61">
        <w:rPr>
          <w:rFonts w:asciiTheme="minorHAnsi" w:hAnsiTheme="minorHAnsi" w:cstheme="minorHAnsi"/>
          <w:lang w:bidi="en-US"/>
        </w:rPr>
        <w:t xml:space="preserve"> the type of service</w:t>
      </w:r>
      <w:r w:rsidR="009B053C" w:rsidRPr="00070B61">
        <w:rPr>
          <w:rFonts w:asciiTheme="minorHAnsi" w:hAnsiTheme="minorHAnsi" w:cstheme="minorHAnsi"/>
          <w:lang w:bidi="en-US"/>
        </w:rPr>
        <w:t xml:space="preserve"> that</w:t>
      </w:r>
      <w:r w:rsidR="007D35F9" w:rsidRPr="00070B61">
        <w:rPr>
          <w:rFonts w:asciiTheme="minorHAnsi" w:hAnsiTheme="minorHAnsi" w:cstheme="minorHAnsi"/>
          <w:lang w:bidi="en-US"/>
        </w:rPr>
        <w:t xml:space="preserve"> they need access to</w:t>
      </w:r>
      <w:r w:rsidR="009B053C" w:rsidRPr="00070B61">
        <w:rPr>
          <w:rFonts w:asciiTheme="minorHAnsi" w:hAnsiTheme="minorHAnsi" w:cstheme="minorHAnsi"/>
          <w:lang w:bidi="en-US"/>
        </w:rPr>
        <w:t xml:space="preserve">.  </w:t>
      </w:r>
      <w:r w:rsidR="009B053C" w:rsidRPr="00CC6631">
        <w:rPr>
          <w:rFonts w:asciiTheme="minorHAnsi" w:hAnsiTheme="minorHAnsi" w:cstheme="minorHAnsi"/>
          <w:lang w:bidi="en-US"/>
        </w:rPr>
        <w:t>P</w:t>
      </w:r>
      <w:r w:rsidR="0021098E" w:rsidRPr="00CC6631">
        <w:rPr>
          <w:rFonts w:asciiTheme="minorHAnsi" w:hAnsiTheme="minorHAnsi" w:cstheme="minorHAnsi"/>
          <w:lang w:bidi="en-US"/>
        </w:rPr>
        <w:t xml:space="preserve">ersonal decision-making </w:t>
      </w:r>
      <w:r w:rsidR="009B053C" w:rsidRPr="00CC6631">
        <w:rPr>
          <w:rFonts w:asciiTheme="minorHAnsi" w:hAnsiTheme="minorHAnsi" w:cstheme="minorHAnsi"/>
          <w:lang w:bidi="en-US"/>
        </w:rPr>
        <w:t xml:space="preserve">therefore </w:t>
      </w:r>
      <w:r w:rsidR="0021098E" w:rsidRPr="00CC6631">
        <w:rPr>
          <w:rFonts w:asciiTheme="minorHAnsi" w:hAnsiTheme="minorHAnsi" w:cstheme="minorHAnsi"/>
          <w:lang w:bidi="en-US"/>
        </w:rPr>
        <w:t>become</w:t>
      </w:r>
      <w:r w:rsidR="009B053C" w:rsidRPr="00CC6631">
        <w:rPr>
          <w:rFonts w:asciiTheme="minorHAnsi" w:hAnsiTheme="minorHAnsi" w:cstheme="minorHAnsi"/>
          <w:lang w:bidi="en-US"/>
        </w:rPr>
        <w:t>s</w:t>
      </w:r>
      <w:r w:rsidR="0021098E" w:rsidRPr="00CC6631">
        <w:rPr>
          <w:rFonts w:asciiTheme="minorHAnsi" w:hAnsiTheme="minorHAnsi" w:cstheme="minorHAnsi"/>
          <w:lang w:bidi="en-US"/>
        </w:rPr>
        <w:t xml:space="preserve"> central to this form of involvement.</w:t>
      </w:r>
      <w:r w:rsidR="00E3064F" w:rsidRPr="00CC6631">
        <w:rPr>
          <w:rFonts w:asciiTheme="minorHAnsi" w:hAnsiTheme="minorHAnsi" w:cstheme="minorHAnsi"/>
          <w:lang w:bidi="en-US"/>
        </w:rPr>
        <w:t xml:space="preserve"> From this perspective service users become</w:t>
      </w:r>
      <w:r w:rsidR="00B93B57" w:rsidRPr="00CC6631">
        <w:rPr>
          <w:rFonts w:asciiTheme="minorHAnsi" w:hAnsiTheme="minorHAnsi" w:cstheme="minorHAnsi"/>
          <w:lang w:bidi="en-US"/>
        </w:rPr>
        <w:t xml:space="preserve"> active knowledge makers based </w:t>
      </w:r>
      <w:r w:rsidR="009B053C" w:rsidRPr="00CC6631">
        <w:rPr>
          <w:rFonts w:asciiTheme="minorHAnsi" w:hAnsiTheme="minorHAnsi" w:cstheme="minorHAnsi"/>
          <w:lang w:bidi="en-US"/>
        </w:rPr>
        <w:t>up</w:t>
      </w:r>
      <w:r w:rsidR="00B93B57" w:rsidRPr="00CC6631">
        <w:rPr>
          <w:rFonts w:asciiTheme="minorHAnsi" w:hAnsiTheme="minorHAnsi" w:cstheme="minorHAnsi"/>
          <w:lang w:bidi="en-US"/>
        </w:rPr>
        <w:t>on their own experiences and make informed decisions around wh</w:t>
      </w:r>
      <w:r w:rsidR="009B053C" w:rsidRPr="00CC6631">
        <w:rPr>
          <w:rFonts w:asciiTheme="minorHAnsi" w:hAnsiTheme="minorHAnsi" w:cstheme="minorHAnsi"/>
          <w:lang w:bidi="en-US"/>
        </w:rPr>
        <w:t>ich</w:t>
      </w:r>
      <w:r w:rsidR="00B93B57" w:rsidRPr="00CC6631">
        <w:rPr>
          <w:rFonts w:asciiTheme="minorHAnsi" w:hAnsiTheme="minorHAnsi" w:cstheme="minorHAnsi"/>
          <w:lang w:bidi="en-US"/>
        </w:rPr>
        <w:t xml:space="preserve"> services work and </w:t>
      </w:r>
      <w:r w:rsidR="009B053C" w:rsidRPr="00CC6631">
        <w:rPr>
          <w:rFonts w:asciiTheme="minorHAnsi" w:hAnsiTheme="minorHAnsi" w:cstheme="minorHAnsi"/>
          <w:lang w:bidi="en-US"/>
        </w:rPr>
        <w:t xml:space="preserve">which </w:t>
      </w:r>
      <w:r w:rsidR="00B93B57" w:rsidRPr="00CC6631">
        <w:rPr>
          <w:rFonts w:asciiTheme="minorHAnsi" w:hAnsiTheme="minorHAnsi" w:cstheme="minorHAnsi"/>
          <w:lang w:bidi="en-US"/>
        </w:rPr>
        <w:t>do not work</w:t>
      </w:r>
      <w:r w:rsidR="009B053C" w:rsidRPr="00CC6631">
        <w:rPr>
          <w:rFonts w:asciiTheme="minorHAnsi" w:hAnsiTheme="minorHAnsi" w:cstheme="minorHAnsi"/>
          <w:lang w:bidi="en-US"/>
        </w:rPr>
        <w:t xml:space="preserve"> according to</w:t>
      </w:r>
      <w:r w:rsidR="00B93B57" w:rsidRPr="00CC6631">
        <w:rPr>
          <w:rFonts w:asciiTheme="minorHAnsi" w:hAnsiTheme="minorHAnsi" w:cstheme="minorHAnsi"/>
          <w:lang w:bidi="en-US"/>
        </w:rPr>
        <w:t xml:space="preserve"> their own personal circumstances</w:t>
      </w:r>
      <w:r w:rsidR="009B053C" w:rsidRPr="00CC6631">
        <w:rPr>
          <w:rFonts w:asciiTheme="minorHAnsi" w:hAnsiTheme="minorHAnsi" w:cstheme="minorHAnsi"/>
          <w:lang w:bidi="en-US"/>
        </w:rPr>
        <w:t xml:space="preserve"> and to meet their needs</w:t>
      </w:r>
      <w:r w:rsidR="00B93B57" w:rsidRPr="00CC6631">
        <w:rPr>
          <w:rFonts w:asciiTheme="minorHAnsi" w:hAnsiTheme="minorHAnsi" w:cstheme="minorHAnsi"/>
          <w:lang w:bidi="en-US"/>
        </w:rPr>
        <w:t xml:space="preserve"> (</w:t>
      </w:r>
      <w:bookmarkStart w:id="7" w:name="_Hlk71807291"/>
      <w:proofErr w:type="spellStart"/>
      <w:r w:rsidR="00B93B57" w:rsidRPr="00CC6631">
        <w:rPr>
          <w:rFonts w:asciiTheme="minorHAnsi" w:hAnsiTheme="minorHAnsi" w:cstheme="minorHAnsi"/>
          <w:lang w:bidi="en-US"/>
        </w:rPr>
        <w:t>Forbat</w:t>
      </w:r>
      <w:proofErr w:type="spellEnd"/>
      <w:r w:rsidR="00B93B57" w:rsidRPr="00CC6631">
        <w:rPr>
          <w:rFonts w:asciiTheme="minorHAnsi" w:hAnsiTheme="minorHAnsi" w:cstheme="minorHAnsi"/>
          <w:lang w:bidi="en-US"/>
        </w:rPr>
        <w:t xml:space="preserve"> </w:t>
      </w:r>
      <w:r w:rsidR="00B93B57" w:rsidRPr="00CC6631">
        <w:rPr>
          <w:rFonts w:asciiTheme="minorHAnsi" w:hAnsiTheme="minorHAnsi" w:cstheme="minorHAnsi"/>
          <w:i/>
          <w:iCs/>
          <w:lang w:bidi="en-US"/>
        </w:rPr>
        <w:t>e</w:t>
      </w:r>
      <w:r w:rsidR="00AF3934" w:rsidRPr="00CC6631">
        <w:rPr>
          <w:rFonts w:asciiTheme="minorHAnsi" w:hAnsiTheme="minorHAnsi" w:cstheme="minorHAnsi"/>
          <w:i/>
          <w:iCs/>
          <w:lang w:bidi="en-US"/>
        </w:rPr>
        <w:t>t</w:t>
      </w:r>
      <w:r w:rsidR="00B93B57" w:rsidRPr="00CC6631">
        <w:rPr>
          <w:rFonts w:asciiTheme="minorHAnsi" w:hAnsiTheme="minorHAnsi" w:cstheme="minorHAnsi"/>
          <w:i/>
          <w:iCs/>
          <w:lang w:bidi="en-US"/>
        </w:rPr>
        <w:t xml:space="preserve"> al</w:t>
      </w:r>
      <w:r w:rsidR="00AF3934" w:rsidRPr="00CC6631">
        <w:rPr>
          <w:rFonts w:asciiTheme="minorHAnsi" w:hAnsiTheme="minorHAnsi" w:cstheme="minorHAnsi"/>
          <w:lang w:bidi="en-US"/>
        </w:rPr>
        <w:t>.,</w:t>
      </w:r>
      <w:r w:rsidR="00B93B57" w:rsidRPr="00CC6631">
        <w:rPr>
          <w:rFonts w:asciiTheme="minorHAnsi" w:hAnsiTheme="minorHAnsi" w:cstheme="minorHAnsi"/>
          <w:lang w:bidi="en-US"/>
        </w:rPr>
        <w:t xml:space="preserve"> 2009</w:t>
      </w:r>
      <w:bookmarkEnd w:id="7"/>
      <w:r w:rsidR="00B93B57" w:rsidRPr="00CC6631">
        <w:rPr>
          <w:rFonts w:asciiTheme="minorHAnsi" w:hAnsiTheme="minorHAnsi" w:cstheme="minorHAnsi"/>
          <w:lang w:bidi="en-US"/>
        </w:rPr>
        <w:t xml:space="preserve">). </w:t>
      </w:r>
      <w:r w:rsidR="00CB3EAF" w:rsidRPr="0064339B">
        <w:rPr>
          <w:rFonts w:asciiTheme="minorHAnsi" w:hAnsiTheme="minorHAnsi" w:cstheme="minorHAnsi"/>
          <w:lang w:bidi="en-US"/>
        </w:rPr>
        <w:t xml:space="preserve">An example of this </w:t>
      </w:r>
      <w:r w:rsidR="00CE3EDD" w:rsidRPr="0064339B">
        <w:rPr>
          <w:rFonts w:asciiTheme="minorHAnsi" w:hAnsiTheme="minorHAnsi" w:cstheme="minorHAnsi"/>
          <w:lang w:bidi="en-US"/>
        </w:rPr>
        <w:t>concerning</w:t>
      </w:r>
      <w:r w:rsidR="00CB3EAF" w:rsidRPr="0064339B">
        <w:rPr>
          <w:rFonts w:asciiTheme="minorHAnsi" w:hAnsiTheme="minorHAnsi" w:cstheme="minorHAnsi"/>
          <w:lang w:bidi="en-US"/>
        </w:rPr>
        <w:t xml:space="preserve"> the </w:t>
      </w:r>
      <w:r w:rsidR="009B053C" w:rsidRPr="0064339B">
        <w:rPr>
          <w:rFonts w:asciiTheme="minorHAnsi" w:hAnsiTheme="minorHAnsi" w:cstheme="minorHAnsi"/>
          <w:lang w:bidi="en-US"/>
        </w:rPr>
        <w:t>C</w:t>
      </w:r>
      <w:r w:rsidR="00CB3EAF" w:rsidRPr="0064339B">
        <w:rPr>
          <w:rFonts w:asciiTheme="minorHAnsi" w:hAnsiTheme="minorHAnsi" w:cstheme="minorHAnsi"/>
          <w:lang w:bidi="en-US"/>
        </w:rPr>
        <w:t xml:space="preserve">riminal </w:t>
      </w:r>
      <w:r w:rsidR="009B053C" w:rsidRPr="0064339B">
        <w:rPr>
          <w:rFonts w:asciiTheme="minorHAnsi" w:hAnsiTheme="minorHAnsi" w:cstheme="minorHAnsi"/>
          <w:lang w:bidi="en-US"/>
        </w:rPr>
        <w:t>J</w:t>
      </w:r>
      <w:r w:rsidR="00CB3EAF" w:rsidRPr="0064339B">
        <w:rPr>
          <w:rFonts w:asciiTheme="minorHAnsi" w:hAnsiTheme="minorHAnsi" w:cstheme="minorHAnsi"/>
          <w:lang w:bidi="en-US"/>
        </w:rPr>
        <w:t xml:space="preserve">ustice </w:t>
      </w:r>
      <w:r w:rsidR="009B053C" w:rsidRPr="0064339B">
        <w:rPr>
          <w:rFonts w:asciiTheme="minorHAnsi" w:hAnsiTheme="minorHAnsi" w:cstheme="minorHAnsi"/>
          <w:lang w:bidi="en-US"/>
        </w:rPr>
        <w:t>S</w:t>
      </w:r>
      <w:r w:rsidR="00CB3EAF" w:rsidRPr="0064339B">
        <w:rPr>
          <w:rFonts w:asciiTheme="minorHAnsi" w:hAnsiTheme="minorHAnsi" w:cstheme="minorHAnsi"/>
          <w:lang w:bidi="en-US"/>
        </w:rPr>
        <w:t>ystem is a person’s decision-making over</w:t>
      </w:r>
      <w:r w:rsidR="00C84420" w:rsidRPr="0064339B">
        <w:rPr>
          <w:rFonts w:asciiTheme="minorHAnsi" w:hAnsiTheme="minorHAnsi" w:cstheme="minorHAnsi"/>
          <w:lang w:bidi="en-US"/>
        </w:rPr>
        <w:t xml:space="preserve"> the type of</w:t>
      </w:r>
      <w:r w:rsidR="00CB3EAF" w:rsidRPr="0064339B">
        <w:rPr>
          <w:rFonts w:asciiTheme="minorHAnsi" w:hAnsiTheme="minorHAnsi" w:cstheme="minorHAnsi"/>
          <w:lang w:bidi="en-US"/>
        </w:rPr>
        <w:t xml:space="preserve"> legal representation</w:t>
      </w:r>
      <w:r w:rsidR="00C84420" w:rsidRPr="0064339B">
        <w:rPr>
          <w:rFonts w:asciiTheme="minorHAnsi" w:hAnsiTheme="minorHAnsi" w:cstheme="minorHAnsi"/>
          <w:lang w:bidi="en-US"/>
        </w:rPr>
        <w:t xml:space="preserve"> the</w:t>
      </w:r>
      <w:r w:rsidR="00A84FFA" w:rsidRPr="0064339B">
        <w:rPr>
          <w:rFonts w:asciiTheme="minorHAnsi" w:hAnsiTheme="minorHAnsi" w:cstheme="minorHAnsi"/>
          <w:lang w:bidi="en-US"/>
        </w:rPr>
        <w:t>y</w:t>
      </w:r>
      <w:r w:rsidR="00C84420" w:rsidRPr="0064339B">
        <w:rPr>
          <w:rFonts w:asciiTheme="minorHAnsi" w:hAnsiTheme="minorHAnsi" w:cstheme="minorHAnsi"/>
          <w:lang w:bidi="en-US"/>
        </w:rPr>
        <w:t xml:space="preserve"> access</w:t>
      </w:r>
      <w:r w:rsidR="00D23A6A" w:rsidRPr="0064339B">
        <w:rPr>
          <w:rFonts w:asciiTheme="minorHAnsi" w:hAnsiTheme="minorHAnsi" w:cstheme="minorHAnsi"/>
          <w:lang w:bidi="en-US"/>
        </w:rPr>
        <w:t xml:space="preserve">, especially in the case of suspects who have access to financial resources and knowledge of the system. </w:t>
      </w:r>
    </w:p>
    <w:p w14:paraId="6076C049" w14:textId="77777777" w:rsidR="00743C8C" w:rsidRPr="0064339B" w:rsidRDefault="00743C8C" w:rsidP="00AA51B8">
      <w:pPr>
        <w:spacing w:line="360" w:lineRule="auto"/>
        <w:contextualSpacing/>
        <w:mirrorIndents/>
        <w:jc w:val="both"/>
        <w:rPr>
          <w:rFonts w:asciiTheme="minorHAnsi" w:hAnsiTheme="minorHAnsi" w:cstheme="minorHAnsi"/>
        </w:rPr>
      </w:pPr>
    </w:p>
    <w:p w14:paraId="03C1166C" w14:textId="0E04159F" w:rsidR="00743C8C" w:rsidRPr="00256F19" w:rsidRDefault="00743C8C" w:rsidP="00743C8C">
      <w:pPr>
        <w:spacing w:line="360" w:lineRule="auto"/>
        <w:contextualSpacing/>
        <w:mirrorIndents/>
        <w:jc w:val="both"/>
        <w:rPr>
          <w:rFonts w:asciiTheme="minorHAnsi" w:hAnsiTheme="minorHAnsi" w:cstheme="minorHAnsi"/>
          <w:lang w:bidi="en-US"/>
        </w:rPr>
      </w:pPr>
      <w:bookmarkStart w:id="8" w:name="_Hlk71808663"/>
      <w:proofErr w:type="spellStart"/>
      <w:r w:rsidRPr="0064339B">
        <w:rPr>
          <w:rFonts w:asciiTheme="minorHAnsi" w:hAnsiTheme="minorHAnsi" w:cstheme="minorHAnsi"/>
          <w:lang w:bidi="en-US"/>
        </w:rPr>
        <w:t>Forbat</w:t>
      </w:r>
      <w:proofErr w:type="spellEnd"/>
      <w:r w:rsidRPr="0064339B">
        <w:rPr>
          <w:rFonts w:asciiTheme="minorHAnsi" w:hAnsiTheme="minorHAnsi" w:cstheme="minorHAnsi"/>
          <w:lang w:bidi="en-US"/>
        </w:rPr>
        <w:t xml:space="preserve"> </w:t>
      </w:r>
      <w:r w:rsidRPr="0064339B">
        <w:rPr>
          <w:rFonts w:asciiTheme="minorHAnsi" w:hAnsiTheme="minorHAnsi" w:cstheme="minorHAnsi"/>
          <w:i/>
          <w:iCs/>
          <w:lang w:bidi="en-US"/>
        </w:rPr>
        <w:t xml:space="preserve">et </w:t>
      </w:r>
      <w:proofErr w:type="spellStart"/>
      <w:r w:rsidRPr="0064339B">
        <w:rPr>
          <w:rFonts w:asciiTheme="minorHAnsi" w:hAnsiTheme="minorHAnsi" w:cstheme="minorHAnsi"/>
          <w:i/>
          <w:iCs/>
          <w:lang w:bidi="en-US"/>
        </w:rPr>
        <w:t>al</w:t>
      </w:r>
      <w:r w:rsidR="00D23A6A" w:rsidRPr="0064339B">
        <w:rPr>
          <w:rFonts w:asciiTheme="minorHAnsi" w:hAnsiTheme="minorHAnsi" w:cstheme="minorHAnsi"/>
          <w:i/>
          <w:iCs/>
          <w:lang w:bidi="en-US"/>
        </w:rPr>
        <w:t>’</w:t>
      </w:r>
      <w:r w:rsidR="00D23A6A" w:rsidRPr="0064339B">
        <w:rPr>
          <w:rFonts w:asciiTheme="minorHAnsi" w:hAnsiTheme="minorHAnsi" w:cstheme="minorHAnsi"/>
          <w:lang w:bidi="en-US"/>
        </w:rPr>
        <w:t>s</w:t>
      </w:r>
      <w:proofErr w:type="spellEnd"/>
      <w:r w:rsidRPr="0064339B">
        <w:rPr>
          <w:rFonts w:asciiTheme="minorHAnsi" w:hAnsiTheme="minorHAnsi" w:cstheme="minorHAnsi"/>
          <w:lang w:bidi="en-US"/>
        </w:rPr>
        <w:t xml:space="preserve"> (2009)</w:t>
      </w:r>
      <w:bookmarkEnd w:id="8"/>
      <w:r w:rsidRPr="0064339B">
        <w:rPr>
          <w:rFonts w:asciiTheme="minorHAnsi" w:hAnsiTheme="minorHAnsi" w:cstheme="minorHAnsi"/>
          <w:lang w:bidi="en-US"/>
        </w:rPr>
        <w:t xml:space="preserve"> final model </w:t>
      </w:r>
      <w:r w:rsidR="00D23A6A" w:rsidRPr="0064339B">
        <w:rPr>
          <w:rFonts w:asciiTheme="minorHAnsi" w:hAnsiTheme="minorHAnsi" w:cstheme="minorHAnsi"/>
          <w:lang w:bidi="en-US"/>
        </w:rPr>
        <w:t>describes</w:t>
      </w:r>
      <w:r w:rsidRPr="0064339B">
        <w:rPr>
          <w:rFonts w:asciiTheme="minorHAnsi" w:hAnsiTheme="minorHAnsi" w:cstheme="minorHAnsi"/>
          <w:lang w:bidi="en-US"/>
        </w:rPr>
        <w:t xml:space="preserve"> involvement through the concept of </w:t>
      </w:r>
      <w:r w:rsidR="00222589" w:rsidRPr="0064339B">
        <w:rPr>
          <w:rFonts w:asciiTheme="minorHAnsi" w:hAnsiTheme="minorHAnsi" w:cstheme="minorHAnsi"/>
          <w:lang w:bidi="en-US"/>
        </w:rPr>
        <w:t>an</w:t>
      </w:r>
      <w:r w:rsidRPr="0064339B">
        <w:rPr>
          <w:rFonts w:asciiTheme="minorHAnsi" w:hAnsiTheme="minorHAnsi" w:cstheme="minorHAnsi"/>
          <w:lang w:bidi="en-US"/>
        </w:rPr>
        <w:t xml:space="preserve"> </w:t>
      </w:r>
      <w:r w:rsidR="00222589" w:rsidRPr="0064339B">
        <w:rPr>
          <w:rFonts w:asciiTheme="minorHAnsi" w:hAnsiTheme="minorHAnsi" w:cstheme="minorHAnsi"/>
          <w:lang w:bidi="en-US"/>
        </w:rPr>
        <w:t>ac</w:t>
      </w:r>
      <w:r w:rsidR="009B053C" w:rsidRPr="0064339B">
        <w:rPr>
          <w:rFonts w:asciiTheme="minorHAnsi" w:hAnsiTheme="minorHAnsi" w:cstheme="minorHAnsi"/>
          <w:lang w:bidi="en-US"/>
        </w:rPr>
        <w:t>tual</w:t>
      </w:r>
      <w:r w:rsidRPr="0064339B">
        <w:rPr>
          <w:rFonts w:asciiTheme="minorHAnsi" w:hAnsiTheme="minorHAnsi" w:cstheme="minorHAnsi"/>
          <w:lang w:bidi="en-US"/>
        </w:rPr>
        <w:t xml:space="preserve"> partnership</w:t>
      </w:r>
      <w:r w:rsidR="00D23A6A" w:rsidRPr="0064339B">
        <w:rPr>
          <w:rFonts w:asciiTheme="minorHAnsi" w:hAnsiTheme="minorHAnsi" w:cstheme="minorHAnsi"/>
          <w:lang w:bidi="en-US"/>
        </w:rPr>
        <w:t>,</w:t>
      </w:r>
      <w:r w:rsidRPr="0064339B">
        <w:rPr>
          <w:rFonts w:asciiTheme="minorHAnsi" w:hAnsiTheme="minorHAnsi" w:cstheme="minorHAnsi"/>
          <w:lang w:bidi="en-US"/>
        </w:rPr>
        <w:t xml:space="preserve"> where service users become active</w:t>
      </w:r>
      <w:r w:rsidR="00D23A6A" w:rsidRPr="0064339B">
        <w:rPr>
          <w:rFonts w:asciiTheme="minorHAnsi" w:hAnsiTheme="minorHAnsi" w:cstheme="minorHAnsi"/>
          <w:lang w:bidi="en-US"/>
        </w:rPr>
        <w:t xml:space="preserve"> in defining</w:t>
      </w:r>
      <w:r w:rsidRPr="0064339B">
        <w:rPr>
          <w:rFonts w:asciiTheme="minorHAnsi" w:hAnsiTheme="minorHAnsi" w:cstheme="minorHAnsi"/>
          <w:lang w:bidi="en-US"/>
        </w:rPr>
        <w:t>, developing, organising</w:t>
      </w:r>
      <w:r w:rsidR="00A84FFA" w:rsidRPr="0064339B">
        <w:rPr>
          <w:rFonts w:asciiTheme="minorHAnsi" w:hAnsiTheme="minorHAnsi" w:cstheme="minorHAnsi"/>
          <w:lang w:bidi="en-US"/>
        </w:rPr>
        <w:t>,</w:t>
      </w:r>
      <w:r w:rsidRPr="0064339B">
        <w:rPr>
          <w:rFonts w:asciiTheme="minorHAnsi" w:hAnsiTheme="minorHAnsi" w:cstheme="minorHAnsi"/>
          <w:lang w:bidi="en-US"/>
        </w:rPr>
        <w:t xml:space="preserve"> and in some cases managing services. This is referred to as the ‘</w:t>
      </w:r>
      <w:r w:rsidR="00F4664B" w:rsidRPr="0064339B">
        <w:rPr>
          <w:rFonts w:asciiTheme="minorHAnsi" w:hAnsiTheme="minorHAnsi" w:cstheme="minorHAnsi"/>
          <w:lang w:bidi="en-US"/>
        </w:rPr>
        <w:t>e</w:t>
      </w:r>
      <w:r w:rsidRPr="0064339B">
        <w:rPr>
          <w:rFonts w:asciiTheme="minorHAnsi" w:hAnsiTheme="minorHAnsi" w:cstheme="minorHAnsi"/>
          <w:lang w:bidi="en-US"/>
        </w:rPr>
        <w:t>mancipation and empowerment’ model where service user involvement and experiences are paramount in the development of services.</w:t>
      </w:r>
      <w:bookmarkStart w:id="9" w:name="_Toc4579796"/>
      <w:r w:rsidRPr="0064339B">
        <w:rPr>
          <w:rFonts w:asciiTheme="minorHAnsi" w:hAnsiTheme="minorHAnsi" w:cstheme="minorHAnsi"/>
          <w:lang w:bidi="en-US"/>
        </w:rPr>
        <w:t xml:space="preserve"> </w:t>
      </w:r>
      <w:r w:rsidR="00C534F7" w:rsidRPr="009B363F">
        <w:rPr>
          <w:rFonts w:asciiTheme="minorHAnsi" w:hAnsiTheme="minorHAnsi" w:cstheme="minorHAnsi"/>
          <w:lang w:bidi="en-US"/>
        </w:rPr>
        <w:t xml:space="preserve">This approach has developed out of </w:t>
      </w:r>
      <w:r w:rsidR="00A84FFA" w:rsidRPr="009B363F">
        <w:rPr>
          <w:rFonts w:asciiTheme="minorHAnsi" w:hAnsiTheme="minorHAnsi" w:cstheme="minorHAnsi"/>
          <w:lang w:bidi="en-US"/>
        </w:rPr>
        <w:t xml:space="preserve">the </w:t>
      </w:r>
      <w:r w:rsidR="00C534F7" w:rsidRPr="009B363F">
        <w:rPr>
          <w:rFonts w:asciiTheme="minorHAnsi" w:hAnsiTheme="minorHAnsi" w:cstheme="minorHAnsi"/>
          <w:lang w:bidi="en-US"/>
        </w:rPr>
        <w:t>early feminist and disability movement</w:t>
      </w:r>
      <w:r w:rsidR="00A84FFA" w:rsidRPr="009B363F">
        <w:rPr>
          <w:rFonts w:asciiTheme="minorHAnsi" w:hAnsiTheme="minorHAnsi" w:cstheme="minorHAnsi"/>
          <w:lang w:bidi="en-US"/>
        </w:rPr>
        <w:t>s</w:t>
      </w:r>
      <w:r w:rsidR="00790FEC" w:rsidRPr="009B363F">
        <w:rPr>
          <w:rFonts w:asciiTheme="minorHAnsi" w:hAnsiTheme="minorHAnsi" w:cstheme="minorHAnsi"/>
          <w:lang w:bidi="en-US"/>
        </w:rPr>
        <w:t xml:space="preserve"> of the late 20</w:t>
      </w:r>
      <w:r w:rsidR="00790FEC" w:rsidRPr="009B363F">
        <w:rPr>
          <w:rFonts w:asciiTheme="minorHAnsi" w:hAnsiTheme="minorHAnsi" w:cstheme="minorHAnsi"/>
          <w:vertAlign w:val="superscript"/>
          <w:lang w:bidi="en-US"/>
        </w:rPr>
        <w:t>th</w:t>
      </w:r>
      <w:r w:rsidR="00790FEC" w:rsidRPr="009B363F">
        <w:rPr>
          <w:rFonts w:asciiTheme="minorHAnsi" w:hAnsiTheme="minorHAnsi" w:cstheme="minorHAnsi"/>
          <w:lang w:bidi="en-US"/>
        </w:rPr>
        <w:t xml:space="preserve"> century where service user experiences become central to developing a right</w:t>
      </w:r>
      <w:r w:rsidR="00D23A6A" w:rsidRPr="009B363F">
        <w:rPr>
          <w:rFonts w:asciiTheme="minorHAnsi" w:hAnsiTheme="minorHAnsi" w:cstheme="minorHAnsi"/>
          <w:lang w:bidi="en-US"/>
        </w:rPr>
        <w:t>s</w:t>
      </w:r>
      <w:r w:rsidR="00A84FFA" w:rsidRPr="009B363F">
        <w:rPr>
          <w:rFonts w:asciiTheme="minorHAnsi" w:hAnsiTheme="minorHAnsi" w:cstheme="minorHAnsi"/>
          <w:lang w:bidi="en-US"/>
        </w:rPr>
        <w:t>-</w:t>
      </w:r>
      <w:r w:rsidR="00790FEC" w:rsidRPr="009B363F">
        <w:rPr>
          <w:rFonts w:asciiTheme="minorHAnsi" w:hAnsiTheme="minorHAnsi" w:cstheme="minorHAnsi"/>
          <w:lang w:bidi="en-US"/>
        </w:rPr>
        <w:t>based approach</w:t>
      </w:r>
      <w:r w:rsidR="00687C5D" w:rsidRPr="009B363F">
        <w:rPr>
          <w:rFonts w:asciiTheme="minorHAnsi" w:hAnsiTheme="minorHAnsi" w:cstheme="minorHAnsi"/>
          <w:lang w:bidi="en-US"/>
        </w:rPr>
        <w:t xml:space="preserve"> (</w:t>
      </w:r>
      <w:r w:rsidR="00422ACF" w:rsidRPr="009B363F">
        <w:rPr>
          <w:rFonts w:asciiTheme="minorHAnsi" w:hAnsiTheme="minorHAnsi" w:cstheme="minorHAnsi"/>
          <w:lang w:bidi="en-US"/>
        </w:rPr>
        <w:t>Macdonald and Taylor-</w:t>
      </w:r>
      <w:proofErr w:type="spellStart"/>
      <w:r w:rsidR="00422ACF" w:rsidRPr="009B363F">
        <w:rPr>
          <w:rFonts w:asciiTheme="minorHAnsi" w:hAnsiTheme="minorHAnsi" w:cstheme="minorHAnsi"/>
          <w:lang w:bidi="en-US"/>
        </w:rPr>
        <w:t>Gooby</w:t>
      </w:r>
      <w:proofErr w:type="spellEnd"/>
      <w:r w:rsidR="00AF3934" w:rsidRPr="009B363F">
        <w:rPr>
          <w:rFonts w:asciiTheme="minorHAnsi" w:hAnsiTheme="minorHAnsi" w:cstheme="minorHAnsi"/>
          <w:lang w:bidi="en-US"/>
        </w:rPr>
        <w:t>,</w:t>
      </w:r>
      <w:r w:rsidR="00422ACF" w:rsidRPr="009B363F">
        <w:rPr>
          <w:rFonts w:asciiTheme="minorHAnsi" w:hAnsiTheme="minorHAnsi" w:cstheme="minorHAnsi"/>
          <w:lang w:bidi="en-US"/>
        </w:rPr>
        <w:t xml:space="preserve"> 201</w:t>
      </w:r>
      <w:r w:rsidR="00202BA1" w:rsidRPr="009B363F">
        <w:rPr>
          <w:rFonts w:asciiTheme="minorHAnsi" w:hAnsiTheme="minorHAnsi" w:cstheme="minorHAnsi"/>
          <w:lang w:bidi="en-US"/>
        </w:rPr>
        <w:t>4</w:t>
      </w:r>
      <w:r w:rsidR="00422ACF" w:rsidRPr="009B363F">
        <w:rPr>
          <w:rFonts w:asciiTheme="minorHAnsi" w:hAnsiTheme="minorHAnsi" w:cstheme="minorHAnsi"/>
          <w:lang w:bidi="en-US"/>
        </w:rPr>
        <w:t xml:space="preserve">). </w:t>
      </w:r>
      <w:r w:rsidR="00D23A6A" w:rsidRPr="009B363F">
        <w:rPr>
          <w:rFonts w:asciiTheme="minorHAnsi" w:hAnsiTheme="minorHAnsi" w:cstheme="minorHAnsi"/>
          <w:lang w:bidi="en-US"/>
        </w:rPr>
        <w:t xml:space="preserve"> S</w:t>
      </w:r>
      <w:r w:rsidR="00422ACF" w:rsidRPr="009B363F">
        <w:rPr>
          <w:rFonts w:asciiTheme="minorHAnsi" w:hAnsiTheme="minorHAnsi" w:cstheme="minorHAnsi"/>
          <w:lang w:bidi="en-US"/>
        </w:rPr>
        <w:t>ervice users become the expert</w:t>
      </w:r>
      <w:r w:rsidR="0076457C" w:rsidRPr="009B363F">
        <w:rPr>
          <w:rFonts w:asciiTheme="minorHAnsi" w:hAnsiTheme="minorHAnsi" w:cstheme="minorHAnsi"/>
          <w:lang w:bidi="en-US"/>
        </w:rPr>
        <w:t xml:space="preserve"> of their own lives</w:t>
      </w:r>
      <w:r w:rsidR="00D23A6A" w:rsidRPr="009B363F">
        <w:rPr>
          <w:rFonts w:asciiTheme="minorHAnsi" w:hAnsiTheme="minorHAnsi" w:cstheme="minorHAnsi"/>
          <w:lang w:bidi="en-US"/>
        </w:rPr>
        <w:t>,</w:t>
      </w:r>
      <w:r w:rsidR="0076457C" w:rsidRPr="009B363F">
        <w:rPr>
          <w:rFonts w:asciiTheme="minorHAnsi" w:hAnsiTheme="minorHAnsi" w:cstheme="minorHAnsi"/>
          <w:lang w:bidi="en-US"/>
        </w:rPr>
        <w:t xml:space="preserve"> and redesign services to meet their needs</w:t>
      </w:r>
      <w:r w:rsidR="00D23A6A" w:rsidRPr="009B363F">
        <w:rPr>
          <w:rFonts w:asciiTheme="minorHAnsi" w:hAnsiTheme="minorHAnsi" w:cstheme="minorHAnsi"/>
          <w:lang w:bidi="en-US"/>
        </w:rPr>
        <w:t>,</w:t>
      </w:r>
      <w:r w:rsidR="0076457C" w:rsidRPr="009B363F">
        <w:rPr>
          <w:rFonts w:asciiTheme="minorHAnsi" w:hAnsiTheme="minorHAnsi" w:cstheme="minorHAnsi"/>
          <w:lang w:bidi="en-US"/>
        </w:rPr>
        <w:t xml:space="preserve"> often</w:t>
      </w:r>
      <w:r w:rsidR="00B8428A" w:rsidRPr="009B363F">
        <w:rPr>
          <w:rFonts w:asciiTheme="minorHAnsi" w:hAnsiTheme="minorHAnsi" w:cstheme="minorHAnsi"/>
          <w:lang w:bidi="en-US"/>
        </w:rPr>
        <w:t xml:space="preserve"> transform</w:t>
      </w:r>
      <w:r w:rsidR="004C3A9D" w:rsidRPr="009B363F">
        <w:rPr>
          <w:rFonts w:asciiTheme="minorHAnsi" w:hAnsiTheme="minorHAnsi" w:cstheme="minorHAnsi"/>
          <w:lang w:bidi="en-US"/>
        </w:rPr>
        <w:t>ing</w:t>
      </w:r>
      <w:r w:rsidR="00B8428A" w:rsidRPr="009B363F">
        <w:rPr>
          <w:rFonts w:asciiTheme="minorHAnsi" w:hAnsiTheme="minorHAnsi" w:cstheme="minorHAnsi"/>
          <w:lang w:bidi="en-US"/>
        </w:rPr>
        <w:t xml:space="preserve"> oppressive forms of practice into empowering services.</w:t>
      </w:r>
      <w:r w:rsidR="00113AD9" w:rsidRPr="009B363F">
        <w:rPr>
          <w:rFonts w:asciiTheme="minorHAnsi" w:hAnsiTheme="minorHAnsi" w:cstheme="minorHAnsi"/>
          <w:lang w:bidi="en-US"/>
        </w:rPr>
        <w:t xml:space="preserve"> Within </w:t>
      </w:r>
      <w:proofErr w:type="spellStart"/>
      <w:r w:rsidR="00113AD9" w:rsidRPr="009B363F">
        <w:rPr>
          <w:rFonts w:asciiTheme="minorHAnsi" w:hAnsiTheme="minorHAnsi" w:cstheme="minorHAnsi"/>
          <w:lang w:bidi="en-US"/>
        </w:rPr>
        <w:t>Arnstein’s</w:t>
      </w:r>
      <w:proofErr w:type="spellEnd"/>
      <w:r w:rsidR="00113AD9" w:rsidRPr="009B363F">
        <w:rPr>
          <w:rFonts w:asciiTheme="minorHAnsi" w:hAnsiTheme="minorHAnsi" w:cstheme="minorHAnsi"/>
          <w:lang w:bidi="en-US"/>
        </w:rPr>
        <w:t xml:space="preserve"> </w:t>
      </w:r>
      <w:r w:rsidR="00972354" w:rsidRPr="009B363F">
        <w:rPr>
          <w:rFonts w:asciiTheme="minorHAnsi" w:hAnsiTheme="minorHAnsi" w:cstheme="minorHAnsi"/>
          <w:lang w:bidi="en-US"/>
        </w:rPr>
        <w:t>ladder of participation, this would be described</w:t>
      </w:r>
      <w:r w:rsidR="0020798E" w:rsidRPr="009B363F">
        <w:rPr>
          <w:rFonts w:asciiTheme="minorHAnsi" w:hAnsiTheme="minorHAnsi" w:cstheme="minorHAnsi"/>
          <w:lang w:bidi="en-US"/>
        </w:rPr>
        <w:t xml:space="preserve"> through the notion of ‘Citizen power’</w:t>
      </w:r>
      <w:r w:rsidR="00FC2C6D" w:rsidRPr="009B363F">
        <w:rPr>
          <w:rFonts w:asciiTheme="minorHAnsi" w:hAnsiTheme="minorHAnsi" w:cstheme="minorHAnsi"/>
          <w:lang w:bidi="en-US"/>
        </w:rPr>
        <w:t xml:space="preserve"> </w:t>
      </w:r>
      <w:r w:rsidR="0020798E" w:rsidRPr="009B363F">
        <w:rPr>
          <w:rFonts w:asciiTheme="minorHAnsi" w:hAnsiTheme="minorHAnsi" w:cstheme="minorHAnsi"/>
          <w:lang w:bidi="en-US"/>
        </w:rPr>
        <w:t>(</w:t>
      </w:r>
      <w:proofErr w:type="spellStart"/>
      <w:r w:rsidR="0020798E" w:rsidRPr="009B363F">
        <w:rPr>
          <w:rFonts w:asciiTheme="minorHAnsi" w:hAnsiTheme="minorHAnsi" w:cstheme="minorHAnsi"/>
          <w:lang w:bidi="en-US"/>
        </w:rPr>
        <w:t>Arnstein</w:t>
      </w:r>
      <w:proofErr w:type="spellEnd"/>
      <w:r w:rsidR="00FC2C6D" w:rsidRPr="009B363F">
        <w:rPr>
          <w:rFonts w:asciiTheme="minorHAnsi" w:hAnsiTheme="minorHAnsi" w:cstheme="minorHAnsi"/>
          <w:lang w:bidi="en-US"/>
        </w:rPr>
        <w:t xml:space="preserve"> 1969: 26). </w:t>
      </w:r>
      <w:r w:rsidR="00E934E5" w:rsidRPr="007C3CC4">
        <w:rPr>
          <w:rFonts w:asciiTheme="minorHAnsi" w:hAnsiTheme="minorHAnsi" w:cstheme="minorHAnsi"/>
          <w:lang w:bidi="en-US"/>
        </w:rPr>
        <w:t>Thus, service users are the experts</w:t>
      </w:r>
      <w:r w:rsidR="00D23A6A" w:rsidRPr="007C3CC4">
        <w:rPr>
          <w:rFonts w:asciiTheme="minorHAnsi" w:hAnsiTheme="minorHAnsi" w:cstheme="minorHAnsi"/>
          <w:lang w:bidi="en-US"/>
        </w:rPr>
        <w:t>,</w:t>
      </w:r>
      <w:r w:rsidR="00560DC0" w:rsidRPr="007C3CC4">
        <w:rPr>
          <w:rFonts w:asciiTheme="minorHAnsi" w:hAnsiTheme="minorHAnsi" w:cstheme="minorHAnsi"/>
          <w:lang w:bidi="en-US"/>
        </w:rPr>
        <w:t xml:space="preserve"> and professionals become the facilitators. The key ideological driver</w:t>
      </w:r>
      <w:r w:rsidR="00CF0DC7" w:rsidRPr="007C3CC4">
        <w:rPr>
          <w:rFonts w:asciiTheme="minorHAnsi" w:hAnsiTheme="minorHAnsi" w:cstheme="minorHAnsi"/>
          <w:lang w:bidi="en-US"/>
        </w:rPr>
        <w:t xml:space="preserve"> to this approach is that service users</w:t>
      </w:r>
      <w:r w:rsidR="00BB026C" w:rsidRPr="007C3CC4">
        <w:rPr>
          <w:rFonts w:asciiTheme="minorHAnsi" w:hAnsiTheme="minorHAnsi" w:cstheme="minorHAnsi"/>
          <w:lang w:bidi="en-US"/>
        </w:rPr>
        <w:t>’</w:t>
      </w:r>
      <w:r w:rsidR="00CF0DC7" w:rsidRPr="007C3CC4">
        <w:rPr>
          <w:rFonts w:asciiTheme="minorHAnsi" w:hAnsiTheme="minorHAnsi" w:cstheme="minorHAnsi"/>
          <w:lang w:bidi="en-US"/>
        </w:rPr>
        <w:t xml:space="preserve"> lived experiences </w:t>
      </w:r>
      <w:r w:rsidR="00D23A6A" w:rsidRPr="007C3CC4">
        <w:rPr>
          <w:rFonts w:asciiTheme="minorHAnsi" w:hAnsiTheme="minorHAnsi" w:cstheme="minorHAnsi"/>
          <w:lang w:bidi="en-US"/>
        </w:rPr>
        <w:t xml:space="preserve">are </w:t>
      </w:r>
      <w:r w:rsidR="00CF0DC7" w:rsidRPr="007C3CC4">
        <w:rPr>
          <w:rFonts w:asciiTheme="minorHAnsi" w:hAnsiTheme="minorHAnsi" w:cstheme="minorHAnsi"/>
          <w:lang w:bidi="en-US"/>
        </w:rPr>
        <w:t>central to the development of inclusive and successful services, thus</w:t>
      </w:r>
      <w:r w:rsidR="002F172A" w:rsidRPr="007C3CC4">
        <w:rPr>
          <w:rFonts w:asciiTheme="minorHAnsi" w:hAnsiTheme="minorHAnsi" w:cstheme="minorHAnsi"/>
          <w:lang w:bidi="en-US"/>
        </w:rPr>
        <w:t xml:space="preserve"> </w:t>
      </w:r>
      <w:r w:rsidR="00D548DD" w:rsidRPr="007C3CC4">
        <w:rPr>
          <w:rFonts w:asciiTheme="minorHAnsi" w:hAnsiTheme="minorHAnsi" w:cstheme="minorHAnsi"/>
          <w:lang w:bidi="en-US"/>
        </w:rPr>
        <w:t>we see attempts to co-construct</w:t>
      </w:r>
      <w:r w:rsidR="007F6BE3" w:rsidRPr="007C3CC4">
        <w:rPr>
          <w:rFonts w:asciiTheme="minorHAnsi" w:hAnsiTheme="minorHAnsi" w:cstheme="minorHAnsi"/>
          <w:lang w:bidi="en-US"/>
        </w:rPr>
        <w:t xml:space="preserve"> services to meet the needs of service users. </w:t>
      </w:r>
      <w:r w:rsidR="00DF727C" w:rsidRPr="007C3CC4">
        <w:rPr>
          <w:rFonts w:asciiTheme="minorHAnsi" w:hAnsiTheme="minorHAnsi" w:cstheme="minorHAnsi"/>
          <w:lang w:bidi="en-US"/>
        </w:rPr>
        <w:t>I</w:t>
      </w:r>
      <w:r w:rsidR="00781F27" w:rsidRPr="007C3CC4">
        <w:rPr>
          <w:rFonts w:asciiTheme="minorHAnsi" w:hAnsiTheme="minorHAnsi" w:cstheme="minorHAnsi"/>
          <w:lang w:bidi="en-US"/>
        </w:rPr>
        <w:t>n third sector social care services</w:t>
      </w:r>
      <w:r w:rsidR="00DF727C" w:rsidRPr="007C3CC4">
        <w:rPr>
          <w:rFonts w:asciiTheme="minorHAnsi" w:hAnsiTheme="minorHAnsi" w:cstheme="minorHAnsi"/>
          <w:lang w:bidi="en-US"/>
        </w:rPr>
        <w:t>,</w:t>
      </w:r>
      <w:r w:rsidR="00781F27" w:rsidRPr="007C3CC4">
        <w:rPr>
          <w:rFonts w:asciiTheme="minorHAnsi" w:hAnsiTheme="minorHAnsi" w:cstheme="minorHAnsi"/>
          <w:lang w:bidi="en-US"/>
        </w:rPr>
        <w:t xml:space="preserve"> </w:t>
      </w:r>
      <w:r w:rsidR="00DF727C" w:rsidRPr="007C3CC4">
        <w:rPr>
          <w:rFonts w:asciiTheme="minorHAnsi" w:hAnsiTheme="minorHAnsi" w:cstheme="minorHAnsi"/>
          <w:lang w:bidi="en-US"/>
        </w:rPr>
        <w:t xml:space="preserve">this model </w:t>
      </w:r>
      <w:r w:rsidR="00781F27" w:rsidRPr="007C3CC4">
        <w:rPr>
          <w:rFonts w:asciiTheme="minorHAnsi" w:hAnsiTheme="minorHAnsi" w:cstheme="minorHAnsi"/>
          <w:lang w:bidi="en-US"/>
        </w:rPr>
        <w:t xml:space="preserve">has become </w:t>
      </w:r>
      <w:r w:rsidR="00EE3039" w:rsidRPr="007C3CC4">
        <w:rPr>
          <w:rFonts w:asciiTheme="minorHAnsi" w:hAnsiTheme="minorHAnsi" w:cstheme="minorHAnsi"/>
          <w:lang w:bidi="en-US"/>
        </w:rPr>
        <w:t>an ideal form of involvement</w:t>
      </w:r>
      <w:r w:rsidR="00DF727C" w:rsidRPr="007C3CC4">
        <w:rPr>
          <w:rFonts w:asciiTheme="minorHAnsi" w:hAnsiTheme="minorHAnsi" w:cstheme="minorHAnsi"/>
          <w:lang w:bidi="en-US"/>
        </w:rPr>
        <w:t>.  I</w:t>
      </w:r>
      <w:r w:rsidR="00EE3039" w:rsidRPr="007C3CC4">
        <w:rPr>
          <w:rFonts w:asciiTheme="minorHAnsi" w:hAnsiTheme="minorHAnsi" w:cstheme="minorHAnsi"/>
          <w:lang w:bidi="en-US"/>
        </w:rPr>
        <w:t>t is the leas</w:t>
      </w:r>
      <w:r w:rsidR="009B053C" w:rsidRPr="007C3CC4">
        <w:rPr>
          <w:rFonts w:asciiTheme="minorHAnsi" w:hAnsiTheme="minorHAnsi" w:cstheme="minorHAnsi"/>
          <w:lang w:bidi="en-US"/>
        </w:rPr>
        <w:t>t</w:t>
      </w:r>
      <w:r w:rsidR="00EE3039" w:rsidRPr="007C3CC4">
        <w:rPr>
          <w:rFonts w:asciiTheme="minorHAnsi" w:hAnsiTheme="minorHAnsi" w:cstheme="minorHAnsi"/>
          <w:lang w:bidi="en-US"/>
        </w:rPr>
        <w:t xml:space="preserve"> practised within the </w:t>
      </w:r>
      <w:r w:rsidR="009B053C" w:rsidRPr="007C3CC4">
        <w:rPr>
          <w:rFonts w:asciiTheme="minorHAnsi" w:hAnsiTheme="minorHAnsi" w:cstheme="minorHAnsi"/>
          <w:lang w:bidi="en-US"/>
        </w:rPr>
        <w:t>C</w:t>
      </w:r>
      <w:r w:rsidR="00EE3039" w:rsidRPr="007C3CC4">
        <w:rPr>
          <w:rFonts w:asciiTheme="minorHAnsi" w:hAnsiTheme="minorHAnsi" w:cstheme="minorHAnsi"/>
          <w:lang w:bidi="en-US"/>
        </w:rPr>
        <w:t xml:space="preserve">riminal </w:t>
      </w:r>
      <w:r w:rsidR="009B053C" w:rsidRPr="007C3CC4">
        <w:rPr>
          <w:rFonts w:asciiTheme="minorHAnsi" w:hAnsiTheme="minorHAnsi" w:cstheme="minorHAnsi"/>
          <w:lang w:bidi="en-US"/>
        </w:rPr>
        <w:t>J</w:t>
      </w:r>
      <w:r w:rsidR="00EE3039" w:rsidRPr="007C3CC4">
        <w:rPr>
          <w:rFonts w:asciiTheme="minorHAnsi" w:hAnsiTheme="minorHAnsi" w:cstheme="minorHAnsi"/>
          <w:lang w:bidi="en-US"/>
        </w:rPr>
        <w:t xml:space="preserve">ustice </w:t>
      </w:r>
      <w:r w:rsidR="009B053C" w:rsidRPr="007C3CC4">
        <w:rPr>
          <w:rFonts w:asciiTheme="minorHAnsi" w:hAnsiTheme="minorHAnsi" w:cstheme="minorHAnsi"/>
          <w:lang w:bidi="en-US"/>
        </w:rPr>
        <w:t>S</w:t>
      </w:r>
      <w:r w:rsidR="00EE3039" w:rsidRPr="007C3CC4">
        <w:rPr>
          <w:rFonts w:asciiTheme="minorHAnsi" w:hAnsiTheme="minorHAnsi" w:cstheme="minorHAnsi"/>
          <w:lang w:bidi="en-US"/>
        </w:rPr>
        <w:t xml:space="preserve">ystem. </w:t>
      </w:r>
      <w:r w:rsidR="00754E8F" w:rsidRPr="00256F19">
        <w:rPr>
          <w:rFonts w:asciiTheme="minorHAnsi" w:hAnsiTheme="minorHAnsi" w:cstheme="minorHAnsi"/>
          <w:lang w:bidi="en-US"/>
        </w:rPr>
        <w:t xml:space="preserve">As service users are often current or ex-offenders their lived experiences </w:t>
      </w:r>
      <w:r w:rsidR="00DA2453" w:rsidRPr="00256F19">
        <w:rPr>
          <w:rFonts w:asciiTheme="minorHAnsi" w:hAnsiTheme="minorHAnsi" w:cstheme="minorHAnsi"/>
          <w:lang w:bidi="en-US"/>
        </w:rPr>
        <w:t>have</w:t>
      </w:r>
      <w:r w:rsidR="00754E8F" w:rsidRPr="00256F19">
        <w:rPr>
          <w:rFonts w:asciiTheme="minorHAnsi" w:hAnsiTheme="minorHAnsi" w:cstheme="minorHAnsi"/>
          <w:lang w:bidi="en-US"/>
        </w:rPr>
        <w:t xml:space="preserve"> often been</w:t>
      </w:r>
      <w:r w:rsidR="00DA2453" w:rsidRPr="00256F19">
        <w:rPr>
          <w:rFonts w:asciiTheme="minorHAnsi" w:hAnsiTheme="minorHAnsi" w:cstheme="minorHAnsi"/>
          <w:lang w:bidi="en-US"/>
        </w:rPr>
        <w:t xml:space="preserve"> invalidated or rejected by criminal justice agencies or professionals</w:t>
      </w:r>
      <w:r w:rsidR="009B053C" w:rsidRPr="00256F19">
        <w:rPr>
          <w:rFonts w:asciiTheme="minorHAnsi" w:hAnsiTheme="minorHAnsi" w:cstheme="minorHAnsi"/>
          <w:lang w:bidi="en-US"/>
        </w:rPr>
        <w:t xml:space="preserve"> </w:t>
      </w:r>
      <w:r w:rsidR="00DF727C" w:rsidRPr="00256F19">
        <w:rPr>
          <w:rFonts w:asciiTheme="minorHAnsi" w:hAnsiTheme="minorHAnsi" w:cstheme="minorHAnsi"/>
          <w:color w:val="000000" w:themeColor="text1"/>
        </w:rPr>
        <w:t xml:space="preserve">(Macdonald </w:t>
      </w:r>
      <w:r w:rsidR="00DF727C" w:rsidRPr="00256F19">
        <w:rPr>
          <w:rFonts w:asciiTheme="minorHAnsi" w:hAnsiTheme="minorHAnsi" w:cstheme="minorHAnsi"/>
          <w:i/>
          <w:iCs/>
          <w:color w:val="000000" w:themeColor="text1"/>
        </w:rPr>
        <w:t>et al.</w:t>
      </w:r>
      <w:r w:rsidR="00AF3934" w:rsidRPr="00256F19">
        <w:rPr>
          <w:rFonts w:asciiTheme="minorHAnsi" w:hAnsiTheme="minorHAnsi" w:cstheme="minorHAnsi"/>
          <w:i/>
          <w:iCs/>
          <w:color w:val="000000" w:themeColor="text1"/>
        </w:rPr>
        <w:t>,</w:t>
      </w:r>
      <w:r w:rsidR="00DF727C" w:rsidRPr="00256F19">
        <w:rPr>
          <w:rFonts w:asciiTheme="minorHAnsi" w:hAnsiTheme="minorHAnsi" w:cstheme="minorHAnsi"/>
          <w:color w:val="000000" w:themeColor="text1"/>
        </w:rPr>
        <w:t xml:space="preserve"> 2020</w:t>
      </w:r>
      <w:r w:rsidR="009B053C" w:rsidRPr="00256F19">
        <w:rPr>
          <w:rFonts w:asciiTheme="minorHAnsi" w:hAnsiTheme="minorHAnsi" w:cstheme="minorHAnsi"/>
          <w:color w:val="000000" w:themeColor="text1"/>
        </w:rPr>
        <w:t>)</w:t>
      </w:r>
      <w:r w:rsidR="00DF727C" w:rsidRPr="00256F19">
        <w:rPr>
          <w:rFonts w:asciiTheme="minorHAnsi" w:hAnsiTheme="minorHAnsi" w:cstheme="minorHAnsi"/>
          <w:color w:val="000000" w:themeColor="text1"/>
          <w:lang w:bidi="en-US"/>
        </w:rPr>
        <w:t>; t</w:t>
      </w:r>
      <w:r w:rsidR="00D1285A" w:rsidRPr="00256F19">
        <w:rPr>
          <w:rFonts w:asciiTheme="minorHAnsi" w:hAnsiTheme="minorHAnsi" w:cstheme="minorHAnsi"/>
          <w:lang w:bidi="en-US"/>
        </w:rPr>
        <w:t xml:space="preserve">here </w:t>
      </w:r>
      <w:r w:rsidR="00231783" w:rsidRPr="00256F19">
        <w:rPr>
          <w:rFonts w:asciiTheme="minorHAnsi" w:hAnsiTheme="minorHAnsi" w:cstheme="minorHAnsi"/>
          <w:lang w:bidi="en-US"/>
        </w:rPr>
        <w:t>are</w:t>
      </w:r>
      <w:r w:rsidR="00D1285A" w:rsidRPr="00256F19">
        <w:rPr>
          <w:rFonts w:asciiTheme="minorHAnsi" w:hAnsiTheme="minorHAnsi" w:cstheme="minorHAnsi"/>
          <w:lang w:bidi="en-US"/>
        </w:rPr>
        <w:t xml:space="preserve"> some examples in organisations </w:t>
      </w:r>
      <w:r w:rsidR="00BF017E" w:rsidRPr="00256F19">
        <w:rPr>
          <w:rFonts w:asciiTheme="minorHAnsi" w:hAnsiTheme="minorHAnsi" w:cstheme="minorHAnsi"/>
          <w:lang w:bidi="en-US"/>
        </w:rPr>
        <w:t>that</w:t>
      </w:r>
      <w:r w:rsidR="00D1285A" w:rsidRPr="00256F19">
        <w:rPr>
          <w:rFonts w:asciiTheme="minorHAnsi" w:hAnsiTheme="minorHAnsi" w:cstheme="minorHAnsi"/>
          <w:lang w:bidi="en-US"/>
        </w:rPr>
        <w:t xml:space="preserve"> have supported desistance with ex-offenders. </w:t>
      </w:r>
      <w:r w:rsidR="00DF727C" w:rsidRPr="00256F19">
        <w:rPr>
          <w:rFonts w:asciiTheme="minorHAnsi" w:hAnsiTheme="minorHAnsi" w:cstheme="minorHAnsi"/>
          <w:lang w:bidi="en-US"/>
        </w:rPr>
        <w:t>E</w:t>
      </w:r>
      <w:r w:rsidR="00D1285A" w:rsidRPr="00256F19">
        <w:rPr>
          <w:rFonts w:asciiTheme="minorHAnsi" w:hAnsiTheme="minorHAnsi" w:cstheme="minorHAnsi"/>
          <w:lang w:bidi="en-US"/>
        </w:rPr>
        <w:t xml:space="preserve">xamples </w:t>
      </w:r>
      <w:r w:rsidR="00DF727C" w:rsidRPr="00256F19">
        <w:rPr>
          <w:rFonts w:asciiTheme="minorHAnsi" w:hAnsiTheme="minorHAnsi" w:cstheme="minorHAnsi"/>
          <w:lang w:bidi="en-US"/>
        </w:rPr>
        <w:t xml:space="preserve">include </w:t>
      </w:r>
      <w:r w:rsidR="00391C26" w:rsidRPr="00256F19">
        <w:rPr>
          <w:rFonts w:asciiTheme="minorHAnsi" w:hAnsiTheme="minorHAnsi" w:cstheme="minorHAnsi"/>
          <w:lang w:bidi="en-US"/>
        </w:rPr>
        <w:lastRenderedPageBreak/>
        <w:t>third sector organisations</w:t>
      </w:r>
      <w:r w:rsidR="00E9104F" w:rsidRPr="00256F19">
        <w:rPr>
          <w:rFonts w:asciiTheme="minorHAnsi" w:hAnsiTheme="minorHAnsi" w:cstheme="minorHAnsi"/>
          <w:lang w:bidi="en-US"/>
        </w:rPr>
        <w:t xml:space="preserve"> created </w:t>
      </w:r>
      <w:r w:rsidR="00391C26" w:rsidRPr="00256F19">
        <w:rPr>
          <w:rFonts w:asciiTheme="minorHAnsi" w:hAnsiTheme="minorHAnsi" w:cstheme="minorHAnsi"/>
          <w:lang w:bidi="en-US"/>
        </w:rPr>
        <w:t>by ex-prisoners</w:t>
      </w:r>
      <w:r w:rsidR="00DF727C" w:rsidRPr="00256F19">
        <w:rPr>
          <w:rFonts w:asciiTheme="minorHAnsi" w:hAnsiTheme="minorHAnsi" w:cstheme="minorHAnsi"/>
          <w:lang w:bidi="en-US"/>
        </w:rPr>
        <w:t>,</w:t>
      </w:r>
      <w:r w:rsidR="00E9104F" w:rsidRPr="00256F19">
        <w:rPr>
          <w:rFonts w:asciiTheme="minorHAnsi" w:hAnsiTheme="minorHAnsi" w:cstheme="minorHAnsi"/>
          <w:lang w:bidi="en-US"/>
        </w:rPr>
        <w:t xml:space="preserve"> and often focus on peer support,</w:t>
      </w:r>
      <w:r w:rsidR="00EC4774" w:rsidRPr="00256F19">
        <w:rPr>
          <w:rFonts w:asciiTheme="minorHAnsi" w:hAnsiTheme="minorHAnsi" w:cstheme="minorHAnsi"/>
          <w:lang w:bidi="en-US"/>
        </w:rPr>
        <w:t xml:space="preserve"> access to education provision</w:t>
      </w:r>
      <w:r w:rsidR="00BF017E" w:rsidRPr="00256F19">
        <w:rPr>
          <w:rFonts w:asciiTheme="minorHAnsi" w:hAnsiTheme="minorHAnsi" w:cstheme="minorHAnsi"/>
          <w:lang w:bidi="en-US"/>
        </w:rPr>
        <w:t>,</w:t>
      </w:r>
      <w:r w:rsidR="00EC4774" w:rsidRPr="00256F19">
        <w:rPr>
          <w:rFonts w:asciiTheme="minorHAnsi" w:hAnsiTheme="minorHAnsi" w:cstheme="minorHAnsi"/>
          <w:lang w:bidi="en-US"/>
        </w:rPr>
        <w:t xml:space="preserve"> </w:t>
      </w:r>
      <w:r w:rsidR="00E9104F" w:rsidRPr="00256F19">
        <w:rPr>
          <w:rFonts w:asciiTheme="minorHAnsi" w:hAnsiTheme="minorHAnsi" w:cstheme="minorHAnsi"/>
          <w:lang w:bidi="en-US"/>
        </w:rPr>
        <w:t>and training</w:t>
      </w:r>
      <w:r w:rsidR="00903F8F" w:rsidRPr="00256F19">
        <w:rPr>
          <w:rFonts w:asciiTheme="minorHAnsi" w:hAnsiTheme="minorHAnsi" w:cstheme="minorHAnsi"/>
          <w:lang w:bidi="en-US"/>
        </w:rPr>
        <w:t xml:space="preserve"> (Honeywell</w:t>
      </w:r>
      <w:r w:rsidR="009B053C" w:rsidRPr="00256F19">
        <w:rPr>
          <w:rFonts w:asciiTheme="minorHAnsi" w:hAnsiTheme="minorHAnsi" w:cstheme="minorHAnsi"/>
          <w:lang w:bidi="en-US"/>
        </w:rPr>
        <w:t xml:space="preserve">, </w:t>
      </w:r>
      <w:r w:rsidR="00903F8F" w:rsidRPr="00256F19">
        <w:rPr>
          <w:rFonts w:asciiTheme="minorHAnsi" w:hAnsiTheme="minorHAnsi" w:cstheme="minorHAnsi"/>
          <w:lang w:bidi="en-US"/>
        </w:rPr>
        <w:t xml:space="preserve">2020). </w:t>
      </w:r>
    </w:p>
    <w:p w14:paraId="430B9032" w14:textId="20728342" w:rsidR="00903F8F" w:rsidRPr="00256F19" w:rsidRDefault="00903F8F" w:rsidP="00743C8C">
      <w:pPr>
        <w:spacing w:line="360" w:lineRule="auto"/>
        <w:contextualSpacing/>
        <w:mirrorIndents/>
        <w:jc w:val="both"/>
        <w:rPr>
          <w:rFonts w:asciiTheme="minorHAnsi" w:hAnsiTheme="minorHAnsi" w:cstheme="minorHAnsi"/>
          <w:lang w:bidi="en-US"/>
        </w:rPr>
      </w:pPr>
    </w:p>
    <w:p w14:paraId="0249FA04" w14:textId="224314DC" w:rsidR="00D06499" w:rsidRPr="004B1B18" w:rsidRDefault="00A74C1C" w:rsidP="00743C8C">
      <w:pPr>
        <w:spacing w:line="360" w:lineRule="auto"/>
        <w:contextualSpacing/>
        <w:mirrorIndents/>
        <w:jc w:val="both"/>
        <w:rPr>
          <w:rFonts w:asciiTheme="minorHAnsi" w:hAnsiTheme="minorHAnsi" w:cstheme="minorHAnsi"/>
          <w:lang w:bidi="en-US"/>
        </w:rPr>
      </w:pPr>
      <w:r w:rsidRPr="00DE1DD8">
        <w:rPr>
          <w:rFonts w:asciiTheme="minorHAnsi" w:hAnsiTheme="minorHAnsi" w:cstheme="minorHAnsi"/>
          <w:lang w:bidi="en-US"/>
        </w:rPr>
        <w:t xml:space="preserve">To conceptualise </w:t>
      </w:r>
      <w:r w:rsidR="00D1154B" w:rsidRPr="00DE1DD8">
        <w:rPr>
          <w:rFonts w:asciiTheme="minorHAnsi" w:hAnsiTheme="minorHAnsi" w:cstheme="minorHAnsi"/>
          <w:lang w:bidi="en-US"/>
        </w:rPr>
        <w:t>how</w:t>
      </w:r>
      <w:r w:rsidRPr="00DE1DD8">
        <w:rPr>
          <w:rFonts w:asciiTheme="minorHAnsi" w:hAnsiTheme="minorHAnsi" w:cstheme="minorHAnsi"/>
          <w:lang w:bidi="en-US"/>
        </w:rPr>
        <w:t xml:space="preserve"> involvement is incorporated</w:t>
      </w:r>
      <w:r w:rsidR="00B908DE" w:rsidRPr="00DE1DD8">
        <w:rPr>
          <w:rFonts w:asciiTheme="minorHAnsi" w:hAnsiTheme="minorHAnsi" w:cstheme="minorHAnsi"/>
          <w:lang w:bidi="en-US"/>
        </w:rPr>
        <w:t xml:space="preserve"> into the practices of</w:t>
      </w:r>
      <w:r w:rsidR="002368E1" w:rsidRPr="00DE1DD8">
        <w:rPr>
          <w:rFonts w:asciiTheme="minorHAnsi" w:hAnsiTheme="minorHAnsi" w:cstheme="minorHAnsi"/>
          <w:lang w:bidi="en-US"/>
        </w:rPr>
        <w:t xml:space="preserve"> schemes providing Appropriate Adult services</w:t>
      </w:r>
      <w:r w:rsidR="005C56C5" w:rsidRPr="00DE1DD8">
        <w:rPr>
          <w:rFonts w:asciiTheme="minorHAnsi" w:hAnsiTheme="minorHAnsi" w:cstheme="minorHAnsi"/>
          <w:lang w:bidi="en-US"/>
        </w:rPr>
        <w:t>, this study will apply</w:t>
      </w:r>
      <w:r w:rsidR="005C56C5" w:rsidRPr="00DE1DD8">
        <w:rPr>
          <w:rFonts w:asciiTheme="minorHAnsi" w:hAnsiTheme="minorHAnsi" w:cstheme="minorHAnsi"/>
        </w:rPr>
        <w:t xml:space="preserve"> </w:t>
      </w:r>
      <w:proofErr w:type="spellStart"/>
      <w:r w:rsidR="005C56C5" w:rsidRPr="00DE1DD8">
        <w:rPr>
          <w:rFonts w:asciiTheme="minorHAnsi" w:hAnsiTheme="minorHAnsi" w:cstheme="minorHAnsi"/>
          <w:lang w:bidi="en-US"/>
        </w:rPr>
        <w:t>Forbat</w:t>
      </w:r>
      <w:proofErr w:type="spellEnd"/>
      <w:r w:rsidR="005C56C5" w:rsidRPr="00DE1DD8">
        <w:rPr>
          <w:rFonts w:asciiTheme="minorHAnsi" w:hAnsiTheme="minorHAnsi" w:cstheme="minorHAnsi"/>
          <w:lang w:bidi="en-US"/>
        </w:rPr>
        <w:t xml:space="preserve"> </w:t>
      </w:r>
      <w:r w:rsidR="005C56C5" w:rsidRPr="00DE1DD8">
        <w:rPr>
          <w:rFonts w:asciiTheme="minorHAnsi" w:hAnsiTheme="minorHAnsi" w:cstheme="minorHAnsi"/>
          <w:i/>
          <w:iCs/>
          <w:lang w:bidi="en-US"/>
        </w:rPr>
        <w:t>et al</w:t>
      </w:r>
      <w:r w:rsidR="00A23521" w:rsidRPr="00DE1DD8">
        <w:rPr>
          <w:rFonts w:asciiTheme="minorHAnsi" w:hAnsiTheme="minorHAnsi" w:cstheme="minorHAnsi"/>
          <w:i/>
          <w:iCs/>
          <w:lang w:bidi="en-US"/>
        </w:rPr>
        <w:t>.</w:t>
      </w:r>
      <w:r w:rsidR="002368E1" w:rsidRPr="00DE1DD8">
        <w:rPr>
          <w:rFonts w:asciiTheme="minorHAnsi" w:hAnsiTheme="minorHAnsi" w:cstheme="minorHAnsi"/>
          <w:lang w:bidi="en-US"/>
        </w:rPr>
        <w:t>’s</w:t>
      </w:r>
      <w:r w:rsidR="005C56C5" w:rsidRPr="00DE1DD8">
        <w:rPr>
          <w:rFonts w:asciiTheme="minorHAnsi" w:hAnsiTheme="minorHAnsi" w:cstheme="minorHAnsi"/>
          <w:lang w:bidi="en-US"/>
        </w:rPr>
        <w:t xml:space="preserve"> (2009) </w:t>
      </w:r>
      <w:r w:rsidR="00D74ED9" w:rsidRPr="00DE1DD8">
        <w:rPr>
          <w:rFonts w:asciiTheme="minorHAnsi" w:hAnsiTheme="minorHAnsi" w:cstheme="minorHAnsi"/>
          <w:lang w:bidi="en-US"/>
        </w:rPr>
        <w:t>models to analyse their current practice concerning service user involvement.</w:t>
      </w:r>
      <w:r w:rsidR="00637691" w:rsidRPr="00DE1DD8">
        <w:rPr>
          <w:rFonts w:asciiTheme="minorHAnsi" w:hAnsiTheme="minorHAnsi" w:cstheme="minorHAnsi"/>
          <w:lang w:bidi="en-US"/>
        </w:rPr>
        <w:t xml:space="preserve"> The National </w:t>
      </w:r>
      <w:r w:rsidR="00364977" w:rsidRPr="00DE1DD8">
        <w:rPr>
          <w:rFonts w:asciiTheme="minorHAnsi" w:hAnsiTheme="minorHAnsi" w:cstheme="minorHAnsi"/>
          <w:lang w:bidi="en-US"/>
        </w:rPr>
        <w:t xml:space="preserve">Appropriate Adult Network </w:t>
      </w:r>
      <w:r w:rsidR="00637691" w:rsidRPr="00DE1DD8">
        <w:rPr>
          <w:rFonts w:asciiTheme="minorHAnsi" w:hAnsiTheme="minorHAnsi" w:cstheme="minorHAnsi"/>
          <w:lang w:bidi="en-US"/>
        </w:rPr>
        <w:t>has recently advocated for the importance of service user involvement in their services at every level (N</w:t>
      </w:r>
      <w:r w:rsidR="00231783" w:rsidRPr="00DE1DD8">
        <w:rPr>
          <w:rFonts w:asciiTheme="minorHAnsi" w:hAnsiTheme="minorHAnsi" w:cstheme="minorHAnsi"/>
          <w:lang w:bidi="en-US"/>
        </w:rPr>
        <w:t>AAN</w:t>
      </w:r>
      <w:r w:rsidR="00DF727C" w:rsidRPr="00DE1DD8">
        <w:rPr>
          <w:rFonts w:asciiTheme="minorHAnsi" w:hAnsiTheme="minorHAnsi" w:cstheme="minorHAnsi"/>
          <w:lang w:bidi="en-US"/>
        </w:rPr>
        <w:t>, 2017, 2019</w:t>
      </w:r>
      <w:r w:rsidR="00637691" w:rsidRPr="00DE1DD8">
        <w:rPr>
          <w:rFonts w:asciiTheme="minorHAnsi" w:hAnsiTheme="minorHAnsi" w:cstheme="minorHAnsi"/>
          <w:lang w:bidi="en-US"/>
        </w:rPr>
        <w:t>)</w:t>
      </w:r>
      <w:r w:rsidR="00231783" w:rsidRPr="00DE1DD8">
        <w:rPr>
          <w:rFonts w:asciiTheme="minorHAnsi" w:hAnsiTheme="minorHAnsi" w:cstheme="minorHAnsi"/>
          <w:lang w:bidi="en-US"/>
        </w:rPr>
        <w:t xml:space="preserve">. </w:t>
      </w:r>
      <w:r w:rsidR="002368E1" w:rsidRPr="00DE6786">
        <w:rPr>
          <w:rFonts w:asciiTheme="minorHAnsi" w:hAnsiTheme="minorHAnsi" w:cstheme="minorHAnsi"/>
        </w:rPr>
        <w:t>T</w:t>
      </w:r>
      <w:r w:rsidR="00DF727C" w:rsidRPr="00DE6786">
        <w:rPr>
          <w:rFonts w:asciiTheme="minorHAnsi" w:hAnsiTheme="minorHAnsi" w:cstheme="minorHAnsi"/>
        </w:rPr>
        <w:t xml:space="preserve">he </w:t>
      </w:r>
      <w:r w:rsidR="00E40AD0" w:rsidRPr="00DE6786">
        <w:rPr>
          <w:rFonts w:asciiTheme="minorHAnsi" w:hAnsiTheme="minorHAnsi" w:cstheme="minorHAnsi"/>
          <w:lang w:bidi="en-US"/>
        </w:rPr>
        <w:t>National Appropriate Adult Network</w:t>
      </w:r>
      <w:r w:rsidR="002C77E6" w:rsidRPr="00DE6786">
        <w:rPr>
          <w:rFonts w:asciiTheme="minorHAnsi" w:hAnsiTheme="minorHAnsi" w:cstheme="minorHAnsi"/>
          <w:lang w:bidi="en-US"/>
        </w:rPr>
        <w:t xml:space="preserve"> is encouraging its members to move away from the traditional criminal justice notion of involvement</w:t>
      </w:r>
      <w:r w:rsidR="00A77B73" w:rsidRPr="00DE6786">
        <w:rPr>
          <w:rFonts w:asciiTheme="minorHAnsi" w:hAnsiTheme="minorHAnsi" w:cstheme="minorHAnsi"/>
          <w:lang w:bidi="en-US"/>
        </w:rPr>
        <w:t xml:space="preserve"> represented by the ‘social-democratic’ model of citizen democracy</w:t>
      </w:r>
      <w:r w:rsidR="002368E1" w:rsidRPr="00DE6786">
        <w:rPr>
          <w:rFonts w:asciiTheme="minorHAnsi" w:hAnsiTheme="minorHAnsi" w:cstheme="minorHAnsi"/>
          <w:lang w:bidi="en-US"/>
        </w:rPr>
        <w:t>,</w:t>
      </w:r>
      <w:r w:rsidR="00A77B73" w:rsidRPr="00DE6786">
        <w:rPr>
          <w:rFonts w:asciiTheme="minorHAnsi" w:hAnsiTheme="minorHAnsi" w:cstheme="minorHAnsi"/>
          <w:lang w:bidi="en-US"/>
        </w:rPr>
        <w:t xml:space="preserve"> to that of</w:t>
      </w:r>
      <w:r w:rsidR="00F4664B" w:rsidRPr="00DE6786">
        <w:rPr>
          <w:rFonts w:asciiTheme="minorHAnsi" w:hAnsiTheme="minorHAnsi" w:cstheme="minorHAnsi"/>
          <w:lang w:bidi="en-US"/>
        </w:rPr>
        <w:t xml:space="preserve"> a</w:t>
      </w:r>
      <w:r w:rsidR="00DF46FB" w:rsidRPr="00DE6786">
        <w:rPr>
          <w:rFonts w:asciiTheme="minorHAnsi" w:hAnsiTheme="minorHAnsi" w:cstheme="minorHAnsi"/>
          <w:lang w:bidi="en-US"/>
        </w:rPr>
        <w:t>n</w:t>
      </w:r>
      <w:r w:rsidR="00F4664B" w:rsidRPr="00DE6786">
        <w:rPr>
          <w:rFonts w:asciiTheme="minorHAnsi" w:hAnsiTheme="minorHAnsi" w:cstheme="minorHAnsi"/>
          <w:lang w:bidi="en-US"/>
        </w:rPr>
        <w:t xml:space="preserve"> ‘emancipation and empowerment’ </w:t>
      </w:r>
      <w:r w:rsidR="00BB23D9" w:rsidRPr="00DE6786">
        <w:rPr>
          <w:rFonts w:asciiTheme="minorHAnsi" w:hAnsiTheme="minorHAnsi" w:cstheme="minorHAnsi"/>
          <w:lang w:bidi="en-US"/>
        </w:rPr>
        <w:t>approach</w:t>
      </w:r>
      <w:r w:rsidR="00576425" w:rsidRPr="00DE6786">
        <w:rPr>
          <w:rFonts w:asciiTheme="minorHAnsi" w:hAnsiTheme="minorHAnsi" w:cstheme="minorHAnsi"/>
          <w:lang w:bidi="en-US"/>
        </w:rPr>
        <w:t xml:space="preserve"> in line with </w:t>
      </w:r>
      <w:proofErr w:type="spellStart"/>
      <w:r w:rsidR="005D4FA8" w:rsidRPr="00DE6786">
        <w:rPr>
          <w:rFonts w:asciiTheme="minorHAnsi" w:hAnsiTheme="minorHAnsi" w:cstheme="minorHAnsi"/>
          <w:lang w:bidi="en-US"/>
        </w:rPr>
        <w:t>Arnstein’s</w:t>
      </w:r>
      <w:proofErr w:type="spellEnd"/>
      <w:r w:rsidR="00576425" w:rsidRPr="00DE6786">
        <w:rPr>
          <w:rFonts w:asciiTheme="minorHAnsi" w:hAnsiTheme="minorHAnsi" w:cstheme="minorHAnsi"/>
          <w:lang w:bidi="en-US"/>
        </w:rPr>
        <w:t xml:space="preserve"> (1969) concept of citizen power</w:t>
      </w:r>
      <w:r w:rsidR="002368E1" w:rsidRPr="00DE6786">
        <w:rPr>
          <w:rFonts w:asciiTheme="minorHAnsi" w:hAnsiTheme="minorHAnsi" w:cstheme="minorHAnsi"/>
          <w:lang w:bidi="en-US"/>
        </w:rPr>
        <w:t>.</w:t>
      </w:r>
      <w:r w:rsidR="00BB23D9" w:rsidRPr="00DE6786">
        <w:rPr>
          <w:rFonts w:asciiTheme="minorHAnsi" w:hAnsiTheme="minorHAnsi" w:cstheme="minorHAnsi"/>
          <w:lang w:bidi="en-US"/>
        </w:rPr>
        <w:t xml:space="preserve"> </w:t>
      </w:r>
      <w:r w:rsidR="002368E1" w:rsidRPr="00DE6786">
        <w:rPr>
          <w:rFonts w:asciiTheme="minorHAnsi" w:hAnsiTheme="minorHAnsi" w:cstheme="minorHAnsi"/>
          <w:lang w:bidi="en-US"/>
        </w:rPr>
        <w:t>S</w:t>
      </w:r>
      <w:r w:rsidR="00BB23D9" w:rsidRPr="00DE6786">
        <w:rPr>
          <w:rFonts w:asciiTheme="minorHAnsi" w:hAnsiTheme="minorHAnsi" w:cstheme="minorHAnsi"/>
          <w:lang w:bidi="en-US"/>
        </w:rPr>
        <w:t xml:space="preserve">ervice users, </w:t>
      </w:r>
      <w:r w:rsidR="001D1FFE" w:rsidRPr="00DE6786">
        <w:rPr>
          <w:rFonts w:asciiTheme="minorHAnsi" w:hAnsiTheme="minorHAnsi" w:cstheme="minorHAnsi"/>
          <w:lang w:bidi="en-US"/>
        </w:rPr>
        <w:t>i.e.,</w:t>
      </w:r>
      <w:r w:rsidR="00BB23D9" w:rsidRPr="00DE6786">
        <w:rPr>
          <w:rFonts w:asciiTheme="minorHAnsi" w:hAnsiTheme="minorHAnsi" w:cstheme="minorHAnsi"/>
          <w:lang w:bidi="en-US"/>
        </w:rPr>
        <w:t xml:space="preserve"> </w:t>
      </w:r>
      <w:r w:rsidR="002368E1" w:rsidRPr="00DE6786">
        <w:rPr>
          <w:rFonts w:asciiTheme="minorHAnsi" w:hAnsiTheme="minorHAnsi" w:cstheme="minorHAnsi"/>
          <w:lang w:bidi="en-US"/>
        </w:rPr>
        <w:t xml:space="preserve">‘vulnerable’ </w:t>
      </w:r>
      <w:r w:rsidR="00BB23D9" w:rsidRPr="00DE6786">
        <w:rPr>
          <w:rFonts w:asciiTheme="minorHAnsi" w:hAnsiTheme="minorHAnsi" w:cstheme="minorHAnsi"/>
          <w:lang w:bidi="en-US"/>
        </w:rPr>
        <w:t>ex-</w:t>
      </w:r>
      <w:r w:rsidR="001D1FFE" w:rsidRPr="00DE6786">
        <w:rPr>
          <w:rFonts w:asciiTheme="minorHAnsi" w:hAnsiTheme="minorHAnsi" w:cstheme="minorHAnsi"/>
          <w:lang w:bidi="en-US"/>
        </w:rPr>
        <w:t>offenders,</w:t>
      </w:r>
      <w:r w:rsidR="00950578" w:rsidRPr="00DE6786">
        <w:rPr>
          <w:rFonts w:asciiTheme="minorHAnsi" w:hAnsiTheme="minorHAnsi" w:cstheme="minorHAnsi"/>
          <w:lang w:bidi="en-US"/>
        </w:rPr>
        <w:t xml:space="preserve"> </w:t>
      </w:r>
      <w:r w:rsidR="004B3AD1" w:rsidRPr="00DE6786">
        <w:rPr>
          <w:rFonts w:asciiTheme="minorHAnsi" w:hAnsiTheme="minorHAnsi" w:cstheme="minorHAnsi"/>
          <w:lang w:bidi="en-US"/>
        </w:rPr>
        <w:t>are</w:t>
      </w:r>
      <w:r w:rsidR="00950578" w:rsidRPr="00DE6786">
        <w:rPr>
          <w:rFonts w:asciiTheme="minorHAnsi" w:hAnsiTheme="minorHAnsi" w:cstheme="minorHAnsi"/>
          <w:lang w:bidi="en-US"/>
        </w:rPr>
        <w:t xml:space="preserve"> </w:t>
      </w:r>
      <w:r w:rsidR="002368E1" w:rsidRPr="00DE6786">
        <w:rPr>
          <w:rFonts w:asciiTheme="minorHAnsi" w:hAnsiTheme="minorHAnsi" w:cstheme="minorHAnsi"/>
          <w:lang w:bidi="en-US"/>
        </w:rPr>
        <w:t xml:space="preserve">ideally </w:t>
      </w:r>
      <w:r w:rsidR="00950578" w:rsidRPr="00DE6786">
        <w:rPr>
          <w:rFonts w:asciiTheme="minorHAnsi" w:hAnsiTheme="minorHAnsi" w:cstheme="minorHAnsi"/>
          <w:lang w:bidi="en-US"/>
        </w:rPr>
        <w:t xml:space="preserve">active in </w:t>
      </w:r>
      <w:r w:rsidR="00BB23D9" w:rsidRPr="00DE6786">
        <w:rPr>
          <w:rFonts w:asciiTheme="minorHAnsi" w:hAnsiTheme="minorHAnsi" w:cstheme="minorHAnsi"/>
          <w:lang w:bidi="en-US"/>
        </w:rPr>
        <w:t xml:space="preserve">the </w:t>
      </w:r>
      <w:r w:rsidR="00CF7E2B" w:rsidRPr="00DE6786">
        <w:rPr>
          <w:rFonts w:asciiTheme="minorHAnsi" w:hAnsiTheme="minorHAnsi" w:cstheme="minorHAnsi"/>
          <w:lang w:bidi="en-US"/>
        </w:rPr>
        <w:t>training of volunteers,</w:t>
      </w:r>
      <w:r w:rsidR="0004070A" w:rsidRPr="00DE6786">
        <w:rPr>
          <w:rFonts w:asciiTheme="minorHAnsi" w:hAnsiTheme="minorHAnsi" w:cstheme="minorHAnsi"/>
          <w:lang w:bidi="en-US"/>
        </w:rPr>
        <w:t xml:space="preserve"> </w:t>
      </w:r>
      <w:r w:rsidR="004B3AD1" w:rsidRPr="00DE6786">
        <w:rPr>
          <w:rFonts w:asciiTheme="minorHAnsi" w:hAnsiTheme="minorHAnsi" w:cstheme="minorHAnsi"/>
          <w:lang w:bidi="en-US"/>
        </w:rPr>
        <w:t>the management, organisation</w:t>
      </w:r>
      <w:r w:rsidR="00DF46FB" w:rsidRPr="00DE6786">
        <w:rPr>
          <w:rFonts w:asciiTheme="minorHAnsi" w:hAnsiTheme="minorHAnsi" w:cstheme="minorHAnsi"/>
          <w:lang w:bidi="en-US"/>
        </w:rPr>
        <w:t>,</w:t>
      </w:r>
      <w:r w:rsidR="004B3AD1" w:rsidRPr="00DE6786">
        <w:rPr>
          <w:rFonts w:asciiTheme="minorHAnsi" w:hAnsiTheme="minorHAnsi" w:cstheme="minorHAnsi"/>
          <w:lang w:bidi="en-US"/>
        </w:rPr>
        <w:t xml:space="preserve"> and </w:t>
      </w:r>
      <w:r w:rsidR="0004070A" w:rsidRPr="00DE6786">
        <w:rPr>
          <w:rFonts w:asciiTheme="minorHAnsi" w:hAnsiTheme="minorHAnsi" w:cstheme="minorHAnsi"/>
          <w:lang w:bidi="en-US"/>
        </w:rPr>
        <w:t>development of services</w:t>
      </w:r>
      <w:r w:rsidR="00BB23D9" w:rsidRPr="00DE6786">
        <w:rPr>
          <w:rFonts w:asciiTheme="minorHAnsi" w:hAnsiTheme="minorHAnsi" w:cstheme="minorHAnsi"/>
          <w:lang w:bidi="en-US"/>
        </w:rPr>
        <w:t xml:space="preserve">, </w:t>
      </w:r>
      <w:r w:rsidR="00C21960" w:rsidRPr="00DE6786">
        <w:rPr>
          <w:rFonts w:asciiTheme="minorHAnsi" w:hAnsiTheme="minorHAnsi" w:cstheme="minorHAnsi"/>
          <w:lang w:bidi="en-US"/>
        </w:rPr>
        <w:t>and the empowerment of detainees in custody</w:t>
      </w:r>
      <w:r w:rsidR="00DF727C" w:rsidRPr="00DE6786">
        <w:rPr>
          <w:rFonts w:asciiTheme="minorHAnsi" w:hAnsiTheme="minorHAnsi" w:cstheme="minorHAnsi"/>
          <w:lang w:bidi="en-US"/>
        </w:rPr>
        <w:t xml:space="preserve"> (NAAN, 2020)</w:t>
      </w:r>
      <w:r w:rsidR="003C2A6F" w:rsidRPr="00DE6786">
        <w:rPr>
          <w:rFonts w:asciiTheme="minorHAnsi" w:hAnsiTheme="minorHAnsi" w:cstheme="minorHAnsi"/>
          <w:lang w:bidi="en-US"/>
        </w:rPr>
        <w:t>.</w:t>
      </w:r>
      <w:r w:rsidR="002409AC" w:rsidRPr="00DE6786">
        <w:rPr>
          <w:rFonts w:asciiTheme="minorHAnsi" w:hAnsiTheme="minorHAnsi" w:cstheme="minorHAnsi"/>
          <w:lang w:bidi="en-US"/>
        </w:rPr>
        <w:t xml:space="preserve"> </w:t>
      </w:r>
      <w:r w:rsidR="002409AC" w:rsidRPr="004B1B18">
        <w:rPr>
          <w:rFonts w:asciiTheme="minorHAnsi" w:hAnsiTheme="minorHAnsi" w:cstheme="minorHAnsi"/>
          <w:lang w:bidi="en-US"/>
        </w:rPr>
        <w:t>T</w:t>
      </w:r>
      <w:r w:rsidR="003C2A6F" w:rsidRPr="004B1B18">
        <w:rPr>
          <w:rFonts w:asciiTheme="minorHAnsi" w:hAnsiTheme="minorHAnsi" w:cstheme="minorHAnsi"/>
          <w:lang w:bidi="en-US"/>
        </w:rPr>
        <w:t>he National Appropriate Adult Network</w:t>
      </w:r>
      <w:r w:rsidR="006A64F5" w:rsidRPr="004B1B18">
        <w:rPr>
          <w:rFonts w:asciiTheme="minorHAnsi" w:hAnsiTheme="minorHAnsi" w:cstheme="minorHAnsi"/>
          <w:lang w:bidi="en-US"/>
        </w:rPr>
        <w:t xml:space="preserve"> has</w:t>
      </w:r>
      <w:r w:rsidR="00DF727C" w:rsidRPr="004B1B18">
        <w:rPr>
          <w:rFonts w:asciiTheme="minorHAnsi" w:hAnsiTheme="minorHAnsi" w:cstheme="minorHAnsi"/>
          <w:lang w:bidi="en-US"/>
        </w:rPr>
        <w:t xml:space="preserve"> a</w:t>
      </w:r>
      <w:r w:rsidR="006A64F5" w:rsidRPr="004B1B18">
        <w:rPr>
          <w:rFonts w:asciiTheme="minorHAnsi" w:hAnsiTheme="minorHAnsi" w:cstheme="minorHAnsi"/>
          <w:lang w:bidi="en-US"/>
        </w:rPr>
        <w:t xml:space="preserve"> diverse membership</w:t>
      </w:r>
      <w:r w:rsidR="00166E9C" w:rsidRPr="004B1B18">
        <w:rPr>
          <w:rFonts w:asciiTheme="minorHAnsi" w:hAnsiTheme="minorHAnsi" w:cstheme="minorHAnsi"/>
          <w:lang w:bidi="en-US"/>
        </w:rPr>
        <w:t xml:space="preserve"> </w:t>
      </w:r>
      <w:r w:rsidR="002368E1" w:rsidRPr="004B1B18">
        <w:rPr>
          <w:rFonts w:asciiTheme="minorHAnsi" w:hAnsiTheme="minorHAnsi" w:cstheme="minorHAnsi"/>
          <w:lang w:bidi="en-US"/>
        </w:rPr>
        <w:t>including schemes</w:t>
      </w:r>
      <w:r w:rsidR="00166E9C" w:rsidRPr="004B1B18">
        <w:rPr>
          <w:rFonts w:asciiTheme="minorHAnsi" w:hAnsiTheme="minorHAnsi" w:cstheme="minorHAnsi"/>
          <w:lang w:bidi="en-US"/>
        </w:rPr>
        <w:t xml:space="preserve"> </w:t>
      </w:r>
      <w:r w:rsidR="002409AC" w:rsidRPr="004B1B18">
        <w:rPr>
          <w:rFonts w:asciiTheme="minorHAnsi" w:hAnsiTheme="minorHAnsi" w:cstheme="minorHAnsi"/>
          <w:lang w:bidi="en-US"/>
        </w:rPr>
        <w:t>which</w:t>
      </w:r>
      <w:r w:rsidR="00166E9C" w:rsidRPr="004B1B18">
        <w:rPr>
          <w:rFonts w:asciiTheme="minorHAnsi" w:hAnsiTheme="minorHAnsi" w:cstheme="minorHAnsi"/>
          <w:lang w:bidi="en-US"/>
        </w:rPr>
        <w:t xml:space="preserve"> come from the</w:t>
      </w:r>
      <w:r w:rsidR="00C2130B" w:rsidRPr="004B1B18">
        <w:rPr>
          <w:rFonts w:asciiTheme="minorHAnsi" w:hAnsiTheme="minorHAnsi" w:cstheme="minorHAnsi"/>
          <w:lang w:bidi="en-US"/>
        </w:rPr>
        <w:t xml:space="preserve"> </w:t>
      </w:r>
      <w:r w:rsidR="006A64F5" w:rsidRPr="004B1B18">
        <w:rPr>
          <w:rFonts w:asciiTheme="minorHAnsi" w:hAnsiTheme="minorHAnsi" w:cstheme="minorHAnsi"/>
          <w:lang w:bidi="en-US"/>
        </w:rPr>
        <w:t>third sector,</w:t>
      </w:r>
      <w:r w:rsidR="00166E9C" w:rsidRPr="004B1B18">
        <w:rPr>
          <w:rFonts w:asciiTheme="minorHAnsi" w:hAnsiTheme="minorHAnsi" w:cstheme="minorHAnsi"/>
          <w:lang w:bidi="en-US"/>
        </w:rPr>
        <w:t xml:space="preserve"> private</w:t>
      </w:r>
      <w:r w:rsidR="006A64F5" w:rsidRPr="004B1B18">
        <w:rPr>
          <w:rFonts w:asciiTheme="minorHAnsi" w:hAnsiTheme="minorHAnsi" w:cstheme="minorHAnsi"/>
          <w:lang w:bidi="en-US"/>
        </w:rPr>
        <w:t xml:space="preserve"> enterprises</w:t>
      </w:r>
      <w:r w:rsidR="00DF46FB" w:rsidRPr="004B1B18">
        <w:rPr>
          <w:rFonts w:asciiTheme="minorHAnsi" w:hAnsiTheme="minorHAnsi" w:cstheme="minorHAnsi"/>
          <w:lang w:bidi="en-US"/>
        </w:rPr>
        <w:t>,</w:t>
      </w:r>
      <w:r w:rsidR="006A64F5" w:rsidRPr="004B1B18">
        <w:rPr>
          <w:rFonts w:asciiTheme="minorHAnsi" w:hAnsiTheme="minorHAnsi" w:cstheme="minorHAnsi"/>
          <w:lang w:bidi="en-US"/>
        </w:rPr>
        <w:t xml:space="preserve"> and some statutory services</w:t>
      </w:r>
      <w:r w:rsidR="00DF727C" w:rsidRPr="004B1B18">
        <w:rPr>
          <w:rFonts w:asciiTheme="minorHAnsi" w:hAnsiTheme="minorHAnsi" w:cstheme="minorHAnsi"/>
          <w:lang w:bidi="en-US"/>
        </w:rPr>
        <w:t>.</w:t>
      </w:r>
      <w:r w:rsidR="002409AC" w:rsidRPr="004B1B18">
        <w:rPr>
          <w:rFonts w:asciiTheme="minorHAnsi" w:hAnsiTheme="minorHAnsi" w:cstheme="minorHAnsi"/>
          <w:lang w:bidi="en-US"/>
        </w:rPr>
        <w:t xml:space="preserve"> </w:t>
      </w:r>
      <w:r w:rsidR="00DF727C" w:rsidRPr="004B1B18">
        <w:rPr>
          <w:rFonts w:asciiTheme="minorHAnsi" w:hAnsiTheme="minorHAnsi" w:cstheme="minorHAnsi"/>
          <w:lang w:bidi="en-US"/>
        </w:rPr>
        <w:t xml:space="preserve">Some </w:t>
      </w:r>
      <w:r w:rsidR="002368E1" w:rsidRPr="004B1B18">
        <w:rPr>
          <w:rFonts w:asciiTheme="minorHAnsi" w:hAnsiTheme="minorHAnsi" w:cstheme="minorHAnsi"/>
          <w:lang w:bidi="en-US"/>
        </w:rPr>
        <w:t>s</w:t>
      </w:r>
      <w:r w:rsidR="00DF727C" w:rsidRPr="004B1B18">
        <w:rPr>
          <w:rFonts w:asciiTheme="minorHAnsi" w:hAnsiTheme="minorHAnsi" w:cstheme="minorHAnsi"/>
          <w:lang w:bidi="en-US"/>
        </w:rPr>
        <w:t>chemes are not members of NAAN, or are members but not active participants.  T</w:t>
      </w:r>
      <w:r w:rsidR="00B0285A" w:rsidRPr="004B1B18">
        <w:rPr>
          <w:rFonts w:asciiTheme="minorHAnsi" w:hAnsiTheme="minorHAnsi" w:cstheme="minorHAnsi"/>
          <w:lang w:bidi="en-US"/>
        </w:rPr>
        <w:t xml:space="preserve">his project aims to </w:t>
      </w:r>
      <w:r w:rsidR="002409AC" w:rsidRPr="004B1B18">
        <w:rPr>
          <w:rFonts w:asciiTheme="minorHAnsi" w:hAnsiTheme="minorHAnsi" w:cstheme="minorHAnsi"/>
          <w:lang w:bidi="en-US"/>
        </w:rPr>
        <w:t xml:space="preserve">identify </w:t>
      </w:r>
      <w:r w:rsidR="00B0285A" w:rsidRPr="004B1B18">
        <w:rPr>
          <w:rFonts w:asciiTheme="minorHAnsi" w:hAnsiTheme="minorHAnsi" w:cstheme="minorHAnsi"/>
          <w:lang w:bidi="en-US"/>
        </w:rPr>
        <w:t>the dominant ideology that underpins involvement</w:t>
      </w:r>
      <w:r w:rsidR="00DF727C" w:rsidRPr="004B1B18">
        <w:rPr>
          <w:rFonts w:asciiTheme="minorHAnsi" w:hAnsiTheme="minorHAnsi" w:cstheme="minorHAnsi"/>
          <w:lang w:bidi="en-US"/>
        </w:rPr>
        <w:t xml:space="preserve"> across the membership and beyo</w:t>
      </w:r>
      <w:r w:rsidR="002368E1" w:rsidRPr="004B1B18">
        <w:rPr>
          <w:rFonts w:asciiTheme="minorHAnsi" w:hAnsiTheme="minorHAnsi" w:cstheme="minorHAnsi"/>
          <w:lang w:bidi="en-US"/>
        </w:rPr>
        <w:t>nd</w:t>
      </w:r>
      <w:r w:rsidR="00B0285A" w:rsidRPr="004B1B18">
        <w:rPr>
          <w:rFonts w:asciiTheme="minorHAnsi" w:hAnsiTheme="minorHAnsi" w:cstheme="minorHAnsi"/>
          <w:lang w:bidi="en-US"/>
        </w:rPr>
        <w:t xml:space="preserve"> </w:t>
      </w:r>
      <w:r w:rsidR="002368E1" w:rsidRPr="004B1B18">
        <w:rPr>
          <w:rFonts w:asciiTheme="minorHAnsi" w:hAnsiTheme="minorHAnsi" w:cstheme="minorHAnsi"/>
          <w:lang w:bidi="en-US"/>
        </w:rPr>
        <w:t xml:space="preserve">in </w:t>
      </w:r>
      <w:r w:rsidR="0047179D" w:rsidRPr="004B1B18">
        <w:rPr>
          <w:rFonts w:asciiTheme="minorHAnsi" w:hAnsiTheme="minorHAnsi" w:cstheme="minorHAnsi"/>
          <w:lang w:bidi="en-US"/>
        </w:rPr>
        <w:t xml:space="preserve">services </w:t>
      </w:r>
      <w:r w:rsidR="00DF46FB" w:rsidRPr="004B1B18">
        <w:rPr>
          <w:rFonts w:asciiTheme="minorHAnsi" w:hAnsiTheme="minorHAnsi" w:cstheme="minorHAnsi"/>
          <w:lang w:bidi="en-US"/>
        </w:rPr>
        <w:t>that</w:t>
      </w:r>
      <w:r w:rsidR="0047179D" w:rsidRPr="004B1B18">
        <w:rPr>
          <w:rFonts w:asciiTheme="minorHAnsi" w:hAnsiTheme="minorHAnsi" w:cstheme="minorHAnsi"/>
          <w:lang w:bidi="en-US"/>
        </w:rPr>
        <w:t xml:space="preserve"> support </w:t>
      </w:r>
      <w:r w:rsidR="002368E1" w:rsidRPr="004B1B18">
        <w:rPr>
          <w:rFonts w:asciiTheme="minorHAnsi" w:hAnsiTheme="minorHAnsi" w:cstheme="minorHAnsi"/>
          <w:lang w:bidi="en-US"/>
        </w:rPr>
        <w:t xml:space="preserve">vulnerable </w:t>
      </w:r>
      <w:r w:rsidR="0047179D" w:rsidRPr="004B1B18">
        <w:rPr>
          <w:rFonts w:asciiTheme="minorHAnsi" w:hAnsiTheme="minorHAnsi" w:cstheme="minorHAnsi"/>
          <w:lang w:bidi="en-US"/>
        </w:rPr>
        <w:t>detainees in custody</w:t>
      </w:r>
      <w:r w:rsidR="00BA509F" w:rsidRPr="004B1B18">
        <w:rPr>
          <w:rFonts w:asciiTheme="minorHAnsi" w:hAnsiTheme="minorHAnsi" w:cstheme="minorHAnsi"/>
          <w:lang w:bidi="en-US"/>
        </w:rPr>
        <w:t xml:space="preserve"> throughout</w:t>
      </w:r>
      <w:r w:rsidR="002368E1" w:rsidRPr="004B1B18">
        <w:rPr>
          <w:rFonts w:asciiTheme="minorHAnsi" w:hAnsiTheme="minorHAnsi" w:cstheme="minorHAnsi"/>
          <w:lang w:bidi="en-US"/>
        </w:rPr>
        <w:t xml:space="preserve"> the UK</w:t>
      </w:r>
      <w:r w:rsidR="00BA509F" w:rsidRPr="004B1B18">
        <w:rPr>
          <w:rFonts w:asciiTheme="minorHAnsi" w:hAnsiTheme="minorHAnsi" w:cstheme="minorHAnsi"/>
          <w:lang w:bidi="en-US"/>
        </w:rPr>
        <w:t>.</w:t>
      </w:r>
    </w:p>
    <w:p w14:paraId="69C6D6D6" w14:textId="77777777" w:rsidR="00903F8F" w:rsidRPr="004B1B18" w:rsidRDefault="00903F8F" w:rsidP="00743C8C">
      <w:pPr>
        <w:spacing w:line="360" w:lineRule="auto"/>
        <w:contextualSpacing/>
        <w:mirrorIndents/>
        <w:jc w:val="both"/>
        <w:rPr>
          <w:rFonts w:asciiTheme="minorHAnsi" w:hAnsiTheme="minorHAnsi" w:cstheme="minorHAnsi"/>
          <w:lang w:bidi="en-US"/>
        </w:rPr>
      </w:pPr>
    </w:p>
    <w:p w14:paraId="21F1AA3D" w14:textId="52B8D55C" w:rsidR="00597796" w:rsidRPr="004B1B18" w:rsidRDefault="00597796" w:rsidP="00A42A35">
      <w:pPr>
        <w:pStyle w:val="Heading1"/>
        <w:spacing w:line="360" w:lineRule="auto"/>
        <w:mirrorIndents/>
        <w:rPr>
          <w:rFonts w:asciiTheme="minorHAnsi" w:hAnsiTheme="minorHAnsi" w:cstheme="minorHAnsi"/>
          <w:sz w:val="24"/>
          <w:szCs w:val="24"/>
        </w:rPr>
      </w:pPr>
      <w:r w:rsidRPr="004B1B18">
        <w:rPr>
          <w:rFonts w:asciiTheme="minorHAnsi" w:hAnsiTheme="minorHAnsi" w:cstheme="minorHAnsi"/>
          <w:sz w:val="24"/>
          <w:szCs w:val="24"/>
        </w:rPr>
        <w:t>Methodology</w:t>
      </w:r>
      <w:bookmarkEnd w:id="9"/>
    </w:p>
    <w:p w14:paraId="7F29C3C3" w14:textId="558B490C" w:rsidR="00E1519F" w:rsidRPr="00556D8D" w:rsidRDefault="00E1519F" w:rsidP="00A42A35">
      <w:pPr>
        <w:spacing w:line="360" w:lineRule="auto"/>
        <w:mirrorIndents/>
        <w:jc w:val="both"/>
        <w:rPr>
          <w:rFonts w:asciiTheme="minorHAnsi" w:hAnsiTheme="minorHAnsi" w:cstheme="minorHAnsi"/>
        </w:rPr>
      </w:pPr>
      <w:bookmarkStart w:id="10" w:name="_Toc4579797"/>
      <w:r w:rsidRPr="00D3359C">
        <w:rPr>
          <w:rFonts w:asciiTheme="minorHAnsi" w:hAnsiTheme="minorHAnsi" w:cstheme="minorHAnsi"/>
        </w:rPr>
        <w:t>Th</w:t>
      </w:r>
      <w:r w:rsidR="00DF46FB" w:rsidRPr="00D3359C">
        <w:rPr>
          <w:rFonts w:asciiTheme="minorHAnsi" w:hAnsiTheme="minorHAnsi" w:cstheme="minorHAnsi"/>
        </w:rPr>
        <w:t>is project aimed</w:t>
      </w:r>
      <w:r w:rsidRPr="00D3359C">
        <w:rPr>
          <w:rFonts w:asciiTheme="minorHAnsi" w:hAnsiTheme="minorHAnsi" w:cstheme="minorHAnsi"/>
        </w:rPr>
        <w:t xml:space="preserve"> to explore the extent of service user participation within the National Appropriate Adult Network (NAAN) membership (n=93) and other Appropriate Adult Schemes across</w:t>
      </w:r>
      <w:r w:rsidR="0076701D" w:rsidRPr="00D3359C">
        <w:rPr>
          <w:rFonts w:asciiTheme="minorHAnsi" w:hAnsiTheme="minorHAnsi" w:cstheme="minorHAnsi"/>
        </w:rPr>
        <w:t xml:space="preserve"> the UK</w:t>
      </w:r>
      <w:r w:rsidRPr="00D3359C">
        <w:rPr>
          <w:rFonts w:asciiTheme="minorHAnsi" w:hAnsiTheme="minorHAnsi" w:cstheme="minorHAnsi"/>
        </w:rPr>
        <w:t>. NAAN is in national charity which has been established to safeguard the rights of children and vulnerable adults that had been detained in custody because they are suspected of committing a crime. Th</w:t>
      </w:r>
      <w:r w:rsidR="003F5331" w:rsidRPr="00D3359C">
        <w:rPr>
          <w:rFonts w:asciiTheme="minorHAnsi" w:hAnsiTheme="minorHAnsi" w:cstheme="minorHAnsi"/>
        </w:rPr>
        <w:t>is organisation aim</w:t>
      </w:r>
      <w:r w:rsidRPr="00D3359C">
        <w:rPr>
          <w:rFonts w:asciiTheme="minorHAnsi" w:hAnsiTheme="minorHAnsi" w:cstheme="minorHAnsi"/>
        </w:rPr>
        <w:t xml:space="preserve">s to prevent any miscarriages of justice occurring within the criminal justice system by ensuring children and vulnerable adults have access to an Appropriate Adult practitioner/volunteer. This is to support the welfare of these </w:t>
      </w:r>
      <w:r w:rsidRPr="00D3359C">
        <w:rPr>
          <w:rFonts w:asciiTheme="minorHAnsi" w:hAnsiTheme="minorHAnsi" w:cstheme="minorHAnsi"/>
        </w:rPr>
        <w:lastRenderedPageBreak/>
        <w:t xml:space="preserve">individuals during their time in custody. </w:t>
      </w:r>
      <w:r w:rsidRPr="0085008D">
        <w:rPr>
          <w:rFonts w:asciiTheme="minorHAnsi" w:hAnsiTheme="minorHAnsi" w:cstheme="minorHAnsi"/>
        </w:rPr>
        <w:t>The organisation does not provide Appropriate Adult practitioners/volunteers but establishes a network of support and training to any voluntary, statutory or private organisation which offers this service to police forces within the UK. A key role of NAAN is to ensure that every police force has access to an Appropriate Adult service within their region.  This research</w:t>
      </w:r>
      <w:r w:rsidR="00A23521" w:rsidRPr="0085008D">
        <w:rPr>
          <w:rFonts w:asciiTheme="minorHAnsi" w:hAnsiTheme="minorHAnsi" w:cstheme="minorHAnsi"/>
        </w:rPr>
        <w:t xml:space="preserve"> developed from a project which</w:t>
      </w:r>
      <w:r w:rsidRPr="0085008D">
        <w:rPr>
          <w:rFonts w:asciiTheme="minorHAnsi" w:hAnsiTheme="minorHAnsi" w:cstheme="minorHAnsi"/>
        </w:rPr>
        <w:t xml:space="preserve"> was initially funded by the Police </w:t>
      </w:r>
      <w:r w:rsidR="0076701D" w:rsidRPr="0085008D">
        <w:rPr>
          <w:rFonts w:asciiTheme="minorHAnsi" w:hAnsiTheme="minorHAnsi" w:cstheme="minorHAnsi"/>
        </w:rPr>
        <w:t xml:space="preserve">and </w:t>
      </w:r>
      <w:r w:rsidRPr="0085008D">
        <w:rPr>
          <w:rFonts w:asciiTheme="minorHAnsi" w:hAnsiTheme="minorHAnsi" w:cstheme="minorHAnsi"/>
        </w:rPr>
        <w:t>Crime Commissioner for the North-</w:t>
      </w:r>
      <w:r w:rsidR="001458DE" w:rsidRPr="0085008D">
        <w:rPr>
          <w:rFonts w:asciiTheme="minorHAnsi" w:hAnsiTheme="minorHAnsi" w:cstheme="minorHAnsi"/>
        </w:rPr>
        <w:t>E</w:t>
      </w:r>
      <w:r w:rsidRPr="0085008D">
        <w:rPr>
          <w:rFonts w:asciiTheme="minorHAnsi" w:hAnsiTheme="minorHAnsi" w:cstheme="minorHAnsi"/>
        </w:rPr>
        <w:t>ast of England</w:t>
      </w:r>
      <w:r w:rsidR="00A23521" w:rsidRPr="0085008D">
        <w:rPr>
          <w:rFonts w:asciiTheme="minorHAnsi" w:hAnsiTheme="minorHAnsi" w:cstheme="minorHAnsi"/>
        </w:rPr>
        <w:t>, which included evaluation of</w:t>
      </w:r>
      <w:r w:rsidRPr="0085008D">
        <w:rPr>
          <w:rFonts w:asciiTheme="minorHAnsi" w:hAnsiTheme="minorHAnsi" w:cstheme="minorHAnsi"/>
        </w:rPr>
        <w:t xml:space="preserve"> the effectiveness of local Appropriate Adult Scheme services. </w:t>
      </w:r>
      <w:r w:rsidRPr="00556D8D">
        <w:rPr>
          <w:rFonts w:asciiTheme="minorHAnsi" w:hAnsiTheme="minorHAnsi" w:cstheme="minorHAnsi"/>
        </w:rPr>
        <w:t>From this regional project</w:t>
      </w:r>
      <w:r w:rsidR="003F5331" w:rsidRPr="00556D8D">
        <w:rPr>
          <w:rFonts w:asciiTheme="minorHAnsi" w:hAnsiTheme="minorHAnsi" w:cstheme="minorHAnsi"/>
        </w:rPr>
        <w:t>,</w:t>
      </w:r>
      <w:r w:rsidRPr="00556D8D">
        <w:rPr>
          <w:rFonts w:asciiTheme="minorHAnsi" w:hAnsiTheme="minorHAnsi" w:cstheme="minorHAnsi"/>
        </w:rPr>
        <w:t xml:space="preserve"> the study expanded the initial reach of the research from a local to a national project with the </w:t>
      </w:r>
      <w:r w:rsidR="00A23521" w:rsidRPr="00556D8D">
        <w:rPr>
          <w:rFonts w:asciiTheme="minorHAnsi" w:hAnsiTheme="minorHAnsi" w:cstheme="minorHAnsi"/>
        </w:rPr>
        <w:t>support</w:t>
      </w:r>
      <w:r w:rsidRPr="00556D8D">
        <w:rPr>
          <w:rFonts w:asciiTheme="minorHAnsi" w:hAnsiTheme="minorHAnsi" w:cstheme="minorHAnsi"/>
        </w:rPr>
        <w:t xml:space="preserve"> of NAAN. Th</w:t>
      </w:r>
      <w:r w:rsidR="00A23521" w:rsidRPr="00556D8D">
        <w:rPr>
          <w:rFonts w:asciiTheme="minorHAnsi" w:hAnsiTheme="minorHAnsi" w:cstheme="minorHAnsi"/>
        </w:rPr>
        <w:t>e</w:t>
      </w:r>
      <w:r w:rsidRPr="00556D8D">
        <w:rPr>
          <w:rFonts w:asciiTheme="minorHAnsi" w:hAnsiTheme="minorHAnsi" w:cstheme="minorHAnsi"/>
        </w:rPr>
        <w:t xml:space="preserve"> data w</w:t>
      </w:r>
      <w:r w:rsidR="00A23521" w:rsidRPr="00556D8D">
        <w:rPr>
          <w:rFonts w:asciiTheme="minorHAnsi" w:hAnsiTheme="minorHAnsi" w:cstheme="minorHAnsi"/>
        </w:rPr>
        <w:t>ere</w:t>
      </w:r>
      <w:r w:rsidRPr="00556D8D">
        <w:rPr>
          <w:rFonts w:asciiTheme="minorHAnsi" w:hAnsiTheme="minorHAnsi" w:cstheme="minorHAnsi"/>
        </w:rPr>
        <w:t xml:space="preserve"> collected </w:t>
      </w:r>
      <w:r w:rsidR="003F5331" w:rsidRPr="00556D8D">
        <w:rPr>
          <w:rFonts w:asciiTheme="minorHAnsi" w:hAnsiTheme="minorHAnsi" w:cstheme="minorHAnsi"/>
        </w:rPr>
        <w:t>utilising</w:t>
      </w:r>
      <w:r w:rsidRPr="00556D8D">
        <w:rPr>
          <w:rFonts w:asciiTheme="minorHAnsi" w:hAnsiTheme="minorHAnsi" w:cstheme="minorHAnsi"/>
        </w:rPr>
        <w:t xml:space="preserve"> an online survey that was emailed to the director of each Appropriate Adult Scheme. Schemes that are not members of NAAN were also contacted directly via their publicly available contact information to enable them to participate.</w:t>
      </w:r>
    </w:p>
    <w:p w14:paraId="00481DC2" w14:textId="77777777" w:rsidR="00E1519F" w:rsidRPr="00556D8D" w:rsidRDefault="00E1519F" w:rsidP="00A42A35">
      <w:pPr>
        <w:spacing w:line="360" w:lineRule="auto"/>
        <w:mirrorIndents/>
        <w:jc w:val="both"/>
        <w:rPr>
          <w:rFonts w:asciiTheme="minorHAnsi" w:hAnsiTheme="minorHAnsi" w:cstheme="minorHAnsi"/>
        </w:rPr>
      </w:pPr>
    </w:p>
    <w:p w14:paraId="69AA5026" w14:textId="42924EBF" w:rsidR="00E1519F" w:rsidRPr="00985F6B" w:rsidRDefault="00E1519F" w:rsidP="00A42A35">
      <w:pPr>
        <w:spacing w:line="360" w:lineRule="auto"/>
        <w:mirrorIndents/>
        <w:jc w:val="both"/>
        <w:rPr>
          <w:rFonts w:asciiTheme="minorHAnsi" w:hAnsiTheme="minorHAnsi" w:cstheme="minorHAnsi"/>
        </w:rPr>
      </w:pPr>
      <w:r w:rsidRPr="00556D8D">
        <w:rPr>
          <w:rFonts w:asciiTheme="minorHAnsi" w:hAnsiTheme="minorHAnsi" w:cstheme="minorHAnsi"/>
        </w:rPr>
        <w:t>The study employed a mixed</w:t>
      </w:r>
      <w:r w:rsidR="003F5331" w:rsidRPr="00556D8D">
        <w:rPr>
          <w:rFonts w:asciiTheme="minorHAnsi" w:hAnsiTheme="minorHAnsi" w:cstheme="minorHAnsi"/>
        </w:rPr>
        <w:t>-</w:t>
      </w:r>
      <w:r w:rsidRPr="00556D8D">
        <w:rPr>
          <w:rFonts w:asciiTheme="minorHAnsi" w:hAnsiTheme="minorHAnsi" w:cstheme="minorHAnsi"/>
        </w:rPr>
        <w:t xml:space="preserve">methods approach as the online survey collected both quantitative and qualitative information. </w:t>
      </w:r>
      <w:r w:rsidRPr="00C77354">
        <w:rPr>
          <w:rFonts w:asciiTheme="minorHAnsi" w:hAnsiTheme="minorHAnsi" w:cstheme="minorHAnsi"/>
        </w:rPr>
        <w:t>The survey was designed by members of the criminology team at the University of Sunderland independently of any police service, commissioner of services</w:t>
      </w:r>
      <w:r w:rsidR="003F5331" w:rsidRPr="00C77354">
        <w:rPr>
          <w:rFonts w:asciiTheme="minorHAnsi" w:hAnsiTheme="minorHAnsi" w:cstheme="minorHAnsi"/>
        </w:rPr>
        <w:t>,</w:t>
      </w:r>
      <w:r w:rsidRPr="00C77354">
        <w:rPr>
          <w:rFonts w:asciiTheme="minorHAnsi" w:hAnsiTheme="minorHAnsi" w:cstheme="minorHAnsi"/>
        </w:rPr>
        <w:t xml:space="preserve"> or NAAN. It should be noted that the research was entirely </w:t>
      </w:r>
      <w:r w:rsidR="001D1FFE" w:rsidRPr="00C77354">
        <w:rPr>
          <w:rFonts w:asciiTheme="minorHAnsi" w:hAnsiTheme="minorHAnsi" w:cstheme="minorHAnsi"/>
        </w:rPr>
        <w:t>voluntary,</w:t>
      </w:r>
      <w:r w:rsidRPr="00C77354">
        <w:rPr>
          <w:rFonts w:asciiTheme="minorHAnsi" w:hAnsiTheme="minorHAnsi" w:cstheme="minorHAnsi"/>
        </w:rPr>
        <w:t xml:space="preserve"> and schemes were not obliged or coerced by NAAN to participate in the survey. The study took place in 2018 and initially produced a sample size of 43 schemes. The questionnaire design predominantly collected quantitative </w:t>
      </w:r>
      <w:r w:rsidR="001D1FFE" w:rsidRPr="00C77354">
        <w:rPr>
          <w:rFonts w:asciiTheme="minorHAnsi" w:hAnsiTheme="minorHAnsi" w:cstheme="minorHAnsi"/>
        </w:rPr>
        <w:t>information;</w:t>
      </w:r>
      <w:r w:rsidRPr="00C77354">
        <w:rPr>
          <w:rFonts w:asciiTheme="minorHAnsi" w:hAnsiTheme="minorHAnsi" w:cstheme="minorHAnsi"/>
        </w:rPr>
        <w:t xml:space="preserve"> however</w:t>
      </w:r>
      <w:r w:rsidR="003F5331" w:rsidRPr="00C77354">
        <w:rPr>
          <w:rFonts w:asciiTheme="minorHAnsi" w:hAnsiTheme="minorHAnsi" w:cstheme="minorHAnsi"/>
        </w:rPr>
        <w:t>,</w:t>
      </w:r>
      <w:r w:rsidRPr="00C77354">
        <w:rPr>
          <w:rFonts w:asciiTheme="minorHAnsi" w:hAnsiTheme="minorHAnsi" w:cstheme="minorHAnsi"/>
        </w:rPr>
        <w:t xml:space="preserve"> services were given space to qualitatively explain their answers. </w:t>
      </w:r>
      <w:r w:rsidRPr="00985F6B">
        <w:rPr>
          <w:rFonts w:asciiTheme="minorHAnsi" w:hAnsiTheme="minorHAnsi" w:cstheme="minorHAnsi"/>
        </w:rPr>
        <w:t xml:space="preserve">The </w:t>
      </w:r>
      <w:r w:rsidR="003F5331" w:rsidRPr="00985F6B">
        <w:rPr>
          <w:rFonts w:asciiTheme="minorHAnsi" w:hAnsiTheme="minorHAnsi" w:cstheme="minorHAnsi"/>
        </w:rPr>
        <w:t>survey aimed</w:t>
      </w:r>
      <w:r w:rsidRPr="00985F6B">
        <w:rPr>
          <w:rFonts w:asciiTheme="minorHAnsi" w:hAnsiTheme="minorHAnsi" w:cstheme="minorHAnsi"/>
        </w:rPr>
        <w:t xml:space="preserve"> to examine the level of service user participation.</w:t>
      </w:r>
    </w:p>
    <w:p w14:paraId="45D1B63F" w14:textId="77777777" w:rsidR="00E1519F" w:rsidRPr="00985F6B" w:rsidRDefault="00E1519F" w:rsidP="00A42A35">
      <w:pPr>
        <w:spacing w:line="360" w:lineRule="auto"/>
        <w:mirrorIndents/>
        <w:jc w:val="both"/>
        <w:rPr>
          <w:rFonts w:asciiTheme="minorHAnsi" w:hAnsiTheme="minorHAnsi" w:cstheme="minorHAnsi"/>
        </w:rPr>
      </w:pPr>
    </w:p>
    <w:p w14:paraId="401C6CE5" w14:textId="18B4D563" w:rsidR="00A42A35" w:rsidRPr="00C733D0" w:rsidRDefault="00E1519F" w:rsidP="00A42A35">
      <w:pPr>
        <w:spacing w:line="360" w:lineRule="auto"/>
        <w:mirrorIndents/>
        <w:jc w:val="both"/>
        <w:rPr>
          <w:rFonts w:asciiTheme="minorHAnsi" w:hAnsiTheme="minorHAnsi" w:cstheme="minorHAnsi"/>
        </w:rPr>
      </w:pPr>
      <w:r w:rsidRPr="00661FAB">
        <w:rPr>
          <w:rFonts w:asciiTheme="minorHAnsi" w:hAnsiTheme="minorHAnsi" w:cstheme="minorHAnsi"/>
        </w:rPr>
        <w:t xml:space="preserve">As discussed previously, under PACE (1984), a suspect should have access to an Appropriate Adult if they are under the age of 18, or if they are an adult who has a condition </w:t>
      </w:r>
      <w:r w:rsidR="003F5331" w:rsidRPr="00661FAB">
        <w:rPr>
          <w:rFonts w:asciiTheme="minorHAnsi" w:hAnsiTheme="minorHAnsi" w:cstheme="minorHAnsi"/>
        </w:rPr>
        <w:t>that</w:t>
      </w:r>
      <w:r w:rsidRPr="00661FAB">
        <w:rPr>
          <w:rFonts w:asciiTheme="minorHAnsi" w:hAnsiTheme="minorHAnsi" w:cstheme="minorHAnsi"/>
        </w:rPr>
        <w:t xml:space="preserve"> renders them ‘vulnerable’ within custody, </w:t>
      </w:r>
      <w:r w:rsidR="001D1FFE" w:rsidRPr="00661FAB">
        <w:rPr>
          <w:rFonts w:asciiTheme="minorHAnsi" w:hAnsiTheme="minorHAnsi" w:cstheme="minorHAnsi"/>
        </w:rPr>
        <w:t>i.e.,</w:t>
      </w:r>
      <w:r w:rsidRPr="00661FAB">
        <w:rPr>
          <w:rFonts w:asciiTheme="minorHAnsi" w:hAnsiTheme="minorHAnsi" w:cstheme="minorHAnsi"/>
        </w:rPr>
        <w:t xml:space="preserve"> an individual with a learning disability, mental health condition, a specific learning difficulty, or are otherwise deemed to lack capacity. </w:t>
      </w:r>
      <w:r w:rsidRPr="00C733D0">
        <w:rPr>
          <w:rFonts w:asciiTheme="minorHAnsi" w:hAnsiTheme="minorHAnsi" w:cstheme="minorHAnsi"/>
        </w:rPr>
        <w:t xml:space="preserve">As illustrated in Table 1, 48.8% (n = 21) of schemes only offered services for young people and not adults, whereas 51.2% (n = 22) offered a service for </w:t>
      </w:r>
      <w:r w:rsidR="005444B9" w:rsidRPr="00C733D0">
        <w:rPr>
          <w:rFonts w:asciiTheme="minorHAnsi" w:hAnsiTheme="minorHAnsi" w:cstheme="minorHAnsi"/>
        </w:rPr>
        <w:t xml:space="preserve">young people and/or </w:t>
      </w:r>
      <w:r w:rsidRPr="00C733D0">
        <w:rPr>
          <w:rFonts w:asciiTheme="minorHAnsi" w:hAnsiTheme="minorHAnsi" w:cstheme="minorHAnsi"/>
        </w:rPr>
        <w:t xml:space="preserve">adults with a perceived vulnerability. </w:t>
      </w:r>
    </w:p>
    <w:p w14:paraId="69F5D732" w14:textId="4745DB34" w:rsidR="0032477C" w:rsidRPr="00C733D0" w:rsidRDefault="0032477C" w:rsidP="00A42A35">
      <w:pPr>
        <w:spacing w:line="360" w:lineRule="auto"/>
        <w:mirrorIndents/>
        <w:jc w:val="both"/>
        <w:rPr>
          <w:rFonts w:asciiTheme="minorHAnsi" w:hAnsiTheme="minorHAnsi" w:cstheme="minorHAnsi"/>
        </w:rPr>
      </w:pPr>
    </w:p>
    <w:p w14:paraId="5DF721AC" w14:textId="6CD39DC5" w:rsidR="0032477C" w:rsidRPr="00C733D0" w:rsidRDefault="0032477C" w:rsidP="00A42A35">
      <w:pPr>
        <w:spacing w:line="360" w:lineRule="auto"/>
        <w:mirrorIndents/>
        <w:jc w:val="both"/>
        <w:rPr>
          <w:rFonts w:asciiTheme="minorHAnsi" w:hAnsiTheme="minorHAnsi" w:cstheme="minorHAnsi"/>
        </w:rPr>
      </w:pPr>
    </w:p>
    <w:p w14:paraId="0D588A0D" w14:textId="77777777" w:rsidR="0032477C" w:rsidRPr="00C733D0" w:rsidRDefault="0032477C" w:rsidP="00A42A35">
      <w:pPr>
        <w:spacing w:line="360" w:lineRule="auto"/>
        <w:mirrorIndents/>
        <w:jc w:val="both"/>
        <w:rPr>
          <w:rFonts w:asciiTheme="minorHAnsi" w:hAnsiTheme="minorHAnsi" w:cstheme="minorHAns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233"/>
        <w:gridCol w:w="174"/>
        <w:gridCol w:w="142"/>
        <w:gridCol w:w="1285"/>
        <w:gridCol w:w="1061"/>
      </w:tblGrid>
      <w:tr w:rsidR="00E1519F" w:rsidRPr="004607A7" w14:paraId="5F7A9254" w14:textId="77777777" w:rsidTr="00A42A35">
        <w:tc>
          <w:tcPr>
            <w:tcW w:w="8300" w:type="dxa"/>
            <w:gridSpan w:val="6"/>
            <w:tcBorders>
              <w:bottom w:val="single" w:sz="4" w:space="0" w:color="auto"/>
            </w:tcBorders>
          </w:tcPr>
          <w:p w14:paraId="417FD0D0" w14:textId="77777777" w:rsidR="00E1519F" w:rsidRPr="00C733D0" w:rsidRDefault="00E1519F" w:rsidP="00A42A35">
            <w:pPr>
              <w:spacing w:line="360" w:lineRule="auto"/>
              <w:contextualSpacing/>
              <w:rPr>
                <w:rFonts w:cstheme="minorHAnsi"/>
              </w:rPr>
            </w:pPr>
            <w:r w:rsidRPr="00C733D0">
              <w:rPr>
                <w:rFonts w:cstheme="minorHAnsi"/>
                <w:i/>
              </w:rPr>
              <w:t xml:space="preserve">Table 1 </w:t>
            </w:r>
            <w:r w:rsidRPr="00C733D0">
              <w:rPr>
                <w:rFonts w:cstheme="minorHAnsi"/>
              </w:rPr>
              <w:t>Appropriate Adult Schemes Information</w:t>
            </w:r>
          </w:p>
        </w:tc>
      </w:tr>
      <w:tr w:rsidR="00E1519F" w:rsidRPr="004607A7" w14:paraId="62313232" w14:textId="77777777" w:rsidTr="00A42A35">
        <w:tc>
          <w:tcPr>
            <w:tcW w:w="2405" w:type="dxa"/>
            <w:tcBorders>
              <w:top w:val="single" w:sz="4" w:space="0" w:color="auto"/>
              <w:bottom w:val="single" w:sz="4" w:space="0" w:color="auto"/>
            </w:tcBorders>
          </w:tcPr>
          <w:p w14:paraId="7C4C8764" w14:textId="77777777" w:rsidR="00E1519F" w:rsidRPr="004607A7" w:rsidRDefault="00E1519F" w:rsidP="00A42A35">
            <w:pPr>
              <w:spacing w:line="360" w:lineRule="auto"/>
              <w:contextualSpacing/>
              <w:rPr>
                <w:rFonts w:cstheme="minorHAnsi"/>
              </w:rPr>
            </w:pPr>
            <w:r w:rsidRPr="004607A7">
              <w:rPr>
                <w:rFonts w:cstheme="minorHAnsi"/>
              </w:rPr>
              <w:t>Variable Categories</w:t>
            </w:r>
          </w:p>
        </w:tc>
        <w:tc>
          <w:tcPr>
            <w:tcW w:w="3233" w:type="dxa"/>
            <w:tcBorders>
              <w:top w:val="single" w:sz="4" w:space="0" w:color="auto"/>
              <w:bottom w:val="single" w:sz="4" w:space="0" w:color="auto"/>
            </w:tcBorders>
          </w:tcPr>
          <w:p w14:paraId="1EF2F03B" w14:textId="77777777" w:rsidR="00E1519F" w:rsidRPr="004607A7" w:rsidRDefault="00E1519F" w:rsidP="00A42A35">
            <w:pPr>
              <w:spacing w:line="360" w:lineRule="auto"/>
              <w:contextualSpacing/>
              <w:rPr>
                <w:rFonts w:cstheme="minorHAnsi"/>
              </w:rPr>
            </w:pPr>
            <w:r w:rsidRPr="004607A7">
              <w:rPr>
                <w:rFonts w:cstheme="minorHAnsi"/>
              </w:rPr>
              <w:t>Variable Values</w:t>
            </w:r>
          </w:p>
        </w:tc>
        <w:tc>
          <w:tcPr>
            <w:tcW w:w="1601" w:type="dxa"/>
            <w:gridSpan w:val="3"/>
            <w:tcBorders>
              <w:top w:val="single" w:sz="4" w:space="0" w:color="auto"/>
              <w:bottom w:val="single" w:sz="4" w:space="0" w:color="auto"/>
            </w:tcBorders>
          </w:tcPr>
          <w:p w14:paraId="68F6C64C" w14:textId="77777777" w:rsidR="00E1519F" w:rsidRPr="004607A7" w:rsidRDefault="00E1519F" w:rsidP="00A42A35">
            <w:pPr>
              <w:spacing w:line="360" w:lineRule="auto"/>
              <w:contextualSpacing/>
              <w:jc w:val="right"/>
              <w:rPr>
                <w:rFonts w:cstheme="minorHAnsi"/>
              </w:rPr>
            </w:pPr>
            <w:r w:rsidRPr="004607A7">
              <w:rPr>
                <w:rFonts w:cstheme="minorHAnsi"/>
              </w:rPr>
              <w:t>Percentage</w:t>
            </w:r>
          </w:p>
        </w:tc>
        <w:tc>
          <w:tcPr>
            <w:tcW w:w="1061" w:type="dxa"/>
            <w:tcBorders>
              <w:top w:val="single" w:sz="4" w:space="0" w:color="auto"/>
              <w:bottom w:val="single" w:sz="4" w:space="0" w:color="auto"/>
            </w:tcBorders>
          </w:tcPr>
          <w:p w14:paraId="5E223AA8" w14:textId="77777777" w:rsidR="00E1519F" w:rsidRPr="004607A7" w:rsidRDefault="00E1519F" w:rsidP="00A42A35">
            <w:pPr>
              <w:spacing w:line="360" w:lineRule="auto"/>
              <w:contextualSpacing/>
              <w:jc w:val="right"/>
              <w:rPr>
                <w:rFonts w:cstheme="minorHAnsi"/>
              </w:rPr>
            </w:pPr>
            <w:r w:rsidRPr="004607A7">
              <w:rPr>
                <w:rFonts w:cstheme="minorHAnsi"/>
              </w:rPr>
              <w:t>n</w:t>
            </w:r>
          </w:p>
        </w:tc>
      </w:tr>
      <w:tr w:rsidR="00E1519F" w:rsidRPr="004607A7" w14:paraId="70AA15E7" w14:textId="77777777" w:rsidTr="00A42A35">
        <w:tc>
          <w:tcPr>
            <w:tcW w:w="2405" w:type="dxa"/>
            <w:tcBorders>
              <w:top w:val="single" w:sz="4" w:space="0" w:color="auto"/>
            </w:tcBorders>
          </w:tcPr>
          <w:p w14:paraId="145F88F9" w14:textId="77777777" w:rsidR="00E1519F" w:rsidRPr="004607A7" w:rsidRDefault="00E1519F" w:rsidP="00A42A35">
            <w:pPr>
              <w:spacing w:line="360" w:lineRule="auto"/>
              <w:contextualSpacing/>
              <w:rPr>
                <w:rFonts w:cstheme="minorHAnsi"/>
                <w:b/>
              </w:rPr>
            </w:pPr>
          </w:p>
        </w:tc>
        <w:tc>
          <w:tcPr>
            <w:tcW w:w="3233" w:type="dxa"/>
            <w:tcBorders>
              <w:top w:val="single" w:sz="4" w:space="0" w:color="auto"/>
            </w:tcBorders>
          </w:tcPr>
          <w:p w14:paraId="30168602" w14:textId="77777777" w:rsidR="00E1519F" w:rsidRPr="004607A7" w:rsidRDefault="00E1519F" w:rsidP="00A42A35">
            <w:pPr>
              <w:spacing w:line="360" w:lineRule="auto"/>
              <w:contextualSpacing/>
              <w:rPr>
                <w:rFonts w:cstheme="minorHAnsi"/>
                <w:b/>
              </w:rPr>
            </w:pPr>
          </w:p>
        </w:tc>
        <w:tc>
          <w:tcPr>
            <w:tcW w:w="1601" w:type="dxa"/>
            <w:gridSpan w:val="3"/>
            <w:tcBorders>
              <w:top w:val="single" w:sz="4" w:space="0" w:color="auto"/>
            </w:tcBorders>
          </w:tcPr>
          <w:p w14:paraId="6B1FD47D" w14:textId="77777777" w:rsidR="00E1519F" w:rsidRPr="004607A7" w:rsidRDefault="00E1519F" w:rsidP="00A42A35">
            <w:pPr>
              <w:spacing w:line="360" w:lineRule="auto"/>
              <w:contextualSpacing/>
              <w:jc w:val="right"/>
              <w:rPr>
                <w:rFonts w:cstheme="minorHAnsi"/>
                <w:b/>
              </w:rPr>
            </w:pPr>
          </w:p>
        </w:tc>
        <w:tc>
          <w:tcPr>
            <w:tcW w:w="1061" w:type="dxa"/>
            <w:tcBorders>
              <w:top w:val="single" w:sz="4" w:space="0" w:color="auto"/>
            </w:tcBorders>
          </w:tcPr>
          <w:p w14:paraId="3F27B07A" w14:textId="77777777" w:rsidR="00E1519F" w:rsidRPr="004607A7" w:rsidRDefault="00E1519F" w:rsidP="00A42A35">
            <w:pPr>
              <w:spacing w:line="360" w:lineRule="auto"/>
              <w:contextualSpacing/>
              <w:jc w:val="right"/>
              <w:rPr>
                <w:rFonts w:cstheme="minorHAnsi"/>
                <w:b/>
              </w:rPr>
            </w:pPr>
          </w:p>
        </w:tc>
      </w:tr>
      <w:tr w:rsidR="00E1519F" w:rsidRPr="004607A7" w14:paraId="74FBF25B" w14:textId="77777777" w:rsidTr="00FD0A02">
        <w:tc>
          <w:tcPr>
            <w:tcW w:w="2405" w:type="dxa"/>
          </w:tcPr>
          <w:p w14:paraId="48173A1A" w14:textId="77777777" w:rsidR="00E1519F" w:rsidRPr="004607A7" w:rsidRDefault="00E1519F" w:rsidP="00A42A35">
            <w:pPr>
              <w:spacing w:line="360" w:lineRule="auto"/>
              <w:contextualSpacing/>
              <w:rPr>
                <w:rFonts w:cstheme="minorHAnsi"/>
              </w:rPr>
            </w:pPr>
            <w:r w:rsidRPr="004607A7">
              <w:rPr>
                <w:rFonts w:cstheme="minorHAnsi"/>
              </w:rPr>
              <w:t>Service user group</w:t>
            </w:r>
          </w:p>
        </w:tc>
        <w:tc>
          <w:tcPr>
            <w:tcW w:w="3407" w:type="dxa"/>
            <w:gridSpan w:val="2"/>
          </w:tcPr>
          <w:p w14:paraId="3E1CC299" w14:textId="77777777" w:rsidR="00E1519F" w:rsidRPr="004607A7" w:rsidRDefault="00E1519F" w:rsidP="00A42A35">
            <w:pPr>
              <w:spacing w:line="360" w:lineRule="auto"/>
              <w:contextualSpacing/>
              <w:rPr>
                <w:rFonts w:cstheme="minorHAnsi"/>
              </w:rPr>
            </w:pPr>
            <w:r w:rsidRPr="004607A7">
              <w:rPr>
                <w:rFonts w:cstheme="minorHAnsi"/>
              </w:rPr>
              <w:t>Young people</w:t>
            </w:r>
          </w:p>
        </w:tc>
        <w:tc>
          <w:tcPr>
            <w:tcW w:w="1427" w:type="dxa"/>
            <w:gridSpan w:val="2"/>
          </w:tcPr>
          <w:p w14:paraId="70624889" w14:textId="77777777" w:rsidR="00E1519F" w:rsidRPr="004607A7" w:rsidRDefault="00E1519F" w:rsidP="00A42A35">
            <w:pPr>
              <w:spacing w:line="360" w:lineRule="auto"/>
              <w:contextualSpacing/>
              <w:jc w:val="right"/>
              <w:rPr>
                <w:rFonts w:cstheme="minorHAnsi"/>
              </w:rPr>
            </w:pPr>
            <w:r w:rsidRPr="004607A7">
              <w:rPr>
                <w:rFonts w:cstheme="minorHAnsi"/>
              </w:rPr>
              <w:t>48.8%</w:t>
            </w:r>
          </w:p>
        </w:tc>
        <w:tc>
          <w:tcPr>
            <w:tcW w:w="1061" w:type="dxa"/>
          </w:tcPr>
          <w:p w14:paraId="0585B1A0" w14:textId="77777777" w:rsidR="00E1519F" w:rsidRPr="004607A7" w:rsidRDefault="00E1519F" w:rsidP="00A42A35">
            <w:pPr>
              <w:spacing w:line="360" w:lineRule="auto"/>
              <w:contextualSpacing/>
              <w:jc w:val="right"/>
              <w:rPr>
                <w:rFonts w:cstheme="minorHAnsi"/>
              </w:rPr>
            </w:pPr>
            <w:r w:rsidRPr="004607A7">
              <w:rPr>
                <w:rFonts w:cstheme="minorHAnsi"/>
              </w:rPr>
              <w:t>21</w:t>
            </w:r>
          </w:p>
        </w:tc>
      </w:tr>
      <w:tr w:rsidR="00E1519F" w:rsidRPr="004607A7" w14:paraId="0B1F1A15" w14:textId="77777777" w:rsidTr="00FD0A02">
        <w:tc>
          <w:tcPr>
            <w:tcW w:w="2405" w:type="dxa"/>
          </w:tcPr>
          <w:p w14:paraId="008D85D9" w14:textId="77777777" w:rsidR="00E1519F" w:rsidRPr="004607A7" w:rsidRDefault="00E1519F" w:rsidP="00A42A35">
            <w:pPr>
              <w:spacing w:line="360" w:lineRule="auto"/>
              <w:contextualSpacing/>
              <w:rPr>
                <w:rFonts w:cstheme="minorHAnsi"/>
                <w:b/>
              </w:rPr>
            </w:pPr>
          </w:p>
        </w:tc>
        <w:tc>
          <w:tcPr>
            <w:tcW w:w="3407" w:type="dxa"/>
            <w:gridSpan w:val="2"/>
          </w:tcPr>
          <w:p w14:paraId="505481D0" w14:textId="77777777" w:rsidR="00E1519F" w:rsidRPr="004607A7" w:rsidRDefault="00E1519F" w:rsidP="00A42A35">
            <w:pPr>
              <w:spacing w:line="360" w:lineRule="auto"/>
              <w:contextualSpacing/>
              <w:rPr>
                <w:rFonts w:cstheme="minorHAnsi"/>
              </w:rPr>
            </w:pPr>
            <w:r w:rsidRPr="004607A7">
              <w:rPr>
                <w:rFonts w:cstheme="minorHAnsi"/>
              </w:rPr>
              <w:t>Vulnerable adults</w:t>
            </w:r>
          </w:p>
        </w:tc>
        <w:tc>
          <w:tcPr>
            <w:tcW w:w="1427" w:type="dxa"/>
            <w:gridSpan w:val="2"/>
          </w:tcPr>
          <w:p w14:paraId="5504FA4E" w14:textId="34FC6737" w:rsidR="00E1519F" w:rsidRPr="004607A7" w:rsidRDefault="00FD0A02" w:rsidP="00A42A35">
            <w:pPr>
              <w:spacing w:line="360" w:lineRule="auto"/>
              <w:contextualSpacing/>
              <w:jc w:val="right"/>
              <w:rPr>
                <w:rFonts w:cstheme="minorHAnsi"/>
              </w:rPr>
            </w:pPr>
            <w:r>
              <w:rPr>
                <w:rFonts w:cstheme="minorHAnsi"/>
              </w:rPr>
              <w:t>7</w:t>
            </w:r>
            <w:r w:rsidR="00E1519F" w:rsidRPr="004607A7">
              <w:rPr>
                <w:rFonts w:cstheme="minorHAnsi"/>
              </w:rPr>
              <w:t>%</w:t>
            </w:r>
          </w:p>
        </w:tc>
        <w:tc>
          <w:tcPr>
            <w:tcW w:w="1061" w:type="dxa"/>
          </w:tcPr>
          <w:p w14:paraId="3B035D4D" w14:textId="5B4168F2" w:rsidR="00E1519F" w:rsidRPr="004607A7" w:rsidRDefault="00FD0A02" w:rsidP="00A42A35">
            <w:pPr>
              <w:spacing w:line="360" w:lineRule="auto"/>
              <w:contextualSpacing/>
              <w:jc w:val="right"/>
              <w:rPr>
                <w:rFonts w:cstheme="minorHAnsi"/>
              </w:rPr>
            </w:pPr>
            <w:r>
              <w:rPr>
                <w:rFonts w:cstheme="minorHAnsi"/>
              </w:rPr>
              <w:t>3</w:t>
            </w:r>
          </w:p>
        </w:tc>
      </w:tr>
      <w:tr w:rsidR="00914315" w:rsidRPr="004607A7" w14:paraId="2ED5E1E4" w14:textId="77777777" w:rsidTr="00FD0A02">
        <w:tc>
          <w:tcPr>
            <w:tcW w:w="2405" w:type="dxa"/>
          </w:tcPr>
          <w:p w14:paraId="62F4B403" w14:textId="77777777" w:rsidR="00914315" w:rsidRPr="004607A7" w:rsidRDefault="00914315" w:rsidP="00A42A35">
            <w:pPr>
              <w:spacing w:line="360" w:lineRule="auto"/>
              <w:contextualSpacing/>
              <w:rPr>
                <w:rFonts w:cstheme="minorHAnsi"/>
                <w:b/>
              </w:rPr>
            </w:pPr>
          </w:p>
        </w:tc>
        <w:tc>
          <w:tcPr>
            <w:tcW w:w="3549" w:type="dxa"/>
            <w:gridSpan w:val="3"/>
          </w:tcPr>
          <w:p w14:paraId="60AAB772" w14:textId="35DB2094" w:rsidR="00914315" w:rsidRPr="004607A7" w:rsidRDefault="00FD0A02" w:rsidP="00A42A35">
            <w:pPr>
              <w:spacing w:line="360" w:lineRule="auto"/>
              <w:contextualSpacing/>
              <w:rPr>
                <w:rFonts w:cstheme="minorHAnsi"/>
              </w:rPr>
            </w:pPr>
            <w:r w:rsidRPr="00FD0A02">
              <w:rPr>
                <w:rFonts w:cstheme="minorHAnsi"/>
              </w:rPr>
              <w:t>Young people</w:t>
            </w:r>
            <w:r>
              <w:rPr>
                <w:rFonts w:cstheme="minorHAnsi"/>
              </w:rPr>
              <w:t xml:space="preserve"> &amp; v</w:t>
            </w:r>
            <w:r w:rsidRPr="00FD0A02">
              <w:rPr>
                <w:rFonts w:cstheme="minorHAnsi"/>
              </w:rPr>
              <w:t>ulnerable</w:t>
            </w:r>
            <w:r>
              <w:rPr>
                <w:rFonts w:cstheme="minorHAnsi"/>
              </w:rPr>
              <w:t xml:space="preserve"> </w:t>
            </w:r>
            <w:r w:rsidRPr="00FD0A02">
              <w:rPr>
                <w:rFonts w:cstheme="minorHAnsi"/>
              </w:rPr>
              <w:t>adults</w:t>
            </w:r>
          </w:p>
        </w:tc>
        <w:tc>
          <w:tcPr>
            <w:tcW w:w="1285" w:type="dxa"/>
          </w:tcPr>
          <w:p w14:paraId="104C80E2" w14:textId="7CBC2D3A" w:rsidR="00914315" w:rsidRPr="004607A7" w:rsidRDefault="00C576CE" w:rsidP="00A42A35">
            <w:pPr>
              <w:spacing w:line="360" w:lineRule="auto"/>
              <w:contextualSpacing/>
              <w:jc w:val="right"/>
              <w:rPr>
                <w:rFonts w:cstheme="minorHAnsi"/>
              </w:rPr>
            </w:pPr>
            <w:r w:rsidRPr="00C576CE">
              <w:rPr>
                <w:rFonts w:cstheme="minorHAnsi"/>
              </w:rPr>
              <w:t>44.2</w:t>
            </w:r>
          </w:p>
        </w:tc>
        <w:tc>
          <w:tcPr>
            <w:tcW w:w="1061" w:type="dxa"/>
          </w:tcPr>
          <w:p w14:paraId="61F92A3A" w14:textId="1876855B" w:rsidR="00914315" w:rsidRPr="004607A7" w:rsidRDefault="00C576CE" w:rsidP="00A42A35">
            <w:pPr>
              <w:spacing w:line="360" w:lineRule="auto"/>
              <w:contextualSpacing/>
              <w:jc w:val="right"/>
              <w:rPr>
                <w:rFonts w:cstheme="minorHAnsi"/>
              </w:rPr>
            </w:pPr>
            <w:r>
              <w:rPr>
                <w:rFonts w:cstheme="minorHAnsi"/>
              </w:rPr>
              <w:t>19</w:t>
            </w:r>
          </w:p>
        </w:tc>
      </w:tr>
      <w:tr w:rsidR="00E1519F" w:rsidRPr="004607A7" w14:paraId="1FA3DAF6" w14:textId="77777777" w:rsidTr="00A42A35">
        <w:tc>
          <w:tcPr>
            <w:tcW w:w="2405" w:type="dxa"/>
          </w:tcPr>
          <w:p w14:paraId="43385991" w14:textId="77777777" w:rsidR="00E1519F" w:rsidRPr="004607A7" w:rsidRDefault="00E1519F" w:rsidP="00A42A35">
            <w:pPr>
              <w:spacing w:line="360" w:lineRule="auto"/>
              <w:contextualSpacing/>
              <w:rPr>
                <w:rFonts w:cstheme="minorHAnsi"/>
                <w:b/>
              </w:rPr>
            </w:pPr>
          </w:p>
        </w:tc>
        <w:tc>
          <w:tcPr>
            <w:tcW w:w="3233" w:type="dxa"/>
          </w:tcPr>
          <w:p w14:paraId="63D0E385" w14:textId="77777777" w:rsidR="00E1519F" w:rsidRPr="004607A7" w:rsidRDefault="00E1519F" w:rsidP="00A42A35">
            <w:pPr>
              <w:spacing w:line="360" w:lineRule="auto"/>
              <w:contextualSpacing/>
              <w:rPr>
                <w:rFonts w:cstheme="minorHAnsi"/>
              </w:rPr>
            </w:pPr>
            <w:r w:rsidRPr="004607A7">
              <w:rPr>
                <w:rFonts w:cstheme="minorHAnsi"/>
              </w:rPr>
              <w:t>Total</w:t>
            </w:r>
          </w:p>
        </w:tc>
        <w:tc>
          <w:tcPr>
            <w:tcW w:w="1601" w:type="dxa"/>
            <w:gridSpan w:val="3"/>
          </w:tcPr>
          <w:p w14:paraId="5FB548F8" w14:textId="77777777" w:rsidR="00E1519F" w:rsidRPr="004607A7" w:rsidRDefault="00E1519F" w:rsidP="00A42A35">
            <w:pPr>
              <w:spacing w:line="360" w:lineRule="auto"/>
              <w:contextualSpacing/>
              <w:jc w:val="right"/>
              <w:rPr>
                <w:rFonts w:cstheme="minorHAnsi"/>
              </w:rPr>
            </w:pPr>
            <w:r w:rsidRPr="004607A7">
              <w:rPr>
                <w:rFonts w:cstheme="minorHAnsi"/>
              </w:rPr>
              <w:t>100%</w:t>
            </w:r>
          </w:p>
        </w:tc>
        <w:tc>
          <w:tcPr>
            <w:tcW w:w="1061" w:type="dxa"/>
          </w:tcPr>
          <w:p w14:paraId="48BD4243" w14:textId="77777777" w:rsidR="00E1519F" w:rsidRPr="004607A7" w:rsidRDefault="00E1519F" w:rsidP="00A42A35">
            <w:pPr>
              <w:spacing w:line="360" w:lineRule="auto"/>
              <w:contextualSpacing/>
              <w:jc w:val="right"/>
              <w:rPr>
                <w:rFonts w:cstheme="minorHAnsi"/>
              </w:rPr>
            </w:pPr>
            <w:r w:rsidRPr="004607A7">
              <w:rPr>
                <w:rFonts w:cstheme="minorHAnsi"/>
              </w:rPr>
              <w:t>43</w:t>
            </w:r>
          </w:p>
        </w:tc>
      </w:tr>
      <w:tr w:rsidR="00E1519F" w:rsidRPr="004607A7" w14:paraId="63DE0465" w14:textId="77777777" w:rsidTr="00A42A35">
        <w:tc>
          <w:tcPr>
            <w:tcW w:w="2405" w:type="dxa"/>
          </w:tcPr>
          <w:p w14:paraId="6C13C1F1" w14:textId="77777777" w:rsidR="00E1519F" w:rsidRPr="004607A7" w:rsidRDefault="00E1519F" w:rsidP="00A42A35">
            <w:pPr>
              <w:spacing w:line="360" w:lineRule="auto"/>
              <w:contextualSpacing/>
              <w:rPr>
                <w:rFonts w:cstheme="minorHAnsi"/>
              </w:rPr>
            </w:pPr>
          </w:p>
        </w:tc>
        <w:tc>
          <w:tcPr>
            <w:tcW w:w="3233" w:type="dxa"/>
          </w:tcPr>
          <w:p w14:paraId="4D042BB1" w14:textId="77777777" w:rsidR="00E1519F" w:rsidRPr="004607A7" w:rsidRDefault="00E1519F" w:rsidP="00A42A35">
            <w:pPr>
              <w:spacing w:line="360" w:lineRule="auto"/>
              <w:contextualSpacing/>
              <w:rPr>
                <w:rFonts w:cstheme="minorHAnsi"/>
              </w:rPr>
            </w:pPr>
          </w:p>
        </w:tc>
        <w:tc>
          <w:tcPr>
            <w:tcW w:w="1601" w:type="dxa"/>
            <w:gridSpan w:val="3"/>
          </w:tcPr>
          <w:p w14:paraId="340D09EE" w14:textId="77777777" w:rsidR="00E1519F" w:rsidRPr="004607A7" w:rsidRDefault="00E1519F" w:rsidP="00A42A35">
            <w:pPr>
              <w:spacing w:line="360" w:lineRule="auto"/>
              <w:contextualSpacing/>
              <w:jc w:val="right"/>
              <w:rPr>
                <w:rFonts w:cstheme="minorHAnsi"/>
                <w:b/>
              </w:rPr>
            </w:pPr>
          </w:p>
        </w:tc>
        <w:tc>
          <w:tcPr>
            <w:tcW w:w="1061" w:type="dxa"/>
          </w:tcPr>
          <w:p w14:paraId="7342C720" w14:textId="77777777" w:rsidR="00E1519F" w:rsidRPr="004607A7" w:rsidRDefault="00E1519F" w:rsidP="00A42A35">
            <w:pPr>
              <w:spacing w:line="360" w:lineRule="auto"/>
              <w:contextualSpacing/>
              <w:jc w:val="right"/>
              <w:rPr>
                <w:rFonts w:cstheme="minorHAnsi"/>
                <w:b/>
              </w:rPr>
            </w:pPr>
          </w:p>
        </w:tc>
      </w:tr>
      <w:tr w:rsidR="00E1519F" w:rsidRPr="004607A7" w14:paraId="00D3AC3F" w14:textId="77777777" w:rsidTr="00A42A35">
        <w:tc>
          <w:tcPr>
            <w:tcW w:w="8300" w:type="dxa"/>
            <w:gridSpan w:val="6"/>
            <w:tcBorders>
              <w:top w:val="single" w:sz="4" w:space="0" w:color="auto"/>
            </w:tcBorders>
          </w:tcPr>
          <w:p w14:paraId="6AC6FAFF" w14:textId="77777777" w:rsidR="00E1519F" w:rsidRPr="004607A7" w:rsidRDefault="00E1519F" w:rsidP="00A42A35">
            <w:pPr>
              <w:spacing w:line="360" w:lineRule="auto"/>
              <w:contextualSpacing/>
              <w:rPr>
                <w:rFonts w:cstheme="minorHAnsi"/>
              </w:rPr>
            </w:pPr>
            <w:r w:rsidRPr="004607A7">
              <w:rPr>
                <w:rFonts w:cstheme="minorHAnsi"/>
              </w:rPr>
              <w:t>Note: missing service response data n = 0</w:t>
            </w:r>
          </w:p>
          <w:p w14:paraId="55643860" w14:textId="2DF6A93B" w:rsidR="00D71275" w:rsidRPr="004607A7" w:rsidRDefault="00D71275" w:rsidP="00A42A35">
            <w:pPr>
              <w:spacing w:line="360" w:lineRule="auto"/>
              <w:contextualSpacing/>
              <w:rPr>
                <w:rFonts w:cstheme="minorHAnsi"/>
              </w:rPr>
            </w:pPr>
          </w:p>
        </w:tc>
      </w:tr>
    </w:tbl>
    <w:p w14:paraId="5383998B" w14:textId="07D507FF" w:rsidR="00E1519F" w:rsidRPr="005F3B35" w:rsidRDefault="00E1519F" w:rsidP="00A42A35">
      <w:pPr>
        <w:spacing w:line="360" w:lineRule="auto"/>
        <w:jc w:val="both"/>
        <w:rPr>
          <w:rFonts w:asciiTheme="minorHAnsi" w:hAnsiTheme="minorHAnsi" w:cstheme="minorHAnsi"/>
        </w:rPr>
      </w:pPr>
      <w:r w:rsidRPr="00C733D0">
        <w:rPr>
          <w:rFonts w:asciiTheme="minorHAnsi" w:hAnsiTheme="minorHAnsi" w:cstheme="minorHAnsi"/>
        </w:rPr>
        <w:t>The data in the findings w</w:t>
      </w:r>
      <w:r w:rsidR="00267E38" w:rsidRPr="00C733D0">
        <w:rPr>
          <w:rFonts w:asciiTheme="minorHAnsi" w:hAnsiTheme="minorHAnsi" w:cstheme="minorHAnsi"/>
        </w:rPr>
        <w:t>ere</w:t>
      </w:r>
      <w:r w:rsidRPr="00C733D0">
        <w:rPr>
          <w:rFonts w:asciiTheme="minorHAnsi" w:hAnsiTheme="minorHAnsi" w:cstheme="minorHAnsi"/>
        </w:rPr>
        <w:t xml:space="preserve"> analysed using descriptive statistics in the form of frequency tables using SPSS. </w:t>
      </w:r>
      <w:r w:rsidRPr="0017186A">
        <w:rPr>
          <w:rFonts w:asciiTheme="minorHAnsi" w:hAnsiTheme="minorHAnsi" w:cstheme="minorHAnsi"/>
        </w:rPr>
        <w:t xml:space="preserve">This was to examine the frequency distribution of cases exploring whether Appropriate Adult Schemes included </w:t>
      </w:r>
      <w:r w:rsidR="0076701D" w:rsidRPr="0017186A">
        <w:rPr>
          <w:rFonts w:asciiTheme="minorHAnsi" w:hAnsiTheme="minorHAnsi" w:cstheme="minorHAnsi"/>
        </w:rPr>
        <w:t>service user involvement</w:t>
      </w:r>
      <w:r w:rsidRPr="0017186A">
        <w:rPr>
          <w:rFonts w:asciiTheme="minorHAnsi" w:hAnsiTheme="minorHAnsi" w:cstheme="minorHAnsi"/>
        </w:rPr>
        <w:t xml:space="preserve"> within their services. It should be observed that, because the article utilises data from a relatively small sample (n = </w:t>
      </w:r>
      <w:r w:rsidR="0076701D" w:rsidRPr="0017186A">
        <w:rPr>
          <w:rFonts w:asciiTheme="minorHAnsi" w:hAnsiTheme="minorHAnsi" w:cstheme="minorHAnsi"/>
        </w:rPr>
        <w:t>43</w:t>
      </w:r>
      <w:r w:rsidRPr="0017186A">
        <w:rPr>
          <w:rFonts w:asciiTheme="minorHAnsi" w:hAnsiTheme="minorHAnsi" w:cstheme="minorHAnsi"/>
        </w:rPr>
        <w:t>) from a quantitative perspective, the findings in this paper employ a</w:t>
      </w:r>
      <w:r w:rsidR="006E52F3" w:rsidRPr="0017186A">
        <w:rPr>
          <w:rFonts w:asciiTheme="minorHAnsi" w:hAnsiTheme="minorHAnsi" w:cstheme="minorHAnsi"/>
        </w:rPr>
        <w:t>n</w:t>
      </w:r>
      <w:r w:rsidRPr="0017186A">
        <w:rPr>
          <w:rFonts w:asciiTheme="minorHAnsi" w:hAnsiTheme="minorHAnsi" w:cstheme="minorHAnsi"/>
        </w:rPr>
        <w:t xml:space="preserve"> univariate analysis throughout. </w:t>
      </w:r>
      <w:r w:rsidR="00267E38" w:rsidRPr="0017186A">
        <w:rPr>
          <w:rFonts w:asciiTheme="minorHAnsi" w:hAnsiTheme="minorHAnsi" w:cstheme="minorHAnsi"/>
        </w:rPr>
        <w:t>T</w:t>
      </w:r>
      <w:r w:rsidRPr="0017186A">
        <w:rPr>
          <w:rFonts w:asciiTheme="minorHAnsi" w:hAnsiTheme="minorHAnsi" w:cstheme="minorHAnsi"/>
        </w:rPr>
        <w:t xml:space="preserve">o give depth to the univariate analysis a thematic analysis was </w:t>
      </w:r>
      <w:r w:rsidR="001D1FFE" w:rsidRPr="0017186A">
        <w:rPr>
          <w:rFonts w:asciiTheme="minorHAnsi" w:hAnsiTheme="minorHAnsi" w:cstheme="minorHAnsi"/>
        </w:rPr>
        <w:t>undertaken,</w:t>
      </w:r>
      <w:r w:rsidRPr="0017186A">
        <w:rPr>
          <w:rFonts w:asciiTheme="minorHAnsi" w:hAnsiTheme="minorHAnsi" w:cstheme="minorHAnsi"/>
        </w:rPr>
        <w:t xml:space="preserve"> and qualitative data was linked to the relevant quantitative analysis (</w:t>
      </w:r>
      <w:proofErr w:type="spellStart"/>
      <w:r w:rsidRPr="0017186A">
        <w:rPr>
          <w:rFonts w:asciiTheme="minorHAnsi" w:hAnsiTheme="minorHAnsi" w:cstheme="minorHAnsi"/>
        </w:rPr>
        <w:t>Cres</w:t>
      </w:r>
      <w:r w:rsidR="00AF3934" w:rsidRPr="0017186A">
        <w:rPr>
          <w:rFonts w:asciiTheme="minorHAnsi" w:hAnsiTheme="minorHAnsi" w:cstheme="minorHAnsi"/>
        </w:rPr>
        <w:t>s</w:t>
      </w:r>
      <w:r w:rsidRPr="0017186A">
        <w:rPr>
          <w:rFonts w:asciiTheme="minorHAnsi" w:hAnsiTheme="minorHAnsi" w:cstheme="minorHAnsi"/>
        </w:rPr>
        <w:t>well</w:t>
      </w:r>
      <w:proofErr w:type="spellEnd"/>
      <w:r w:rsidRPr="0017186A">
        <w:rPr>
          <w:rFonts w:asciiTheme="minorHAnsi" w:hAnsiTheme="minorHAnsi" w:cstheme="minorHAnsi"/>
        </w:rPr>
        <w:t xml:space="preserve"> </w:t>
      </w:r>
      <w:r w:rsidRPr="0017186A">
        <w:rPr>
          <w:rFonts w:asciiTheme="minorHAnsi" w:hAnsiTheme="minorHAnsi" w:cstheme="minorHAnsi"/>
          <w:i/>
          <w:iCs/>
        </w:rPr>
        <w:t>et al.</w:t>
      </w:r>
      <w:r w:rsidR="00AF3934" w:rsidRPr="0017186A">
        <w:rPr>
          <w:rFonts w:asciiTheme="minorHAnsi" w:hAnsiTheme="minorHAnsi" w:cstheme="minorHAnsi"/>
          <w:i/>
          <w:iCs/>
        </w:rPr>
        <w:t>,</w:t>
      </w:r>
      <w:r w:rsidRPr="0017186A">
        <w:rPr>
          <w:rFonts w:asciiTheme="minorHAnsi" w:hAnsiTheme="minorHAnsi" w:cstheme="minorHAnsi"/>
        </w:rPr>
        <w:t xml:space="preserve"> 2019). Thus, both quantitative and qualitative data will be presented in the findings section</w:t>
      </w:r>
      <w:r w:rsidR="0076701D" w:rsidRPr="0017186A">
        <w:rPr>
          <w:rFonts w:asciiTheme="minorHAnsi" w:hAnsiTheme="minorHAnsi" w:cstheme="minorHAnsi"/>
        </w:rPr>
        <w:t xml:space="preserve">. </w:t>
      </w:r>
      <w:r w:rsidRPr="0017186A">
        <w:rPr>
          <w:rFonts w:asciiTheme="minorHAnsi" w:hAnsiTheme="minorHAnsi" w:cstheme="minorHAnsi"/>
        </w:rPr>
        <w:t xml:space="preserve"> </w:t>
      </w:r>
      <w:r w:rsidR="0076701D" w:rsidRPr="005F3B35">
        <w:rPr>
          <w:rFonts w:asciiTheme="minorHAnsi" w:hAnsiTheme="minorHAnsi" w:cstheme="minorHAnsi"/>
        </w:rPr>
        <w:t xml:space="preserve">Applying </w:t>
      </w:r>
      <w:proofErr w:type="spellStart"/>
      <w:r w:rsidR="0076701D" w:rsidRPr="005F3B35">
        <w:rPr>
          <w:rFonts w:asciiTheme="minorHAnsi" w:hAnsiTheme="minorHAnsi" w:cstheme="minorHAnsi"/>
        </w:rPr>
        <w:t>Forbat</w:t>
      </w:r>
      <w:proofErr w:type="spellEnd"/>
      <w:r w:rsidR="0076701D" w:rsidRPr="005F3B35">
        <w:rPr>
          <w:rFonts w:asciiTheme="minorHAnsi" w:hAnsiTheme="minorHAnsi" w:cstheme="minorHAnsi"/>
        </w:rPr>
        <w:t xml:space="preserve"> </w:t>
      </w:r>
      <w:r w:rsidR="0076701D" w:rsidRPr="005F3B35">
        <w:rPr>
          <w:rFonts w:asciiTheme="minorHAnsi" w:hAnsiTheme="minorHAnsi" w:cstheme="minorHAnsi"/>
          <w:i/>
          <w:iCs/>
        </w:rPr>
        <w:t>et al</w:t>
      </w:r>
      <w:r w:rsidR="00AF3934" w:rsidRPr="005F3B35">
        <w:rPr>
          <w:rFonts w:asciiTheme="minorHAnsi" w:hAnsiTheme="minorHAnsi" w:cstheme="minorHAnsi"/>
          <w:i/>
          <w:iCs/>
        </w:rPr>
        <w:t>.</w:t>
      </w:r>
      <w:r w:rsidR="00C92FAB" w:rsidRPr="005F3B35">
        <w:rPr>
          <w:rFonts w:asciiTheme="minorHAnsi" w:hAnsiTheme="minorHAnsi" w:cstheme="minorHAnsi"/>
        </w:rPr>
        <w:t>’s (2009) models as a lens through which to conceptualise the ideological drivers of service provision, t</w:t>
      </w:r>
      <w:r w:rsidRPr="005F3B35">
        <w:rPr>
          <w:rFonts w:asciiTheme="minorHAnsi" w:hAnsiTheme="minorHAnsi" w:cstheme="minorHAnsi"/>
        </w:rPr>
        <w:t xml:space="preserve">hree themes emerged from the univariate data analysis: </w:t>
      </w:r>
      <w:r w:rsidR="0076701D" w:rsidRPr="005F3B35">
        <w:rPr>
          <w:rFonts w:asciiTheme="minorHAnsi" w:hAnsiTheme="minorHAnsi" w:cstheme="minorHAnsi"/>
        </w:rPr>
        <w:t>feedback as a form of participation, input into training and development, and involvement in management of services.</w:t>
      </w:r>
    </w:p>
    <w:p w14:paraId="7630B79E" w14:textId="77777777" w:rsidR="00564FAA" w:rsidRPr="005F3B35" w:rsidRDefault="00564FAA" w:rsidP="0082589F">
      <w:pPr>
        <w:pStyle w:val="Heading1"/>
        <w:spacing w:line="360" w:lineRule="auto"/>
        <w:contextualSpacing/>
        <w:mirrorIndents/>
        <w:rPr>
          <w:rFonts w:asciiTheme="minorHAnsi" w:hAnsiTheme="minorHAnsi" w:cstheme="minorHAnsi"/>
          <w:sz w:val="24"/>
          <w:szCs w:val="24"/>
        </w:rPr>
      </w:pPr>
    </w:p>
    <w:p w14:paraId="6E1AD82B" w14:textId="42208F92" w:rsidR="007162B3" w:rsidRPr="005F3B35" w:rsidRDefault="00597796" w:rsidP="0082589F">
      <w:pPr>
        <w:pStyle w:val="Heading1"/>
        <w:spacing w:line="360" w:lineRule="auto"/>
        <w:contextualSpacing/>
        <w:mirrorIndents/>
        <w:rPr>
          <w:rFonts w:asciiTheme="minorHAnsi" w:hAnsiTheme="minorHAnsi" w:cstheme="minorHAnsi"/>
          <w:sz w:val="24"/>
          <w:szCs w:val="24"/>
        </w:rPr>
      </w:pPr>
      <w:r w:rsidRPr="005F3B35">
        <w:rPr>
          <w:rFonts w:asciiTheme="minorHAnsi" w:hAnsiTheme="minorHAnsi" w:cstheme="minorHAnsi"/>
          <w:sz w:val="24"/>
          <w:szCs w:val="24"/>
        </w:rPr>
        <w:t>Findings</w:t>
      </w:r>
      <w:bookmarkEnd w:id="10"/>
      <w:r w:rsidR="00DF19B4" w:rsidRPr="005F3B35">
        <w:rPr>
          <w:rFonts w:asciiTheme="minorHAnsi" w:hAnsiTheme="minorHAnsi" w:cstheme="minorHAnsi"/>
          <w:sz w:val="24"/>
          <w:szCs w:val="24"/>
        </w:rPr>
        <w:t xml:space="preserve">: </w:t>
      </w:r>
      <w:r w:rsidR="00DC7A68" w:rsidRPr="005F3B35">
        <w:rPr>
          <w:rFonts w:asciiTheme="minorHAnsi" w:hAnsiTheme="minorHAnsi" w:cstheme="minorHAnsi"/>
          <w:sz w:val="24"/>
          <w:szCs w:val="24"/>
        </w:rPr>
        <w:t>Involvement of Service Users</w:t>
      </w:r>
    </w:p>
    <w:p w14:paraId="343356B7" w14:textId="77777777" w:rsidR="000F696B" w:rsidRPr="005F3B35" w:rsidRDefault="000F696B" w:rsidP="00AA51B8">
      <w:pPr>
        <w:spacing w:line="360" w:lineRule="auto"/>
        <w:contextualSpacing/>
        <w:mirrorIndents/>
        <w:jc w:val="both"/>
        <w:rPr>
          <w:rFonts w:asciiTheme="minorHAnsi" w:hAnsiTheme="minorHAnsi" w:cstheme="minorHAnsi"/>
        </w:rPr>
      </w:pPr>
    </w:p>
    <w:p w14:paraId="68A9330A" w14:textId="647F05DC" w:rsidR="005A1E9A" w:rsidRPr="00312D4A" w:rsidRDefault="00121DBC" w:rsidP="00AA51B8">
      <w:pPr>
        <w:spacing w:line="360" w:lineRule="auto"/>
        <w:contextualSpacing/>
        <w:mirrorIndents/>
        <w:jc w:val="both"/>
        <w:rPr>
          <w:rFonts w:asciiTheme="minorHAnsi" w:hAnsiTheme="minorHAnsi" w:cstheme="minorHAnsi"/>
        </w:rPr>
      </w:pPr>
      <w:r w:rsidRPr="00812A50">
        <w:rPr>
          <w:rFonts w:asciiTheme="minorHAnsi" w:hAnsiTheme="minorHAnsi" w:cstheme="minorHAnsi"/>
        </w:rPr>
        <w:t>Although the</w:t>
      </w:r>
      <w:r w:rsidR="00715EA3" w:rsidRPr="00812A50">
        <w:rPr>
          <w:rFonts w:asciiTheme="minorHAnsi" w:hAnsiTheme="minorHAnsi" w:cstheme="minorHAnsi"/>
        </w:rPr>
        <w:t xml:space="preserve"> </w:t>
      </w:r>
      <w:r w:rsidR="00ED76EE" w:rsidRPr="00812A50">
        <w:rPr>
          <w:rFonts w:asciiTheme="minorHAnsi" w:hAnsiTheme="minorHAnsi" w:cstheme="minorHAnsi"/>
        </w:rPr>
        <w:t xml:space="preserve">National Appropriate Adult Network </w:t>
      </w:r>
      <w:r w:rsidR="004F3EE9" w:rsidRPr="00812A50">
        <w:rPr>
          <w:rFonts w:asciiTheme="minorHAnsi" w:hAnsiTheme="minorHAnsi" w:cstheme="minorHAnsi"/>
        </w:rPr>
        <w:t>is</w:t>
      </w:r>
      <w:r w:rsidR="00DF38DF" w:rsidRPr="00812A50">
        <w:rPr>
          <w:rFonts w:asciiTheme="minorHAnsi" w:hAnsiTheme="minorHAnsi" w:cstheme="minorHAnsi"/>
        </w:rPr>
        <w:t xml:space="preserve"> advocating</w:t>
      </w:r>
      <w:r w:rsidR="00EF2343" w:rsidRPr="00812A50">
        <w:rPr>
          <w:rFonts w:asciiTheme="minorHAnsi" w:hAnsiTheme="minorHAnsi" w:cstheme="minorHAnsi"/>
        </w:rPr>
        <w:t xml:space="preserve"> for the use of </w:t>
      </w:r>
      <w:proofErr w:type="spellStart"/>
      <w:r w:rsidR="00EF2343" w:rsidRPr="00812A50">
        <w:rPr>
          <w:rFonts w:asciiTheme="minorHAnsi" w:hAnsiTheme="minorHAnsi" w:cstheme="minorHAnsi"/>
        </w:rPr>
        <w:t>Arnstein’s</w:t>
      </w:r>
      <w:proofErr w:type="spellEnd"/>
      <w:r w:rsidR="00EF2343" w:rsidRPr="00812A50">
        <w:rPr>
          <w:rFonts w:asciiTheme="minorHAnsi" w:hAnsiTheme="minorHAnsi" w:cstheme="minorHAnsi"/>
        </w:rPr>
        <w:t xml:space="preserve"> ladder to measure involvement across member agencies, there is very little acknowledgement concerning</w:t>
      </w:r>
      <w:r w:rsidR="00001AF0" w:rsidRPr="00812A50">
        <w:rPr>
          <w:rFonts w:asciiTheme="minorHAnsi" w:hAnsiTheme="minorHAnsi" w:cstheme="minorHAnsi"/>
        </w:rPr>
        <w:t xml:space="preserve"> the ideological drivers which underpin the diverse </w:t>
      </w:r>
      <w:r w:rsidR="00001AF0" w:rsidRPr="00812A50">
        <w:rPr>
          <w:rFonts w:asciiTheme="minorHAnsi" w:hAnsiTheme="minorHAnsi" w:cstheme="minorHAnsi"/>
        </w:rPr>
        <w:lastRenderedPageBreak/>
        <w:t xml:space="preserve">agencies which provide </w:t>
      </w:r>
      <w:r w:rsidR="00FA390F" w:rsidRPr="00812A50">
        <w:rPr>
          <w:rFonts w:asciiTheme="minorHAnsi" w:hAnsiTheme="minorHAnsi" w:cstheme="minorHAnsi"/>
        </w:rPr>
        <w:t xml:space="preserve">Appropriate Adult </w:t>
      </w:r>
      <w:r w:rsidR="00576425" w:rsidRPr="00812A50">
        <w:rPr>
          <w:rFonts w:asciiTheme="minorHAnsi" w:hAnsiTheme="minorHAnsi" w:cstheme="minorHAnsi"/>
        </w:rPr>
        <w:t>s</w:t>
      </w:r>
      <w:r w:rsidR="00FA390F" w:rsidRPr="00812A50">
        <w:rPr>
          <w:rFonts w:asciiTheme="minorHAnsi" w:hAnsiTheme="minorHAnsi" w:cstheme="minorHAnsi"/>
        </w:rPr>
        <w:t>chemes</w:t>
      </w:r>
      <w:r w:rsidR="00ED76EE" w:rsidRPr="00812A50">
        <w:rPr>
          <w:rFonts w:asciiTheme="minorHAnsi" w:hAnsiTheme="minorHAnsi" w:cstheme="minorHAnsi"/>
        </w:rPr>
        <w:t xml:space="preserve"> across the UK</w:t>
      </w:r>
      <w:r w:rsidR="00D07D33" w:rsidRPr="00812A50">
        <w:rPr>
          <w:rFonts w:asciiTheme="minorHAnsi" w:hAnsiTheme="minorHAnsi" w:cstheme="minorHAnsi"/>
        </w:rPr>
        <w:t xml:space="preserve">. </w:t>
      </w:r>
      <w:r w:rsidR="000F696B" w:rsidRPr="006E716B">
        <w:rPr>
          <w:rFonts w:asciiTheme="minorHAnsi" w:hAnsiTheme="minorHAnsi" w:cstheme="minorHAnsi"/>
        </w:rPr>
        <w:t>Within the data analysis</w:t>
      </w:r>
      <w:r w:rsidR="004F3EE9" w:rsidRPr="006E716B">
        <w:rPr>
          <w:rFonts w:asciiTheme="minorHAnsi" w:hAnsiTheme="minorHAnsi" w:cstheme="minorHAnsi"/>
        </w:rPr>
        <w:t>,</w:t>
      </w:r>
      <w:r w:rsidR="000F696B" w:rsidRPr="006E716B">
        <w:rPr>
          <w:rFonts w:asciiTheme="minorHAnsi" w:hAnsiTheme="minorHAnsi" w:cstheme="minorHAnsi"/>
        </w:rPr>
        <w:t xml:space="preserve"> we discovered that service user involvement with s</w:t>
      </w:r>
      <w:r w:rsidR="00576425" w:rsidRPr="006E716B">
        <w:rPr>
          <w:rFonts w:asciiTheme="minorHAnsi" w:hAnsiTheme="minorHAnsi" w:cstheme="minorHAnsi"/>
        </w:rPr>
        <w:t>chemes</w:t>
      </w:r>
      <w:r w:rsidR="000F696B" w:rsidRPr="006E716B">
        <w:rPr>
          <w:rFonts w:asciiTheme="minorHAnsi" w:hAnsiTheme="minorHAnsi" w:cstheme="minorHAnsi"/>
        </w:rPr>
        <w:t xml:space="preserve"> was often minimal. </w:t>
      </w:r>
      <w:r w:rsidR="00312D4A" w:rsidRPr="006E716B">
        <w:rPr>
          <w:rFonts w:asciiTheme="minorHAnsi" w:hAnsiTheme="minorHAnsi" w:cstheme="minorHAnsi"/>
        </w:rPr>
        <w:t xml:space="preserve">The majority of </w:t>
      </w:r>
      <w:r w:rsidR="000F696B" w:rsidRPr="006E716B">
        <w:rPr>
          <w:rFonts w:asciiTheme="minorHAnsi" w:hAnsiTheme="minorHAnsi" w:cstheme="minorHAnsi"/>
        </w:rPr>
        <w:t xml:space="preserve">Appropriate </w:t>
      </w:r>
      <w:r w:rsidR="00C92FAB" w:rsidRPr="006E716B">
        <w:rPr>
          <w:rFonts w:asciiTheme="minorHAnsi" w:hAnsiTheme="minorHAnsi" w:cstheme="minorHAnsi"/>
        </w:rPr>
        <w:t>A</w:t>
      </w:r>
      <w:r w:rsidR="000F696B" w:rsidRPr="006E716B">
        <w:rPr>
          <w:rFonts w:asciiTheme="minorHAnsi" w:hAnsiTheme="minorHAnsi" w:cstheme="minorHAnsi"/>
        </w:rPr>
        <w:t xml:space="preserve">dult </w:t>
      </w:r>
      <w:r w:rsidR="00C92FAB" w:rsidRPr="006E716B">
        <w:rPr>
          <w:rFonts w:asciiTheme="minorHAnsi" w:hAnsiTheme="minorHAnsi" w:cstheme="minorHAnsi"/>
        </w:rPr>
        <w:t xml:space="preserve">schemes </w:t>
      </w:r>
      <w:r w:rsidR="00576425" w:rsidRPr="006E716B">
        <w:rPr>
          <w:rFonts w:asciiTheme="minorHAnsi" w:hAnsiTheme="minorHAnsi" w:cstheme="minorHAnsi"/>
        </w:rPr>
        <w:t>seem to have adopted</w:t>
      </w:r>
      <w:r w:rsidR="000F696B" w:rsidRPr="006E716B">
        <w:rPr>
          <w:rFonts w:asciiTheme="minorHAnsi" w:hAnsiTheme="minorHAnsi" w:cstheme="minorHAnsi"/>
        </w:rPr>
        <w:t xml:space="preserve"> </w:t>
      </w:r>
      <w:r w:rsidR="00C92FAB" w:rsidRPr="006E716B">
        <w:rPr>
          <w:rFonts w:asciiTheme="minorHAnsi" w:hAnsiTheme="minorHAnsi" w:cstheme="minorHAnsi"/>
        </w:rPr>
        <w:t>a</w:t>
      </w:r>
      <w:r w:rsidR="000F696B" w:rsidRPr="006E716B">
        <w:rPr>
          <w:rFonts w:asciiTheme="minorHAnsi" w:hAnsiTheme="minorHAnsi" w:cstheme="minorHAnsi"/>
        </w:rPr>
        <w:t xml:space="preserve"> neoliberal consumer</w:t>
      </w:r>
      <w:r w:rsidR="004F3EE9" w:rsidRPr="006E716B">
        <w:rPr>
          <w:rFonts w:asciiTheme="minorHAnsi" w:hAnsiTheme="minorHAnsi" w:cstheme="minorHAnsi"/>
        </w:rPr>
        <w:t>-</w:t>
      </w:r>
      <w:r w:rsidR="000F696B" w:rsidRPr="006E716B">
        <w:rPr>
          <w:rFonts w:asciiTheme="minorHAnsi" w:hAnsiTheme="minorHAnsi" w:cstheme="minorHAnsi"/>
        </w:rPr>
        <w:t>led approach</w:t>
      </w:r>
      <w:r w:rsidR="002E5B5C" w:rsidRPr="006E716B">
        <w:rPr>
          <w:rFonts w:asciiTheme="minorHAnsi" w:hAnsiTheme="minorHAnsi" w:cstheme="minorHAnsi"/>
        </w:rPr>
        <w:t xml:space="preserve">, </w:t>
      </w:r>
      <w:r w:rsidR="001D1FFE" w:rsidRPr="006E716B">
        <w:rPr>
          <w:rFonts w:asciiTheme="minorHAnsi" w:hAnsiTheme="minorHAnsi" w:cstheme="minorHAnsi"/>
        </w:rPr>
        <w:t>i.e.,</w:t>
      </w:r>
      <w:r w:rsidR="002E5B5C" w:rsidRPr="006E716B">
        <w:rPr>
          <w:rFonts w:asciiTheme="minorHAnsi" w:hAnsiTheme="minorHAnsi" w:cstheme="minorHAnsi"/>
        </w:rPr>
        <w:t xml:space="preserve"> free market economy model when implementing </w:t>
      </w:r>
      <w:r w:rsidR="004655F9" w:rsidRPr="006E716B">
        <w:rPr>
          <w:rFonts w:asciiTheme="minorHAnsi" w:hAnsiTheme="minorHAnsi" w:cstheme="minorHAnsi"/>
        </w:rPr>
        <w:t xml:space="preserve">service user involvement within their services. </w:t>
      </w:r>
      <w:r w:rsidR="004655F9" w:rsidRPr="00312D4A">
        <w:rPr>
          <w:rFonts w:asciiTheme="minorHAnsi" w:hAnsiTheme="minorHAnsi" w:cstheme="minorHAnsi"/>
        </w:rPr>
        <w:t>As we can see from table t</w:t>
      </w:r>
      <w:r w:rsidR="0021584B" w:rsidRPr="00312D4A">
        <w:rPr>
          <w:rFonts w:asciiTheme="minorHAnsi" w:hAnsiTheme="minorHAnsi" w:cstheme="minorHAnsi"/>
        </w:rPr>
        <w:t>w</w:t>
      </w:r>
      <w:r w:rsidR="004655F9" w:rsidRPr="00312D4A">
        <w:rPr>
          <w:rFonts w:asciiTheme="minorHAnsi" w:hAnsiTheme="minorHAnsi" w:cstheme="minorHAnsi"/>
        </w:rPr>
        <w:t xml:space="preserve">o, </w:t>
      </w:r>
      <w:r w:rsidR="0021584B" w:rsidRPr="00312D4A">
        <w:rPr>
          <w:rFonts w:asciiTheme="minorHAnsi" w:hAnsiTheme="minorHAnsi" w:cstheme="minorHAnsi"/>
        </w:rPr>
        <w:t xml:space="preserve">the </w:t>
      </w:r>
      <w:r w:rsidR="00E30B21" w:rsidRPr="00312D4A">
        <w:rPr>
          <w:rFonts w:asciiTheme="minorHAnsi" w:hAnsiTheme="minorHAnsi" w:cstheme="minorHAnsi"/>
        </w:rPr>
        <w:t>most common form of involvement reported by services</w:t>
      </w:r>
      <w:r w:rsidR="000F696B" w:rsidRPr="00312D4A">
        <w:rPr>
          <w:rFonts w:asciiTheme="minorHAnsi" w:hAnsiTheme="minorHAnsi" w:cstheme="minorHAnsi"/>
        </w:rPr>
        <w:t xml:space="preserve"> was service user feedback (see table 2).</w:t>
      </w:r>
      <w:r w:rsidR="004655F9" w:rsidRPr="00312D4A">
        <w:rPr>
          <w:rFonts w:asciiTheme="minorHAnsi" w:hAnsiTheme="minorHAnsi" w:cstheme="minorHAnsi"/>
        </w:rPr>
        <w:t xml:space="preserve"> </w:t>
      </w:r>
      <w:r w:rsidR="00AB3D97" w:rsidRPr="00312D4A">
        <w:rPr>
          <w:rFonts w:asciiTheme="minorHAnsi" w:hAnsiTheme="minorHAnsi" w:cstheme="minorHAnsi"/>
        </w:rPr>
        <w:t>When discussing involvement,</w:t>
      </w:r>
      <w:r w:rsidR="004671CE" w:rsidRPr="00312D4A">
        <w:rPr>
          <w:rFonts w:asciiTheme="minorHAnsi" w:hAnsiTheme="minorHAnsi" w:cstheme="minorHAnsi"/>
        </w:rPr>
        <w:t xml:space="preserve"> 71% of services reported providing an opportunity</w:t>
      </w:r>
      <w:r w:rsidR="003869B9" w:rsidRPr="00312D4A">
        <w:rPr>
          <w:rFonts w:asciiTheme="minorHAnsi" w:hAnsiTheme="minorHAnsi" w:cstheme="minorHAnsi"/>
        </w:rPr>
        <w:t xml:space="preserve"> for service user feedback through a questionnaire.</w:t>
      </w:r>
      <w:r w:rsidR="00974401" w:rsidRPr="00312D4A">
        <w:rPr>
          <w:rFonts w:asciiTheme="minorHAnsi" w:hAnsiTheme="minorHAnsi" w:cstheme="minorHAnsi"/>
        </w:rPr>
        <w:t xml:space="preserve"> Interestingly,</w:t>
      </w:r>
      <w:r w:rsidR="001D3831" w:rsidRPr="00312D4A">
        <w:rPr>
          <w:rFonts w:asciiTheme="minorHAnsi" w:hAnsiTheme="minorHAnsi" w:cstheme="minorHAnsi"/>
        </w:rPr>
        <w:t xml:space="preserve"> although </w:t>
      </w:r>
      <w:r w:rsidR="001D1FFE" w:rsidRPr="00312D4A">
        <w:rPr>
          <w:rFonts w:asciiTheme="minorHAnsi" w:hAnsiTheme="minorHAnsi" w:cstheme="minorHAnsi"/>
        </w:rPr>
        <w:t>most</w:t>
      </w:r>
      <w:r w:rsidR="001D3831" w:rsidRPr="00312D4A">
        <w:rPr>
          <w:rFonts w:asciiTheme="minorHAnsi" w:hAnsiTheme="minorHAnsi" w:cstheme="minorHAnsi"/>
        </w:rPr>
        <w:t xml:space="preserve"> agencies offered this basic form of involvement,</w:t>
      </w:r>
      <w:r w:rsidR="00657ECE" w:rsidRPr="00312D4A">
        <w:rPr>
          <w:rFonts w:asciiTheme="minorHAnsi" w:hAnsiTheme="minorHAnsi" w:cstheme="minorHAnsi"/>
        </w:rPr>
        <w:t xml:space="preserve"> 29% did not collect feedback</w:t>
      </w:r>
      <w:r w:rsidR="00166543" w:rsidRPr="00312D4A">
        <w:rPr>
          <w:rFonts w:asciiTheme="minorHAnsi" w:hAnsiTheme="minorHAnsi" w:cstheme="minorHAnsi"/>
        </w:rPr>
        <w:t xml:space="preserve"> or engage in any form of service user involvement in their services</w:t>
      </w:r>
      <w:r w:rsidR="00A82FD9" w:rsidRPr="00312D4A">
        <w:rPr>
          <w:rFonts w:asciiTheme="minorHAnsi" w:hAnsiTheme="minorHAnsi" w:cstheme="minorHAnsi"/>
        </w:rPr>
        <w:t xml:space="preserve"> (see table 2)</w:t>
      </w:r>
      <w:r w:rsidR="00166543" w:rsidRPr="00312D4A">
        <w:rPr>
          <w:rFonts w:asciiTheme="minorHAnsi" w:hAnsiTheme="minorHAnsi" w:cstheme="minorHAnsi"/>
        </w:rPr>
        <w:t xml:space="preserve">. </w:t>
      </w:r>
    </w:p>
    <w:p w14:paraId="3A0A7A14" w14:textId="77777777" w:rsidR="005A1E9A" w:rsidRPr="00312D4A" w:rsidRDefault="005A1E9A" w:rsidP="00AA51B8">
      <w:pPr>
        <w:spacing w:line="360" w:lineRule="auto"/>
        <w:contextualSpacing/>
        <w:mirrorIndents/>
        <w:jc w:val="both"/>
        <w:rPr>
          <w:rFonts w:asciiTheme="minorHAnsi" w:hAnsiTheme="minorHAnsi" w:cstheme="minorHAns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066"/>
        <w:gridCol w:w="1940"/>
        <w:gridCol w:w="1317"/>
      </w:tblGrid>
      <w:tr w:rsidR="00C35A2D" w:rsidRPr="004607A7" w14:paraId="3CC9A42B" w14:textId="77777777" w:rsidTr="00835FD0">
        <w:tc>
          <w:tcPr>
            <w:tcW w:w="8300" w:type="dxa"/>
            <w:gridSpan w:val="4"/>
            <w:tcBorders>
              <w:bottom w:val="single" w:sz="4" w:space="0" w:color="auto"/>
            </w:tcBorders>
          </w:tcPr>
          <w:p w14:paraId="383DFAC2" w14:textId="707DC36E" w:rsidR="00C35A2D" w:rsidRPr="00312D4A" w:rsidRDefault="00C35A2D" w:rsidP="00835FD0">
            <w:pPr>
              <w:autoSpaceDE w:val="0"/>
              <w:autoSpaceDN w:val="0"/>
              <w:adjustRightInd w:val="0"/>
              <w:spacing w:line="480" w:lineRule="auto"/>
              <w:contextualSpacing/>
              <w:rPr>
                <w:rFonts w:cstheme="minorHAnsi"/>
              </w:rPr>
            </w:pPr>
            <w:r w:rsidRPr="00312D4A">
              <w:rPr>
                <w:rFonts w:cstheme="minorHAnsi"/>
                <w:i/>
              </w:rPr>
              <w:t xml:space="preserve">Table </w:t>
            </w:r>
            <w:r w:rsidR="000F696B" w:rsidRPr="00312D4A">
              <w:rPr>
                <w:rFonts w:cstheme="minorHAnsi"/>
                <w:i/>
              </w:rPr>
              <w:t>2</w:t>
            </w:r>
            <w:r w:rsidRPr="00312D4A">
              <w:rPr>
                <w:rFonts w:cstheme="minorHAnsi"/>
                <w:i/>
              </w:rPr>
              <w:t xml:space="preserve"> </w:t>
            </w:r>
            <w:r w:rsidRPr="00312D4A">
              <w:rPr>
                <w:rFonts w:cstheme="minorHAnsi"/>
              </w:rPr>
              <w:t>Service User Feedback</w:t>
            </w:r>
          </w:p>
        </w:tc>
      </w:tr>
      <w:tr w:rsidR="00C35A2D" w:rsidRPr="004607A7" w14:paraId="7AAA2319" w14:textId="77777777" w:rsidTr="00835FD0">
        <w:tc>
          <w:tcPr>
            <w:tcW w:w="2977" w:type="dxa"/>
            <w:tcBorders>
              <w:top w:val="single" w:sz="4" w:space="0" w:color="auto"/>
              <w:bottom w:val="single" w:sz="4" w:space="0" w:color="auto"/>
            </w:tcBorders>
          </w:tcPr>
          <w:p w14:paraId="1EABD3B3" w14:textId="77777777" w:rsidR="00C35A2D" w:rsidRPr="00312D4A" w:rsidRDefault="00C35A2D" w:rsidP="00835FD0">
            <w:pPr>
              <w:spacing w:line="480" w:lineRule="auto"/>
              <w:contextualSpacing/>
              <w:rPr>
                <w:rFonts w:cstheme="minorHAnsi"/>
              </w:rPr>
            </w:pPr>
            <w:r w:rsidRPr="00312D4A">
              <w:rPr>
                <w:rFonts w:cstheme="minorHAnsi"/>
              </w:rPr>
              <w:t>Variable Categories</w:t>
            </w:r>
          </w:p>
        </w:tc>
        <w:tc>
          <w:tcPr>
            <w:tcW w:w="2066" w:type="dxa"/>
            <w:tcBorders>
              <w:top w:val="single" w:sz="4" w:space="0" w:color="auto"/>
              <w:bottom w:val="single" w:sz="4" w:space="0" w:color="auto"/>
            </w:tcBorders>
          </w:tcPr>
          <w:p w14:paraId="40E537D8" w14:textId="77777777" w:rsidR="00C35A2D" w:rsidRPr="00312D4A" w:rsidRDefault="00C35A2D" w:rsidP="00835FD0">
            <w:pPr>
              <w:spacing w:line="480" w:lineRule="auto"/>
              <w:contextualSpacing/>
              <w:rPr>
                <w:rFonts w:cstheme="minorHAnsi"/>
              </w:rPr>
            </w:pPr>
            <w:r w:rsidRPr="00312D4A">
              <w:rPr>
                <w:rFonts w:cstheme="minorHAnsi"/>
              </w:rPr>
              <w:t>Variable Values</w:t>
            </w:r>
          </w:p>
        </w:tc>
        <w:tc>
          <w:tcPr>
            <w:tcW w:w="1940" w:type="dxa"/>
            <w:tcBorders>
              <w:top w:val="single" w:sz="4" w:space="0" w:color="auto"/>
              <w:bottom w:val="single" w:sz="4" w:space="0" w:color="auto"/>
            </w:tcBorders>
          </w:tcPr>
          <w:p w14:paraId="349C2DB0" w14:textId="77777777" w:rsidR="00C35A2D" w:rsidRPr="004607A7" w:rsidRDefault="00C35A2D" w:rsidP="00835FD0">
            <w:pPr>
              <w:spacing w:line="480" w:lineRule="auto"/>
              <w:contextualSpacing/>
              <w:jc w:val="right"/>
              <w:rPr>
                <w:rFonts w:cstheme="minorHAnsi"/>
              </w:rPr>
            </w:pPr>
            <w:r w:rsidRPr="004607A7">
              <w:rPr>
                <w:rFonts w:cstheme="minorHAnsi"/>
              </w:rPr>
              <w:t>Percentage</w:t>
            </w:r>
          </w:p>
        </w:tc>
        <w:tc>
          <w:tcPr>
            <w:tcW w:w="1317" w:type="dxa"/>
            <w:tcBorders>
              <w:top w:val="single" w:sz="4" w:space="0" w:color="auto"/>
              <w:bottom w:val="single" w:sz="4" w:space="0" w:color="auto"/>
            </w:tcBorders>
          </w:tcPr>
          <w:p w14:paraId="66919912" w14:textId="77777777" w:rsidR="00C35A2D" w:rsidRPr="004607A7" w:rsidRDefault="00C35A2D" w:rsidP="00835FD0">
            <w:pPr>
              <w:spacing w:line="480" w:lineRule="auto"/>
              <w:contextualSpacing/>
              <w:jc w:val="right"/>
              <w:rPr>
                <w:rFonts w:cstheme="minorHAnsi"/>
              </w:rPr>
            </w:pPr>
            <w:r w:rsidRPr="004607A7">
              <w:rPr>
                <w:rFonts w:cstheme="minorHAnsi"/>
              </w:rPr>
              <w:t>n</w:t>
            </w:r>
          </w:p>
        </w:tc>
      </w:tr>
      <w:tr w:rsidR="00C35A2D" w:rsidRPr="004607A7" w14:paraId="2113B49F" w14:textId="77777777" w:rsidTr="00835FD0">
        <w:tc>
          <w:tcPr>
            <w:tcW w:w="2977" w:type="dxa"/>
            <w:tcBorders>
              <w:top w:val="single" w:sz="4" w:space="0" w:color="auto"/>
            </w:tcBorders>
          </w:tcPr>
          <w:p w14:paraId="6C1174EF" w14:textId="77777777" w:rsidR="00C35A2D" w:rsidRPr="004607A7" w:rsidRDefault="00C35A2D" w:rsidP="00835FD0">
            <w:pPr>
              <w:autoSpaceDE w:val="0"/>
              <w:autoSpaceDN w:val="0"/>
              <w:adjustRightInd w:val="0"/>
              <w:spacing w:line="480" w:lineRule="auto"/>
              <w:contextualSpacing/>
              <w:rPr>
                <w:rFonts w:cstheme="minorHAnsi"/>
              </w:rPr>
            </w:pPr>
          </w:p>
        </w:tc>
        <w:tc>
          <w:tcPr>
            <w:tcW w:w="2066" w:type="dxa"/>
            <w:tcBorders>
              <w:top w:val="single" w:sz="4" w:space="0" w:color="auto"/>
            </w:tcBorders>
          </w:tcPr>
          <w:p w14:paraId="74BFE297" w14:textId="77777777" w:rsidR="00C35A2D" w:rsidRPr="004607A7" w:rsidRDefault="00C35A2D" w:rsidP="00835FD0">
            <w:pPr>
              <w:autoSpaceDE w:val="0"/>
              <w:autoSpaceDN w:val="0"/>
              <w:adjustRightInd w:val="0"/>
              <w:spacing w:line="480" w:lineRule="auto"/>
              <w:contextualSpacing/>
              <w:rPr>
                <w:rFonts w:cstheme="minorHAnsi"/>
              </w:rPr>
            </w:pPr>
          </w:p>
        </w:tc>
        <w:tc>
          <w:tcPr>
            <w:tcW w:w="1940" w:type="dxa"/>
            <w:tcBorders>
              <w:top w:val="single" w:sz="4" w:space="0" w:color="auto"/>
            </w:tcBorders>
          </w:tcPr>
          <w:p w14:paraId="0064BF1C" w14:textId="77777777" w:rsidR="00C35A2D" w:rsidRPr="004607A7" w:rsidRDefault="00C35A2D" w:rsidP="00835FD0">
            <w:pPr>
              <w:autoSpaceDE w:val="0"/>
              <w:autoSpaceDN w:val="0"/>
              <w:adjustRightInd w:val="0"/>
              <w:spacing w:line="480" w:lineRule="auto"/>
              <w:contextualSpacing/>
              <w:jc w:val="right"/>
              <w:rPr>
                <w:rFonts w:cstheme="minorHAnsi"/>
              </w:rPr>
            </w:pPr>
          </w:p>
        </w:tc>
        <w:tc>
          <w:tcPr>
            <w:tcW w:w="1317" w:type="dxa"/>
            <w:tcBorders>
              <w:top w:val="single" w:sz="4" w:space="0" w:color="auto"/>
            </w:tcBorders>
          </w:tcPr>
          <w:p w14:paraId="34043937" w14:textId="77777777" w:rsidR="00C35A2D" w:rsidRPr="004607A7" w:rsidRDefault="00C35A2D" w:rsidP="00835FD0">
            <w:pPr>
              <w:autoSpaceDE w:val="0"/>
              <w:autoSpaceDN w:val="0"/>
              <w:adjustRightInd w:val="0"/>
              <w:spacing w:line="480" w:lineRule="auto"/>
              <w:contextualSpacing/>
              <w:jc w:val="right"/>
              <w:rPr>
                <w:rFonts w:cstheme="minorHAnsi"/>
              </w:rPr>
            </w:pPr>
          </w:p>
        </w:tc>
      </w:tr>
      <w:tr w:rsidR="00C35A2D" w:rsidRPr="004607A7" w14:paraId="2F71E77D" w14:textId="77777777" w:rsidTr="00835FD0">
        <w:tc>
          <w:tcPr>
            <w:tcW w:w="2977" w:type="dxa"/>
          </w:tcPr>
          <w:p w14:paraId="0C04FE1F" w14:textId="77777777" w:rsidR="00C35A2D" w:rsidRPr="004607A7" w:rsidRDefault="00C35A2D" w:rsidP="00835FD0">
            <w:pPr>
              <w:autoSpaceDE w:val="0"/>
              <w:autoSpaceDN w:val="0"/>
              <w:adjustRightInd w:val="0"/>
              <w:spacing w:line="480" w:lineRule="auto"/>
              <w:contextualSpacing/>
              <w:rPr>
                <w:rFonts w:cstheme="minorHAnsi"/>
              </w:rPr>
            </w:pPr>
            <w:r w:rsidRPr="004607A7">
              <w:rPr>
                <w:rFonts w:cstheme="minorHAnsi"/>
              </w:rPr>
              <w:t xml:space="preserve">Opportunities for service users to </w:t>
            </w:r>
          </w:p>
        </w:tc>
        <w:tc>
          <w:tcPr>
            <w:tcW w:w="2066" w:type="dxa"/>
          </w:tcPr>
          <w:p w14:paraId="3695B43E" w14:textId="77777777" w:rsidR="00C35A2D" w:rsidRPr="004607A7" w:rsidRDefault="00C35A2D" w:rsidP="00835FD0">
            <w:pPr>
              <w:spacing w:line="480" w:lineRule="auto"/>
              <w:contextualSpacing/>
              <w:rPr>
                <w:rFonts w:cstheme="minorHAnsi"/>
              </w:rPr>
            </w:pPr>
            <w:r w:rsidRPr="004607A7">
              <w:rPr>
                <w:rFonts w:cstheme="minorHAnsi"/>
              </w:rPr>
              <w:t>Yes</w:t>
            </w:r>
          </w:p>
        </w:tc>
        <w:tc>
          <w:tcPr>
            <w:tcW w:w="1940" w:type="dxa"/>
          </w:tcPr>
          <w:p w14:paraId="28308538" w14:textId="77777777" w:rsidR="00C35A2D" w:rsidRPr="004607A7" w:rsidRDefault="00C35A2D" w:rsidP="00835FD0">
            <w:pPr>
              <w:spacing w:line="480" w:lineRule="auto"/>
              <w:contextualSpacing/>
              <w:jc w:val="right"/>
              <w:rPr>
                <w:rFonts w:cstheme="minorHAnsi"/>
              </w:rPr>
            </w:pPr>
            <w:r w:rsidRPr="004607A7">
              <w:rPr>
                <w:rFonts w:cstheme="minorHAnsi"/>
              </w:rPr>
              <w:t>70.7</w:t>
            </w:r>
          </w:p>
        </w:tc>
        <w:tc>
          <w:tcPr>
            <w:tcW w:w="1317" w:type="dxa"/>
          </w:tcPr>
          <w:p w14:paraId="68736EE3" w14:textId="77777777" w:rsidR="00C35A2D" w:rsidRPr="004607A7" w:rsidRDefault="00C35A2D" w:rsidP="00835FD0">
            <w:pPr>
              <w:spacing w:line="480" w:lineRule="auto"/>
              <w:contextualSpacing/>
              <w:jc w:val="right"/>
              <w:rPr>
                <w:rFonts w:cstheme="minorHAnsi"/>
              </w:rPr>
            </w:pPr>
            <w:r w:rsidRPr="004607A7">
              <w:rPr>
                <w:rFonts w:cstheme="minorHAnsi"/>
              </w:rPr>
              <w:t>29</w:t>
            </w:r>
          </w:p>
        </w:tc>
      </w:tr>
      <w:tr w:rsidR="00C35A2D" w:rsidRPr="004607A7" w14:paraId="62EDB143" w14:textId="77777777" w:rsidTr="00835FD0">
        <w:tc>
          <w:tcPr>
            <w:tcW w:w="2977" w:type="dxa"/>
          </w:tcPr>
          <w:p w14:paraId="3FCA64E7" w14:textId="77777777" w:rsidR="00C35A2D" w:rsidRPr="004607A7" w:rsidRDefault="00C35A2D" w:rsidP="00835FD0">
            <w:pPr>
              <w:autoSpaceDE w:val="0"/>
              <w:autoSpaceDN w:val="0"/>
              <w:adjustRightInd w:val="0"/>
              <w:spacing w:line="480" w:lineRule="auto"/>
              <w:contextualSpacing/>
              <w:rPr>
                <w:rFonts w:cstheme="minorHAnsi"/>
              </w:rPr>
            </w:pPr>
            <w:r w:rsidRPr="004607A7">
              <w:rPr>
                <w:rFonts w:cstheme="minorHAnsi"/>
              </w:rPr>
              <w:t>provide feedback</w:t>
            </w:r>
          </w:p>
        </w:tc>
        <w:tc>
          <w:tcPr>
            <w:tcW w:w="2066" w:type="dxa"/>
          </w:tcPr>
          <w:p w14:paraId="528DB820" w14:textId="77777777" w:rsidR="00C35A2D" w:rsidRPr="004607A7" w:rsidRDefault="00C35A2D" w:rsidP="00835FD0">
            <w:pPr>
              <w:spacing w:line="480" w:lineRule="auto"/>
              <w:contextualSpacing/>
              <w:rPr>
                <w:rFonts w:cstheme="minorHAnsi"/>
              </w:rPr>
            </w:pPr>
            <w:r w:rsidRPr="004607A7">
              <w:rPr>
                <w:rFonts w:cstheme="minorHAnsi"/>
              </w:rPr>
              <w:t>No</w:t>
            </w:r>
          </w:p>
        </w:tc>
        <w:tc>
          <w:tcPr>
            <w:tcW w:w="1940" w:type="dxa"/>
          </w:tcPr>
          <w:p w14:paraId="21DD8509" w14:textId="77777777" w:rsidR="00C35A2D" w:rsidRPr="004607A7" w:rsidRDefault="00C35A2D" w:rsidP="00835FD0">
            <w:pPr>
              <w:spacing w:line="480" w:lineRule="auto"/>
              <w:contextualSpacing/>
              <w:jc w:val="right"/>
              <w:rPr>
                <w:rFonts w:cstheme="minorHAnsi"/>
              </w:rPr>
            </w:pPr>
            <w:r w:rsidRPr="004607A7">
              <w:rPr>
                <w:rFonts w:cstheme="minorHAnsi"/>
              </w:rPr>
              <w:t>29.3</w:t>
            </w:r>
          </w:p>
        </w:tc>
        <w:tc>
          <w:tcPr>
            <w:tcW w:w="1317" w:type="dxa"/>
          </w:tcPr>
          <w:p w14:paraId="4A4562D7" w14:textId="77777777" w:rsidR="00C35A2D" w:rsidRPr="004607A7" w:rsidRDefault="00C35A2D" w:rsidP="00835FD0">
            <w:pPr>
              <w:spacing w:line="480" w:lineRule="auto"/>
              <w:contextualSpacing/>
              <w:jc w:val="right"/>
              <w:rPr>
                <w:rFonts w:cstheme="minorHAnsi"/>
              </w:rPr>
            </w:pPr>
            <w:r w:rsidRPr="004607A7">
              <w:rPr>
                <w:rFonts w:cstheme="minorHAnsi"/>
              </w:rPr>
              <w:t>12</w:t>
            </w:r>
          </w:p>
        </w:tc>
      </w:tr>
      <w:tr w:rsidR="00C35A2D" w:rsidRPr="004607A7" w14:paraId="62826A8D" w14:textId="77777777" w:rsidTr="00835FD0">
        <w:tc>
          <w:tcPr>
            <w:tcW w:w="2977" w:type="dxa"/>
          </w:tcPr>
          <w:p w14:paraId="53B64B67" w14:textId="77777777" w:rsidR="00C35A2D" w:rsidRPr="004607A7" w:rsidRDefault="00C35A2D" w:rsidP="00835FD0">
            <w:pPr>
              <w:autoSpaceDE w:val="0"/>
              <w:autoSpaceDN w:val="0"/>
              <w:adjustRightInd w:val="0"/>
              <w:spacing w:line="480" w:lineRule="auto"/>
              <w:contextualSpacing/>
              <w:rPr>
                <w:rFonts w:cstheme="minorHAnsi"/>
              </w:rPr>
            </w:pPr>
          </w:p>
        </w:tc>
        <w:tc>
          <w:tcPr>
            <w:tcW w:w="2066" w:type="dxa"/>
          </w:tcPr>
          <w:p w14:paraId="1377961F" w14:textId="77777777" w:rsidR="00C35A2D" w:rsidRPr="004607A7" w:rsidRDefault="00C35A2D" w:rsidP="00835FD0">
            <w:pPr>
              <w:spacing w:line="480" w:lineRule="auto"/>
              <w:contextualSpacing/>
              <w:rPr>
                <w:rFonts w:cstheme="minorHAnsi"/>
              </w:rPr>
            </w:pPr>
            <w:r w:rsidRPr="004607A7">
              <w:rPr>
                <w:rFonts w:cstheme="minorHAnsi"/>
              </w:rPr>
              <w:t>Total</w:t>
            </w:r>
          </w:p>
        </w:tc>
        <w:tc>
          <w:tcPr>
            <w:tcW w:w="1940" w:type="dxa"/>
          </w:tcPr>
          <w:p w14:paraId="6DC6E5B8" w14:textId="77777777" w:rsidR="00C35A2D" w:rsidRPr="004607A7" w:rsidRDefault="00C35A2D" w:rsidP="00835FD0">
            <w:pPr>
              <w:spacing w:line="480" w:lineRule="auto"/>
              <w:contextualSpacing/>
              <w:jc w:val="right"/>
              <w:rPr>
                <w:rFonts w:cstheme="minorHAnsi"/>
              </w:rPr>
            </w:pPr>
            <w:r w:rsidRPr="004607A7">
              <w:rPr>
                <w:rFonts w:cstheme="minorHAnsi"/>
              </w:rPr>
              <w:t>100</w:t>
            </w:r>
          </w:p>
        </w:tc>
        <w:tc>
          <w:tcPr>
            <w:tcW w:w="1317" w:type="dxa"/>
          </w:tcPr>
          <w:p w14:paraId="0267C879" w14:textId="77777777" w:rsidR="00C35A2D" w:rsidRPr="004607A7" w:rsidRDefault="00C35A2D" w:rsidP="00835FD0">
            <w:pPr>
              <w:spacing w:line="480" w:lineRule="auto"/>
              <w:contextualSpacing/>
              <w:jc w:val="right"/>
              <w:rPr>
                <w:rFonts w:cstheme="minorHAnsi"/>
              </w:rPr>
            </w:pPr>
            <w:r w:rsidRPr="004607A7">
              <w:rPr>
                <w:rFonts w:cstheme="minorHAnsi"/>
              </w:rPr>
              <w:t>41*</w:t>
            </w:r>
          </w:p>
        </w:tc>
      </w:tr>
      <w:tr w:rsidR="00C35A2D" w:rsidRPr="004607A7" w14:paraId="0493EA99" w14:textId="77777777" w:rsidTr="00835FD0">
        <w:tc>
          <w:tcPr>
            <w:tcW w:w="2977" w:type="dxa"/>
          </w:tcPr>
          <w:p w14:paraId="403E7D97" w14:textId="77777777" w:rsidR="00C35A2D" w:rsidRPr="004607A7" w:rsidRDefault="00C35A2D" w:rsidP="00835FD0">
            <w:pPr>
              <w:autoSpaceDE w:val="0"/>
              <w:autoSpaceDN w:val="0"/>
              <w:adjustRightInd w:val="0"/>
              <w:spacing w:line="480" w:lineRule="auto"/>
              <w:contextualSpacing/>
              <w:rPr>
                <w:rFonts w:cstheme="minorHAnsi"/>
              </w:rPr>
            </w:pPr>
          </w:p>
        </w:tc>
        <w:tc>
          <w:tcPr>
            <w:tcW w:w="2066" w:type="dxa"/>
          </w:tcPr>
          <w:p w14:paraId="3864D695" w14:textId="77777777" w:rsidR="00C35A2D" w:rsidRPr="004607A7" w:rsidRDefault="00C35A2D" w:rsidP="00835FD0">
            <w:pPr>
              <w:autoSpaceDE w:val="0"/>
              <w:autoSpaceDN w:val="0"/>
              <w:adjustRightInd w:val="0"/>
              <w:spacing w:line="480" w:lineRule="auto"/>
              <w:contextualSpacing/>
              <w:rPr>
                <w:rFonts w:cstheme="minorHAnsi"/>
              </w:rPr>
            </w:pPr>
          </w:p>
        </w:tc>
        <w:tc>
          <w:tcPr>
            <w:tcW w:w="1940" w:type="dxa"/>
          </w:tcPr>
          <w:p w14:paraId="0F88EBF9" w14:textId="77777777" w:rsidR="00C35A2D" w:rsidRPr="004607A7" w:rsidRDefault="00C35A2D" w:rsidP="00835FD0">
            <w:pPr>
              <w:autoSpaceDE w:val="0"/>
              <w:autoSpaceDN w:val="0"/>
              <w:adjustRightInd w:val="0"/>
              <w:spacing w:line="480" w:lineRule="auto"/>
              <w:contextualSpacing/>
              <w:jc w:val="right"/>
              <w:rPr>
                <w:rFonts w:cstheme="minorHAnsi"/>
              </w:rPr>
            </w:pPr>
          </w:p>
        </w:tc>
        <w:tc>
          <w:tcPr>
            <w:tcW w:w="1317" w:type="dxa"/>
          </w:tcPr>
          <w:p w14:paraId="12D15AC5" w14:textId="77777777" w:rsidR="00C35A2D" w:rsidRPr="004607A7" w:rsidRDefault="00C35A2D" w:rsidP="00835FD0">
            <w:pPr>
              <w:autoSpaceDE w:val="0"/>
              <w:autoSpaceDN w:val="0"/>
              <w:adjustRightInd w:val="0"/>
              <w:spacing w:line="480" w:lineRule="auto"/>
              <w:contextualSpacing/>
              <w:jc w:val="right"/>
              <w:rPr>
                <w:rFonts w:cstheme="minorHAnsi"/>
              </w:rPr>
            </w:pPr>
          </w:p>
        </w:tc>
      </w:tr>
      <w:tr w:rsidR="00C35A2D" w:rsidRPr="004607A7" w14:paraId="14FD10C1" w14:textId="77777777" w:rsidTr="00835FD0">
        <w:tc>
          <w:tcPr>
            <w:tcW w:w="2977" w:type="dxa"/>
          </w:tcPr>
          <w:p w14:paraId="399B9772" w14:textId="77777777" w:rsidR="00C35A2D" w:rsidRPr="004607A7" w:rsidRDefault="00C35A2D" w:rsidP="00835FD0">
            <w:pPr>
              <w:autoSpaceDE w:val="0"/>
              <w:autoSpaceDN w:val="0"/>
              <w:adjustRightInd w:val="0"/>
              <w:spacing w:line="480" w:lineRule="auto"/>
              <w:contextualSpacing/>
              <w:rPr>
                <w:rFonts w:cstheme="minorHAnsi"/>
              </w:rPr>
            </w:pPr>
            <w:r w:rsidRPr="004607A7">
              <w:rPr>
                <w:rFonts w:cstheme="minorHAnsi"/>
              </w:rPr>
              <w:t xml:space="preserve">Feedback from service users acted </w:t>
            </w:r>
          </w:p>
        </w:tc>
        <w:tc>
          <w:tcPr>
            <w:tcW w:w="2066" w:type="dxa"/>
          </w:tcPr>
          <w:p w14:paraId="210DBC2B" w14:textId="77777777" w:rsidR="00C35A2D" w:rsidRPr="004607A7" w:rsidRDefault="00C35A2D" w:rsidP="00835FD0">
            <w:pPr>
              <w:spacing w:line="480" w:lineRule="auto"/>
              <w:contextualSpacing/>
              <w:rPr>
                <w:rFonts w:cstheme="minorHAnsi"/>
              </w:rPr>
            </w:pPr>
            <w:r w:rsidRPr="004607A7">
              <w:rPr>
                <w:rFonts w:cstheme="minorHAnsi"/>
              </w:rPr>
              <w:t>Always</w:t>
            </w:r>
          </w:p>
        </w:tc>
        <w:tc>
          <w:tcPr>
            <w:tcW w:w="1940" w:type="dxa"/>
          </w:tcPr>
          <w:p w14:paraId="26F8899A" w14:textId="77777777" w:rsidR="00C35A2D" w:rsidRPr="004607A7" w:rsidRDefault="00C35A2D" w:rsidP="00835FD0">
            <w:pPr>
              <w:spacing w:line="480" w:lineRule="auto"/>
              <w:contextualSpacing/>
              <w:jc w:val="right"/>
              <w:rPr>
                <w:rFonts w:cstheme="minorHAnsi"/>
              </w:rPr>
            </w:pPr>
            <w:r w:rsidRPr="004607A7">
              <w:rPr>
                <w:rFonts w:cstheme="minorHAnsi"/>
              </w:rPr>
              <w:t>26.2</w:t>
            </w:r>
          </w:p>
        </w:tc>
        <w:tc>
          <w:tcPr>
            <w:tcW w:w="1317" w:type="dxa"/>
          </w:tcPr>
          <w:p w14:paraId="27C39377" w14:textId="77777777" w:rsidR="00C35A2D" w:rsidRPr="004607A7" w:rsidRDefault="00C35A2D" w:rsidP="00835FD0">
            <w:pPr>
              <w:spacing w:line="480" w:lineRule="auto"/>
              <w:contextualSpacing/>
              <w:jc w:val="right"/>
              <w:rPr>
                <w:rFonts w:cstheme="minorHAnsi"/>
              </w:rPr>
            </w:pPr>
            <w:r w:rsidRPr="004607A7">
              <w:rPr>
                <w:rFonts w:cstheme="minorHAnsi"/>
              </w:rPr>
              <w:t>11</w:t>
            </w:r>
          </w:p>
        </w:tc>
      </w:tr>
      <w:tr w:rsidR="00C35A2D" w:rsidRPr="004607A7" w14:paraId="25BE0D50" w14:textId="77777777" w:rsidTr="00835FD0">
        <w:tc>
          <w:tcPr>
            <w:tcW w:w="2977" w:type="dxa"/>
          </w:tcPr>
          <w:p w14:paraId="4B786B65" w14:textId="77777777" w:rsidR="00C35A2D" w:rsidRPr="004607A7" w:rsidRDefault="00C35A2D" w:rsidP="00835FD0">
            <w:pPr>
              <w:autoSpaceDE w:val="0"/>
              <w:autoSpaceDN w:val="0"/>
              <w:adjustRightInd w:val="0"/>
              <w:spacing w:line="480" w:lineRule="auto"/>
              <w:contextualSpacing/>
              <w:rPr>
                <w:rFonts w:cstheme="minorHAnsi"/>
              </w:rPr>
            </w:pPr>
            <w:r w:rsidRPr="004607A7">
              <w:rPr>
                <w:rFonts w:cstheme="minorHAnsi"/>
              </w:rPr>
              <w:t>upon</w:t>
            </w:r>
          </w:p>
        </w:tc>
        <w:tc>
          <w:tcPr>
            <w:tcW w:w="2066" w:type="dxa"/>
          </w:tcPr>
          <w:p w14:paraId="65BCCCC5" w14:textId="77777777" w:rsidR="00C35A2D" w:rsidRPr="004607A7" w:rsidRDefault="00C35A2D" w:rsidP="00835FD0">
            <w:pPr>
              <w:spacing w:line="480" w:lineRule="auto"/>
              <w:contextualSpacing/>
              <w:rPr>
                <w:rFonts w:cstheme="minorHAnsi"/>
              </w:rPr>
            </w:pPr>
            <w:r w:rsidRPr="004607A7">
              <w:rPr>
                <w:rFonts w:cstheme="minorHAnsi"/>
              </w:rPr>
              <w:t>Usually</w:t>
            </w:r>
          </w:p>
        </w:tc>
        <w:tc>
          <w:tcPr>
            <w:tcW w:w="1940" w:type="dxa"/>
          </w:tcPr>
          <w:p w14:paraId="17087B8F" w14:textId="77777777" w:rsidR="00C35A2D" w:rsidRPr="004607A7" w:rsidRDefault="00C35A2D" w:rsidP="00835FD0">
            <w:pPr>
              <w:spacing w:line="480" w:lineRule="auto"/>
              <w:contextualSpacing/>
              <w:jc w:val="right"/>
              <w:rPr>
                <w:rFonts w:cstheme="minorHAnsi"/>
              </w:rPr>
            </w:pPr>
            <w:r w:rsidRPr="004607A7">
              <w:rPr>
                <w:rFonts w:cstheme="minorHAnsi"/>
              </w:rPr>
              <w:t>28.6</w:t>
            </w:r>
          </w:p>
        </w:tc>
        <w:tc>
          <w:tcPr>
            <w:tcW w:w="1317" w:type="dxa"/>
          </w:tcPr>
          <w:p w14:paraId="3B78D632" w14:textId="77777777" w:rsidR="00C35A2D" w:rsidRPr="004607A7" w:rsidRDefault="00C35A2D" w:rsidP="00835FD0">
            <w:pPr>
              <w:spacing w:line="480" w:lineRule="auto"/>
              <w:contextualSpacing/>
              <w:jc w:val="right"/>
              <w:rPr>
                <w:rFonts w:cstheme="minorHAnsi"/>
              </w:rPr>
            </w:pPr>
            <w:r w:rsidRPr="004607A7">
              <w:rPr>
                <w:rFonts w:cstheme="minorHAnsi"/>
              </w:rPr>
              <w:t>12</w:t>
            </w:r>
          </w:p>
        </w:tc>
      </w:tr>
      <w:tr w:rsidR="00C35A2D" w:rsidRPr="004607A7" w14:paraId="4DD6BEC8" w14:textId="77777777" w:rsidTr="00835FD0">
        <w:tc>
          <w:tcPr>
            <w:tcW w:w="2977" w:type="dxa"/>
          </w:tcPr>
          <w:p w14:paraId="0711850A" w14:textId="77777777" w:rsidR="00C35A2D" w:rsidRPr="004607A7" w:rsidRDefault="00C35A2D" w:rsidP="00835FD0">
            <w:pPr>
              <w:autoSpaceDE w:val="0"/>
              <w:autoSpaceDN w:val="0"/>
              <w:adjustRightInd w:val="0"/>
              <w:spacing w:line="480" w:lineRule="auto"/>
              <w:contextualSpacing/>
              <w:rPr>
                <w:rFonts w:cstheme="minorHAnsi"/>
              </w:rPr>
            </w:pPr>
          </w:p>
        </w:tc>
        <w:tc>
          <w:tcPr>
            <w:tcW w:w="2066" w:type="dxa"/>
          </w:tcPr>
          <w:p w14:paraId="46299558" w14:textId="77777777" w:rsidR="00C35A2D" w:rsidRPr="004607A7" w:rsidRDefault="00C35A2D" w:rsidP="00835FD0">
            <w:pPr>
              <w:spacing w:line="480" w:lineRule="auto"/>
              <w:contextualSpacing/>
              <w:rPr>
                <w:rFonts w:cstheme="minorHAnsi"/>
              </w:rPr>
            </w:pPr>
            <w:r w:rsidRPr="004607A7">
              <w:rPr>
                <w:rFonts w:cstheme="minorHAnsi"/>
              </w:rPr>
              <w:t>Sometimes</w:t>
            </w:r>
          </w:p>
        </w:tc>
        <w:tc>
          <w:tcPr>
            <w:tcW w:w="1940" w:type="dxa"/>
          </w:tcPr>
          <w:p w14:paraId="44531A19" w14:textId="77777777" w:rsidR="00C35A2D" w:rsidRPr="004607A7" w:rsidRDefault="00C35A2D" w:rsidP="00835FD0">
            <w:pPr>
              <w:spacing w:line="480" w:lineRule="auto"/>
              <w:contextualSpacing/>
              <w:jc w:val="right"/>
              <w:rPr>
                <w:rFonts w:cstheme="minorHAnsi"/>
              </w:rPr>
            </w:pPr>
            <w:r w:rsidRPr="004607A7">
              <w:rPr>
                <w:rFonts w:cstheme="minorHAnsi"/>
              </w:rPr>
              <w:t>16.7</w:t>
            </w:r>
          </w:p>
        </w:tc>
        <w:tc>
          <w:tcPr>
            <w:tcW w:w="1317" w:type="dxa"/>
          </w:tcPr>
          <w:p w14:paraId="431D15B6" w14:textId="77777777" w:rsidR="00C35A2D" w:rsidRPr="004607A7" w:rsidRDefault="00C35A2D" w:rsidP="00835FD0">
            <w:pPr>
              <w:spacing w:line="480" w:lineRule="auto"/>
              <w:contextualSpacing/>
              <w:jc w:val="right"/>
              <w:rPr>
                <w:rFonts w:cstheme="minorHAnsi"/>
              </w:rPr>
            </w:pPr>
            <w:r w:rsidRPr="004607A7">
              <w:rPr>
                <w:rFonts w:cstheme="minorHAnsi"/>
              </w:rPr>
              <w:t>7</w:t>
            </w:r>
          </w:p>
        </w:tc>
      </w:tr>
      <w:tr w:rsidR="00C35A2D" w:rsidRPr="004607A7" w14:paraId="4AD0EF89" w14:textId="77777777" w:rsidTr="00835FD0">
        <w:tc>
          <w:tcPr>
            <w:tcW w:w="2977" w:type="dxa"/>
          </w:tcPr>
          <w:p w14:paraId="4261EC6D" w14:textId="77777777" w:rsidR="00C35A2D" w:rsidRPr="004607A7" w:rsidRDefault="00C35A2D" w:rsidP="00835FD0">
            <w:pPr>
              <w:autoSpaceDE w:val="0"/>
              <w:autoSpaceDN w:val="0"/>
              <w:adjustRightInd w:val="0"/>
              <w:spacing w:line="480" w:lineRule="auto"/>
              <w:contextualSpacing/>
              <w:rPr>
                <w:rFonts w:cstheme="minorHAnsi"/>
              </w:rPr>
            </w:pPr>
          </w:p>
        </w:tc>
        <w:tc>
          <w:tcPr>
            <w:tcW w:w="2066" w:type="dxa"/>
          </w:tcPr>
          <w:p w14:paraId="41B7EF68" w14:textId="77777777" w:rsidR="00C35A2D" w:rsidRPr="004607A7" w:rsidRDefault="00C35A2D" w:rsidP="00835FD0">
            <w:pPr>
              <w:spacing w:line="480" w:lineRule="auto"/>
              <w:contextualSpacing/>
              <w:rPr>
                <w:rFonts w:cstheme="minorHAnsi"/>
              </w:rPr>
            </w:pPr>
            <w:r w:rsidRPr="004607A7">
              <w:rPr>
                <w:rFonts w:cstheme="minorHAnsi"/>
              </w:rPr>
              <w:t>Rarely</w:t>
            </w:r>
          </w:p>
        </w:tc>
        <w:tc>
          <w:tcPr>
            <w:tcW w:w="1940" w:type="dxa"/>
          </w:tcPr>
          <w:p w14:paraId="48685281" w14:textId="77777777" w:rsidR="00C35A2D" w:rsidRPr="004607A7" w:rsidRDefault="00C35A2D" w:rsidP="00835FD0">
            <w:pPr>
              <w:spacing w:line="480" w:lineRule="auto"/>
              <w:contextualSpacing/>
              <w:jc w:val="right"/>
              <w:rPr>
                <w:rFonts w:cstheme="minorHAnsi"/>
              </w:rPr>
            </w:pPr>
            <w:r w:rsidRPr="004607A7">
              <w:rPr>
                <w:rFonts w:cstheme="minorHAnsi"/>
              </w:rPr>
              <w:t>2.4</w:t>
            </w:r>
          </w:p>
        </w:tc>
        <w:tc>
          <w:tcPr>
            <w:tcW w:w="1317" w:type="dxa"/>
          </w:tcPr>
          <w:p w14:paraId="65320404" w14:textId="77777777" w:rsidR="00C35A2D" w:rsidRPr="004607A7" w:rsidRDefault="00C35A2D" w:rsidP="00835FD0">
            <w:pPr>
              <w:spacing w:line="480" w:lineRule="auto"/>
              <w:contextualSpacing/>
              <w:jc w:val="right"/>
              <w:rPr>
                <w:rFonts w:cstheme="minorHAnsi"/>
              </w:rPr>
            </w:pPr>
            <w:r w:rsidRPr="004607A7">
              <w:rPr>
                <w:rFonts w:cstheme="minorHAnsi"/>
              </w:rPr>
              <w:t>1</w:t>
            </w:r>
          </w:p>
        </w:tc>
      </w:tr>
      <w:tr w:rsidR="00C35A2D" w:rsidRPr="004607A7" w14:paraId="6687E925" w14:textId="77777777" w:rsidTr="00835FD0">
        <w:tc>
          <w:tcPr>
            <w:tcW w:w="2977" w:type="dxa"/>
          </w:tcPr>
          <w:p w14:paraId="4C822BB1" w14:textId="77777777" w:rsidR="00C35A2D" w:rsidRPr="004607A7" w:rsidRDefault="00C35A2D" w:rsidP="00835FD0">
            <w:pPr>
              <w:autoSpaceDE w:val="0"/>
              <w:autoSpaceDN w:val="0"/>
              <w:adjustRightInd w:val="0"/>
              <w:spacing w:line="480" w:lineRule="auto"/>
              <w:contextualSpacing/>
              <w:rPr>
                <w:rFonts w:cstheme="minorHAnsi"/>
              </w:rPr>
            </w:pPr>
          </w:p>
        </w:tc>
        <w:tc>
          <w:tcPr>
            <w:tcW w:w="2066" w:type="dxa"/>
          </w:tcPr>
          <w:p w14:paraId="38D305BC" w14:textId="77777777" w:rsidR="00C35A2D" w:rsidRPr="004607A7" w:rsidRDefault="00C35A2D" w:rsidP="00835FD0">
            <w:pPr>
              <w:spacing w:line="480" w:lineRule="auto"/>
              <w:contextualSpacing/>
              <w:rPr>
                <w:rFonts w:cstheme="minorHAnsi"/>
              </w:rPr>
            </w:pPr>
            <w:r w:rsidRPr="004607A7">
              <w:rPr>
                <w:rFonts w:cstheme="minorHAnsi"/>
              </w:rPr>
              <w:t>Not applicable</w:t>
            </w:r>
          </w:p>
        </w:tc>
        <w:tc>
          <w:tcPr>
            <w:tcW w:w="1940" w:type="dxa"/>
          </w:tcPr>
          <w:p w14:paraId="128FCE5F" w14:textId="77777777" w:rsidR="00C35A2D" w:rsidRPr="004607A7" w:rsidRDefault="00C35A2D" w:rsidP="00835FD0">
            <w:pPr>
              <w:spacing w:line="480" w:lineRule="auto"/>
              <w:contextualSpacing/>
              <w:jc w:val="right"/>
              <w:rPr>
                <w:rFonts w:cstheme="minorHAnsi"/>
              </w:rPr>
            </w:pPr>
            <w:r w:rsidRPr="004607A7">
              <w:rPr>
                <w:rFonts w:cstheme="minorHAnsi"/>
              </w:rPr>
              <w:t>26.2</w:t>
            </w:r>
          </w:p>
        </w:tc>
        <w:tc>
          <w:tcPr>
            <w:tcW w:w="1317" w:type="dxa"/>
          </w:tcPr>
          <w:p w14:paraId="31ECDA85" w14:textId="77777777" w:rsidR="00C35A2D" w:rsidRPr="004607A7" w:rsidRDefault="00C35A2D" w:rsidP="00835FD0">
            <w:pPr>
              <w:spacing w:line="480" w:lineRule="auto"/>
              <w:contextualSpacing/>
              <w:jc w:val="right"/>
              <w:rPr>
                <w:rFonts w:cstheme="minorHAnsi"/>
              </w:rPr>
            </w:pPr>
            <w:r w:rsidRPr="004607A7">
              <w:rPr>
                <w:rFonts w:cstheme="minorHAnsi"/>
              </w:rPr>
              <w:t>11</w:t>
            </w:r>
          </w:p>
        </w:tc>
      </w:tr>
      <w:tr w:rsidR="00C35A2D" w:rsidRPr="004607A7" w14:paraId="21769847" w14:textId="77777777" w:rsidTr="00835FD0">
        <w:tc>
          <w:tcPr>
            <w:tcW w:w="2977" w:type="dxa"/>
          </w:tcPr>
          <w:p w14:paraId="07081F90" w14:textId="77777777" w:rsidR="00C35A2D" w:rsidRPr="004607A7" w:rsidRDefault="00C35A2D" w:rsidP="00835FD0">
            <w:pPr>
              <w:autoSpaceDE w:val="0"/>
              <w:autoSpaceDN w:val="0"/>
              <w:adjustRightInd w:val="0"/>
              <w:spacing w:line="480" w:lineRule="auto"/>
              <w:contextualSpacing/>
              <w:rPr>
                <w:rFonts w:cstheme="minorHAnsi"/>
              </w:rPr>
            </w:pPr>
          </w:p>
        </w:tc>
        <w:tc>
          <w:tcPr>
            <w:tcW w:w="2066" w:type="dxa"/>
          </w:tcPr>
          <w:p w14:paraId="5DAF9919" w14:textId="77777777" w:rsidR="00C35A2D" w:rsidRPr="004607A7" w:rsidRDefault="00C35A2D" w:rsidP="00835FD0">
            <w:pPr>
              <w:spacing w:line="480" w:lineRule="auto"/>
              <w:contextualSpacing/>
              <w:rPr>
                <w:rFonts w:cstheme="minorHAnsi"/>
              </w:rPr>
            </w:pPr>
            <w:r w:rsidRPr="004607A7">
              <w:rPr>
                <w:rFonts w:cstheme="minorHAnsi"/>
              </w:rPr>
              <w:t>Total</w:t>
            </w:r>
          </w:p>
        </w:tc>
        <w:tc>
          <w:tcPr>
            <w:tcW w:w="1940" w:type="dxa"/>
          </w:tcPr>
          <w:p w14:paraId="3491405B" w14:textId="77777777" w:rsidR="00C35A2D" w:rsidRPr="004607A7" w:rsidRDefault="00C35A2D" w:rsidP="00835FD0">
            <w:pPr>
              <w:spacing w:line="480" w:lineRule="auto"/>
              <w:contextualSpacing/>
              <w:jc w:val="right"/>
              <w:rPr>
                <w:rFonts w:cstheme="minorHAnsi"/>
              </w:rPr>
            </w:pPr>
            <w:r w:rsidRPr="004607A7">
              <w:rPr>
                <w:rFonts w:cstheme="minorHAnsi"/>
              </w:rPr>
              <w:t>100</w:t>
            </w:r>
          </w:p>
        </w:tc>
        <w:tc>
          <w:tcPr>
            <w:tcW w:w="1317" w:type="dxa"/>
          </w:tcPr>
          <w:p w14:paraId="435EA898" w14:textId="77777777" w:rsidR="00C35A2D" w:rsidRPr="004607A7" w:rsidRDefault="00C35A2D" w:rsidP="00835FD0">
            <w:pPr>
              <w:spacing w:line="480" w:lineRule="auto"/>
              <w:contextualSpacing/>
              <w:jc w:val="right"/>
              <w:rPr>
                <w:rFonts w:cstheme="minorHAnsi"/>
              </w:rPr>
            </w:pPr>
            <w:r w:rsidRPr="004607A7">
              <w:rPr>
                <w:rFonts w:cstheme="minorHAnsi"/>
              </w:rPr>
              <w:t>42*</w:t>
            </w:r>
          </w:p>
        </w:tc>
      </w:tr>
      <w:tr w:rsidR="00C35A2D" w:rsidRPr="004607A7" w14:paraId="5A14F0D9" w14:textId="77777777" w:rsidTr="00835FD0">
        <w:tc>
          <w:tcPr>
            <w:tcW w:w="2977" w:type="dxa"/>
          </w:tcPr>
          <w:p w14:paraId="5DBC9317" w14:textId="77777777" w:rsidR="00C35A2D" w:rsidRPr="004607A7" w:rsidRDefault="00C35A2D" w:rsidP="00835FD0">
            <w:pPr>
              <w:autoSpaceDE w:val="0"/>
              <w:autoSpaceDN w:val="0"/>
              <w:adjustRightInd w:val="0"/>
              <w:spacing w:line="480" w:lineRule="auto"/>
              <w:contextualSpacing/>
              <w:rPr>
                <w:rFonts w:cstheme="minorHAnsi"/>
              </w:rPr>
            </w:pPr>
          </w:p>
        </w:tc>
        <w:tc>
          <w:tcPr>
            <w:tcW w:w="2066" w:type="dxa"/>
          </w:tcPr>
          <w:p w14:paraId="2663B525" w14:textId="77777777" w:rsidR="00C35A2D" w:rsidRPr="004607A7" w:rsidRDefault="00C35A2D" w:rsidP="00835FD0">
            <w:pPr>
              <w:spacing w:line="480" w:lineRule="auto"/>
              <w:contextualSpacing/>
              <w:rPr>
                <w:rFonts w:cstheme="minorHAnsi"/>
              </w:rPr>
            </w:pPr>
          </w:p>
        </w:tc>
        <w:tc>
          <w:tcPr>
            <w:tcW w:w="1940" w:type="dxa"/>
          </w:tcPr>
          <w:p w14:paraId="5A291379" w14:textId="77777777" w:rsidR="00C35A2D" w:rsidRPr="004607A7" w:rsidRDefault="00C35A2D" w:rsidP="00835FD0">
            <w:pPr>
              <w:autoSpaceDE w:val="0"/>
              <w:autoSpaceDN w:val="0"/>
              <w:adjustRightInd w:val="0"/>
              <w:spacing w:line="480" w:lineRule="auto"/>
              <w:contextualSpacing/>
              <w:jc w:val="right"/>
              <w:rPr>
                <w:rFonts w:cstheme="minorHAnsi"/>
              </w:rPr>
            </w:pPr>
          </w:p>
        </w:tc>
        <w:tc>
          <w:tcPr>
            <w:tcW w:w="1317" w:type="dxa"/>
          </w:tcPr>
          <w:p w14:paraId="74DCEA49" w14:textId="77777777" w:rsidR="00C35A2D" w:rsidRPr="004607A7" w:rsidRDefault="00C35A2D" w:rsidP="00835FD0">
            <w:pPr>
              <w:autoSpaceDE w:val="0"/>
              <w:autoSpaceDN w:val="0"/>
              <w:adjustRightInd w:val="0"/>
              <w:spacing w:line="480" w:lineRule="auto"/>
              <w:contextualSpacing/>
              <w:jc w:val="right"/>
              <w:rPr>
                <w:rFonts w:cstheme="minorHAnsi"/>
              </w:rPr>
            </w:pPr>
          </w:p>
        </w:tc>
      </w:tr>
      <w:tr w:rsidR="00C35A2D" w:rsidRPr="004607A7" w14:paraId="6F936000" w14:textId="77777777" w:rsidTr="00835FD0">
        <w:tc>
          <w:tcPr>
            <w:tcW w:w="2977" w:type="dxa"/>
          </w:tcPr>
          <w:p w14:paraId="70689842" w14:textId="77777777" w:rsidR="00C35A2D" w:rsidRPr="004607A7" w:rsidRDefault="00C35A2D" w:rsidP="00835FD0">
            <w:pPr>
              <w:autoSpaceDE w:val="0"/>
              <w:autoSpaceDN w:val="0"/>
              <w:adjustRightInd w:val="0"/>
              <w:spacing w:line="480" w:lineRule="auto"/>
              <w:contextualSpacing/>
              <w:rPr>
                <w:rFonts w:cstheme="minorHAnsi"/>
              </w:rPr>
            </w:pPr>
            <w:r w:rsidRPr="004607A7">
              <w:rPr>
                <w:rFonts w:cstheme="minorHAnsi"/>
              </w:rPr>
              <w:t xml:space="preserve">Plans to further develop </w:t>
            </w:r>
          </w:p>
        </w:tc>
        <w:tc>
          <w:tcPr>
            <w:tcW w:w="2066" w:type="dxa"/>
          </w:tcPr>
          <w:p w14:paraId="77A61D99" w14:textId="77777777" w:rsidR="00C35A2D" w:rsidRPr="004607A7" w:rsidRDefault="00C35A2D" w:rsidP="00835FD0">
            <w:pPr>
              <w:spacing w:line="480" w:lineRule="auto"/>
              <w:contextualSpacing/>
              <w:rPr>
                <w:rFonts w:cstheme="minorHAnsi"/>
              </w:rPr>
            </w:pPr>
            <w:r w:rsidRPr="004607A7">
              <w:rPr>
                <w:rFonts w:cstheme="minorHAnsi"/>
              </w:rPr>
              <w:t>Yes</w:t>
            </w:r>
          </w:p>
        </w:tc>
        <w:tc>
          <w:tcPr>
            <w:tcW w:w="1940" w:type="dxa"/>
          </w:tcPr>
          <w:p w14:paraId="3ACA8013" w14:textId="77777777" w:rsidR="00C35A2D" w:rsidRPr="004607A7" w:rsidRDefault="00C35A2D" w:rsidP="00835FD0">
            <w:pPr>
              <w:spacing w:line="480" w:lineRule="auto"/>
              <w:contextualSpacing/>
              <w:jc w:val="right"/>
              <w:rPr>
                <w:rFonts w:cstheme="minorHAnsi"/>
              </w:rPr>
            </w:pPr>
            <w:r w:rsidRPr="004607A7">
              <w:rPr>
                <w:rFonts w:cstheme="minorHAnsi"/>
              </w:rPr>
              <w:t>61.5</w:t>
            </w:r>
          </w:p>
        </w:tc>
        <w:tc>
          <w:tcPr>
            <w:tcW w:w="1317" w:type="dxa"/>
          </w:tcPr>
          <w:p w14:paraId="05A03EBC" w14:textId="77777777" w:rsidR="00C35A2D" w:rsidRPr="004607A7" w:rsidRDefault="00C35A2D" w:rsidP="00835FD0">
            <w:pPr>
              <w:spacing w:line="480" w:lineRule="auto"/>
              <w:contextualSpacing/>
              <w:jc w:val="right"/>
              <w:rPr>
                <w:rFonts w:cstheme="minorHAnsi"/>
              </w:rPr>
            </w:pPr>
            <w:r w:rsidRPr="004607A7">
              <w:rPr>
                <w:rFonts w:cstheme="minorHAnsi"/>
              </w:rPr>
              <w:t>24</w:t>
            </w:r>
          </w:p>
        </w:tc>
      </w:tr>
      <w:tr w:rsidR="00C35A2D" w:rsidRPr="004607A7" w14:paraId="16ACC5B8" w14:textId="77777777" w:rsidTr="00835FD0">
        <w:tc>
          <w:tcPr>
            <w:tcW w:w="2977" w:type="dxa"/>
          </w:tcPr>
          <w:p w14:paraId="03D6D890" w14:textId="77777777" w:rsidR="00C35A2D" w:rsidRPr="004607A7" w:rsidRDefault="00C35A2D" w:rsidP="00835FD0">
            <w:pPr>
              <w:autoSpaceDE w:val="0"/>
              <w:autoSpaceDN w:val="0"/>
              <w:adjustRightInd w:val="0"/>
              <w:spacing w:line="480" w:lineRule="auto"/>
              <w:contextualSpacing/>
              <w:rPr>
                <w:rFonts w:cstheme="minorHAnsi"/>
              </w:rPr>
            </w:pPr>
            <w:r w:rsidRPr="004607A7">
              <w:rPr>
                <w:rFonts w:cstheme="minorHAnsi"/>
              </w:rPr>
              <w:t xml:space="preserve">the level of service user </w:t>
            </w:r>
          </w:p>
        </w:tc>
        <w:tc>
          <w:tcPr>
            <w:tcW w:w="2066" w:type="dxa"/>
          </w:tcPr>
          <w:p w14:paraId="643EC9D4" w14:textId="77777777" w:rsidR="00C35A2D" w:rsidRPr="004607A7" w:rsidRDefault="00C35A2D" w:rsidP="00835FD0">
            <w:pPr>
              <w:spacing w:line="480" w:lineRule="auto"/>
              <w:contextualSpacing/>
              <w:rPr>
                <w:rFonts w:cstheme="minorHAnsi"/>
              </w:rPr>
            </w:pPr>
            <w:r w:rsidRPr="004607A7">
              <w:rPr>
                <w:rFonts w:cstheme="minorHAnsi"/>
              </w:rPr>
              <w:t>No</w:t>
            </w:r>
          </w:p>
        </w:tc>
        <w:tc>
          <w:tcPr>
            <w:tcW w:w="1940" w:type="dxa"/>
          </w:tcPr>
          <w:p w14:paraId="57D1A8B9" w14:textId="77777777" w:rsidR="00C35A2D" w:rsidRPr="004607A7" w:rsidRDefault="00C35A2D" w:rsidP="00835FD0">
            <w:pPr>
              <w:spacing w:line="480" w:lineRule="auto"/>
              <w:contextualSpacing/>
              <w:jc w:val="right"/>
              <w:rPr>
                <w:rFonts w:cstheme="minorHAnsi"/>
              </w:rPr>
            </w:pPr>
            <w:r w:rsidRPr="004607A7">
              <w:rPr>
                <w:rFonts w:cstheme="minorHAnsi"/>
              </w:rPr>
              <w:t>38.5</w:t>
            </w:r>
          </w:p>
        </w:tc>
        <w:tc>
          <w:tcPr>
            <w:tcW w:w="1317" w:type="dxa"/>
          </w:tcPr>
          <w:p w14:paraId="2142B1D4" w14:textId="77777777" w:rsidR="00C35A2D" w:rsidRPr="004607A7" w:rsidRDefault="00C35A2D" w:rsidP="00835FD0">
            <w:pPr>
              <w:spacing w:line="480" w:lineRule="auto"/>
              <w:contextualSpacing/>
              <w:jc w:val="right"/>
              <w:rPr>
                <w:rFonts w:cstheme="minorHAnsi"/>
              </w:rPr>
            </w:pPr>
            <w:r w:rsidRPr="004607A7">
              <w:rPr>
                <w:rFonts w:cstheme="minorHAnsi"/>
              </w:rPr>
              <w:t>15</w:t>
            </w:r>
          </w:p>
        </w:tc>
      </w:tr>
      <w:tr w:rsidR="00C35A2D" w:rsidRPr="004607A7" w14:paraId="4F2E1B86" w14:textId="77777777" w:rsidTr="00835FD0">
        <w:tc>
          <w:tcPr>
            <w:tcW w:w="2977" w:type="dxa"/>
            <w:tcBorders>
              <w:bottom w:val="single" w:sz="4" w:space="0" w:color="auto"/>
            </w:tcBorders>
          </w:tcPr>
          <w:p w14:paraId="7D29E40E" w14:textId="77777777" w:rsidR="00C35A2D" w:rsidRPr="004607A7" w:rsidRDefault="00C35A2D" w:rsidP="00835FD0">
            <w:pPr>
              <w:autoSpaceDE w:val="0"/>
              <w:autoSpaceDN w:val="0"/>
              <w:adjustRightInd w:val="0"/>
              <w:spacing w:line="480" w:lineRule="auto"/>
              <w:contextualSpacing/>
              <w:rPr>
                <w:rFonts w:cstheme="minorHAnsi"/>
              </w:rPr>
            </w:pPr>
            <w:r w:rsidRPr="004607A7">
              <w:rPr>
                <w:rFonts w:cstheme="minorHAnsi"/>
              </w:rPr>
              <w:t>participation</w:t>
            </w:r>
          </w:p>
        </w:tc>
        <w:tc>
          <w:tcPr>
            <w:tcW w:w="2066" w:type="dxa"/>
            <w:tcBorders>
              <w:bottom w:val="single" w:sz="4" w:space="0" w:color="auto"/>
            </w:tcBorders>
          </w:tcPr>
          <w:p w14:paraId="4B1EE07A" w14:textId="77777777" w:rsidR="00C35A2D" w:rsidRPr="004607A7" w:rsidRDefault="00C35A2D" w:rsidP="00835FD0">
            <w:pPr>
              <w:spacing w:line="480" w:lineRule="auto"/>
              <w:contextualSpacing/>
              <w:rPr>
                <w:rFonts w:cstheme="minorHAnsi"/>
              </w:rPr>
            </w:pPr>
            <w:r w:rsidRPr="004607A7">
              <w:rPr>
                <w:rFonts w:cstheme="minorHAnsi"/>
              </w:rPr>
              <w:t>Total</w:t>
            </w:r>
          </w:p>
        </w:tc>
        <w:tc>
          <w:tcPr>
            <w:tcW w:w="1940" w:type="dxa"/>
            <w:tcBorders>
              <w:bottom w:val="single" w:sz="4" w:space="0" w:color="auto"/>
            </w:tcBorders>
          </w:tcPr>
          <w:p w14:paraId="7A9677AB" w14:textId="77777777" w:rsidR="00C35A2D" w:rsidRPr="004607A7" w:rsidRDefault="00C35A2D" w:rsidP="00835FD0">
            <w:pPr>
              <w:spacing w:line="480" w:lineRule="auto"/>
              <w:contextualSpacing/>
              <w:jc w:val="right"/>
              <w:rPr>
                <w:rFonts w:cstheme="minorHAnsi"/>
              </w:rPr>
            </w:pPr>
            <w:r w:rsidRPr="004607A7">
              <w:rPr>
                <w:rFonts w:cstheme="minorHAnsi"/>
              </w:rPr>
              <w:t>100</w:t>
            </w:r>
          </w:p>
        </w:tc>
        <w:tc>
          <w:tcPr>
            <w:tcW w:w="1317" w:type="dxa"/>
            <w:tcBorders>
              <w:bottom w:val="single" w:sz="4" w:space="0" w:color="auto"/>
            </w:tcBorders>
          </w:tcPr>
          <w:p w14:paraId="7979C2AB" w14:textId="77777777" w:rsidR="00C35A2D" w:rsidRPr="004607A7" w:rsidRDefault="00C35A2D" w:rsidP="00835FD0">
            <w:pPr>
              <w:spacing w:line="480" w:lineRule="auto"/>
              <w:contextualSpacing/>
              <w:jc w:val="right"/>
              <w:rPr>
                <w:rFonts w:cstheme="minorHAnsi"/>
              </w:rPr>
            </w:pPr>
            <w:r w:rsidRPr="004607A7">
              <w:rPr>
                <w:rFonts w:cstheme="minorHAnsi"/>
              </w:rPr>
              <w:t>39***</w:t>
            </w:r>
          </w:p>
        </w:tc>
      </w:tr>
      <w:tr w:rsidR="00C35A2D" w:rsidRPr="004607A7" w14:paraId="7AC8F790" w14:textId="77777777" w:rsidTr="00835FD0">
        <w:tc>
          <w:tcPr>
            <w:tcW w:w="8300" w:type="dxa"/>
            <w:gridSpan w:val="4"/>
            <w:tcBorders>
              <w:top w:val="single" w:sz="4" w:space="0" w:color="auto"/>
            </w:tcBorders>
          </w:tcPr>
          <w:p w14:paraId="36E2B1D5" w14:textId="77777777" w:rsidR="00C35A2D" w:rsidRPr="004607A7" w:rsidRDefault="00C35A2D" w:rsidP="00835FD0">
            <w:pPr>
              <w:pBdr>
                <w:top w:val="single" w:sz="4" w:space="1" w:color="auto"/>
              </w:pBdr>
              <w:autoSpaceDE w:val="0"/>
              <w:autoSpaceDN w:val="0"/>
              <w:adjustRightInd w:val="0"/>
              <w:contextualSpacing/>
              <w:rPr>
                <w:rFonts w:cstheme="minorHAnsi"/>
                <w:iCs/>
              </w:rPr>
            </w:pPr>
            <w:bookmarkStart w:id="11" w:name="_Hlk71894290"/>
            <w:r w:rsidRPr="004607A7">
              <w:rPr>
                <w:rFonts w:cstheme="minorHAnsi"/>
                <w:iCs/>
              </w:rPr>
              <w:t>*</w:t>
            </w:r>
            <w:bookmarkEnd w:id="11"/>
            <w:r w:rsidRPr="004607A7">
              <w:rPr>
                <w:rFonts w:cstheme="minorHAnsi"/>
                <w:iCs/>
              </w:rPr>
              <w:t>Note: missing service response data n = 2</w:t>
            </w:r>
          </w:p>
          <w:p w14:paraId="31CCFD2A" w14:textId="77777777" w:rsidR="00C35A2D" w:rsidRPr="004607A7" w:rsidRDefault="00C35A2D" w:rsidP="00835FD0">
            <w:pPr>
              <w:autoSpaceDE w:val="0"/>
              <w:autoSpaceDN w:val="0"/>
              <w:adjustRightInd w:val="0"/>
              <w:contextualSpacing/>
              <w:rPr>
                <w:rFonts w:cstheme="minorHAnsi"/>
                <w:iCs/>
              </w:rPr>
            </w:pPr>
            <w:r w:rsidRPr="004607A7">
              <w:rPr>
                <w:rFonts w:cstheme="minorHAnsi"/>
                <w:iCs/>
              </w:rPr>
              <w:t>**Note: missing service response data n = 1</w:t>
            </w:r>
          </w:p>
          <w:p w14:paraId="2019045C" w14:textId="77777777" w:rsidR="00C35A2D" w:rsidRPr="004607A7" w:rsidRDefault="00C35A2D" w:rsidP="00835FD0">
            <w:pPr>
              <w:autoSpaceDE w:val="0"/>
              <w:autoSpaceDN w:val="0"/>
              <w:adjustRightInd w:val="0"/>
              <w:contextualSpacing/>
              <w:rPr>
                <w:rFonts w:cstheme="minorHAnsi"/>
                <w:iCs/>
              </w:rPr>
            </w:pPr>
            <w:r w:rsidRPr="004607A7">
              <w:rPr>
                <w:rFonts w:cstheme="minorHAnsi"/>
                <w:iCs/>
              </w:rPr>
              <w:t>***Note: missing service response data n = 4</w:t>
            </w:r>
          </w:p>
        </w:tc>
      </w:tr>
    </w:tbl>
    <w:p w14:paraId="074FEE65" w14:textId="77777777" w:rsidR="005A1E9A" w:rsidRPr="004607A7" w:rsidRDefault="005A1E9A" w:rsidP="00AA51B8">
      <w:pPr>
        <w:spacing w:line="360" w:lineRule="auto"/>
        <w:contextualSpacing/>
        <w:mirrorIndents/>
        <w:jc w:val="both"/>
        <w:rPr>
          <w:rFonts w:asciiTheme="minorHAnsi" w:hAnsiTheme="minorHAnsi" w:cstheme="minorHAnsi"/>
        </w:rPr>
      </w:pPr>
    </w:p>
    <w:p w14:paraId="48B8A83C" w14:textId="6B1BD04C" w:rsidR="0076082E" w:rsidRPr="00AF46EB" w:rsidRDefault="00D26CE7" w:rsidP="0076082E">
      <w:pPr>
        <w:spacing w:line="360" w:lineRule="auto"/>
        <w:contextualSpacing/>
        <w:mirrorIndents/>
        <w:jc w:val="both"/>
        <w:rPr>
          <w:rFonts w:asciiTheme="minorHAnsi" w:hAnsiTheme="minorHAnsi" w:cstheme="minorHAnsi"/>
        </w:rPr>
      </w:pPr>
      <w:r w:rsidRPr="00D00B16">
        <w:rPr>
          <w:rFonts w:asciiTheme="minorHAnsi" w:hAnsiTheme="minorHAnsi" w:cstheme="minorHAnsi"/>
        </w:rPr>
        <w:t>When exploring</w:t>
      </w:r>
      <w:r w:rsidR="003B0FC4" w:rsidRPr="00D00B16">
        <w:rPr>
          <w:rFonts w:asciiTheme="minorHAnsi" w:hAnsiTheme="minorHAnsi" w:cstheme="minorHAnsi"/>
        </w:rPr>
        <w:t xml:space="preserve"> the impact that this feedback had on the development of their services</w:t>
      </w:r>
      <w:r w:rsidR="0061325A" w:rsidRPr="00D00B16">
        <w:rPr>
          <w:rFonts w:asciiTheme="minorHAnsi" w:hAnsiTheme="minorHAnsi" w:cstheme="minorHAnsi"/>
        </w:rPr>
        <w:t xml:space="preserve"> many agencies acknowledged that although they collected </w:t>
      </w:r>
      <w:r w:rsidR="00DF19B4" w:rsidRPr="00D00B16">
        <w:rPr>
          <w:rFonts w:asciiTheme="minorHAnsi" w:hAnsiTheme="minorHAnsi" w:cstheme="minorHAnsi"/>
        </w:rPr>
        <w:t>feedback,</w:t>
      </w:r>
      <w:r w:rsidR="0061325A" w:rsidRPr="00D00B16">
        <w:rPr>
          <w:rFonts w:asciiTheme="minorHAnsi" w:hAnsiTheme="minorHAnsi" w:cstheme="minorHAnsi"/>
        </w:rPr>
        <w:t xml:space="preserve"> they often did not act upon this. As we can see only 26%</w:t>
      </w:r>
      <w:r w:rsidR="00BD283E" w:rsidRPr="00D00B16">
        <w:rPr>
          <w:rFonts w:asciiTheme="minorHAnsi" w:hAnsiTheme="minorHAnsi" w:cstheme="minorHAnsi"/>
        </w:rPr>
        <w:t xml:space="preserve"> of services reported </w:t>
      </w:r>
      <w:r w:rsidR="00C92FAB" w:rsidRPr="00D00B16">
        <w:rPr>
          <w:rFonts w:asciiTheme="minorHAnsi" w:hAnsiTheme="minorHAnsi" w:cstheme="minorHAnsi"/>
        </w:rPr>
        <w:t xml:space="preserve">that </w:t>
      </w:r>
      <w:r w:rsidR="00BD283E" w:rsidRPr="00D00B16">
        <w:rPr>
          <w:rFonts w:asciiTheme="minorHAnsi" w:hAnsiTheme="minorHAnsi" w:cstheme="minorHAnsi"/>
        </w:rPr>
        <w:t>the</w:t>
      </w:r>
      <w:r w:rsidR="00A253BA" w:rsidRPr="00D00B16">
        <w:rPr>
          <w:rFonts w:asciiTheme="minorHAnsi" w:hAnsiTheme="minorHAnsi" w:cstheme="minorHAnsi"/>
        </w:rPr>
        <w:t>y</w:t>
      </w:r>
      <w:r w:rsidR="00BD283E" w:rsidRPr="00D00B16">
        <w:rPr>
          <w:rFonts w:asciiTheme="minorHAnsi" w:hAnsiTheme="minorHAnsi" w:cstheme="minorHAnsi"/>
        </w:rPr>
        <w:t xml:space="preserve"> always acted </w:t>
      </w:r>
      <w:r w:rsidR="00C92FAB" w:rsidRPr="00D00B16">
        <w:rPr>
          <w:rFonts w:asciiTheme="minorHAnsi" w:hAnsiTheme="minorHAnsi" w:cstheme="minorHAnsi"/>
        </w:rPr>
        <w:t>up</w:t>
      </w:r>
      <w:r w:rsidR="00BD283E" w:rsidRPr="00D00B16">
        <w:rPr>
          <w:rFonts w:asciiTheme="minorHAnsi" w:hAnsiTheme="minorHAnsi" w:cstheme="minorHAnsi"/>
        </w:rPr>
        <w:t>on service user feedback</w:t>
      </w:r>
      <w:r w:rsidR="00A82FD9" w:rsidRPr="00D00B16">
        <w:rPr>
          <w:rFonts w:asciiTheme="minorHAnsi" w:hAnsiTheme="minorHAnsi" w:cstheme="minorHAnsi"/>
        </w:rPr>
        <w:t xml:space="preserve"> (see table </w:t>
      </w:r>
      <w:r w:rsidR="00230988" w:rsidRPr="00D00B16">
        <w:rPr>
          <w:rFonts w:asciiTheme="minorHAnsi" w:hAnsiTheme="minorHAnsi" w:cstheme="minorHAnsi"/>
        </w:rPr>
        <w:t>2</w:t>
      </w:r>
      <w:r w:rsidR="00A82FD9" w:rsidRPr="00D00B16">
        <w:rPr>
          <w:rFonts w:asciiTheme="minorHAnsi" w:hAnsiTheme="minorHAnsi" w:cstheme="minorHAnsi"/>
        </w:rPr>
        <w:t>)</w:t>
      </w:r>
      <w:r w:rsidR="00BD283E" w:rsidRPr="00D00B16">
        <w:rPr>
          <w:rFonts w:asciiTheme="minorHAnsi" w:hAnsiTheme="minorHAnsi" w:cstheme="minorHAnsi"/>
        </w:rPr>
        <w:t xml:space="preserve">. An additional 29% suggested </w:t>
      </w:r>
      <w:r w:rsidR="00C92FAB" w:rsidRPr="00D00B16">
        <w:rPr>
          <w:rFonts w:asciiTheme="minorHAnsi" w:hAnsiTheme="minorHAnsi" w:cstheme="minorHAnsi"/>
        </w:rPr>
        <w:t xml:space="preserve">that </w:t>
      </w:r>
      <w:r w:rsidR="00BD283E" w:rsidRPr="00D00B16">
        <w:rPr>
          <w:rFonts w:asciiTheme="minorHAnsi" w:hAnsiTheme="minorHAnsi" w:cstheme="minorHAnsi"/>
        </w:rPr>
        <w:t>they usually</w:t>
      </w:r>
      <w:r w:rsidR="00F0144F" w:rsidRPr="00D00B16">
        <w:rPr>
          <w:rFonts w:asciiTheme="minorHAnsi" w:hAnsiTheme="minorHAnsi" w:cstheme="minorHAnsi"/>
        </w:rPr>
        <w:t xml:space="preserve"> feed this information in</w:t>
      </w:r>
      <w:r w:rsidR="00C92FAB" w:rsidRPr="00D00B16">
        <w:rPr>
          <w:rFonts w:asciiTheme="minorHAnsi" w:hAnsiTheme="minorHAnsi" w:cstheme="minorHAnsi"/>
        </w:rPr>
        <w:t>to</w:t>
      </w:r>
      <w:r w:rsidR="00F0144F" w:rsidRPr="00D00B16">
        <w:rPr>
          <w:rFonts w:asciiTheme="minorHAnsi" w:hAnsiTheme="minorHAnsi" w:cstheme="minorHAnsi"/>
        </w:rPr>
        <w:t xml:space="preserve"> service development</w:t>
      </w:r>
      <w:r w:rsidR="00230988" w:rsidRPr="00D00B16">
        <w:rPr>
          <w:rFonts w:asciiTheme="minorHAnsi" w:hAnsiTheme="minorHAnsi" w:cstheme="minorHAnsi"/>
        </w:rPr>
        <w:t xml:space="preserve"> (see table 2)</w:t>
      </w:r>
      <w:r w:rsidR="00F0144F" w:rsidRPr="00D00B16">
        <w:rPr>
          <w:rFonts w:asciiTheme="minorHAnsi" w:hAnsiTheme="minorHAnsi" w:cstheme="minorHAnsi"/>
        </w:rPr>
        <w:t>.</w:t>
      </w:r>
      <w:r w:rsidR="00353312" w:rsidRPr="00D00B16">
        <w:rPr>
          <w:rFonts w:asciiTheme="minorHAnsi" w:hAnsiTheme="minorHAnsi" w:cstheme="minorHAnsi"/>
        </w:rPr>
        <w:t xml:space="preserve"> </w:t>
      </w:r>
      <w:r w:rsidR="00353312" w:rsidRPr="008376F0">
        <w:rPr>
          <w:rFonts w:asciiTheme="minorHAnsi" w:hAnsiTheme="minorHAnsi" w:cstheme="minorHAnsi"/>
        </w:rPr>
        <w:t>Surprisingly</w:t>
      </w:r>
      <w:r w:rsidR="007A2C2F" w:rsidRPr="008376F0">
        <w:rPr>
          <w:rFonts w:asciiTheme="minorHAnsi" w:hAnsiTheme="minorHAnsi" w:cstheme="minorHAnsi"/>
        </w:rPr>
        <w:t>,</w:t>
      </w:r>
      <w:r w:rsidR="00353312" w:rsidRPr="008376F0">
        <w:rPr>
          <w:rFonts w:asciiTheme="minorHAnsi" w:hAnsiTheme="minorHAnsi" w:cstheme="minorHAnsi"/>
        </w:rPr>
        <w:t xml:space="preserve"> 19% of services admitted to</w:t>
      </w:r>
      <w:r w:rsidR="0082589F" w:rsidRPr="008376F0">
        <w:rPr>
          <w:rFonts w:asciiTheme="minorHAnsi" w:hAnsiTheme="minorHAnsi" w:cstheme="minorHAnsi"/>
        </w:rPr>
        <w:t xml:space="preserve"> only sometimes or rarely acting on the information collected from service user feedback.</w:t>
      </w:r>
      <w:r w:rsidR="00DF19B4" w:rsidRPr="008376F0">
        <w:rPr>
          <w:rFonts w:asciiTheme="minorHAnsi" w:hAnsiTheme="minorHAnsi" w:cstheme="minorHAnsi"/>
        </w:rPr>
        <w:t xml:space="preserve"> </w:t>
      </w:r>
      <w:r w:rsidR="0076082E" w:rsidRPr="008376F0">
        <w:rPr>
          <w:rFonts w:asciiTheme="minorHAnsi" w:hAnsiTheme="minorHAnsi" w:cstheme="minorHAnsi"/>
        </w:rPr>
        <w:t xml:space="preserve">Yet, it should be noted that </w:t>
      </w:r>
      <w:r w:rsidR="00FA390F" w:rsidRPr="008376F0">
        <w:rPr>
          <w:rFonts w:asciiTheme="minorHAnsi" w:hAnsiTheme="minorHAnsi" w:cstheme="minorHAnsi"/>
        </w:rPr>
        <w:t>Appropriate Adult Schemes</w:t>
      </w:r>
      <w:r w:rsidR="0076082E" w:rsidRPr="008376F0">
        <w:rPr>
          <w:rFonts w:asciiTheme="minorHAnsi" w:hAnsiTheme="minorHAnsi" w:cstheme="minorHAnsi"/>
        </w:rPr>
        <w:t xml:space="preserve"> were aware of the lack of service user feedback and 62% suggested that they planned to develop and improve the feedback system (see table 2). </w:t>
      </w:r>
      <w:r w:rsidR="0076082E" w:rsidRPr="00AF46EB">
        <w:rPr>
          <w:rFonts w:asciiTheme="minorHAnsi" w:hAnsiTheme="minorHAnsi" w:cstheme="minorHAnsi"/>
        </w:rPr>
        <w:t>Service providers were very positive about wanting to improve levels of participation</w:t>
      </w:r>
      <w:r w:rsidR="00C92FAB" w:rsidRPr="00AF46EB">
        <w:rPr>
          <w:rFonts w:asciiTheme="minorHAnsi" w:hAnsiTheme="minorHAnsi" w:cstheme="minorHAnsi"/>
        </w:rPr>
        <w:t>,</w:t>
      </w:r>
      <w:r w:rsidR="0076082E" w:rsidRPr="00AF46EB">
        <w:rPr>
          <w:rFonts w:asciiTheme="minorHAnsi" w:hAnsiTheme="minorHAnsi" w:cstheme="minorHAnsi"/>
        </w:rPr>
        <w:t xml:space="preserve"> but identified a range of barriers to doing so, including issues around resources, the working environment, the nature of the interactions with service users, and attitudes towards service users. Resource issues identified included financial, staffing</w:t>
      </w:r>
      <w:r w:rsidR="00A253BA" w:rsidRPr="00AF46EB">
        <w:rPr>
          <w:rFonts w:asciiTheme="minorHAnsi" w:hAnsiTheme="minorHAnsi" w:cstheme="minorHAnsi"/>
        </w:rPr>
        <w:t>,</w:t>
      </w:r>
      <w:r w:rsidR="0076082E" w:rsidRPr="00AF46EB">
        <w:rPr>
          <w:rFonts w:asciiTheme="minorHAnsi" w:hAnsiTheme="minorHAnsi" w:cstheme="minorHAnsi"/>
        </w:rPr>
        <w:t xml:space="preserve"> and time constraints. </w:t>
      </w:r>
    </w:p>
    <w:p w14:paraId="180A0DE9" w14:textId="6F1AD1B2" w:rsidR="0076082E" w:rsidRPr="00AF46EB" w:rsidRDefault="0076082E" w:rsidP="00AA51B8">
      <w:pPr>
        <w:spacing w:line="360" w:lineRule="auto"/>
        <w:contextualSpacing/>
        <w:mirrorIndents/>
        <w:jc w:val="both"/>
        <w:rPr>
          <w:rFonts w:asciiTheme="minorHAnsi" w:hAnsiTheme="minorHAnsi" w:cstheme="minorHAnsi"/>
        </w:rPr>
      </w:pPr>
    </w:p>
    <w:p w14:paraId="7F4422DA" w14:textId="36862941" w:rsidR="00F4719D" w:rsidRPr="00AF46EB" w:rsidRDefault="008D5A98" w:rsidP="00AA51B8">
      <w:pPr>
        <w:spacing w:line="360" w:lineRule="auto"/>
        <w:contextualSpacing/>
        <w:mirrorIndents/>
        <w:jc w:val="both"/>
        <w:rPr>
          <w:rFonts w:asciiTheme="minorHAnsi" w:hAnsiTheme="minorHAnsi" w:cstheme="minorHAnsi"/>
        </w:rPr>
      </w:pPr>
      <w:r w:rsidRPr="00AF46EB">
        <w:rPr>
          <w:rFonts w:asciiTheme="minorHAnsi" w:hAnsiTheme="minorHAnsi" w:cstheme="minorHAnsi"/>
        </w:rPr>
        <w:t>Within the qualitative data</w:t>
      </w:r>
      <w:r w:rsidR="00A253BA" w:rsidRPr="00AF46EB">
        <w:rPr>
          <w:rFonts w:asciiTheme="minorHAnsi" w:hAnsiTheme="minorHAnsi" w:cstheme="minorHAnsi"/>
        </w:rPr>
        <w:t>,</w:t>
      </w:r>
      <w:r w:rsidRPr="00AF46EB">
        <w:rPr>
          <w:rFonts w:asciiTheme="minorHAnsi" w:hAnsiTheme="minorHAnsi" w:cstheme="minorHAnsi"/>
        </w:rPr>
        <w:t xml:space="preserve"> many of the services discuss problems</w:t>
      </w:r>
      <w:r w:rsidR="008B3C0C" w:rsidRPr="00AF46EB">
        <w:rPr>
          <w:rFonts w:asciiTheme="minorHAnsi" w:hAnsiTheme="minorHAnsi" w:cstheme="minorHAnsi"/>
        </w:rPr>
        <w:t xml:space="preserve"> in the way they collect data. Service providers suggested they administered a questionnaire after a detainee is being discharged from custody</w:t>
      </w:r>
      <w:r w:rsidR="00F4719D" w:rsidRPr="00AF46EB">
        <w:rPr>
          <w:rFonts w:asciiTheme="minorHAnsi" w:hAnsiTheme="minorHAnsi" w:cstheme="minorHAnsi"/>
        </w:rPr>
        <w:t xml:space="preserve">. As </w:t>
      </w:r>
      <w:r w:rsidR="001C23B8" w:rsidRPr="00AF46EB">
        <w:rPr>
          <w:rFonts w:asciiTheme="minorHAnsi" w:hAnsiTheme="minorHAnsi" w:cstheme="minorHAnsi"/>
        </w:rPr>
        <w:t>Scheme Manager</w:t>
      </w:r>
      <w:r w:rsidR="001C23B8" w:rsidRPr="00AF46EB" w:rsidDel="001C23B8">
        <w:rPr>
          <w:rFonts w:asciiTheme="minorHAnsi" w:hAnsiTheme="minorHAnsi" w:cstheme="minorHAnsi"/>
        </w:rPr>
        <w:t xml:space="preserve"> </w:t>
      </w:r>
      <w:r w:rsidR="00F4719D" w:rsidRPr="00AF46EB">
        <w:rPr>
          <w:rFonts w:asciiTheme="minorHAnsi" w:hAnsiTheme="minorHAnsi" w:cstheme="minorHAnsi"/>
        </w:rPr>
        <w:t>11 states:</w:t>
      </w:r>
    </w:p>
    <w:p w14:paraId="5DA30C90" w14:textId="77777777" w:rsidR="001D569C" w:rsidRPr="00AF46EB" w:rsidRDefault="001D569C" w:rsidP="00AA51B8">
      <w:pPr>
        <w:spacing w:line="360" w:lineRule="auto"/>
        <w:contextualSpacing/>
        <w:mirrorIndents/>
        <w:jc w:val="both"/>
        <w:rPr>
          <w:rFonts w:asciiTheme="minorHAnsi" w:hAnsiTheme="minorHAnsi" w:cstheme="minorHAnsi"/>
        </w:rPr>
      </w:pPr>
    </w:p>
    <w:p w14:paraId="67EA851C" w14:textId="36FCAAAD" w:rsidR="005A1E9A" w:rsidRPr="00457CD8" w:rsidRDefault="00F4719D" w:rsidP="00F4719D">
      <w:pPr>
        <w:spacing w:line="360" w:lineRule="auto"/>
        <w:ind w:left="567" w:right="567"/>
        <w:contextualSpacing/>
        <w:mirrorIndents/>
        <w:jc w:val="both"/>
        <w:rPr>
          <w:rFonts w:asciiTheme="minorHAnsi" w:hAnsiTheme="minorHAnsi" w:cstheme="minorHAnsi"/>
        </w:rPr>
      </w:pPr>
      <w:r w:rsidRPr="00457CD8">
        <w:rPr>
          <w:rFonts w:asciiTheme="minorHAnsi" w:hAnsiTheme="minorHAnsi" w:cstheme="minorHAnsi"/>
        </w:rPr>
        <w:t xml:space="preserve"> ‘We meet service users in a custody suite when they are in custody, so we are unable to engage with them other than as AA at the station’ (</w:t>
      </w:r>
      <w:r w:rsidR="001C23B8" w:rsidRPr="00457CD8">
        <w:rPr>
          <w:rFonts w:asciiTheme="minorHAnsi" w:hAnsiTheme="minorHAnsi" w:cstheme="minorHAnsi"/>
        </w:rPr>
        <w:t>Scheme Manager</w:t>
      </w:r>
      <w:r w:rsidR="001C23B8" w:rsidRPr="00457CD8" w:rsidDel="001C23B8">
        <w:rPr>
          <w:rFonts w:asciiTheme="minorHAnsi" w:hAnsiTheme="minorHAnsi" w:cstheme="minorHAnsi"/>
        </w:rPr>
        <w:t xml:space="preserve"> </w:t>
      </w:r>
      <w:r w:rsidRPr="00457CD8">
        <w:rPr>
          <w:rFonts w:asciiTheme="minorHAnsi" w:hAnsiTheme="minorHAnsi" w:cstheme="minorHAnsi"/>
        </w:rPr>
        <w:t>11)</w:t>
      </w:r>
    </w:p>
    <w:p w14:paraId="428C5F5C" w14:textId="77777777" w:rsidR="00597121" w:rsidRPr="00457CD8" w:rsidRDefault="00597121" w:rsidP="00AA51B8">
      <w:pPr>
        <w:spacing w:line="360" w:lineRule="auto"/>
        <w:contextualSpacing/>
        <w:mirrorIndents/>
        <w:jc w:val="both"/>
        <w:rPr>
          <w:rFonts w:asciiTheme="minorHAnsi" w:hAnsiTheme="minorHAnsi" w:cstheme="minorHAnsi"/>
        </w:rPr>
      </w:pPr>
    </w:p>
    <w:p w14:paraId="7726D363" w14:textId="799C29FF" w:rsidR="00F4433C" w:rsidRPr="00036D48" w:rsidRDefault="00597121" w:rsidP="00AA51B8">
      <w:pPr>
        <w:spacing w:line="360" w:lineRule="auto"/>
        <w:contextualSpacing/>
        <w:mirrorIndents/>
        <w:jc w:val="both"/>
        <w:rPr>
          <w:rFonts w:asciiTheme="minorHAnsi" w:hAnsiTheme="minorHAnsi" w:cstheme="minorHAnsi"/>
        </w:rPr>
      </w:pPr>
      <w:r w:rsidRPr="00457CD8">
        <w:rPr>
          <w:rFonts w:asciiTheme="minorHAnsi" w:hAnsiTheme="minorHAnsi" w:cstheme="minorHAnsi"/>
        </w:rPr>
        <w:t xml:space="preserve">Appropriate </w:t>
      </w:r>
      <w:r w:rsidR="00C92FAB" w:rsidRPr="00457CD8">
        <w:rPr>
          <w:rFonts w:asciiTheme="minorHAnsi" w:hAnsiTheme="minorHAnsi" w:cstheme="minorHAnsi"/>
        </w:rPr>
        <w:t>A</w:t>
      </w:r>
      <w:r w:rsidRPr="00457CD8">
        <w:rPr>
          <w:rFonts w:asciiTheme="minorHAnsi" w:hAnsiTheme="minorHAnsi" w:cstheme="minorHAnsi"/>
        </w:rPr>
        <w:t>dult service providers acknowledge in the qualitative data</w:t>
      </w:r>
      <w:r w:rsidR="001D569C" w:rsidRPr="00457CD8">
        <w:rPr>
          <w:rFonts w:asciiTheme="minorHAnsi" w:hAnsiTheme="minorHAnsi" w:cstheme="minorHAnsi"/>
        </w:rPr>
        <w:t xml:space="preserve"> how ineffective </w:t>
      </w:r>
      <w:r w:rsidR="00564FAA" w:rsidRPr="00457CD8">
        <w:rPr>
          <w:rFonts w:asciiTheme="minorHAnsi" w:hAnsiTheme="minorHAnsi" w:cstheme="minorHAnsi"/>
        </w:rPr>
        <w:t>this process is</w:t>
      </w:r>
      <w:r w:rsidR="00C92FAB" w:rsidRPr="00457CD8">
        <w:rPr>
          <w:rFonts w:asciiTheme="minorHAnsi" w:hAnsiTheme="minorHAnsi" w:cstheme="minorHAnsi"/>
        </w:rPr>
        <w:t>,</w:t>
      </w:r>
      <w:r w:rsidR="001D569C" w:rsidRPr="00457CD8">
        <w:rPr>
          <w:rFonts w:asciiTheme="minorHAnsi" w:hAnsiTheme="minorHAnsi" w:cstheme="minorHAnsi"/>
        </w:rPr>
        <w:t xml:space="preserve"> as detainees are usually in a high level of stress</w:t>
      </w:r>
      <w:r w:rsidR="00705A73" w:rsidRPr="00457CD8">
        <w:rPr>
          <w:rFonts w:asciiTheme="minorHAnsi" w:hAnsiTheme="minorHAnsi" w:cstheme="minorHAnsi"/>
        </w:rPr>
        <w:t xml:space="preserve"> and anxiety</w:t>
      </w:r>
      <w:r w:rsidR="009737A0" w:rsidRPr="00457CD8">
        <w:rPr>
          <w:rFonts w:asciiTheme="minorHAnsi" w:hAnsiTheme="minorHAnsi" w:cstheme="minorHAnsi"/>
        </w:rPr>
        <w:t xml:space="preserve"> and are often trying to leave custody as soon as possible.</w:t>
      </w:r>
      <w:r w:rsidR="004813C9" w:rsidRPr="00457CD8">
        <w:rPr>
          <w:rFonts w:asciiTheme="minorHAnsi" w:hAnsiTheme="minorHAnsi" w:cstheme="minorHAnsi"/>
        </w:rPr>
        <w:t xml:space="preserve"> As </w:t>
      </w:r>
      <w:r w:rsidR="00FA390F" w:rsidRPr="00457CD8">
        <w:rPr>
          <w:rFonts w:asciiTheme="minorHAnsi" w:hAnsiTheme="minorHAnsi" w:cstheme="minorHAnsi"/>
        </w:rPr>
        <w:t>Appropriate Adult Schemes</w:t>
      </w:r>
      <w:r w:rsidR="004813C9" w:rsidRPr="00457CD8">
        <w:rPr>
          <w:rFonts w:asciiTheme="minorHAnsi" w:hAnsiTheme="minorHAnsi" w:cstheme="minorHAnsi"/>
        </w:rPr>
        <w:t xml:space="preserve"> suggest service users are </w:t>
      </w:r>
      <w:r w:rsidR="00137392" w:rsidRPr="00457CD8">
        <w:rPr>
          <w:rFonts w:asciiTheme="minorHAnsi" w:hAnsiTheme="minorHAnsi" w:cstheme="minorHAnsi"/>
          <w:i/>
          <w:iCs/>
        </w:rPr>
        <w:t>“only seen in the police station”</w:t>
      </w:r>
      <w:r w:rsidR="00137392" w:rsidRPr="00457CD8">
        <w:rPr>
          <w:rFonts w:asciiTheme="minorHAnsi" w:hAnsiTheme="minorHAnsi" w:cstheme="minorHAnsi"/>
        </w:rPr>
        <w:t xml:space="preserve"> (</w:t>
      </w:r>
      <w:r w:rsidR="001C23B8" w:rsidRPr="00457CD8">
        <w:rPr>
          <w:rFonts w:asciiTheme="minorHAnsi" w:hAnsiTheme="minorHAnsi" w:cstheme="minorHAnsi"/>
        </w:rPr>
        <w:t>Scheme Manager 3</w:t>
      </w:r>
      <w:r w:rsidR="00137392" w:rsidRPr="00457CD8">
        <w:rPr>
          <w:rFonts w:asciiTheme="minorHAnsi" w:hAnsiTheme="minorHAnsi" w:cstheme="minorHAnsi"/>
        </w:rPr>
        <w:t>)</w:t>
      </w:r>
      <w:r w:rsidR="00421366" w:rsidRPr="00457CD8">
        <w:rPr>
          <w:rFonts w:asciiTheme="minorHAnsi" w:hAnsiTheme="minorHAnsi" w:cstheme="minorHAnsi"/>
        </w:rPr>
        <w:t>.</w:t>
      </w:r>
      <w:r w:rsidR="004E5DDB" w:rsidRPr="00457CD8">
        <w:rPr>
          <w:rFonts w:asciiTheme="minorHAnsi" w:hAnsiTheme="minorHAnsi" w:cstheme="minorHAnsi"/>
        </w:rPr>
        <w:t xml:space="preserve"> Service users are</w:t>
      </w:r>
      <w:r w:rsidR="00F4433C" w:rsidRPr="00457CD8">
        <w:rPr>
          <w:rFonts w:asciiTheme="minorHAnsi" w:hAnsiTheme="minorHAnsi" w:cstheme="minorHAnsi"/>
        </w:rPr>
        <w:t xml:space="preserve"> experiencing</w:t>
      </w:r>
      <w:r w:rsidR="004E5DDB" w:rsidRPr="00457CD8">
        <w:rPr>
          <w:rFonts w:asciiTheme="minorHAnsi" w:hAnsiTheme="minorHAnsi" w:cstheme="minorHAnsi"/>
        </w:rPr>
        <w:t xml:space="preserve"> </w:t>
      </w:r>
      <w:r w:rsidR="00137392" w:rsidRPr="00457CD8">
        <w:rPr>
          <w:rFonts w:asciiTheme="minorHAnsi" w:hAnsiTheme="minorHAnsi" w:cstheme="minorHAnsi"/>
          <w:i/>
          <w:iCs/>
        </w:rPr>
        <w:t>“a difficult and stressful time”</w:t>
      </w:r>
      <w:r w:rsidR="00137392" w:rsidRPr="00457CD8">
        <w:rPr>
          <w:rFonts w:asciiTheme="minorHAnsi" w:hAnsiTheme="minorHAnsi" w:cstheme="minorHAnsi"/>
        </w:rPr>
        <w:t xml:space="preserve"> (</w:t>
      </w:r>
      <w:r w:rsidR="001C23B8" w:rsidRPr="00457CD8">
        <w:rPr>
          <w:rFonts w:asciiTheme="minorHAnsi" w:hAnsiTheme="minorHAnsi" w:cstheme="minorHAnsi"/>
        </w:rPr>
        <w:t>Scheme Manager 27</w:t>
      </w:r>
      <w:r w:rsidR="00137392" w:rsidRPr="00457CD8">
        <w:rPr>
          <w:rFonts w:asciiTheme="minorHAnsi" w:hAnsiTheme="minorHAnsi" w:cstheme="minorHAnsi"/>
        </w:rPr>
        <w:t>)</w:t>
      </w:r>
      <w:r w:rsidR="00214FB9" w:rsidRPr="00457CD8">
        <w:rPr>
          <w:rFonts w:asciiTheme="minorHAnsi" w:hAnsiTheme="minorHAnsi" w:cstheme="minorHAnsi"/>
        </w:rPr>
        <w:t xml:space="preserve">. </w:t>
      </w:r>
      <w:r w:rsidR="009737A0" w:rsidRPr="002222DB">
        <w:rPr>
          <w:rFonts w:asciiTheme="minorHAnsi" w:hAnsiTheme="minorHAnsi" w:cstheme="minorHAnsi"/>
        </w:rPr>
        <w:t xml:space="preserve">Thus, this feedback process becomes </w:t>
      </w:r>
      <w:r w:rsidR="0061199F" w:rsidRPr="002222DB">
        <w:rPr>
          <w:rFonts w:asciiTheme="minorHAnsi" w:hAnsiTheme="minorHAnsi" w:cstheme="minorHAnsi"/>
        </w:rPr>
        <w:t>just another</w:t>
      </w:r>
      <w:r w:rsidR="009737A0" w:rsidRPr="002222DB">
        <w:rPr>
          <w:rFonts w:asciiTheme="minorHAnsi" w:hAnsiTheme="minorHAnsi" w:cstheme="minorHAnsi"/>
        </w:rPr>
        <w:t xml:space="preserve"> administrative duty for the detainee</w:t>
      </w:r>
      <w:r w:rsidR="00FF5B58" w:rsidRPr="002222DB">
        <w:rPr>
          <w:rFonts w:asciiTheme="minorHAnsi" w:hAnsiTheme="minorHAnsi" w:cstheme="minorHAnsi"/>
        </w:rPr>
        <w:t xml:space="preserve"> to complete </w:t>
      </w:r>
      <w:r w:rsidR="00F4433C" w:rsidRPr="002222DB">
        <w:rPr>
          <w:rFonts w:asciiTheme="minorHAnsi" w:hAnsiTheme="minorHAnsi" w:cstheme="minorHAnsi"/>
        </w:rPr>
        <w:t xml:space="preserve">before they </w:t>
      </w:r>
      <w:r w:rsidR="001D1FFE" w:rsidRPr="002222DB">
        <w:rPr>
          <w:rFonts w:asciiTheme="minorHAnsi" w:hAnsiTheme="minorHAnsi" w:cstheme="minorHAnsi"/>
        </w:rPr>
        <w:t>can</w:t>
      </w:r>
      <w:r w:rsidR="00FF5B58" w:rsidRPr="002222DB">
        <w:rPr>
          <w:rFonts w:asciiTheme="minorHAnsi" w:hAnsiTheme="minorHAnsi" w:cstheme="minorHAnsi"/>
        </w:rPr>
        <w:t xml:space="preserve"> leave</w:t>
      </w:r>
      <w:r w:rsidR="0061199F" w:rsidRPr="002222DB">
        <w:rPr>
          <w:rFonts w:asciiTheme="minorHAnsi" w:hAnsiTheme="minorHAnsi" w:cstheme="minorHAnsi"/>
        </w:rPr>
        <w:t xml:space="preserve"> custody.</w:t>
      </w:r>
      <w:r w:rsidR="00EF1D48" w:rsidRPr="002222DB">
        <w:rPr>
          <w:rFonts w:asciiTheme="minorHAnsi" w:hAnsiTheme="minorHAnsi" w:cstheme="minorHAnsi"/>
        </w:rPr>
        <w:t xml:space="preserve"> From a </w:t>
      </w:r>
      <w:r w:rsidR="00C6027C" w:rsidRPr="002222DB">
        <w:rPr>
          <w:rFonts w:asciiTheme="minorHAnsi" w:hAnsiTheme="minorHAnsi" w:cstheme="minorHAnsi"/>
        </w:rPr>
        <w:t>detainee’s</w:t>
      </w:r>
      <w:r w:rsidR="00EF1D48" w:rsidRPr="002222DB">
        <w:rPr>
          <w:rFonts w:asciiTheme="minorHAnsi" w:hAnsiTheme="minorHAnsi" w:cstheme="minorHAnsi"/>
        </w:rPr>
        <w:t xml:space="preserve"> perspective</w:t>
      </w:r>
      <w:r w:rsidR="00A253BA" w:rsidRPr="002222DB">
        <w:rPr>
          <w:rFonts w:asciiTheme="minorHAnsi" w:hAnsiTheme="minorHAnsi" w:cstheme="minorHAnsi"/>
        </w:rPr>
        <w:t>,</w:t>
      </w:r>
      <w:r w:rsidR="00EF1D48" w:rsidRPr="002222DB">
        <w:rPr>
          <w:rFonts w:asciiTheme="minorHAnsi" w:hAnsiTheme="minorHAnsi" w:cstheme="minorHAnsi"/>
        </w:rPr>
        <w:t xml:space="preserve"> Appropriate Adult </w:t>
      </w:r>
      <w:r w:rsidR="00F4433C" w:rsidRPr="002222DB">
        <w:rPr>
          <w:rFonts w:asciiTheme="minorHAnsi" w:hAnsiTheme="minorHAnsi" w:cstheme="minorHAnsi"/>
        </w:rPr>
        <w:t>p</w:t>
      </w:r>
      <w:r w:rsidR="00EF1D48" w:rsidRPr="002222DB">
        <w:rPr>
          <w:rFonts w:asciiTheme="minorHAnsi" w:hAnsiTheme="minorHAnsi" w:cstheme="minorHAnsi"/>
        </w:rPr>
        <w:t xml:space="preserve">ractitioners </w:t>
      </w:r>
      <w:r w:rsidR="00133C95" w:rsidRPr="002222DB">
        <w:rPr>
          <w:rFonts w:asciiTheme="minorHAnsi" w:hAnsiTheme="minorHAnsi" w:cstheme="minorHAnsi"/>
        </w:rPr>
        <w:t xml:space="preserve">are one of </w:t>
      </w:r>
      <w:r w:rsidR="00C6027C" w:rsidRPr="002222DB">
        <w:rPr>
          <w:rFonts w:asciiTheme="minorHAnsi" w:hAnsiTheme="minorHAnsi" w:cstheme="minorHAnsi"/>
        </w:rPr>
        <w:t>several</w:t>
      </w:r>
      <w:r w:rsidR="00133C95" w:rsidRPr="002222DB">
        <w:rPr>
          <w:rFonts w:asciiTheme="minorHAnsi" w:hAnsiTheme="minorHAnsi" w:cstheme="minorHAnsi"/>
        </w:rPr>
        <w:t xml:space="preserve"> professionals they </w:t>
      </w:r>
      <w:r w:rsidR="000F5C18" w:rsidRPr="002222DB">
        <w:rPr>
          <w:rFonts w:asciiTheme="minorHAnsi" w:hAnsiTheme="minorHAnsi" w:cstheme="minorHAnsi"/>
        </w:rPr>
        <w:t xml:space="preserve">meet </w:t>
      </w:r>
      <w:r w:rsidR="00133C95" w:rsidRPr="002222DB">
        <w:rPr>
          <w:rFonts w:asciiTheme="minorHAnsi" w:hAnsiTheme="minorHAnsi" w:cstheme="minorHAnsi"/>
        </w:rPr>
        <w:t xml:space="preserve">whilst in custody. Thus, the power relationship between the </w:t>
      </w:r>
      <w:r w:rsidR="00F4433C" w:rsidRPr="002222DB">
        <w:rPr>
          <w:rFonts w:asciiTheme="minorHAnsi" w:hAnsiTheme="minorHAnsi" w:cstheme="minorHAnsi"/>
        </w:rPr>
        <w:t>A</w:t>
      </w:r>
      <w:r w:rsidR="00133C95" w:rsidRPr="002222DB">
        <w:rPr>
          <w:rFonts w:asciiTheme="minorHAnsi" w:hAnsiTheme="minorHAnsi" w:cstheme="minorHAnsi"/>
        </w:rPr>
        <w:t xml:space="preserve">ppropriate </w:t>
      </w:r>
      <w:r w:rsidR="00F4433C" w:rsidRPr="002222DB">
        <w:rPr>
          <w:rFonts w:asciiTheme="minorHAnsi" w:hAnsiTheme="minorHAnsi" w:cstheme="minorHAnsi"/>
        </w:rPr>
        <w:t>A</w:t>
      </w:r>
      <w:r w:rsidR="00133C95" w:rsidRPr="002222DB">
        <w:rPr>
          <w:rFonts w:asciiTheme="minorHAnsi" w:hAnsiTheme="minorHAnsi" w:cstheme="minorHAnsi"/>
        </w:rPr>
        <w:t>dult practitioner and the detainee</w:t>
      </w:r>
      <w:r w:rsidR="00286694" w:rsidRPr="002222DB">
        <w:rPr>
          <w:rFonts w:asciiTheme="minorHAnsi" w:hAnsiTheme="minorHAnsi" w:cstheme="minorHAnsi"/>
        </w:rPr>
        <w:t xml:space="preserve"> is completely determined by the institutional setting that the feedback is collected within</w:t>
      </w:r>
      <w:r w:rsidR="00F4433C" w:rsidRPr="002222DB">
        <w:rPr>
          <w:rFonts w:asciiTheme="minorHAnsi" w:hAnsiTheme="minorHAnsi" w:cstheme="minorHAnsi"/>
        </w:rPr>
        <w:t xml:space="preserve">, and so is ethically problematic in terms of data collection, as could </w:t>
      </w:r>
      <w:r w:rsidR="001D1FFE" w:rsidRPr="002222DB">
        <w:rPr>
          <w:rFonts w:asciiTheme="minorHAnsi" w:hAnsiTheme="minorHAnsi" w:cstheme="minorHAnsi"/>
        </w:rPr>
        <w:t>be</w:t>
      </w:r>
      <w:r w:rsidR="00F4433C" w:rsidRPr="002222DB">
        <w:rPr>
          <w:rFonts w:asciiTheme="minorHAnsi" w:hAnsiTheme="minorHAnsi" w:cstheme="minorHAnsi"/>
        </w:rPr>
        <w:t xml:space="preserve"> coerced</w:t>
      </w:r>
      <w:r w:rsidR="00286694" w:rsidRPr="002222DB">
        <w:rPr>
          <w:rFonts w:asciiTheme="minorHAnsi" w:hAnsiTheme="minorHAnsi" w:cstheme="minorHAnsi"/>
        </w:rPr>
        <w:t>.</w:t>
      </w:r>
      <w:r w:rsidR="000A2366" w:rsidRPr="002222DB">
        <w:rPr>
          <w:rFonts w:asciiTheme="minorHAnsi" w:hAnsiTheme="minorHAnsi" w:cstheme="minorHAnsi"/>
        </w:rPr>
        <w:t xml:space="preserve"> </w:t>
      </w:r>
      <w:r w:rsidR="00E36404" w:rsidRPr="00036D48">
        <w:rPr>
          <w:rFonts w:asciiTheme="minorHAnsi" w:hAnsiTheme="minorHAnsi" w:cstheme="minorHAnsi"/>
        </w:rPr>
        <w:t>Scheme managers state that</w:t>
      </w:r>
      <w:r w:rsidR="00F4433C" w:rsidRPr="00036D48">
        <w:rPr>
          <w:rFonts w:asciiTheme="minorHAnsi" w:hAnsiTheme="minorHAnsi" w:cstheme="minorHAnsi"/>
        </w:rPr>
        <w:t xml:space="preserve"> the interaction</w:t>
      </w:r>
      <w:r w:rsidR="00E36404" w:rsidRPr="00036D48">
        <w:rPr>
          <w:rFonts w:asciiTheme="minorHAnsi" w:hAnsiTheme="minorHAnsi" w:cstheme="minorHAnsi"/>
        </w:rPr>
        <w:t xml:space="preserve"> </w:t>
      </w:r>
      <w:r w:rsidR="00657A66" w:rsidRPr="00036D48">
        <w:rPr>
          <w:rFonts w:asciiTheme="minorHAnsi" w:hAnsiTheme="minorHAnsi" w:cstheme="minorHAnsi"/>
        </w:rPr>
        <w:t>“begins and ends in custody” (</w:t>
      </w:r>
      <w:r w:rsidR="001C23B8" w:rsidRPr="00036D48">
        <w:rPr>
          <w:rFonts w:asciiTheme="minorHAnsi" w:hAnsiTheme="minorHAnsi" w:cstheme="minorHAnsi"/>
        </w:rPr>
        <w:t>Scheme Manager 7</w:t>
      </w:r>
      <w:r w:rsidR="00657A66" w:rsidRPr="00036D48">
        <w:rPr>
          <w:rFonts w:asciiTheme="minorHAnsi" w:hAnsiTheme="minorHAnsi" w:cstheme="minorHAnsi"/>
        </w:rPr>
        <w:t>)</w:t>
      </w:r>
      <w:r w:rsidR="00E36404" w:rsidRPr="00036D48">
        <w:rPr>
          <w:rFonts w:asciiTheme="minorHAnsi" w:hAnsiTheme="minorHAnsi" w:cstheme="minorHAnsi"/>
        </w:rPr>
        <w:t xml:space="preserve"> and the service users</w:t>
      </w:r>
      <w:r w:rsidR="00F4433C" w:rsidRPr="00036D48">
        <w:rPr>
          <w:rFonts w:asciiTheme="minorHAnsi" w:hAnsiTheme="minorHAnsi" w:cstheme="minorHAnsi"/>
        </w:rPr>
        <w:t xml:space="preserve"> </w:t>
      </w:r>
      <w:r w:rsidR="00325BAA" w:rsidRPr="00036D48">
        <w:rPr>
          <w:rFonts w:asciiTheme="minorHAnsi" w:hAnsiTheme="minorHAnsi" w:cstheme="minorHAnsi"/>
        </w:rPr>
        <w:t>are “</w:t>
      </w:r>
      <w:r w:rsidR="00E36404" w:rsidRPr="00036D48">
        <w:rPr>
          <w:rFonts w:asciiTheme="minorHAnsi" w:hAnsiTheme="minorHAnsi" w:cstheme="minorHAnsi"/>
        </w:rPr>
        <w:t>often in crisis when we meet” (</w:t>
      </w:r>
      <w:r w:rsidR="001C23B8" w:rsidRPr="00036D48">
        <w:rPr>
          <w:rFonts w:asciiTheme="minorHAnsi" w:hAnsiTheme="minorHAnsi" w:cstheme="minorHAnsi"/>
        </w:rPr>
        <w:t>Scheme Manager 30</w:t>
      </w:r>
      <w:r w:rsidR="00E36404" w:rsidRPr="00036D48">
        <w:rPr>
          <w:rFonts w:asciiTheme="minorHAnsi" w:hAnsiTheme="minorHAnsi" w:cstheme="minorHAnsi"/>
        </w:rPr>
        <w:t>)</w:t>
      </w:r>
      <w:r w:rsidR="00F4433C" w:rsidRPr="00036D48">
        <w:rPr>
          <w:rFonts w:asciiTheme="minorHAnsi" w:hAnsiTheme="minorHAnsi" w:cstheme="minorHAnsi"/>
        </w:rPr>
        <w:t>, indicating that they do not see this as an appropriate time to gather service user input.</w:t>
      </w:r>
    </w:p>
    <w:p w14:paraId="3970555E" w14:textId="77777777" w:rsidR="00F4433C" w:rsidRPr="00036D48" w:rsidRDefault="00F4433C" w:rsidP="00AA51B8">
      <w:pPr>
        <w:spacing w:line="360" w:lineRule="auto"/>
        <w:contextualSpacing/>
        <w:mirrorIndents/>
        <w:jc w:val="both"/>
        <w:rPr>
          <w:rFonts w:asciiTheme="minorHAnsi" w:hAnsiTheme="minorHAnsi" w:cstheme="minorHAnsi"/>
        </w:rPr>
      </w:pPr>
    </w:p>
    <w:p w14:paraId="016E0320" w14:textId="39F617EE" w:rsidR="000276FD" w:rsidRPr="00171589" w:rsidRDefault="007324B3" w:rsidP="00AA51B8">
      <w:pPr>
        <w:spacing w:line="360" w:lineRule="auto"/>
        <w:contextualSpacing/>
        <w:mirrorIndents/>
        <w:jc w:val="both"/>
        <w:rPr>
          <w:rFonts w:asciiTheme="minorHAnsi" w:hAnsiTheme="minorHAnsi" w:cstheme="minorHAnsi"/>
        </w:rPr>
      </w:pPr>
      <w:r w:rsidRPr="00171589">
        <w:rPr>
          <w:rFonts w:asciiTheme="minorHAnsi" w:hAnsiTheme="minorHAnsi" w:cstheme="minorHAnsi"/>
        </w:rPr>
        <w:t>S</w:t>
      </w:r>
      <w:r w:rsidR="000A2366" w:rsidRPr="00171589">
        <w:rPr>
          <w:rFonts w:asciiTheme="minorHAnsi" w:hAnsiTheme="minorHAnsi" w:cstheme="minorHAnsi"/>
        </w:rPr>
        <w:t xml:space="preserve">ervice user feedback is collected and fed into service </w:t>
      </w:r>
      <w:r w:rsidR="00325BAA" w:rsidRPr="00171589">
        <w:rPr>
          <w:rFonts w:asciiTheme="minorHAnsi" w:hAnsiTheme="minorHAnsi" w:cstheme="minorHAnsi"/>
        </w:rPr>
        <w:t>development,</w:t>
      </w:r>
      <w:r w:rsidR="00057595" w:rsidRPr="00171589">
        <w:rPr>
          <w:rFonts w:asciiTheme="minorHAnsi" w:hAnsiTheme="minorHAnsi" w:cstheme="minorHAnsi"/>
        </w:rPr>
        <w:t xml:space="preserve"> but the</w:t>
      </w:r>
      <w:r w:rsidR="00C92FAB" w:rsidRPr="00171589">
        <w:rPr>
          <w:rFonts w:asciiTheme="minorHAnsi" w:hAnsiTheme="minorHAnsi" w:cstheme="minorHAnsi"/>
        </w:rPr>
        <w:t xml:space="preserve"> collection of feedback is problematic, leading to </w:t>
      </w:r>
      <w:r w:rsidR="00325BAA" w:rsidRPr="00171589">
        <w:rPr>
          <w:rFonts w:asciiTheme="minorHAnsi" w:hAnsiTheme="minorHAnsi" w:cstheme="minorHAnsi"/>
        </w:rPr>
        <w:t>a level</w:t>
      </w:r>
      <w:r w:rsidR="00057595" w:rsidRPr="00171589">
        <w:rPr>
          <w:rFonts w:asciiTheme="minorHAnsi" w:hAnsiTheme="minorHAnsi" w:cstheme="minorHAnsi"/>
        </w:rPr>
        <w:t xml:space="preserve"> of service user involvement </w:t>
      </w:r>
      <w:r w:rsidR="00C92FAB" w:rsidRPr="00171589">
        <w:rPr>
          <w:rFonts w:asciiTheme="minorHAnsi" w:hAnsiTheme="minorHAnsi" w:cstheme="minorHAnsi"/>
        </w:rPr>
        <w:t xml:space="preserve">which </w:t>
      </w:r>
      <w:r w:rsidR="00057595" w:rsidRPr="00171589">
        <w:rPr>
          <w:rFonts w:asciiTheme="minorHAnsi" w:hAnsiTheme="minorHAnsi" w:cstheme="minorHAnsi"/>
        </w:rPr>
        <w:t xml:space="preserve">is </w:t>
      </w:r>
      <w:r w:rsidR="00C92FAB" w:rsidRPr="00171589">
        <w:rPr>
          <w:rFonts w:asciiTheme="minorHAnsi" w:hAnsiTheme="minorHAnsi" w:cstheme="minorHAnsi"/>
        </w:rPr>
        <w:t xml:space="preserve">minimal </w:t>
      </w:r>
      <w:r w:rsidR="00057595" w:rsidRPr="00171589">
        <w:rPr>
          <w:rFonts w:asciiTheme="minorHAnsi" w:hAnsiTheme="minorHAnsi" w:cstheme="minorHAnsi"/>
        </w:rPr>
        <w:t>and driven by a consumer</w:t>
      </w:r>
      <w:r w:rsidR="00A253BA" w:rsidRPr="00171589">
        <w:rPr>
          <w:rFonts w:asciiTheme="minorHAnsi" w:hAnsiTheme="minorHAnsi" w:cstheme="minorHAnsi"/>
        </w:rPr>
        <w:t>-</w:t>
      </w:r>
      <w:r w:rsidR="00057595" w:rsidRPr="00171589">
        <w:rPr>
          <w:rFonts w:asciiTheme="minorHAnsi" w:hAnsiTheme="minorHAnsi" w:cstheme="minorHAnsi"/>
        </w:rPr>
        <w:t>led approach</w:t>
      </w:r>
      <w:r w:rsidRPr="00171589">
        <w:rPr>
          <w:rFonts w:asciiTheme="minorHAnsi" w:hAnsiTheme="minorHAnsi" w:cstheme="minorHAnsi"/>
        </w:rPr>
        <w:t>.  The purpose</w:t>
      </w:r>
      <w:r w:rsidR="00726378" w:rsidRPr="00171589">
        <w:rPr>
          <w:rFonts w:asciiTheme="minorHAnsi" w:hAnsiTheme="minorHAnsi" w:cstheme="minorHAnsi"/>
        </w:rPr>
        <w:t xml:space="preserve"> of feedback</w:t>
      </w:r>
      <w:r w:rsidRPr="00171589">
        <w:rPr>
          <w:rFonts w:asciiTheme="minorHAnsi" w:hAnsiTheme="minorHAnsi" w:cstheme="minorHAnsi"/>
        </w:rPr>
        <w:t xml:space="preserve"> </w:t>
      </w:r>
      <w:r w:rsidR="00550DBE" w:rsidRPr="00171589">
        <w:rPr>
          <w:rFonts w:asciiTheme="minorHAnsi" w:hAnsiTheme="minorHAnsi" w:cstheme="minorHAnsi"/>
        </w:rPr>
        <w:t>appears</w:t>
      </w:r>
      <w:r w:rsidR="00325BAA" w:rsidRPr="00171589">
        <w:rPr>
          <w:rFonts w:asciiTheme="minorHAnsi" w:hAnsiTheme="minorHAnsi" w:cstheme="minorHAnsi"/>
        </w:rPr>
        <w:t xml:space="preserve"> therefore</w:t>
      </w:r>
      <w:r w:rsidR="00726378" w:rsidRPr="00171589">
        <w:rPr>
          <w:rFonts w:asciiTheme="minorHAnsi" w:hAnsiTheme="minorHAnsi" w:cstheme="minorHAnsi"/>
        </w:rPr>
        <w:t xml:space="preserve"> to</w:t>
      </w:r>
      <w:r w:rsidR="00325BAA" w:rsidRPr="00171589">
        <w:rPr>
          <w:rFonts w:asciiTheme="minorHAnsi" w:hAnsiTheme="minorHAnsi" w:cstheme="minorHAnsi"/>
        </w:rPr>
        <w:t xml:space="preserve"> be</w:t>
      </w:r>
      <w:r w:rsidR="00057595" w:rsidRPr="00171589">
        <w:rPr>
          <w:rFonts w:asciiTheme="minorHAnsi" w:hAnsiTheme="minorHAnsi" w:cstheme="minorHAnsi"/>
        </w:rPr>
        <w:t xml:space="preserve"> to justify the </w:t>
      </w:r>
      <w:r w:rsidR="00136C49" w:rsidRPr="00171589">
        <w:rPr>
          <w:rFonts w:asciiTheme="minorHAnsi" w:hAnsiTheme="minorHAnsi" w:cstheme="minorHAnsi"/>
        </w:rPr>
        <w:t>Appropriate Adult Service</w:t>
      </w:r>
      <w:r w:rsidR="00057595" w:rsidRPr="00171589">
        <w:rPr>
          <w:rFonts w:asciiTheme="minorHAnsi" w:hAnsiTheme="minorHAnsi" w:cstheme="minorHAnsi"/>
        </w:rPr>
        <w:t xml:space="preserve"> rather than </w:t>
      </w:r>
      <w:r w:rsidR="00325BAA" w:rsidRPr="00171589">
        <w:rPr>
          <w:rFonts w:asciiTheme="minorHAnsi" w:hAnsiTheme="minorHAnsi" w:cstheme="minorHAnsi"/>
        </w:rPr>
        <w:t>to</w:t>
      </w:r>
      <w:r w:rsidR="00136C49" w:rsidRPr="00171589">
        <w:rPr>
          <w:rFonts w:asciiTheme="minorHAnsi" w:hAnsiTheme="minorHAnsi" w:cstheme="minorHAnsi"/>
        </w:rPr>
        <w:t xml:space="preserve"> </w:t>
      </w:r>
      <w:r w:rsidR="00564FAA" w:rsidRPr="00171589">
        <w:rPr>
          <w:rFonts w:asciiTheme="minorHAnsi" w:hAnsiTheme="minorHAnsi" w:cstheme="minorHAnsi"/>
        </w:rPr>
        <w:t>meaningfully develop a relationship with the service user.</w:t>
      </w:r>
      <w:r w:rsidR="000C029F" w:rsidRPr="00171589">
        <w:rPr>
          <w:rFonts w:asciiTheme="minorHAnsi" w:hAnsiTheme="minorHAnsi" w:cstheme="minorHAnsi"/>
        </w:rPr>
        <w:t xml:space="preserve"> </w:t>
      </w:r>
    </w:p>
    <w:p w14:paraId="63841B90" w14:textId="77777777" w:rsidR="000C029F" w:rsidRPr="00171589" w:rsidRDefault="000C029F" w:rsidP="00AA51B8">
      <w:pPr>
        <w:spacing w:line="360" w:lineRule="auto"/>
        <w:contextualSpacing/>
        <w:mirrorIndents/>
        <w:jc w:val="both"/>
        <w:rPr>
          <w:rFonts w:asciiTheme="minorHAnsi" w:hAnsiTheme="minorHAnsi" w:cstheme="minorHAnsi"/>
        </w:rPr>
      </w:pPr>
    </w:p>
    <w:p w14:paraId="7D95DBE1" w14:textId="79214165" w:rsidR="005A1E9A" w:rsidRPr="00171589" w:rsidRDefault="005A1E9A" w:rsidP="00AA51B8">
      <w:pPr>
        <w:spacing w:line="360" w:lineRule="auto"/>
        <w:contextualSpacing/>
        <w:mirrorIndents/>
        <w:jc w:val="both"/>
        <w:rPr>
          <w:rFonts w:asciiTheme="minorHAnsi" w:hAnsiTheme="minorHAnsi" w:cstheme="minorHAnsi"/>
        </w:rPr>
      </w:pPr>
    </w:p>
    <w:p w14:paraId="0BD6A6DF" w14:textId="4A0BA202" w:rsidR="005A1E9A" w:rsidRPr="00171589" w:rsidRDefault="00C6027C" w:rsidP="00AA51B8">
      <w:pPr>
        <w:spacing w:line="360" w:lineRule="auto"/>
        <w:contextualSpacing/>
        <w:mirrorIndents/>
        <w:jc w:val="both"/>
        <w:rPr>
          <w:rFonts w:asciiTheme="minorHAnsi" w:hAnsiTheme="minorHAnsi" w:cstheme="minorHAnsi"/>
          <w:b/>
          <w:bCs/>
        </w:rPr>
      </w:pPr>
      <w:r w:rsidRPr="00171589">
        <w:rPr>
          <w:rFonts w:asciiTheme="minorHAnsi" w:hAnsiTheme="minorHAnsi" w:cstheme="minorHAnsi"/>
          <w:b/>
          <w:bCs/>
        </w:rPr>
        <w:t xml:space="preserve">Service </w:t>
      </w:r>
      <w:r w:rsidR="004768E4" w:rsidRPr="00171589">
        <w:rPr>
          <w:rFonts w:asciiTheme="minorHAnsi" w:hAnsiTheme="minorHAnsi" w:cstheme="minorHAnsi"/>
          <w:b/>
          <w:bCs/>
        </w:rPr>
        <w:t>User Involvement in The Training of Appropriate Adult Practitioners</w:t>
      </w:r>
    </w:p>
    <w:p w14:paraId="721D0110" w14:textId="4221E339" w:rsidR="005A1E9A" w:rsidRPr="00171589" w:rsidRDefault="005A1E9A" w:rsidP="00AA51B8">
      <w:pPr>
        <w:spacing w:line="360" w:lineRule="auto"/>
        <w:contextualSpacing/>
        <w:mirrorIndents/>
        <w:jc w:val="both"/>
        <w:rPr>
          <w:rFonts w:asciiTheme="minorHAnsi" w:hAnsiTheme="minorHAnsi" w:cstheme="minorHAnsi"/>
        </w:rPr>
      </w:pPr>
    </w:p>
    <w:p w14:paraId="2916CA77" w14:textId="3521EFFB" w:rsidR="00067689" w:rsidRPr="00CB436B" w:rsidRDefault="00473858" w:rsidP="00B12912">
      <w:pPr>
        <w:spacing w:line="360" w:lineRule="auto"/>
        <w:contextualSpacing/>
        <w:mirrorIndents/>
        <w:jc w:val="both"/>
        <w:rPr>
          <w:rFonts w:asciiTheme="minorHAnsi" w:hAnsiTheme="minorHAnsi" w:cstheme="minorHAnsi"/>
          <w:b/>
          <w:bCs/>
        </w:rPr>
      </w:pPr>
      <w:r w:rsidRPr="00171589">
        <w:rPr>
          <w:rFonts w:asciiTheme="minorHAnsi" w:hAnsiTheme="minorHAnsi" w:cstheme="minorHAnsi"/>
        </w:rPr>
        <w:t>Within health and social care</w:t>
      </w:r>
      <w:r w:rsidR="00A253BA" w:rsidRPr="00171589">
        <w:rPr>
          <w:rFonts w:asciiTheme="minorHAnsi" w:hAnsiTheme="minorHAnsi" w:cstheme="minorHAnsi"/>
        </w:rPr>
        <w:t>,</w:t>
      </w:r>
      <w:r w:rsidRPr="00171589">
        <w:rPr>
          <w:rFonts w:asciiTheme="minorHAnsi" w:hAnsiTheme="minorHAnsi" w:cstheme="minorHAnsi"/>
        </w:rPr>
        <w:t xml:space="preserve"> </w:t>
      </w:r>
      <w:r w:rsidR="00553442" w:rsidRPr="00171589">
        <w:rPr>
          <w:rFonts w:asciiTheme="minorHAnsi" w:hAnsiTheme="minorHAnsi" w:cstheme="minorHAnsi"/>
        </w:rPr>
        <w:t xml:space="preserve">service user </w:t>
      </w:r>
      <w:r w:rsidRPr="00171589">
        <w:rPr>
          <w:rFonts w:asciiTheme="minorHAnsi" w:hAnsiTheme="minorHAnsi" w:cstheme="minorHAnsi"/>
        </w:rPr>
        <w:t>involvement has been central in developing</w:t>
      </w:r>
      <w:r w:rsidR="00553442" w:rsidRPr="00171589">
        <w:rPr>
          <w:rFonts w:asciiTheme="minorHAnsi" w:hAnsiTheme="minorHAnsi" w:cstheme="minorHAnsi"/>
        </w:rPr>
        <w:t xml:space="preserve"> services </w:t>
      </w:r>
      <w:r w:rsidR="00A253BA" w:rsidRPr="00171589">
        <w:rPr>
          <w:rFonts w:asciiTheme="minorHAnsi" w:hAnsiTheme="minorHAnsi" w:cstheme="minorHAnsi"/>
        </w:rPr>
        <w:t>that</w:t>
      </w:r>
      <w:r w:rsidR="00553442" w:rsidRPr="00171589">
        <w:rPr>
          <w:rFonts w:asciiTheme="minorHAnsi" w:hAnsiTheme="minorHAnsi" w:cstheme="minorHAnsi"/>
        </w:rPr>
        <w:t xml:space="preserve"> are </w:t>
      </w:r>
      <w:r w:rsidR="00325BAA" w:rsidRPr="00171589">
        <w:rPr>
          <w:rFonts w:asciiTheme="minorHAnsi" w:hAnsiTheme="minorHAnsi" w:cstheme="minorHAnsi"/>
        </w:rPr>
        <w:t>relevant and</w:t>
      </w:r>
      <w:r w:rsidR="00553442" w:rsidRPr="00171589">
        <w:rPr>
          <w:rFonts w:asciiTheme="minorHAnsi" w:hAnsiTheme="minorHAnsi" w:cstheme="minorHAnsi"/>
        </w:rPr>
        <w:t xml:space="preserve"> </w:t>
      </w:r>
      <w:r w:rsidR="00325BAA" w:rsidRPr="00171589">
        <w:rPr>
          <w:rFonts w:asciiTheme="minorHAnsi" w:hAnsiTheme="minorHAnsi" w:cstheme="minorHAnsi"/>
        </w:rPr>
        <w:t xml:space="preserve">that </w:t>
      </w:r>
      <w:r w:rsidR="00553442" w:rsidRPr="00171589">
        <w:rPr>
          <w:rFonts w:asciiTheme="minorHAnsi" w:hAnsiTheme="minorHAnsi" w:cstheme="minorHAnsi"/>
        </w:rPr>
        <w:t xml:space="preserve">meet the needs of </w:t>
      </w:r>
      <w:r w:rsidR="00CF0723" w:rsidRPr="00171589">
        <w:rPr>
          <w:rFonts w:asciiTheme="minorHAnsi" w:hAnsiTheme="minorHAnsi" w:cstheme="minorHAnsi"/>
        </w:rPr>
        <w:t xml:space="preserve">children and adult </w:t>
      </w:r>
      <w:r w:rsidR="00553442" w:rsidRPr="00171589">
        <w:rPr>
          <w:rFonts w:asciiTheme="minorHAnsi" w:hAnsiTheme="minorHAnsi" w:cstheme="minorHAnsi"/>
        </w:rPr>
        <w:t>service users</w:t>
      </w:r>
      <w:r w:rsidR="00526884" w:rsidRPr="00171589">
        <w:rPr>
          <w:rFonts w:asciiTheme="minorHAnsi" w:hAnsiTheme="minorHAnsi" w:cstheme="minorHAnsi"/>
        </w:rPr>
        <w:t>’</w:t>
      </w:r>
      <w:r w:rsidR="00553442" w:rsidRPr="00171589">
        <w:rPr>
          <w:rFonts w:asciiTheme="minorHAnsi" w:hAnsiTheme="minorHAnsi" w:cstheme="minorHAnsi"/>
        </w:rPr>
        <w:t xml:space="preserve"> lives</w:t>
      </w:r>
      <w:r w:rsidR="0019361D" w:rsidRPr="00171589">
        <w:rPr>
          <w:rFonts w:asciiTheme="minorHAnsi" w:hAnsiTheme="minorHAnsi" w:cstheme="minorHAnsi"/>
        </w:rPr>
        <w:t xml:space="preserve"> (</w:t>
      </w:r>
      <w:r w:rsidR="00DE2039" w:rsidRPr="00171589">
        <w:rPr>
          <w:rFonts w:asciiTheme="minorHAnsi" w:hAnsiTheme="minorHAnsi" w:cstheme="minorHAnsi"/>
        </w:rPr>
        <w:t>McLaughlin</w:t>
      </w:r>
      <w:r w:rsidR="009A12B8" w:rsidRPr="00171589">
        <w:rPr>
          <w:rFonts w:asciiTheme="minorHAnsi" w:hAnsiTheme="minorHAnsi" w:cstheme="minorHAnsi"/>
        </w:rPr>
        <w:t>,</w:t>
      </w:r>
      <w:r w:rsidR="00DE2039" w:rsidRPr="00171589">
        <w:rPr>
          <w:rFonts w:asciiTheme="minorHAnsi" w:hAnsiTheme="minorHAnsi" w:cstheme="minorHAnsi"/>
        </w:rPr>
        <w:t xml:space="preserve"> 2006;</w:t>
      </w:r>
      <w:r w:rsidR="00B12912" w:rsidRPr="00171589">
        <w:rPr>
          <w:rFonts w:asciiTheme="minorHAnsi" w:hAnsiTheme="minorHAnsi" w:cstheme="minorHAnsi"/>
        </w:rPr>
        <w:t xml:space="preserve"> Macdonald and Taylor-</w:t>
      </w:r>
      <w:proofErr w:type="spellStart"/>
      <w:r w:rsidR="00B12912" w:rsidRPr="00171589">
        <w:rPr>
          <w:rFonts w:asciiTheme="minorHAnsi" w:hAnsiTheme="minorHAnsi" w:cstheme="minorHAnsi"/>
        </w:rPr>
        <w:t>Gooby</w:t>
      </w:r>
      <w:proofErr w:type="spellEnd"/>
      <w:r w:rsidR="009A12B8" w:rsidRPr="00171589">
        <w:rPr>
          <w:rFonts w:asciiTheme="minorHAnsi" w:hAnsiTheme="minorHAnsi" w:cstheme="minorHAnsi"/>
        </w:rPr>
        <w:t>,</w:t>
      </w:r>
      <w:r w:rsidR="00B12912" w:rsidRPr="00171589">
        <w:rPr>
          <w:rFonts w:asciiTheme="minorHAnsi" w:hAnsiTheme="minorHAnsi" w:cstheme="minorHAnsi"/>
        </w:rPr>
        <w:t xml:space="preserve"> 201</w:t>
      </w:r>
      <w:r w:rsidR="00202BA1" w:rsidRPr="00171589">
        <w:rPr>
          <w:rFonts w:asciiTheme="minorHAnsi" w:hAnsiTheme="minorHAnsi" w:cstheme="minorHAnsi"/>
        </w:rPr>
        <w:t>4</w:t>
      </w:r>
      <w:r w:rsidR="00B12912" w:rsidRPr="00171589">
        <w:rPr>
          <w:rFonts w:asciiTheme="minorHAnsi" w:hAnsiTheme="minorHAnsi" w:cstheme="minorHAnsi"/>
        </w:rPr>
        <w:t>)</w:t>
      </w:r>
      <w:r w:rsidR="0019361D" w:rsidRPr="00171589">
        <w:rPr>
          <w:rFonts w:asciiTheme="minorHAnsi" w:hAnsiTheme="minorHAnsi" w:cstheme="minorHAnsi"/>
        </w:rPr>
        <w:t>.</w:t>
      </w:r>
      <w:r w:rsidR="00553442" w:rsidRPr="00171589">
        <w:rPr>
          <w:rFonts w:asciiTheme="minorHAnsi" w:hAnsiTheme="minorHAnsi" w:cstheme="minorHAnsi"/>
        </w:rPr>
        <w:t xml:space="preserve"> </w:t>
      </w:r>
      <w:r w:rsidR="009A12B8" w:rsidRPr="00175C76">
        <w:rPr>
          <w:rFonts w:asciiTheme="minorHAnsi" w:hAnsiTheme="minorHAnsi" w:cstheme="minorHAnsi"/>
        </w:rPr>
        <w:t>A</w:t>
      </w:r>
      <w:r w:rsidR="00063CEE" w:rsidRPr="00175C76">
        <w:rPr>
          <w:rFonts w:asciiTheme="minorHAnsi" w:hAnsiTheme="minorHAnsi" w:cstheme="minorHAnsi"/>
        </w:rPr>
        <w:t xml:space="preserve">s </w:t>
      </w:r>
      <w:r w:rsidR="00325BAA" w:rsidRPr="00175C76">
        <w:rPr>
          <w:rFonts w:asciiTheme="minorHAnsi" w:hAnsiTheme="minorHAnsi" w:cstheme="minorHAnsi"/>
        </w:rPr>
        <w:t>outlined</w:t>
      </w:r>
      <w:r w:rsidR="007324B3" w:rsidRPr="00175C76">
        <w:rPr>
          <w:rFonts w:asciiTheme="minorHAnsi" w:hAnsiTheme="minorHAnsi" w:cstheme="minorHAnsi"/>
        </w:rPr>
        <w:t>,</w:t>
      </w:r>
      <w:r w:rsidR="00063CEE" w:rsidRPr="00175C76">
        <w:rPr>
          <w:rFonts w:asciiTheme="minorHAnsi" w:hAnsiTheme="minorHAnsi" w:cstheme="minorHAnsi"/>
        </w:rPr>
        <w:t xml:space="preserve"> involvement is not just collecting feedback</w:t>
      </w:r>
      <w:r w:rsidR="00441B98" w:rsidRPr="00175C76">
        <w:rPr>
          <w:rFonts w:asciiTheme="minorHAnsi" w:hAnsiTheme="minorHAnsi" w:cstheme="minorHAnsi"/>
        </w:rPr>
        <w:t xml:space="preserve"> from service users</w:t>
      </w:r>
      <w:r w:rsidR="007324B3" w:rsidRPr="00175C76">
        <w:rPr>
          <w:rFonts w:asciiTheme="minorHAnsi" w:hAnsiTheme="minorHAnsi" w:cstheme="minorHAnsi"/>
        </w:rPr>
        <w:t>,</w:t>
      </w:r>
      <w:r w:rsidR="00441B98" w:rsidRPr="00175C76">
        <w:rPr>
          <w:rFonts w:asciiTheme="minorHAnsi" w:hAnsiTheme="minorHAnsi" w:cstheme="minorHAnsi"/>
        </w:rPr>
        <w:t xml:space="preserve"> but</w:t>
      </w:r>
      <w:r w:rsidR="007324B3" w:rsidRPr="00175C76">
        <w:rPr>
          <w:rFonts w:asciiTheme="minorHAnsi" w:hAnsiTheme="minorHAnsi" w:cstheme="minorHAnsi"/>
        </w:rPr>
        <w:t xml:space="preserve"> should ideally </w:t>
      </w:r>
      <w:r w:rsidR="00325BAA" w:rsidRPr="00175C76">
        <w:rPr>
          <w:rFonts w:asciiTheme="minorHAnsi" w:hAnsiTheme="minorHAnsi" w:cstheme="minorHAnsi"/>
        </w:rPr>
        <w:t>include them</w:t>
      </w:r>
      <w:r w:rsidR="00441B98" w:rsidRPr="00175C76">
        <w:rPr>
          <w:rFonts w:asciiTheme="minorHAnsi" w:hAnsiTheme="minorHAnsi" w:cstheme="minorHAnsi"/>
        </w:rPr>
        <w:t xml:space="preserve"> in service development and the training of practitioners (</w:t>
      </w:r>
      <w:proofErr w:type="spellStart"/>
      <w:r w:rsidR="008D7523" w:rsidRPr="00175C76">
        <w:rPr>
          <w:rFonts w:asciiTheme="minorHAnsi" w:hAnsiTheme="minorHAnsi" w:cstheme="minorHAnsi"/>
        </w:rPr>
        <w:t>Askheim</w:t>
      </w:r>
      <w:proofErr w:type="spellEnd"/>
      <w:r w:rsidR="008D7523" w:rsidRPr="00175C76">
        <w:rPr>
          <w:rFonts w:asciiTheme="minorHAnsi" w:hAnsiTheme="minorHAnsi" w:cstheme="minorHAnsi"/>
        </w:rPr>
        <w:t xml:space="preserve"> </w:t>
      </w:r>
      <w:r w:rsidR="008D7523" w:rsidRPr="00175C76">
        <w:rPr>
          <w:rFonts w:asciiTheme="minorHAnsi" w:hAnsiTheme="minorHAnsi" w:cstheme="minorHAnsi"/>
          <w:i/>
          <w:iCs/>
        </w:rPr>
        <w:t>et a</w:t>
      </w:r>
      <w:r w:rsidR="009A12B8" w:rsidRPr="00175C76">
        <w:rPr>
          <w:rFonts w:asciiTheme="minorHAnsi" w:hAnsiTheme="minorHAnsi" w:cstheme="minorHAnsi"/>
          <w:i/>
          <w:iCs/>
        </w:rPr>
        <w:t>l</w:t>
      </w:r>
      <w:r w:rsidR="008D7523" w:rsidRPr="00175C76">
        <w:rPr>
          <w:rFonts w:asciiTheme="minorHAnsi" w:hAnsiTheme="minorHAnsi" w:cstheme="minorHAnsi"/>
          <w:i/>
          <w:iCs/>
        </w:rPr>
        <w:t>.</w:t>
      </w:r>
      <w:r w:rsidR="009A12B8" w:rsidRPr="00175C76">
        <w:rPr>
          <w:rFonts w:asciiTheme="minorHAnsi" w:hAnsiTheme="minorHAnsi" w:cstheme="minorHAnsi"/>
          <w:i/>
          <w:iCs/>
        </w:rPr>
        <w:t>,</w:t>
      </w:r>
      <w:r w:rsidR="008D7523" w:rsidRPr="00175C76">
        <w:rPr>
          <w:rFonts w:asciiTheme="minorHAnsi" w:hAnsiTheme="minorHAnsi" w:cstheme="minorHAnsi"/>
        </w:rPr>
        <w:t xml:space="preserve"> 2016; </w:t>
      </w:r>
      <w:r w:rsidR="00366E43" w:rsidRPr="00175C76">
        <w:rPr>
          <w:rFonts w:asciiTheme="minorHAnsi" w:hAnsiTheme="minorHAnsi" w:cstheme="minorHAnsi"/>
        </w:rPr>
        <w:t>Hughes</w:t>
      </w:r>
      <w:r w:rsidR="009A12B8" w:rsidRPr="00175C76">
        <w:rPr>
          <w:rFonts w:asciiTheme="minorHAnsi" w:hAnsiTheme="minorHAnsi" w:cstheme="minorHAnsi"/>
        </w:rPr>
        <w:t>,</w:t>
      </w:r>
      <w:r w:rsidR="00366E43" w:rsidRPr="00175C76">
        <w:rPr>
          <w:rFonts w:asciiTheme="minorHAnsi" w:hAnsiTheme="minorHAnsi" w:cstheme="minorHAnsi"/>
        </w:rPr>
        <w:t xml:space="preserve"> </w:t>
      </w:r>
      <w:r w:rsidR="00FE083F" w:rsidRPr="00175C76">
        <w:rPr>
          <w:rFonts w:asciiTheme="minorHAnsi" w:hAnsiTheme="minorHAnsi" w:cstheme="minorHAnsi"/>
        </w:rPr>
        <w:t xml:space="preserve">2017). </w:t>
      </w:r>
      <w:r w:rsidR="007324B3" w:rsidRPr="00175C76">
        <w:rPr>
          <w:rFonts w:asciiTheme="minorHAnsi" w:hAnsiTheme="minorHAnsi" w:cstheme="minorHAnsi"/>
        </w:rPr>
        <w:t>M</w:t>
      </w:r>
      <w:r w:rsidR="00FE083F" w:rsidRPr="00175C76">
        <w:rPr>
          <w:rFonts w:asciiTheme="minorHAnsi" w:hAnsiTheme="minorHAnsi" w:cstheme="minorHAnsi"/>
        </w:rPr>
        <w:t>eaningful</w:t>
      </w:r>
      <w:r w:rsidR="007C2AD5" w:rsidRPr="00175C76">
        <w:rPr>
          <w:rFonts w:asciiTheme="minorHAnsi" w:hAnsiTheme="minorHAnsi" w:cstheme="minorHAnsi"/>
        </w:rPr>
        <w:t xml:space="preserve"> service user involvement</w:t>
      </w:r>
      <w:r w:rsidR="007324B3" w:rsidRPr="00175C76">
        <w:rPr>
          <w:rFonts w:asciiTheme="minorHAnsi" w:hAnsiTheme="minorHAnsi" w:cstheme="minorHAnsi"/>
        </w:rPr>
        <w:t xml:space="preserve"> includes</w:t>
      </w:r>
      <w:r w:rsidR="007C2AD5" w:rsidRPr="00175C76">
        <w:rPr>
          <w:rFonts w:asciiTheme="minorHAnsi" w:hAnsiTheme="minorHAnsi" w:cstheme="minorHAnsi"/>
        </w:rPr>
        <w:t xml:space="preserve"> shifting the power from professional/practitioners to that of conceptualising service users as expert</w:t>
      </w:r>
      <w:r w:rsidR="006B674F" w:rsidRPr="00175C76">
        <w:rPr>
          <w:rFonts w:asciiTheme="minorHAnsi" w:hAnsiTheme="minorHAnsi" w:cstheme="minorHAnsi"/>
        </w:rPr>
        <w:t xml:space="preserve"> witnesses concerning their own lives. </w:t>
      </w:r>
      <w:r w:rsidR="0024742A" w:rsidRPr="00175C76">
        <w:rPr>
          <w:rFonts w:asciiTheme="minorHAnsi" w:hAnsiTheme="minorHAnsi" w:cstheme="minorHAnsi"/>
        </w:rPr>
        <w:t xml:space="preserve">As suggested by </w:t>
      </w:r>
      <w:proofErr w:type="spellStart"/>
      <w:r w:rsidR="006B674F" w:rsidRPr="00175C76">
        <w:rPr>
          <w:rFonts w:asciiTheme="minorHAnsi" w:hAnsiTheme="minorHAnsi" w:cstheme="minorHAnsi"/>
        </w:rPr>
        <w:t>Askheim</w:t>
      </w:r>
      <w:proofErr w:type="spellEnd"/>
      <w:r w:rsidR="006B674F" w:rsidRPr="00175C76">
        <w:rPr>
          <w:rFonts w:asciiTheme="minorHAnsi" w:hAnsiTheme="minorHAnsi" w:cstheme="minorHAnsi"/>
        </w:rPr>
        <w:t xml:space="preserve"> </w:t>
      </w:r>
      <w:r w:rsidR="006B674F" w:rsidRPr="00175C76">
        <w:rPr>
          <w:rFonts w:asciiTheme="minorHAnsi" w:hAnsiTheme="minorHAnsi" w:cstheme="minorHAnsi"/>
          <w:i/>
          <w:iCs/>
        </w:rPr>
        <w:t>et a</w:t>
      </w:r>
      <w:r w:rsidR="007324B3" w:rsidRPr="00175C76">
        <w:rPr>
          <w:rFonts w:asciiTheme="minorHAnsi" w:hAnsiTheme="minorHAnsi" w:cstheme="minorHAnsi"/>
          <w:i/>
          <w:iCs/>
        </w:rPr>
        <w:t>l</w:t>
      </w:r>
      <w:r w:rsidR="006B674F" w:rsidRPr="00175C76">
        <w:rPr>
          <w:rFonts w:asciiTheme="minorHAnsi" w:hAnsiTheme="minorHAnsi" w:cstheme="minorHAnsi"/>
          <w:i/>
          <w:iCs/>
        </w:rPr>
        <w:t>.</w:t>
      </w:r>
      <w:r w:rsidR="006B674F" w:rsidRPr="00175C76">
        <w:rPr>
          <w:rFonts w:asciiTheme="minorHAnsi" w:hAnsiTheme="minorHAnsi" w:cstheme="minorHAnsi"/>
        </w:rPr>
        <w:t xml:space="preserve"> </w:t>
      </w:r>
      <w:r w:rsidR="006B674F" w:rsidRPr="008A4F61">
        <w:rPr>
          <w:rFonts w:asciiTheme="minorHAnsi" w:hAnsiTheme="minorHAnsi" w:cstheme="minorHAnsi"/>
        </w:rPr>
        <w:t>(2016)</w:t>
      </w:r>
      <w:r w:rsidR="0024742A" w:rsidRPr="008A4F61">
        <w:rPr>
          <w:rFonts w:asciiTheme="minorHAnsi" w:hAnsiTheme="minorHAnsi" w:cstheme="minorHAnsi"/>
        </w:rPr>
        <w:t xml:space="preserve">, </w:t>
      </w:r>
      <w:r w:rsidR="00BF6787" w:rsidRPr="008A4F61">
        <w:rPr>
          <w:rFonts w:asciiTheme="minorHAnsi" w:hAnsiTheme="minorHAnsi" w:cstheme="minorHAnsi"/>
        </w:rPr>
        <w:t>to develop any form of service user involvement based on experiential knowledge</w:t>
      </w:r>
      <w:r w:rsidR="007324B3" w:rsidRPr="008A4F61">
        <w:rPr>
          <w:rFonts w:asciiTheme="minorHAnsi" w:hAnsiTheme="minorHAnsi" w:cstheme="minorHAnsi"/>
        </w:rPr>
        <w:t>,</w:t>
      </w:r>
      <w:r w:rsidR="00BF6787" w:rsidRPr="008A4F61">
        <w:rPr>
          <w:rFonts w:asciiTheme="minorHAnsi" w:hAnsiTheme="minorHAnsi" w:cstheme="minorHAnsi"/>
        </w:rPr>
        <w:t xml:space="preserve"> service users not only must be part of service development</w:t>
      </w:r>
      <w:r w:rsidR="007324B3" w:rsidRPr="008A4F61">
        <w:rPr>
          <w:rFonts w:asciiTheme="minorHAnsi" w:hAnsiTheme="minorHAnsi" w:cstheme="minorHAnsi"/>
        </w:rPr>
        <w:t>,</w:t>
      </w:r>
      <w:r w:rsidR="00BF6787" w:rsidRPr="008A4F61">
        <w:rPr>
          <w:rFonts w:asciiTheme="minorHAnsi" w:hAnsiTheme="minorHAnsi" w:cstheme="minorHAnsi"/>
        </w:rPr>
        <w:t xml:space="preserve"> but also</w:t>
      </w:r>
      <w:r w:rsidR="002370A9" w:rsidRPr="008A4F61">
        <w:rPr>
          <w:rFonts w:asciiTheme="minorHAnsi" w:hAnsiTheme="minorHAnsi" w:cstheme="minorHAnsi"/>
        </w:rPr>
        <w:t xml:space="preserve"> acting participants in the education of practitioners. </w:t>
      </w:r>
      <w:r w:rsidR="00A7407E" w:rsidRPr="008A4F61">
        <w:rPr>
          <w:rFonts w:asciiTheme="minorHAnsi" w:hAnsiTheme="minorHAnsi" w:cstheme="minorHAnsi"/>
        </w:rPr>
        <w:t>The importance of service user involvement in education is illustrated by Hugh</w:t>
      </w:r>
      <w:r w:rsidR="00264E48" w:rsidRPr="008A4F61">
        <w:rPr>
          <w:rFonts w:asciiTheme="minorHAnsi" w:hAnsiTheme="minorHAnsi" w:cstheme="minorHAnsi"/>
        </w:rPr>
        <w:t xml:space="preserve">es </w:t>
      </w:r>
      <w:r w:rsidR="0088465B" w:rsidRPr="008A4F61">
        <w:rPr>
          <w:rFonts w:asciiTheme="minorHAnsi" w:hAnsiTheme="minorHAnsi" w:cstheme="minorHAnsi"/>
        </w:rPr>
        <w:t>(2017</w:t>
      </w:r>
      <w:r w:rsidR="00253B98" w:rsidRPr="008A4F61">
        <w:rPr>
          <w:rFonts w:asciiTheme="minorHAnsi" w:hAnsiTheme="minorHAnsi" w:cstheme="minorHAnsi"/>
        </w:rPr>
        <w:t xml:space="preserve">: </w:t>
      </w:r>
      <w:r w:rsidR="00D3264D" w:rsidRPr="008A4F61">
        <w:rPr>
          <w:rFonts w:asciiTheme="minorHAnsi" w:hAnsiTheme="minorHAnsi" w:cstheme="minorHAnsi"/>
        </w:rPr>
        <w:t>211</w:t>
      </w:r>
      <w:r w:rsidR="0088465B" w:rsidRPr="008A4F61">
        <w:rPr>
          <w:rFonts w:asciiTheme="minorHAnsi" w:hAnsiTheme="minorHAnsi" w:cstheme="minorHAnsi"/>
        </w:rPr>
        <w:t>), who suggests</w:t>
      </w:r>
      <w:r w:rsidR="00253B98" w:rsidRPr="008A4F61">
        <w:rPr>
          <w:rFonts w:asciiTheme="minorHAnsi" w:hAnsiTheme="minorHAnsi" w:cstheme="minorHAnsi"/>
        </w:rPr>
        <w:t xml:space="preserve"> successful partnerships result in ‘lightbulb moments’ for her social work students.</w:t>
      </w:r>
      <w:r w:rsidR="002516DD" w:rsidRPr="008A4F61">
        <w:rPr>
          <w:rFonts w:asciiTheme="minorHAnsi" w:hAnsiTheme="minorHAnsi" w:cstheme="minorHAnsi"/>
        </w:rPr>
        <w:t xml:space="preserve"> </w:t>
      </w:r>
      <w:r w:rsidR="007324B3" w:rsidRPr="00CB436B">
        <w:rPr>
          <w:rFonts w:asciiTheme="minorHAnsi" w:hAnsiTheme="minorHAnsi" w:cstheme="minorHAnsi"/>
        </w:rPr>
        <w:t xml:space="preserve">In order </w:t>
      </w:r>
      <w:r w:rsidR="002901A7" w:rsidRPr="00CB436B">
        <w:rPr>
          <w:rFonts w:asciiTheme="minorHAnsi" w:hAnsiTheme="minorHAnsi" w:cstheme="minorHAnsi"/>
        </w:rPr>
        <w:t>t</w:t>
      </w:r>
      <w:r w:rsidR="00D86020" w:rsidRPr="00CB436B">
        <w:rPr>
          <w:rFonts w:asciiTheme="minorHAnsi" w:hAnsiTheme="minorHAnsi" w:cstheme="minorHAnsi"/>
        </w:rPr>
        <w:t>o develop</w:t>
      </w:r>
      <w:r w:rsidR="00AB2010" w:rsidRPr="00CB436B">
        <w:rPr>
          <w:rFonts w:asciiTheme="minorHAnsi" w:hAnsiTheme="minorHAnsi" w:cstheme="minorHAnsi"/>
        </w:rPr>
        <w:t xml:space="preserve"> professional practice, </w:t>
      </w:r>
      <w:r w:rsidR="001D1FFE" w:rsidRPr="00CB436B">
        <w:rPr>
          <w:rFonts w:asciiTheme="minorHAnsi" w:hAnsiTheme="minorHAnsi" w:cstheme="minorHAnsi"/>
        </w:rPr>
        <w:t>i.e.,</w:t>
      </w:r>
      <w:r w:rsidR="00AB2010" w:rsidRPr="00CB436B">
        <w:rPr>
          <w:rFonts w:asciiTheme="minorHAnsi" w:hAnsiTheme="minorHAnsi" w:cstheme="minorHAnsi"/>
        </w:rPr>
        <w:t xml:space="preserve"> the education of </w:t>
      </w:r>
      <w:r w:rsidR="007324B3" w:rsidRPr="00CB436B">
        <w:rPr>
          <w:rFonts w:asciiTheme="minorHAnsi" w:hAnsiTheme="minorHAnsi" w:cstheme="minorHAnsi"/>
        </w:rPr>
        <w:t>A</w:t>
      </w:r>
      <w:r w:rsidR="00AB2010" w:rsidRPr="00CB436B">
        <w:rPr>
          <w:rFonts w:asciiTheme="minorHAnsi" w:hAnsiTheme="minorHAnsi" w:cstheme="minorHAnsi"/>
        </w:rPr>
        <w:t xml:space="preserve">ppropriate </w:t>
      </w:r>
      <w:r w:rsidR="007324B3" w:rsidRPr="00CB436B">
        <w:rPr>
          <w:rFonts w:asciiTheme="minorHAnsi" w:hAnsiTheme="minorHAnsi" w:cstheme="minorHAnsi"/>
        </w:rPr>
        <w:t>A</w:t>
      </w:r>
      <w:r w:rsidR="00AB2010" w:rsidRPr="00CB436B">
        <w:rPr>
          <w:rFonts w:asciiTheme="minorHAnsi" w:hAnsiTheme="minorHAnsi" w:cstheme="minorHAnsi"/>
        </w:rPr>
        <w:t xml:space="preserve">dult practitioners, meaningful involvement must take place in </w:t>
      </w:r>
      <w:r w:rsidR="007324B3" w:rsidRPr="00CB436B">
        <w:rPr>
          <w:rFonts w:asciiTheme="minorHAnsi" w:hAnsiTheme="minorHAnsi" w:cstheme="minorHAnsi"/>
        </w:rPr>
        <w:t>training</w:t>
      </w:r>
      <w:r w:rsidR="00CB436B">
        <w:rPr>
          <w:rFonts w:asciiTheme="minorHAnsi" w:hAnsiTheme="minorHAnsi" w:cstheme="minorHAnsi"/>
        </w:rPr>
        <w:t>,</w:t>
      </w:r>
      <w:r w:rsidR="007324B3" w:rsidRPr="00CB436B">
        <w:rPr>
          <w:rFonts w:asciiTheme="minorHAnsi" w:hAnsiTheme="minorHAnsi" w:cstheme="minorHAnsi"/>
        </w:rPr>
        <w:t xml:space="preserve"> design and delivery.</w:t>
      </w:r>
    </w:p>
    <w:p w14:paraId="3CB22C0C" w14:textId="364B140C" w:rsidR="005E2F06" w:rsidRPr="00CB436B" w:rsidRDefault="005E2F06" w:rsidP="00AA51B8">
      <w:pPr>
        <w:spacing w:line="360" w:lineRule="auto"/>
        <w:contextualSpacing/>
        <w:mirrorIndents/>
        <w:jc w:val="both"/>
        <w:rPr>
          <w:rFonts w:asciiTheme="minorHAnsi" w:hAnsiTheme="minorHAnsi" w:cstheme="minorHAnsi"/>
        </w:rPr>
      </w:pPr>
    </w:p>
    <w:p w14:paraId="2F4FF410" w14:textId="0C566D8B" w:rsidR="0005291E" w:rsidRPr="00C46472" w:rsidRDefault="00123BFB" w:rsidP="00AA51B8">
      <w:pPr>
        <w:spacing w:line="360" w:lineRule="auto"/>
        <w:contextualSpacing/>
        <w:mirrorIndents/>
        <w:jc w:val="both"/>
        <w:rPr>
          <w:rFonts w:asciiTheme="minorHAnsi" w:hAnsiTheme="minorHAnsi" w:cstheme="minorHAnsi"/>
        </w:rPr>
      </w:pPr>
      <w:r w:rsidRPr="00BA14B4">
        <w:rPr>
          <w:rFonts w:asciiTheme="minorHAnsi" w:hAnsiTheme="minorHAnsi" w:cstheme="minorHAnsi"/>
        </w:rPr>
        <w:t xml:space="preserve">Examining the data concerning service user involvement in the training of </w:t>
      </w:r>
      <w:r w:rsidR="007324B3" w:rsidRPr="00BA14B4">
        <w:rPr>
          <w:rFonts w:asciiTheme="minorHAnsi" w:hAnsiTheme="minorHAnsi" w:cstheme="minorHAnsi"/>
        </w:rPr>
        <w:t>A</w:t>
      </w:r>
      <w:r w:rsidRPr="00BA14B4">
        <w:rPr>
          <w:rFonts w:asciiTheme="minorHAnsi" w:hAnsiTheme="minorHAnsi" w:cstheme="minorHAnsi"/>
        </w:rPr>
        <w:t xml:space="preserve">ppropriate </w:t>
      </w:r>
      <w:r w:rsidR="007324B3" w:rsidRPr="00BA14B4">
        <w:rPr>
          <w:rFonts w:asciiTheme="minorHAnsi" w:hAnsiTheme="minorHAnsi" w:cstheme="minorHAnsi"/>
        </w:rPr>
        <w:t>A</w:t>
      </w:r>
      <w:r w:rsidRPr="00BA14B4">
        <w:rPr>
          <w:rFonts w:asciiTheme="minorHAnsi" w:hAnsiTheme="minorHAnsi" w:cstheme="minorHAnsi"/>
        </w:rPr>
        <w:t>dult</w:t>
      </w:r>
      <w:r w:rsidR="00C8285E" w:rsidRPr="00BA14B4">
        <w:rPr>
          <w:rFonts w:asciiTheme="minorHAnsi" w:hAnsiTheme="minorHAnsi" w:cstheme="minorHAnsi"/>
        </w:rPr>
        <w:t>s</w:t>
      </w:r>
      <w:r w:rsidR="00344E76" w:rsidRPr="00BA14B4">
        <w:rPr>
          <w:rFonts w:asciiTheme="minorHAnsi" w:hAnsiTheme="minorHAnsi" w:cstheme="minorHAnsi"/>
        </w:rPr>
        <w:t xml:space="preserve"> revealed that 73% of services did not include service users in</w:t>
      </w:r>
      <w:r w:rsidR="007E4F8B" w:rsidRPr="00BA14B4">
        <w:rPr>
          <w:rFonts w:asciiTheme="minorHAnsi" w:hAnsiTheme="minorHAnsi" w:cstheme="minorHAnsi"/>
        </w:rPr>
        <w:t xml:space="preserve"> the design of their training</w:t>
      </w:r>
      <w:r w:rsidR="00EB1BDD" w:rsidRPr="00BA14B4">
        <w:rPr>
          <w:rFonts w:asciiTheme="minorHAnsi" w:hAnsiTheme="minorHAnsi" w:cstheme="minorHAnsi"/>
        </w:rPr>
        <w:t xml:space="preserve"> (see table 3)</w:t>
      </w:r>
      <w:r w:rsidR="007E4F8B" w:rsidRPr="00BA14B4">
        <w:rPr>
          <w:rFonts w:asciiTheme="minorHAnsi" w:hAnsiTheme="minorHAnsi" w:cstheme="minorHAnsi"/>
        </w:rPr>
        <w:t xml:space="preserve">. </w:t>
      </w:r>
      <w:r w:rsidR="00EB1BDD" w:rsidRPr="00BA14B4">
        <w:rPr>
          <w:rFonts w:asciiTheme="minorHAnsi" w:hAnsiTheme="minorHAnsi" w:cstheme="minorHAnsi"/>
        </w:rPr>
        <w:t xml:space="preserve"> We can see similar trends when exploring </w:t>
      </w:r>
      <w:r w:rsidR="007324B3" w:rsidRPr="00BA14B4">
        <w:rPr>
          <w:rFonts w:asciiTheme="minorHAnsi" w:hAnsiTheme="minorHAnsi" w:cstheme="minorHAnsi"/>
        </w:rPr>
        <w:t xml:space="preserve">whether </w:t>
      </w:r>
      <w:r w:rsidR="00EB1BDD" w:rsidRPr="00BA14B4">
        <w:rPr>
          <w:rFonts w:asciiTheme="minorHAnsi" w:hAnsiTheme="minorHAnsi" w:cstheme="minorHAnsi"/>
        </w:rPr>
        <w:t>service users were</w:t>
      </w:r>
      <w:r w:rsidR="008F4386" w:rsidRPr="00BA14B4">
        <w:rPr>
          <w:rFonts w:asciiTheme="minorHAnsi" w:hAnsiTheme="minorHAnsi" w:cstheme="minorHAnsi"/>
        </w:rPr>
        <w:t xml:space="preserve"> involved in the </w:t>
      </w:r>
      <w:r w:rsidR="00DB1573" w:rsidRPr="00BA14B4">
        <w:rPr>
          <w:rFonts w:asciiTheme="minorHAnsi" w:hAnsiTheme="minorHAnsi" w:cstheme="minorHAnsi"/>
        </w:rPr>
        <w:t xml:space="preserve">delivery of </w:t>
      </w:r>
      <w:r w:rsidR="008F4386" w:rsidRPr="00BA14B4">
        <w:rPr>
          <w:rFonts w:asciiTheme="minorHAnsi" w:hAnsiTheme="minorHAnsi" w:cstheme="minorHAnsi"/>
        </w:rPr>
        <w:t xml:space="preserve">training </w:t>
      </w:r>
      <w:r w:rsidR="00DB1573" w:rsidRPr="00BA14B4">
        <w:rPr>
          <w:rFonts w:asciiTheme="minorHAnsi" w:hAnsiTheme="minorHAnsi" w:cstheme="minorHAnsi"/>
        </w:rPr>
        <w:t>to</w:t>
      </w:r>
      <w:r w:rsidR="008F4386" w:rsidRPr="00BA14B4">
        <w:rPr>
          <w:rFonts w:asciiTheme="minorHAnsi" w:hAnsiTheme="minorHAnsi" w:cstheme="minorHAnsi"/>
        </w:rPr>
        <w:t xml:space="preserve"> practitioners and volunteers. Again, 71% of services had no service user involvement</w:t>
      </w:r>
      <w:r w:rsidR="009A12B8" w:rsidRPr="00BA14B4">
        <w:rPr>
          <w:rFonts w:asciiTheme="minorHAnsi" w:hAnsiTheme="minorHAnsi" w:cstheme="minorHAnsi"/>
        </w:rPr>
        <w:t>;</w:t>
      </w:r>
      <w:r w:rsidR="008F3019" w:rsidRPr="00BA14B4">
        <w:rPr>
          <w:rFonts w:asciiTheme="minorHAnsi" w:hAnsiTheme="minorHAnsi" w:cstheme="minorHAnsi"/>
        </w:rPr>
        <w:t xml:space="preserve"> training was </w:t>
      </w:r>
      <w:r w:rsidR="009A12B8" w:rsidRPr="00BA14B4">
        <w:rPr>
          <w:rFonts w:asciiTheme="minorHAnsi" w:hAnsiTheme="minorHAnsi" w:cstheme="minorHAnsi"/>
        </w:rPr>
        <w:t xml:space="preserve">usually </w:t>
      </w:r>
      <w:r w:rsidR="008F3019" w:rsidRPr="00BA14B4">
        <w:rPr>
          <w:rFonts w:asciiTheme="minorHAnsi" w:hAnsiTheme="minorHAnsi" w:cstheme="minorHAnsi"/>
        </w:rPr>
        <w:t xml:space="preserve">conducted by </w:t>
      </w:r>
      <w:r w:rsidR="007324B3" w:rsidRPr="00BA14B4">
        <w:rPr>
          <w:rFonts w:asciiTheme="minorHAnsi" w:hAnsiTheme="minorHAnsi" w:cstheme="minorHAnsi"/>
        </w:rPr>
        <w:t>NAAN</w:t>
      </w:r>
      <w:r w:rsidR="009A12B8" w:rsidRPr="00BA14B4">
        <w:rPr>
          <w:rFonts w:asciiTheme="minorHAnsi" w:hAnsiTheme="minorHAnsi" w:cstheme="minorHAnsi"/>
        </w:rPr>
        <w:t>’s</w:t>
      </w:r>
      <w:r w:rsidR="007324B3" w:rsidRPr="00BA14B4">
        <w:rPr>
          <w:rFonts w:asciiTheme="minorHAnsi" w:hAnsiTheme="minorHAnsi" w:cstheme="minorHAnsi"/>
        </w:rPr>
        <w:t xml:space="preserve"> </w:t>
      </w:r>
      <w:r w:rsidR="009A12B8" w:rsidRPr="00BA14B4">
        <w:rPr>
          <w:rFonts w:asciiTheme="minorHAnsi" w:hAnsiTheme="minorHAnsi" w:cstheme="minorHAnsi"/>
          <w:color w:val="000000" w:themeColor="text1"/>
        </w:rPr>
        <w:t>Effective Practice Manager</w:t>
      </w:r>
      <w:r w:rsidR="007C5B47" w:rsidRPr="00BA14B4">
        <w:rPr>
          <w:rFonts w:asciiTheme="minorHAnsi" w:hAnsiTheme="minorHAnsi" w:cstheme="minorHAnsi"/>
          <w:color w:val="000000" w:themeColor="text1"/>
        </w:rPr>
        <w:t xml:space="preserve"> </w:t>
      </w:r>
      <w:r w:rsidR="007C5B47" w:rsidRPr="00BA14B4">
        <w:rPr>
          <w:rFonts w:asciiTheme="minorHAnsi" w:hAnsiTheme="minorHAnsi" w:cstheme="minorHAnsi"/>
        </w:rPr>
        <w:t>and</w:t>
      </w:r>
      <w:r w:rsidR="007324B3" w:rsidRPr="00BA14B4">
        <w:rPr>
          <w:rFonts w:asciiTheme="minorHAnsi" w:hAnsiTheme="minorHAnsi" w:cstheme="minorHAnsi"/>
        </w:rPr>
        <w:t>/or</w:t>
      </w:r>
      <w:r w:rsidR="007C5B47" w:rsidRPr="00BA14B4">
        <w:rPr>
          <w:rFonts w:asciiTheme="minorHAnsi" w:hAnsiTheme="minorHAnsi" w:cstheme="minorHAnsi"/>
        </w:rPr>
        <w:t xml:space="preserve"> a local </w:t>
      </w:r>
      <w:r w:rsidR="009A12B8" w:rsidRPr="00BA14B4">
        <w:rPr>
          <w:rFonts w:asciiTheme="minorHAnsi" w:hAnsiTheme="minorHAnsi" w:cstheme="minorHAnsi"/>
        </w:rPr>
        <w:t xml:space="preserve">scheme </w:t>
      </w:r>
      <w:r w:rsidR="007C5B47" w:rsidRPr="00BA14B4">
        <w:rPr>
          <w:rFonts w:asciiTheme="minorHAnsi" w:hAnsiTheme="minorHAnsi" w:cstheme="minorHAnsi"/>
        </w:rPr>
        <w:t xml:space="preserve">manager. </w:t>
      </w:r>
      <w:r w:rsidR="007C5B47" w:rsidRPr="00C46472">
        <w:rPr>
          <w:rFonts w:asciiTheme="minorHAnsi" w:hAnsiTheme="minorHAnsi" w:cstheme="minorHAnsi"/>
        </w:rPr>
        <w:t>For some services</w:t>
      </w:r>
      <w:r w:rsidR="00C8285E" w:rsidRPr="00C46472">
        <w:rPr>
          <w:rFonts w:asciiTheme="minorHAnsi" w:hAnsiTheme="minorHAnsi" w:cstheme="minorHAnsi"/>
        </w:rPr>
        <w:t>,</w:t>
      </w:r>
      <w:r w:rsidR="007C5B47" w:rsidRPr="00C46472">
        <w:rPr>
          <w:rFonts w:asciiTheme="minorHAnsi" w:hAnsiTheme="minorHAnsi" w:cstheme="minorHAnsi"/>
        </w:rPr>
        <w:t xml:space="preserve"> they included discussions </w:t>
      </w:r>
      <w:r w:rsidR="00526884" w:rsidRPr="00C46472">
        <w:rPr>
          <w:rFonts w:asciiTheme="minorHAnsi" w:hAnsiTheme="minorHAnsi" w:cstheme="minorHAnsi"/>
        </w:rPr>
        <w:t xml:space="preserve">with </w:t>
      </w:r>
      <w:r w:rsidR="007C5B47" w:rsidRPr="00C46472">
        <w:rPr>
          <w:rFonts w:asciiTheme="minorHAnsi" w:hAnsiTheme="minorHAnsi" w:cstheme="minorHAnsi"/>
        </w:rPr>
        <w:t>police officers, health practitioners</w:t>
      </w:r>
      <w:r w:rsidR="007609F9" w:rsidRPr="00C46472">
        <w:rPr>
          <w:rFonts w:asciiTheme="minorHAnsi" w:hAnsiTheme="minorHAnsi" w:cstheme="minorHAnsi"/>
        </w:rPr>
        <w:t>,</w:t>
      </w:r>
      <w:r w:rsidR="007C5B47" w:rsidRPr="00C46472">
        <w:rPr>
          <w:rFonts w:asciiTheme="minorHAnsi" w:hAnsiTheme="minorHAnsi" w:cstheme="minorHAnsi"/>
        </w:rPr>
        <w:t xml:space="preserve"> and</w:t>
      </w:r>
      <w:r w:rsidR="007B766E" w:rsidRPr="00C46472">
        <w:rPr>
          <w:rFonts w:asciiTheme="minorHAnsi" w:hAnsiTheme="minorHAnsi" w:cstheme="minorHAnsi"/>
        </w:rPr>
        <w:t xml:space="preserve"> existing </w:t>
      </w:r>
      <w:r w:rsidR="007324B3" w:rsidRPr="00C46472">
        <w:rPr>
          <w:rFonts w:asciiTheme="minorHAnsi" w:hAnsiTheme="minorHAnsi" w:cstheme="minorHAnsi"/>
        </w:rPr>
        <w:t>A</w:t>
      </w:r>
      <w:r w:rsidR="007B766E" w:rsidRPr="00C46472">
        <w:rPr>
          <w:rFonts w:asciiTheme="minorHAnsi" w:hAnsiTheme="minorHAnsi" w:cstheme="minorHAnsi"/>
        </w:rPr>
        <w:t xml:space="preserve">ppropriate </w:t>
      </w:r>
      <w:r w:rsidR="007324B3" w:rsidRPr="00C46472">
        <w:rPr>
          <w:rFonts w:asciiTheme="minorHAnsi" w:hAnsiTheme="minorHAnsi" w:cstheme="minorHAnsi"/>
        </w:rPr>
        <w:t>A</w:t>
      </w:r>
      <w:r w:rsidR="007B766E" w:rsidRPr="00C46472">
        <w:rPr>
          <w:rFonts w:asciiTheme="minorHAnsi" w:hAnsiTheme="minorHAnsi" w:cstheme="minorHAnsi"/>
        </w:rPr>
        <w:t>dult volunteers/practitioner</w:t>
      </w:r>
      <w:r w:rsidR="00DB1573" w:rsidRPr="00C46472">
        <w:rPr>
          <w:rFonts w:asciiTheme="minorHAnsi" w:hAnsiTheme="minorHAnsi" w:cstheme="minorHAnsi"/>
        </w:rPr>
        <w:t xml:space="preserve">s, </w:t>
      </w:r>
      <w:r w:rsidR="001D1FFE" w:rsidRPr="00C46472">
        <w:rPr>
          <w:rFonts w:asciiTheme="minorHAnsi" w:hAnsiTheme="minorHAnsi" w:cstheme="minorHAnsi"/>
        </w:rPr>
        <w:t>yet</w:t>
      </w:r>
      <w:r w:rsidR="00B355D3" w:rsidRPr="00C46472">
        <w:rPr>
          <w:rFonts w:asciiTheme="minorHAnsi" w:hAnsiTheme="minorHAnsi" w:cstheme="minorHAnsi"/>
        </w:rPr>
        <w:t xml:space="preserve"> very few included</w:t>
      </w:r>
      <w:r w:rsidR="00027AFA" w:rsidRPr="00C46472">
        <w:rPr>
          <w:rFonts w:asciiTheme="minorHAnsi" w:hAnsiTheme="minorHAnsi" w:cstheme="minorHAnsi"/>
        </w:rPr>
        <w:t xml:space="preserve"> </w:t>
      </w:r>
      <w:r w:rsidR="00BC7977" w:rsidRPr="00C46472">
        <w:rPr>
          <w:rFonts w:asciiTheme="minorHAnsi" w:hAnsiTheme="minorHAnsi" w:cstheme="minorHAnsi"/>
        </w:rPr>
        <w:t>ex-</w:t>
      </w:r>
      <w:r w:rsidR="00027AFA" w:rsidRPr="00C46472">
        <w:rPr>
          <w:rFonts w:asciiTheme="minorHAnsi" w:hAnsiTheme="minorHAnsi" w:cstheme="minorHAnsi"/>
        </w:rPr>
        <w:t>detainee experiences that were delivered by the service users.</w:t>
      </w:r>
      <w:r w:rsidR="007A2E28" w:rsidRPr="00C46472">
        <w:rPr>
          <w:rFonts w:asciiTheme="minorHAnsi" w:hAnsiTheme="minorHAnsi" w:cstheme="minorHAnsi"/>
        </w:rPr>
        <w:t xml:space="preserve"> </w:t>
      </w:r>
      <w:r w:rsidR="00DB1573" w:rsidRPr="00C46472">
        <w:rPr>
          <w:rFonts w:asciiTheme="minorHAnsi" w:hAnsiTheme="minorHAnsi" w:cstheme="minorHAnsi"/>
        </w:rPr>
        <w:t xml:space="preserve"> S</w:t>
      </w:r>
      <w:r w:rsidR="007A2E28" w:rsidRPr="00C46472">
        <w:rPr>
          <w:rFonts w:asciiTheme="minorHAnsi" w:hAnsiTheme="minorHAnsi" w:cstheme="minorHAnsi"/>
        </w:rPr>
        <w:t xml:space="preserve">ervice user involvement </w:t>
      </w:r>
      <w:r w:rsidR="00DB1573" w:rsidRPr="00C46472">
        <w:rPr>
          <w:rFonts w:asciiTheme="minorHAnsi" w:hAnsiTheme="minorHAnsi" w:cstheme="minorHAnsi"/>
        </w:rPr>
        <w:t xml:space="preserve">decreased </w:t>
      </w:r>
      <w:r w:rsidR="00515041" w:rsidRPr="00C46472">
        <w:rPr>
          <w:rFonts w:asciiTheme="minorHAnsi" w:hAnsiTheme="minorHAnsi" w:cstheme="minorHAnsi"/>
        </w:rPr>
        <w:t>even further</w:t>
      </w:r>
      <w:r w:rsidR="00FB3ECA" w:rsidRPr="00C46472">
        <w:rPr>
          <w:rFonts w:asciiTheme="minorHAnsi" w:hAnsiTheme="minorHAnsi" w:cstheme="minorHAnsi"/>
        </w:rPr>
        <w:t xml:space="preserve"> when exploring</w:t>
      </w:r>
      <w:r w:rsidR="00D85835" w:rsidRPr="00C46472">
        <w:rPr>
          <w:rFonts w:asciiTheme="minorHAnsi" w:hAnsiTheme="minorHAnsi" w:cstheme="minorHAnsi"/>
        </w:rPr>
        <w:t xml:space="preserve"> Continuing Professional Development</w:t>
      </w:r>
      <w:r w:rsidR="007A2E28" w:rsidRPr="00C46472">
        <w:rPr>
          <w:rFonts w:asciiTheme="minorHAnsi" w:hAnsiTheme="minorHAnsi" w:cstheme="minorHAnsi"/>
        </w:rPr>
        <w:t>. As we can see from table 3, 79% of services reported that service users were not involved in the development o</w:t>
      </w:r>
      <w:r w:rsidR="00DB1573" w:rsidRPr="00C46472">
        <w:rPr>
          <w:rFonts w:asciiTheme="minorHAnsi" w:hAnsiTheme="minorHAnsi" w:cstheme="minorHAnsi"/>
        </w:rPr>
        <w:t>r</w:t>
      </w:r>
      <w:r w:rsidR="00AF5076" w:rsidRPr="00C46472">
        <w:rPr>
          <w:rFonts w:asciiTheme="minorHAnsi" w:hAnsiTheme="minorHAnsi" w:cstheme="minorHAnsi"/>
        </w:rPr>
        <w:t xml:space="preserve"> delivery of </w:t>
      </w:r>
      <w:r w:rsidR="00DB1573" w:rsidRPr="00C46472">
        <w:rPr>
          <w:rFonts w:asciiTheme="minorHAnsi" w:hAnsiTheme="minorHAnsi" w:cstheme="minorHAnsi"/>
        </w:rPr>
        <w:t>CPD for active Appropriate Adult practitioners.</w:t>
      </w:r>
    </w:p>
    <w:p w14:paraId="6B2278C7" w14:textId="008E5FE0" w:rsidR="0005291E" w:rsidRPr="00C46472" w:rsidRDefault="0005291E" w:rsidP="00AA51B8">
      <w:pPr>
        <w:spacing w:line="360" w:lineRule="auto"/>
        <w:contextualSpacing/>
        <w:mirrorIndents/>
        <w:jc w:val="both"/>
        <w:rPr>
          <w:rFonts w:asciiTheme="minorHAnsi" w:hAnsiTheme="minorHAnsi" w:cstheme="minorHAns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2270"/>
        <w:gridCol w:w="1958"/>
        <w:gridCol w:w="1427"/>
      </w:tblGrid>
      <w:tr w:rsidR="001C4595" w:rsidRPr="004607A7" w14:paraId="2473F831" w14:textId="77777777" w:rsidTr="00835FD0">
        <w:tc>
          <w:tcPr>
            <w:tcW w:w="9026" w:type="dxa"/>
            <w:gridSpan w:val="4"/>
            <w:tcBorders>
              <w:bottom w:val="single" w:sz="4" w:space="0" w:color="auto"/>
            </w:tcBorders>
          </w:tcPr>
          <w:p w14:paraId="43C98158" w14:textId="77777777" w:rsidR="001C4595" w:rsidRPr="00C46472" w:rsidRDefault="001C4595" w:rsidP="00835FD0">
            <w:pPr>
              <w:spacing w:line="480" w:lineRule="auto"/>
              <w:contextualSpacing/>
              <w:rPr>
                <w:rFonts w:cstheme="minorHAnsi"/>
              </w:rPr>
            </w:pPr>
            <w:r w:rsidRPr="00C46472">
              <w:rPr>
                <w:rFonts w:cstheme="minorHAnsi"/>
                <w:i/>
              </w:rPr>
              <w:t xml:space="preserve">Table 3 </w:t>
            </w:r>
            <w:r w:rsidRPr="00C46472">
              <w:rPr>
                <w:rFonts w:cstheme="minorHAnsi"/>
              </w:rPr>
              <w:t>Service User Involvement in Training</w:t>
            </w:r>
          </w:p>
        </w:tc>
      </w:tr>
      <w:tr w:rsidR="001C4595" w:rsidRPr="004607A7" w14:paraId="468748EF" w14:textId="77777777" w:rsidTr="00835FD0">
        <w:tc>
          <w:tcPr>
            <w:tcW w:w="2870" w:type="dxa"/>
            <w:tcBorders>
              <w:top w:val="single" w:sz="4" w:space="0" w:color="auto"/>
              <w:bottom w:val="single" w:sz="4" w:space="0" w:color="auto"/>
            </w:tcBorders>
          </w:tcPr>
          <w:p w14:paraId="100546DF" w14:textId="77777777" w:rsidR="001C4595" w:rsidRPr="004607A7" w:rsidRDefault="001C4595" w:rsidP="00835FD0">
            <w:pPr>
              <w:spacing w:line="480" w:lineRule="auto"/>
              <w:contextualSpacing/>
              <w:rPr>
                <w:rFonts w:cstheme="minorHAnsi"/>
              </w:rPr>
            </w:pPr>
            <w:r w:rsidRPr="004607A7">
              <w:rPr>
                <w:rFonts w:cstheme="minorHAnsi"/>
              </w:rPr>
              <w:t>Variable Categories</w:t>
            </w:r>
          </w:p>
        </w:tc>
        <w:tc>
          <w:tcPr>
            <w:tcW w:w="2493" w:type="dxa"/>
            <w:tcBorders>
              <w:top w:val="single" w:sz="4" w:space="0" w:color="auto"/>
              <w:bottom w:val="single" w:sz="4" w:space="0" w:color="auto"/>
            </w:tcBorders>
          </w:tcPr>
          <w:p w14:paraId="357C8F09" w14:textId="77777777" w:rsidR="001C4595" w:rsidRPr="004607A7" w:rsidRDefault="001C4595" w:rsidP="00835FD0">
            <w:pPr>
              <w:spacing w:line="480" w:lineRule="auto"/>
              <w:contextualSpacing/>
              <w:rPr>
                <w:rFonts w:cstheme="minorHAnsi"/>
              </w:rPr>
            </w:pPr>
            <w:r w:rsidRPr="004607A7">
              <w:rPr>
                <w:rFonts w:cstheme="minorHAnsi"/>
              </w:rPr>
              <w:t>Variable Values</w:t>
            </w:r>
          </w:p>
        </w:tc>
        <w:tc>
          <w:tcPr>
            <w:tcW w:w="2088" w:type="dxa"/>
            <w:tcBorders>
              <w:top w:val="single" w:sz="4" w:space="0" w:color="auto"/>
              <w:bottom w:val="single" w:sz="4" w:space="0" w:color="auto"/>
            </w:tcBorders>
          </w:tcPr>
          <w:p w14:paraId="068824B0" w14:textId="77777777" w:rsidR="001C4595" w:rsidRPr="004607A7" w:rsidRDefault="001C4595" w:rsidP="00835FD0">
            <w:pPr>
              <w:spacing w:line="480" w:lineRule="auto"/>
              <w:contextualSpacing/>
              <w:jc w:val="right"/>
              <w:rPr>
                <w:rFonts w:cstheme="minorHAnsi"/>
              </w:rPr>
            </w:pPr>
            <w:r w:rsidRPr="004607A7">
              <w:rPr>
                <w:rFonts w:cstheme="minorHAnsi"/>
              </w:rPr>
              <w:t>Percentage</w:t>
            </w:r>
          </w:p>
        </w:tc>
        <w:tc>
          <w:tcPr>
            <w:tcW w:w="1575" w:type="dxa"/>
            <w:tcBorders>
              <w:top w:val="single" w:sz="4" w:space="0" w:color="auto"/>
              <w:bottom w:val="single" w:sz="4" w:space="0" w:color="auto"/>
            </w:tcBorders>
          </w:tcPr>
          <w:p w14:paraId="2FF4344D" w14:textId="77777777" w:rsidR="001C4595" w:rsidRPr="004607A7" w:rsidRDefault="001C4595" w:rsidP="00835FD0">
            <w:pPr>
              <w:spacing w:line="480" w:lineRule="auto"/>
              <w:contextualSpacing/>
              <w:jc w:val="right"/>
              <w:rPr>
                <w:rFonts w:cstheme="minorHAnsi"/>
              </w:rPr>
            </w:pPr>
            <w:r w:rsidRPr="004607A7">
              <w:rPr>
                <w:rFonts w:cstheme="minorHAnsi"/>
              </w:rPr>
              <w:t>n</w:t>
            </w:r>
          </w:p>
        </w:tc>
      </w:tr>
      <w:tr w:rsidR="001C4595" w:rsidRPr="004607A7" w14:paraId="5EB41C2A" w14:textId="77777777" w:rsidTr="00835FD0">
        <w:tc>
          <w:tcPr>
            <w:tcW w:w="2870" w:type="dxa"/>
            <w:tcBorders>
              <w:top w:val="single" w:sz="4" w:space="0" w:color="auto"/>
            </w:tcBorders>
          </w:tcPr>
          <w:p w14:paraId="4F05E64B" w14:textId="77777777" w:rsidR="001C4595" w:rsidRPr="004607A7" w:rsidRDefault="001C4595" w:rsidP="00835FD0">
            <w:pPr>
              <w:autoSpaceDE w:val="0"/>
              <w:autoSpaceDN w:val="0"/>
              <w:adjustRightInd w:val="0"/>
              <w:spacing w:line="480" w:lineRule="auto"/>
              <w:contextualSpacing/>
              <w:rPr>
                <w:rFonts w:cstheme="minorHAnsi"/>
              </w:rPr>
            </w:pPr>
          </w:p>
        </w:tc>
        <w:tc>
          <w:tcPr>
            <w:tcW w:w="2493" w:type="dxa"/>
            <w:tcBorders>
              <w:top w:val="single" w:sz="4" w:space="0" w:color="auto"/>
            </w:tcBorders>
          </w:tcPr>
          <w:p w14:paraId="3060B38C" w14:textId="77777777" w:rsidR="001C4595" w:rsidRPr="004607A7" w:rsidRDefault="001C4595" w:rsidP="00835FD0">
            <w:pPr>
              <w:autoSpaceDE w:val="0"/>
              <w:autoSpaceDN w:val="0"/>
              <w:adjustRightInd w:val="0"/>
              <w:spacing w:line="480" w:lineRule="auto"/>
              <w:contextualSpacing/>
              <w:rPr>
                <w:rFonts w:cstheme="minorHAnsi"/>
              </w:rPr>
            </w:pPr>
          </w:p>
        </w:tc>
        <w:tc>
          <w:tcPr>
            <w:tcW w:w="2088" w:type="dxa"/>
            <w:tcBorders>
              <w:top w:val="single" w:sz="4" w:space="0" w:color="auto"/>
            </w:tcBorders>
          </w:tcPr>
          <w:p w14:paraId="08D4D5B5" w14:textId="77777777" w:rsidR="001C4595" w:rsidRPr="004607A7" w:rsidRDefault="001C4595" w:rsidP="00835FD0">
            <w:pPr>
              <w:autoSpaceDE w:val="0"/>
              <w:autoSpaceDN w:val="0"/>
              <w:adjustRightInd w:val="0"/>
              <w:spacing w:line="480" w:lineRule="auto"/>
              <w:contextualSpacing/>
              <w:rPr>
                <w:rFonts w:cstheme="minorHAnsi"/>
              </w:rPr>
            </w:pPr>
          </w:p>
        </w:tc>
        <w:tc>
          <w:tcPr>
            <w:tcW w:w="1575" w:type="dxa"/>
            <w:tcBorders>
              <w:top w:val="single" w:sz="4" w:space="0" w:color="auto"/>
            </w:tcBorders>
          </w:tcPr>
          <w:p w14:paraId="68173E0B" w14:textId="77777777" w:rsidR="001C4595" w:rsidRPr="004607A7" w:rsidRDefault="001C4595" w:rsidP="00835FD0">
            <w:pPr>
              <w:autoSpaceDE w:val="0"/>
              <w:autoSpaceDN w:val="0"/>
              <w:adjustRightInd w:val="0"/>
              <w:spacing w:line="480" w:lineRule="auto"/>
              <w:contextualSpacing/>
              <w:rPr>
                <w:rFonts w:cstheme="minorHAnsi"/>
              </w:rPr>
            </w:pPr>
          </w:p>
        </w:tc>
      </w:tr>
      <w:tr w:rsidR="001C4595" w:rsidRPr="004607A7" w14:paraId="52CC749D" w14:textId="77777777" w:rsidTr="00835FD0">
        <w:tc>
          <w:tcPr>
            <w:tcW w:w="2870" w:type="dxa"/>
          </w:tcPr>
          <w:p w14:paraId="3EA94DE0" w14:textId="77777777" w:rsidR="001C4595" w:rsidRPr="004607A7" w:rsidRDefault="001C4595" w:rsidP="00835FD0">
            <w:pPr>
              <w:autoSpaceDE w:val="0"/>
              <w:autoSpaceDN w:val="0"/>
              <w:adjustRightInd w:val="0"/>
              <w:spacing w:line="480" w:lineRule="auto"/>
              <w:contextualSpacing/>
              <w:rPr>
                <w:rFonts w:cstheme="minorHAnsi"/>
              </w:rPr>
            </w:pPr>
            <w:r w:rsidRPr="004607A7">
              <w:rPr>
                <w:rFonts w:cstheme="minorHAnsi"/>
              </w:rPr>
              <w:t>Training Design</w:t>
            </w:r>
          </w:p>
        </w:tc>
        <w:tc>
          <w:tcPr>
            <w:tcW w:w="2493" w:type="dxa"/>
          </w:tcPr>
          <w:p w14:paraId="001D6352" w14:textId="77777777" w:rsidR="001C4595" w:rsidRPr="004607A7" w:rsidRDefault="001C4595" w:rsidP="00835FD0">
            <w:pPr>
              <w:spacing w:line="480" w:lineRule="auto"/>
              <w:contextualSpacing/>
              <w:rPr>
                <w:rFonts w:cstheme="minorHAnsi"/>
              </w:rPr>
            </w:pPr>
            <w:r w:rsidRPr="004607A7">
              <w:rPr>
                <w:rFonts w:cstheme="minorHAnsi"/>
              </w:rPr>
              <w:t>Not at all</w:t>
            </w:r>
          </w:p>
        </w:tc>
        <w:tc>
          <w:tcPr>
            <w:tcW w:w="2088" w:type="dxa"/>
          </w:tcPr>
          <w:p w14:paraId="0277E535" w14:textId="77777777" w:rsidR="001C4595" w:rsidRPr="004607A7" w:rsidRDefault="001C4595" w:rsidP="00835FD0">
            <w:pPr>
              <w:spacing w:line="480" w:lineRule="auto"/>
              <w:contextualSpacing/>
              <w:jc w:val="right"/>
              <w:rPr>
                <w:rFonts w:cstheme="minorHAnsi"/>
              </w:rPr>
            </w:pPr>
            <w:r w:rsidRPr="004607A7">
              <w:rPr>
                <w:rFonts w:cstheme="minorHAnsi"/>
              </w:rPr>
              <w:t>73.2</w:t>
            </w:r>
          </w:p>
        </w:tc>
        <w:tc>
          <w:tcPr>
            <w:tcW w:w="1575" w:type="dxa"/>
          </w:tcPr>
          <w:p w14:paraId="4CA0E05F" w14:textId="77777777" w:rsidR="001C4595" w:rsidRPr="004607A7" w:rsidRDefault="001C4595" w:rsidP="00835FD0">
            <w:pPr>
              <w:spacing w:line="480" w:lineRule="auto"/>
              <w:contextualSpacing/>
              <w:jc w:val="right"/>
              <w:rPr>
                <w:rFonts w:cstheme="minorHAnsi"/>
              </w:rPr>
            </w:pPr>
            <w:r w:rsidRPr="004607A7">
              <w:rPr>
                <w:rFonts w:cstheme="minorHAnsi"/>
              </w:rPr>
              <w:t>30</w:t>
            </w:r>
          </w:p>
        </w:tc>
      </w:tr>
      <w:tr w:rsidR="001C4595" w:rsidRPr="004607A7" w14:paraId="37203C25" w14:textId="77777777" w:rsidTr="00835FD0">
        <w:tc>
          <w:tcPr>
            <w:tcW w:w="2870" w:type="dxa"/>
          </w:tcPr>
          <w:p w14:paraId="08A29C55" w14:textId="77777777" w:rsidR="001C4595" w:rsidRPr="004607A7" w:rsidRDefault="001C4595" w:rsidP="00835FD0">
            <w:pPr>
              <w:autoSpaceDE w:val="0"/>
              <w:autoSpaceDN w:val="0"/>
              <w:adjustRightInd w:val="0"/>
              <w:spacing w:line="480" w:lineRule="auto"/>
              <w:contextualSpacing/>
              <w:rPr>
                <w:rFonts w:cstheme="minorHAnsi"/>
              </w:rPr>
            </w:pPr>
          </w:p>
        </w:tc>
        <w:tc>
          <w:tcPr>
            <w:tcW w:w="2493" w:type="dxa"/>
          </w:tcPr>
          <w:p w14:paraId="61540E91" w14:textId="77777777" w:rsidR="001C4595" w:rsidRPr="004607A7" w:rsidRDefault="001C4595" w:rsidP="00835FD0">
            <w:pPr>
              <w:spacing w:line="480" w:lineRule="auto"/>
              <w:contextualSpacing/>
              <w:rPr>
                <w:rFonts w:cstheme="minorHAnsi"/>
              </w:rPr>
            </w:pPr>
            <w:r w:rsidRPr="004607A7">
              <w:rPr>
                <w:rFonts w:cstheme="minorHAnsi"/>
              </w:rPr>
              <w:t>They are consulted</w:t>
            </w:r>
          </w:p>
        </w:tc>
        <w:tc>
          <w:tcPr>
            <w:tcW w:w="2088" w:type="dxa"/>
          </w:tcPr>
          <w:p w14:paraId="70BFB886" w14:textId="77777777" w:rsidR="001C4595" w:rsidRPr="004607A7" w:rsidRDefault="001C4595" w:rsidP="00835FD0">
            <w:pPr>
              <w:spacing w:line="480" w:lineRule="auto"/>
              <w:contextualSpacing/>
              <w:jc w:val="right"/>
              <w:rPr>
                <w:rFonts w:cstheme="minorHAnsi"/>
              </w:rPr>
            </w:pPr>
            <w:r w:rsidRPr="004607A7">
              <w:rPr>
                <w:rFonts w:cstheme="minorHAnsi"/>
              </w:rPr>
              <w:t>19.5</w:t>
            </w:r>
          </w:p>
        </w:tc>
        <w:tc>
          <w:tcPr>
            <w:tcW w:w="1575" w:type="dxa"/>
          </w:tcPr>
          <w:p w14:paraId="0616E372" w14:textId="77777777" w:rsidR="001C4595" w:rsidRPr="004607A7" w:rsidRDefault="001C4595" w:rsidP="00835FD0">
            <w:pPr>
              <w:spacing w:line="480" w:lineRule="auto"/>
              <w:contextualSpacing/>
              <w:jc w:val="right"/>
              <w:rPr>
                <w:rFonts w:cstheme="minorHAnsi"/>
              </w:rPr>
            </w:pPr>
            <w:r w:rsidRPr="004607A7">
              <w:rPr>
                <w:rFonts w:cstheme="minorHAnsi"/>
              </w:rPr>
              <w:t>8</w:t>
            </w:r>
          </w:p>
        </w:tc>
      </w:tr>
      <w:tr w:rsidR="001C4595" w:rsidRPr="004607A7" w14:paraId="422190C4" w14:textId="77777777" w:rsidTr="00835FD0">
        <w:tc>
          <w:tcPr>
            <w:tcW w:w="2870" w:type="dxa"/>
          </w:tcPr>
          <w:p w14:paraId="6AB025F7" w14:textId="77777777" w:rsidR="001C4595" w:rsidRPr="004607A7" w:rsidRDefault="001C4595" w:rsidP="00835FD0">
            <w:pPr>
              <w:autoSpaceDE w:val="0"/>
              <w:autoSpaceDN w:val="0"/>
              <w:adjustRightInd w:val="0"/>
              <w:spacing w:line="480" w:lineRule="auto"/>
              <w:contextualSpacing/>
              <w:rPr>
                <w:rFonts w:cstheme="minorHAnsi"/>
              </w:rPr>
            </w:pPr>
          </w:p>
        </w:tc>
        <w:tc>
          <w:tcPr>
            <w:tcW w:w="2493" w:type="dxa"/>
          </w:tcPr>
          <w:p w14:paraId="02AD5C5C" w14:textId="77777777" w:rsidR="001C4595" w:rsidRPr="004607A7" w:rsidRDefault="001C4595" w:rsidP="00835FD0">
            <w:pPr>
              <w:spacing w:line="480" w:lineRule="auto"/>
              <w:contextualSpacing/>
              <w:rPr>
                <w:rFonts w:cstheme="minorHAnsi"/>
              </w:rPr>
            </w:pPr>
            <w:r w:rsidRPr="004607A7">
              <w:rPr>
                <w:rFonts w:cstheme="minorHAnsi"/>
              </w:rPr>
              <w:t>They are actively involved</w:t>
            </w:r>
          </w:p>
        </w:tc>
        <w:tc>
          <w:tcPr>
            <w:tcW w:w="2088" w:type="dxa"/>
          </w:tcPr>
          <w:p w14:paraId="4FBCF0EA" w14:textId="77777777" w:rsidR="001C4595" w:rsidRPr="004607A7" w:rsidRDefault="001C4595" w:rsidP="00835FD0">
            <w:pPr>
              <w:spacing w:line="480" w:lineRule="auto"/>
              <w:contextualSpacing/>
              <w:jc w:val="right"/>
              <w:rPr>
                <w:rFonts w:cstheme="minorHAnsi"/>
              </w:rPr>
            </w:pPr>
            <w:r w:rsidRPr="004607A7">
              <w:rPr>
                <w:rFonts w:cstheme="minorHAnsi"/>
              </w:rPr>
              <w:t>4.9</w:t>
            </w:r>
          </w:p>
        </w:tc>
        <w:tc>
          <w:tcPr>
            <w:tcW w:w="1575" w:type="dxa"/>
          </w:tcPr>
          <w:p w14:paraId="1E732365" w14:textId="77777777" w:rsidR="001C4595" w:rsidRPr="004607A7" w:rsidRDefault="001C4595" w:rsidP="00835FD0">
            <w:pPr>
              <w:spacing w:line="480" w:lineRule="auto"/>
              <w:contextualSpacing/>
              <w:jc w:val="right"/>
              <w:rPr>
                <w:rFonts w:cstheme="minorHAnsi"/>
              </w:rPr>
            </w:pPr>
            <w:r w:rsidRPr="004607A7">
              <w:rPr>
                <w:rFonts w:cstheme="minorHAnsi"/>
              </w:rPr>
              <w:t>2</w:t>
            </w:r>
          </w:p>
        </w:tc>
      </w:tr>
      <w:tr w:rsidR="001C4595" w:rsidRPr="004607A7" w14:paraId="2B7DC553" w14:textId="77777777" w:rsidTr="00835FD0">
        <w:tc>
          <w:tcPr>
            <w:tcW w:w="2870" w:type="dxa"/>
          </w:tcPr>
          <w:p w14:paraId="1CBB7616" w14:textId="77777777" w:rsidR="001C4595" w:rsidRPr="004607A7" w:rsidRDefault="001C4595" w:rsidP="00835FD0">
            <w:pPr>
              <w:autoSpaceDE w:val="0"/>
              <w:autoSpaceDN w:val="0"/>
              <w:adjustRightInd w:val="0"/>
              <w:spacing w:line="480" w:lineRule="auto"/>
              <w:contextualSpacing/>
              <w:rPr>
                <w:rFonts w:cstheme="minorHAnsi"/>
              </w:rPr>
            </w:pPr>
          </w:p>
        </w:tc>
        <w:tc>
          <w:tcPr>
            <w:tcW w:w="2493" w:type="dxa"/>
          </w:tcPr>
          <w:p w14:paraId="5EADFD63" w14:textId="77777777" w:rsidR="001C4595" w:rsidRPr="004607A7" w:rsidRDefault="001C4595" w:rsidP="00835FD0">
            <w:pPr>
              <w:spacing w:line="480" w:lineRule="auto"/>
              <w:contextualSpacing/>
              <w:rPr>
                <w:rFonts w:cstheme="minorHAnsi"/>
              </w:rPr>
            </w:pPr>
            <w:r w:rsidRPr="004607A7">
              <w:rPr>
                <w:rFonts w:cstheme="minorHAnsi"/>
              </w:rPr>
              <w:t>They take a leading role</w:t>
            </w:r>
          </w:p>
        </w:tc>
        <w:tc>
          <w:tcPr>
            <w:tcW w:w="2088" w:type="dxa"/>
          </w:tcPr>
          <w:p w14:paraId="53DE9F2C" w14:textId="77777777" w:rsidR="001C4595" w:rsidRPr="004607A7" w:rsidRDefault="001C4595" w:rsidP="00835FD0">
            <w:pPr>
              <w:spacing w:line="480" w:lineRule="auto"/>
              <w:contextualSpacing/>
              <w:jc w:val="right"/>
              <w:rPr>
                <w:rFonts w:cstheme="minorHAnsi"/>
              </w:rPr>
            </w:pPr>
            <w:r w:rsidRPr="004607A7">
              <w:rPr>
                <w:rFonts w:cstheme="minorHAnsi"/>
              </w:rPr>
              <w:t>2.4</w:t>
            </w:r>
          </w:p>
        </w:tc>
        <w:tc>
          <w:tcPr>
            <w:tcW w:w="1575" w:type="dxa"/>
          </w:tcPr>
          <w:p w14:paraId="1E8D3D84" w14:textId="77777777" w:rsidR="001C4595" w:rsidRPr="004607A7" w:rsidRDefault="001C4595" w:rsidP="00835FD0">
            <w:pPr>
              <w:spacing w:line="480" w:lineRule="auto"/>
              <w:contextualSpacing/>
              <w:jc w:val="right"/>
              <w:rPr>
                <w:rFonts w:cstheme="minorHAnsi"/>
              </w:rPr>
            </w:pPr>
            <w:r w:rsidRPr="004607A7">
              <w:rPr>
                <w:rFonts w:cstheme="minorHAnsi"/>
              </w:rPr>
              <w:t>1</w:t>
            </w:r>
          </w:p>
        </w:tc>
      </w:tr>
      <w:tr w:rsidR="001C4595" w:rsidRPr="004607A7" w14:paraId="3D8EB2C5" w14:textId="77777777" w:rsidTr="00835FD0">
        <w:tc>
          <w:tcPr>
            <w:tcW w:w="2870" w:type="dxa"/>
          </w:tcPr>
          <w:p w14:paraId="1307C8DD" w14:textId="77777777" w:rsidR="001C4595" w:rsidRPr="004607A7" w:rsidRDefault="001C4595" w:rsidP="00835FD0">
            <w:pPr>
              <w:autoSpaceDE w:val="0"/>
              <w:autoSpaceDN w:val="0"/>
              <w:adjustRightInd w:val="0"/>
              <w:spacing w:line="480" w:lineRule="auto"/>
              <w:contextualSpacing/>
              <w:rPr>
                <w:rFonts w:cstheme="minorHAnsi"/>
              </w:rPr>
            </w:pPr>
          </w:p>
        </w:tc>
        <w:tc>
          <w:tcPr>
            <w:tcW w:w="2493" w:type="dxa"/>
          </w:tcPr>
          <w:p w14:paraId="2CB1733E" w14:textId="77777777" w:rsidR="001C4595" w:rsidRPr="004607A7" w:rsidRDefault="001C4595" w:rsidP="00835FD0">
            <w:pPr>
              <w:spacing w:line="480" w:lineRule="auto"/>
              <w:contextualSpacing/>
              <w:rPr>
                <w:rFonts w:cstheme="minorHAnsi"/>
              </w:rPr>
            </w:pPr>
            <w:r w:rsidRPr="004607A7">
              <w:rPr>
                <w:rFonts w:cstheme="minorHAnsi"/>
              </w:rPr>
              <w:t>Total</w:t>
            </w:r>
          </w:p>
        </w:tc>
        <w:tc>
          <w:tcPr>
            <w:tcW w:w="2088" w:type="dxa"/>
          </w:tcPr>
          <w:p w14:paraId="2E9EEAC4" w14:textId="77777777" w:rsidR="001C4595" w:rsidRPr="004607A7" w:rsidRDefault="001C4595" w:rsidP="00835FD0">
            <w:pPr>
              <w:spacing w:line="480" w:lineRule="auto"/>
              <w:contextualSpacing/>
              <w:jc w:val="right"/>
              <w:rPr>
                <w:rFonts w:cstheme="minorHAnsi"/>
              </w:rPr>
            </w:pPr>
            <w:r w:rsidRPr="004607A7">
              <w:rPr>
                <w:rFonts w:cstheme="minorHAnsi"/>
              </w:rPr>
              <w:t>100.0</w:t>
            </w:r>
          </w:p>
        </w:tc>
        <w:tc>
          <w:tcPr>
            <w:tcW w:w="1575" w:type="dxa"/>
          </w:tcPr>
          <w:p w14:paraId="21A1217E" w14:textId="456A86D2" w:rsidR="001C4595" w:rsidRPr="004607A7" w:rsidRDefault="001C4595" w:rsidP="00835FD0">
            <w:pPr>
              <w:spacing w:line="480" w:lineRule="auto"/>
              <w:contextualSpacing/>
              <w:jc w:val="right"/>
              <w:rPr>
                <w:rFonts w:cstheme="minorHAnsi"/>
              </w:rPr>
            </w:pPr>
            <w:r w:rsidRPr="004607A7">
              <w:rPr>
                <w:rFonts w:cstheme="minorHAnsi"/>
              </w:rPr>
              <w:t>41</w:t>
            </w:r>
            <w:r w:rsidR="00230988" w:rsidRPr="004607A7">
              <w:rPr>
                <w:rFonts w:cstheme="minorHAnsi"/>
              </w:rPr>
              <w:t>*</w:t>
            </w:r>
          </w:p>
        </w:tc>
      </w:tr>
      <w:tr w:rsidR="001C4595" w:rsidRPr="004607A7" w14:paraId="729DC7A6" w14:textId="77777777" w:rsidTr="00835FD0">
        <w:tc>
          <w:tcPr>
            <w:tcW w:w="2870" w:type="dxa"/>
          </w:tcPr>
          <w:p w14:paraId="266CFACC" w14:textId="77777777" w:rsidR="001C4595" w:rsidRPr="004607A7" w:rsidRDefault="001C4595" w:rsidP="00835FD0">
            <w:pPr>
              <w:autoSpaceDE w:val="0"/>
              <w:autoSpaceDN w:val="0"/>
              <w:adjustRightInd w:val="0"/>
              <w:spacing w:line="480" w:lineRule="auto"/>
              <w:contextualSpacing/>
              <w:rPr>
                <w:rFonts w:cstheme="minorHAnsi"/>
              </w:rPr>
            </w:pPr>
          </w:p>
        </w:tc>
        <w:tc>
          <w:tcPr>
            <w:tcW w:w="2493" w:type="dxa"/>
          </w:tcPr>
          <w:p w14:paraId="3DDE25AC" w14:textId="77777777" w:rsidR="001C4595" w:rsidRPr="004607A7" w:rsidRDefault="001C4595" w:rsidP="00835FD0">
            <w:pPr>
              <w:spacing w:line="480" w:lineRule="auto"/>
              <w:contextualSpacing/>
              <w:rPr>
                <w:rFonts w:cstheme="minorHAnsi"/>
              </w:rPr>
            </w:pPr>
          </w:p>
        </w:tc>
        <w:tc>
          <w:tcPr>
            <w:tcW w:w="2088" w:type="dxa"/>
          </w:tcPr>
          <w:p w14:paraId="0E580EDB" w14:textId="77777777" w:rsidR="001C4595" w:rsidRPr="004607A7" w:rsidRDefault="001C4595" w:rsidP="00835FD0">
            <w:pPr>
              <w:autoSpaceDE w:val="0"/>
              <w:autoSpaceDN w:val="0"/>
              <w:adjustRightInd w:val="0"/>
              <w:spacing w:line="480" w:lineRule="auto"/>
              <w:contextualSpacing/>
              <w:rPr>
                <w:rFonts w:cstheme="minorHAnsi"/>
              </w:rPr>
            </w:pPr>
          </w:p>
        </w:tc>
        <w:tc>
          <w:tcPr>
            <w:tcW w:w="1575" w:type="dxa"/>
          </w:tcPr>
          <w:p w14:paraId="633E9317" w14:textId="77777777" w:rsidR="001C4595" w:rsidRPr="004607A7" w:rsidRDefault="001C4595" w:rsidP="00835FD0">
            <w:pPr>
              <w:autoSpaceDE w:val="0"/>
              <w:autoSpaceDN w:val="0"/>
              <w:adjustRightInd w:val="0"/>
              <w:spacing w:line="480" w:lineRule="auto"/>
              <w:contextualSpacing/>
              <w:rPr>
                <w:rFonts w:cstheme="minorHAnsi"/>
              </w:rPr>
            </w:pPr>
          </w:p>
        </w:tc>
      </w:tr>
      <w:tr w:rsidR="001C4595" w:rsidRPr="004607A7" w14:paraId="7F493BF4" w14:textId="77777777" w:rsidTr="00835FD0">
        <w:tc>
          <w:tcPr>
            <w:tcW w:w="2870" w:type="dxa"/>
          </w:tcPr>
          <w:p w14:paraId="2A011388" w14:textId="77777777" w:rsidR="001C4595" w:rsidRPr="004607A7" w:rsidRDefault="001C4595" w:rsidP="00835FD0">
            <w:pPr>
              <w:autoSpaceDE w:val="0"/>
              <w:autoSpaceDN w:val="0"/>
              <w:adjustRightInd w:val="0"/>
              <w:spacing w:line="480" w:lineRule="auto"/>
              <w:contextualSpacing/>
              <w:rPr>
                <w:rFonts w:cstheme="minorHAnsi"/>
              </w:rPr>
            </w:pPr>
            <w:r w:rsidRPr="004607A7">
              <w:rPr>
                <w:rFonts w:cstheme="minorHAnsi"/>
              </w:rPr>
              <w:t>Training Delivery</w:t>
            </w:r>
          </w:p>
        </w:tc>
        <w:tc>
          <w:tcPr>
            <w:tcW w:w="2493" w:type="dxa"/>
          </w:tcPr>
          <w:p w14:paraId="0657155D" w14:textId="77777777" w:rsidR="001C4595" w:rsidRPr="004607A7" w:rsidRDefault="001C4595" w:rsidP="00835FD0">
            <w:pPr>
              <w:spacing w:line="480" w:lineRule="auto"/>
              <w:contextualSpacing/>
              <w:rPr>
                <w:rFonts w:cstheme="minorHAnsi"/>
              </w:rPr>
            </w:pPr>
            <w:r w:rsidRPr="004607A7">
              <w:rPr>
                <w:rFonts w:cstheme="minorHAnsi"/>
              </w:rPr>
              <w:t>Not at all</w:t>
            </w:r>
          </w:p>
        </w:tc>
        <w:tc>
          <w:tcPr>
            <w:tcW w:w="2088" w:type="dxa"/>
          </w:tcPr>
          <w:p w14:paraId="55DB32CD" w14:textId="77777777" w:rsidR="001C4595" w:rsidRPr="004607A7" w:rsidRDefault="001C4595" w:rsidP="00835FD0">
            <w:pPr>
              <w:spacing w:line="480" w:lineRule="auto"/>
              <w:contextualSpacing/>
              <w:jc w:val="right"/>
              <w:rPr>
                <w:rFonts w:cstheme="minorHAnsi"/>
              </w:rPr>
            </w:pPr>
            <w:r w:rsidRPr="004607A7">
              <w:rPr>
                <w:rFonts w:cstheme="minorHAnsi"/>
              </w:rPr>
              <w:t>71.4</w:t>
            </w:r>
          </w:p>
        </w:tc>
        <w:tc>
          <w:tcPr>
            <w:tcW w:w="1575" w:type="dxa"/>
          </w:tcPr>
          <w:p w14:paraId="5538CE25" w14:textId="77777777" w:rsidR="001C4595" w:rsidRPr="004607A7" w:rsidRDefault="001C4595" w:rsidP="00835FD0">
            <w:pPr>
              <w:spacing w:line="480" w:lineRule="auto"/>
              <w:contextualSpacing/>
              <w:jc w:val="right"/>
              <w:rPr>
                <w:rFonts w:cstheme="minorHAnsi"/>
              </w:rPr>
            </w:pPr>
            <w:r w:rsidRPr="004607A7">
              <w:rPr>
                <w:rFonts w:cstheme="minorHAnsi"/>
              </w:rPr>
              <w:t>30</w:t>
            </w:r>
          </w:p>
        </w:tc>
      </w:tr>
      <w:tr w:rsidR="001C4595" w:rsidRPr="004607A7" w14:paraId="1D856106" w14:textId="77777777" w:rsidTr="00835FD0">
        <w:tc>
          <w:tcPr>
            <w:tcW w:w="2870" w:type="dxa"/>
          </w:tcPr>
          <w:p w14:paraId="378DE9AA" w14:textId="77777777" w:rsidR="001C4595" w:rsidRPr="004607A7" w:rsidRDefault="001C4595" w:rsidP="00835FD0">
            <w:pPr>
              <w:autoSpaceDE w:val="0"/>
              <w:autoSpaceDN w:val="0"/>
              <w:adjustRightInd w:val="0"/>
              <w:spacing w:line="480" w:lineRule="auto"/>
              <w:contextualSpacing/>
              <w:rPr>
                <w:rFonts w:cstheme="minorHAnsi"/>
              </w:rPr>
            </w:pPr>
          </w:p>
        </w:tc>
        <w:tc>
          <w:tcPr>
            <w:tcW w:w="2493" w:type="dxa"/>
          </w:tcPr>
          <w:p w14:paraId="5A49F97F" w14:textId="77777777" w:rsidR="001C4595" w:rsidRPr="004607A7" w:rsidRDefault="001C4595" w:rsidP="00835FD0">
            <w:pPr>
              <w:spacing w:line="480" w:lineRule="auto"/>
              <w:contextualSpacing/>
              <w:rPr>
                <w:rFonts w:cstheme="minorHAnsi"/>
              </w:rPr>
            </w:pPr>
            <w:r w:rsidRPr="004607A7">
              <w:rPr>
                <w:rFonts w:cstheme="minorHAnsi"/>
              </w:rPr>
              <w:t>They are consulted</w:t>
            </w:r>
          </w:p>
        </w:tc>
        <w:tc>
          <w:tcPr>
            <w:tcW w:w="2088" w:type="dxa"/>
          </w:tcPr>
          <w:p w14:paraId="62F555B3" w14:textId="77777777" w:rsidR="001C4595" w:rsidRPr="004607A7" w:rsidRDefault="001C4595" w:rsidP="00835FD0">
            <w:pPr>
              <w:spacing w:line="480" w:lineRule="auto"/>
              <w:contextualSpacing/>
              <w:jc w:val="right"/>
              <w:rPr>
                <w:rFonts w:cstheme="minorHAnsi"/>
              </w:rPr>
            </w:pPr>
            <w:r w:rsidRPr="004607A7">
              <w:rPr>
                <w:rFonts w:cstheme="minorHAnsi"/>
              </w:rPr>
              <w:t>11.9</w:t>
            </w:r>
          </w:p>
        </w:tc>
        <w:tc>
          <w:tcPr>
            <w:tcW w:w="1575" w:type="dxa"/>
          </w:tcPr>
          <w:p w14:paraId="78E5A8B0" w14:textId="77777777" w:rsidR="001C4595" w:rsidRPr="004607A7" w:rsidRDefault="001C4595" w:rsidP="00835FD0">
            <w:pPr>
              <w:spacing w:line="480" w:lineRule="auto"/>
              <w:contextualSpacing/>
              <w:jc w:val="right"/>
              <w:rPr>
                <w:rFonts w:cstheme="minorHAnsi"/>
              </w:rPr>
            </w:pPr>
            <w:r w:rsidRPr="004607A7">
              <w:rPr>
                <w:rFonts w:cstheme="minorHAnsi"/>
              </w:rPr>
              <w:t>5</w:t>
            </w:r>
          </w:p>
        </w:tc>
      </w:tr>
      <w:tr w:rsidR="001C4595" w:rsidRPr="004607A7" w14:paraId="38DFDA2B" w14:textId="77777777" w:rsidTr="00835FD0">
        <w:tc>
          <w:tcPr>
            <w:tcW w:w="2870" w:type="dxa"/>
          </w:tcPr>
          <w:p w14:paraId="20E7EB0A" w14:textId="77777777" w:rsidR="001C4595" w:rsidRPr="004607A7" w:rsidRDefault="001C4595" w:rsidP="00835FD0">
            <w:pPr>
              <w:autoSpaceDE w:val="0"/>
              <w:autoSpaceDN w:val="0"/>
              <w:adjustRightInd w:val="0"/>
              <w:spacing w:line="480" w:lineRule="auto"/>
              <w:contextualSpacing/>
              <w:rPr>
                <w:rFonts w:cstheme="minorHAnsi"/>
              </w:rPr>
            </w:pPr>
          </w:p>
        </w:tc>
        <w:tc>
          <w:tcPr>
            <w:tcW w:w="2493" w:type="dxa"/>
          </w:tcPr>
          <w:p w14:paraId="7C309986" w14:textId="77777777" w:rsidR="001C4595" w:rsidRPr="004607A7" w:rsidRDefault="001C4595" w:rsidP="00835FD0">
            <w:pPr>
              <w:spacing w:line="480" w:lineRule="auto"/>
              <w:contextualSpacing/>
              <w:rPr>
                <w:rFonts w:cstheme="minorHAnsi"/>
              </w:rPr>
            </w:pPr>
            <w:r w:rsidRPr="004607A7">
              <w:rPr>
                <w:rFonts w:cstheme="minorHAnsi"/>
              </w:rPr>
              <w:t>They are actively involved</w:t>
            </w:r>
          </w:p>
        </w:tc>
        <w:tc>
          <w:tcPr>
            <w:tcW w:w="2088" w:type="dxa"/>
          </w:tcPr>
          <w:p w14:paraId="6F7EA10A" w14:textId="77777777" w:rsidR="001C4595" w:rsidRPr="004607A7" w:rsidRDefault="001C4595" w:rsidP="00835FD0">
            <w:pPr>
              <w:spacing w:line="480" w:lineRule="auto"/>
              <w:contextualSpacing/>
              <w:jc w:val="right"/>
              <w:rPr>
                <w:rFonts w:cstheme="minorHAnsi"/>
              </w:rPr>
            </w:pPr>
            <w:r w:rsidRPr="004607A7">
              <w:rPr>
                <w:rFonts w:cstheme="minorHAnsi"/>
              </w:rPr>
              <w:t>14.3</w:t>
            </w:r>
          </w:p>
        </w:tc>
        <w:tc>
          <w:tcPr>
            <w:tcW w:w="1575" w:type="dxa"/>
          </w:tcPr>
          <w:p w14:paraId="67F4E41B" w14:textId="77777777" w:rsidR="001C4595" w:rsidRPr="004607A7" w:rsidRDefault="001C4595" w:rsidP="00835FD0">
            <w:pPr>
              <w:spacing w:line="480" w:lineRule="auto"/>
              <w:contextualSpacing/>
              <w:jc w:val="right"/>
              <w:rPr>
                <w:rFonts w:cstheme="minorHAnsi"/>
              </w:rPr>
            </w:pPr>
            <w:r w:rsidRPr="004607A7">
              <w:rPr>
                <w:rFonts w:cstheme="minorHAnsi"/>
              </w:rPr>
              <w:t>6</w:t>
            </w:r>
          </w:p>
        </w:tc>
      </w:tr>
      <w:tr w:rsidR="001C4595" w:rsidRPr="004607A7" w14:paraId="514892F8" w14:textId="77777777" w:rsidTr="00835FD0">
        <w:tc>
          <w:tcPr>
            <w:tcW w:w="2870" w:type="dxa"/>
          </w:tcPr>
          <w:p w14:paraId="7EC16ED8" w14:textId="77777777" w:rsidR="001C4595" w:rsidRPr="004607A7" w:rsidRDefault="001C4595" w:rsidP="00835FD0">
            <w:pPr>
              <w:autoSpaceDE w:val="0"/>
              <w:autoSpaceDN w:val="0"/>
              <w:adjustRightInd w:val="0"/>
              <w:spacing w:line="480" w:lineRule="auto"/>
              <w:contextualSpacing/>
              <w:rPr>
                <w:rFonts w:cstheme="minorHAnsi"/>
              </w:rPr>
            </w:pPr>
          </w:p>
        </w:tc>
        <w:tc>
          <w:tcPr>
            <w:tcW w:w="2493" w:type="dxa"/>
          </w:tcPr>
          <w:p w14:paraId="5DC662C2" w14:textId="77777777" w:rsidR="001C4595" w:rsidRPr="004607A7" w:rsidRDefault="001C4595" w:rsidP="00835FD0">
            <w:pPr>
              <w:spacing w:line="480" w:lineRule="auto"/>
              <w:contextualSpacing/>
              <w:rPr>
                <w:rFonts w:cstheme="minorHAnsi"/>
              </w:rPr>
            </w:pPr>
            <w:r w:rsidRPr="004607A7">
              <w:rPr>
                <w:rFonts w:cstheme="minorHAnsi"/>
              </w:rPr>
              <w:t>They take a leading role</w:t>
            </w:r>
          </w:p>
        </w:tc>
        <w:tc>
          <w:tcPr>
            <w:tcW w:w="2088" w:type="dxa"/>
          </w:tcPr>
          <w:p w14:paraId="1EC783EC" w14:textId="77777777" w:rsidR="001C4595" w:rsidRPr="004607A7" w:rsidRDefault="001C4595" w:rsidP="00835FD0">
            <w:pPr>
              <w:spacing w:line="480" w:lineRule="auto"/>
              <w:contextualSpacing/>
              <w:jc w:val="right"/>
              <w:rPr>
                <w:rFonts w:cstheme="minorHAnsi"/>
              </w:rPr>
            </w:pPr>
            <w:r w:rsidRPr="004607A7">
              <w:rPr>
                <w:rFonts w:cstheme="minorHAnsi"/>
              </w:rPr>
              <w:t>2.4</w:t>
            </w:r>
          </w:p>
        </w:tc>
        <w:tc>
          <w:tcPr>
            <w:tcW w:w="1575" w:type="dxa"/>
          </w:tcPr>
          <w:p w14:paraId="671CA73C" w14:textId="77777777" w:rsidR="001C4595" w:rsidRPr="004607A7" w:rsidRDefault="001C4595" w:rsidP="00835FD0">
            <w:pPr>
              <w:spacing w:line="480" w:lineRule="auto"/>
              <w:contextualSpacing/>
              <w:jc w:val="right"/>
              <w:rPr>
                <w:rFonts w:cstheme="minorHAnsi"/>
              </w:rPr>
            </w:pPr>
            <w:r w:rsidRPr="004607A7">
              <w:rPr>
                <w:rFonts w:cstheme="minorHAnsi"/>
              </w:rPr>
              <w:t>1</w:t>
            </w:r>
          </w:p>
        </w:tc>
      </w:tr>
      <w:tr w:rsidR="001C4595" w:rsidRPr="004607A7" w14:paraId="324B9383" w14:textId="77777777" w:rsidTr="00835FD0">
        <w:tc>
          <w:tcPr>
            <w:tcW w:w="2870" w:type="dxa"/>
          </w:tcPr>
          <w:p w14:paraId="683B1CB1" w14:textId="77777777" w:rsidR="001C4595" w:rsidRPr="004607A7" w:rsidRDefault="001C4595" w:rsidP="00835FD0">
            <w:pPr>
              <w:autoSpaceDE w:val="0"/>
              <w:autoSpaceDN w:val="0"/>
              <w:adjustRightInd w:val="0"/>
              <w:spacing w:line="480" w:lineRule="auto"/>
              <w:contextualSpacing/>
              <w:rPr>
                <w:rFonts w:cstheme="minorHAnsi"/>
              </w:rPr>
            </w:pPr>
          </w:p>
        </w:tc>
        <w:tc>
          <w:tcPr>
            <w:tcW w:w="2493" w:type="dxa"/>
          </w:tcPr>
          <w:p w14:paraId="3EC8A205" w14:textId="77777777" w:rsidR="001C4595" w:rsidRPr="004607A7" w:rsidRDefault="001C4595" w:rsidP="00835FD0">
            <w:pPr>
              <w:spacing w:line="480" w:lineRule="auto"/>
              <w:contextualSpacing/>
              <w:rPr>
                <w:rFonts w:cstheme="minorHAnsi"/>
              </w:rPr>
            </w:pPr>
            <w:r w:rsidRPr="004607A7">
              <w:rPr>
                <w:rFonts w:cstheme="minorHAnsi"/>
              </w:rPr>
              <w:t>Total</w:t>
            </w:r>
          </w:p>
        </w:tc>
        <w:tc>
          <w:tcPr>
            <w:tcW w:w="2088" w:type="dxa"/>
          </w:tcPr>
          <w:p w14:paraId="31FC6CFD" w14:textId="77777777" w:rsidR="001C4595" w:rsidRPr="004607A7" w:rsidRDefault="001C4595" w:rsidP="00835FD0">
            <w:pPr>
              <w:spacing w:line="480" w:lineRule="auto"/>
              <w:contextualSpacing/>
              <w:jc w:val="right"/>
              <w:rPr>
                <w:rFonts w:cstheme="minorHAnsi"/>
              </w:rPr>
            </w:pPr>
            <w:r w:rsidRPr="004607A7">
              <w:rPr>
                <w:rFonts w:cstheme="minorHAnsi"/>
              </w:rPr>
              <w:t>100</w:t>
            </w:r>
          </w:p>
        </w:tc>
        <w:tc>
          <w:tcPr>
            <w:tcW w:w="1575" w:type="dxa"/>
          </w:tcPr>
          <w:p w14:paraId="3BEDF137" w14:textId="44CC5882" w:rsidR="001C4595" w:rsidRPr="004607A7" w:rsidRDefault="001C4595" w:rsidP="00835FD0">
            <w:pPr>
              <w:spacing w:line="480" w:lineRule="auto"/>
              <w:contextualSpacing/>
              <w:jc w:val="right"/>
              <w:rPr>
                <w:rFonts w:cstheme="minorHAnsi"/>
              </w:rPr>
            </w:pPr>
            <w:r w:rsidRPr="004607A7">
              <w:rPr>
                <w:rFonts w:cstheme="minorHAnsi"/>
              </w:rPr>
              <w:t>42</w:t>
            </w:r>
            <w:r w:rsidR="00230988" w:rsidRPr="004607A7">
              <w:rPr>
                <w:rFonts w:cstheme="minorHAnsi"/>
              </w:rPr>
              <w:t>**</w:t>
            </w:r>
          </w:p>
        </w:tc>
      </w:tr>
      <w:tr w:rsidR="001C4595" w:rsidRPr="004607A7" w14:paraId="7EE36407" w14:textId="77777777" w:rsidTr="00835FD0">
        <w:tc>
          <w:tcPr>
            <w:tcW w:w="2870" w:type="dxa"/>
          </w:tcPr>
          <w:p w14:paraId="1866DBD7" w14:textId="77777777" w:rsidR="001C4595" w:rsidRPr="004607A7" w:rsidRDefault="001C4595" w:rsidP="00835FD0">
            <w:pPr>
              <w:autoSpaceDE w:val="0"/>
              <w:autoSpaceDN w:val="0"/>
              <w:adjustRightInd w:val="0"/>
              <w:spacing w:line="480" w:lineRule="auto"/>
              <w:contextualSpacing/>
              <w:rPr>
                <w:rFonts w:cstheme="minorHAnsi"/>
              </w:rPr>
            </w:pPr>
          </w:p>
        </w:tc>
        <w:tc>
          <w:tcPr>
            <w:tcW w:w="2493" w:type="dxa"/>
          </w:tcPr>
          <w:p w14:paraId="3D0C7304" w14:textId="77777777" w:rsidR="001C4595" w:rsidRPr="004607A7" w:rsidRDefault="001C4595" w:rsidP="00835FD0">
            <w:pPr>
              <w:spacing w:line="480" w:lineRule="auto"/>
              <w:contextualSpacing/>
              <w:rPr>
                <w:rFonts w:cstheme="minorHAnsi"/>
              </w:rPr>
            </w:pPr>
          </w:p>
        </w:tc>
        <w:tc>
          <w:tcPr>
            <w:tcW w:w="2088" w:type="dxa"/>
          </w:tcPr>
          <w:p w14:paraId="21A524DD" w14:textId="77777777" w:rsidR="001C4595" w:rsidRPr="004607A7" w:rsidRDefault="001C4595" w:rsidP="00835FD0">
            <w:pPr>
              <w:spacing w:line="480" w:lineRule="auto"/>
              <w:contextualSpacing/>
              <w:jc w:val="right"/>
              <w:rPr>
                <w:rFonts w:cstheme="minorHAnsi"/>
              </w:rPr>
            </w:pPr>
          </w:p>
        </w:tc>
        <w:tc>
          <w:tcPr>
            <w:tcW w:w="1575" w:type="dxa"/>
          </w:tcPr>
          <w:p w14:paraId="578405E7" w14:textId="77777777" w:rsidR="001C4595" w:rsidRPr="004607A7" w:rsidRDefault="001C4595" w:rsidP="00835FD0">
            <w:pPr>
              <w:spacing w:line="480" w:lineRule="auto"/>
              <w:contextualSpacing/>
              <w:jc w:val="right"/>
              <w:rPr>
                <w:rFonts w:cstheme="minorHAnsi"/>
              </w:rPr>
            </w:pPr>
          </w:p>
        </w:tc>
      </w:tr>
      <w:tr w:rsidR="001C4595" w:rsidRPr="004607A7" w14:paraId="5B56F4D8" w14:textId="77777777" w:rsidTr="00835FD0">
        <w:tc>
          <w:tcPr>
            <w:tcW w:w="2870" w:type="dxa"/>
          </w:tcPr>
          <w:p w14:paraId="74815D12" w14:textId="77777777" w:rsidR="001C4595" w:rsidRPr="004607A7" w:rsidRDefault="001C4595" w:rsidP="00835FD0">
            <w:pPr>
              <w:autoSpaceDE w:val="0"/>
              <w:autoSpaceDN w:val="0"/>
              <w:adjustRightInd w:val="0"/>
              <w:spacing w:line="480" w:lineRule="auto"/>
              <w:contextualSpacing/>
              <w:rPr>
                <w:rFonts w:cstheme="minorHAnsi"/>
              </w:rPr>
            </w:pPr>
            <w:r w:rsidRPr="004607A7">
              <w:rPr>
                <w:rFonts w:cstheme="minorHAnsi"/>
              </w:rPr>
              <w:t>Development of CPDs</w:t>
            </w:r>
          </w:p>
        </w:tc>
        <w:tc>
          <w:tcPr>
            <w:tcW w:w="2493" w:type="dxa"/>
          </w:tcPr>
          <w:p w14:paraId="21DC778C" w14:textId="77777777" w:rsidR="001C4595" w:rsidRPr="004607A7" w:rsidRDefault="001C4595" w:rsidP="00835FD0">
            <w:pPr>
              <w:spacing w:line="480" w:lineRule="auto"/>
              <w:contextualSpacing/>
              <w:rPr>
                <w:rFonts w:cstheme="minorHAnsi"/>
              </w:rPr>
            </w:pPr>
            <w:r w:rsidRPr="004607A7">
              <w:rPr>
                <w:rFonts w:cstheme="minorHAnsi"/>
              </w:rPr>
              <w:t>Not at all</w:t>
            </w:r>
          </w:p>
        </w:tc>
        <w:tc>
          <w:tcPr>
            <w:tcW w:w="2088" w:type="dxa"/>
          </w:tcPr>
          <w:p w14:paraId="21E30104" w14:textId="77777777" w:rsidR="001C4595" w:rsidRPr="004607A7" w:rsidRDefault="001C4595" w:rsidP="00835FD0">
            <w:pPr>
              <w:spacing w:line="480" w:lineRule="auto"/>
              <w:contextualSpacing/>
              <w:jc w:val="right"/>
              <w:rPr>
                <w:rFonts w:cstheme="minorHAnsi"/>
              </w:rPr>
            </w:pPr>
            <w:r w:rsidRPr="004607A7">
              <w:rPr>
                <w:rFonts w:cstheme="minorHAnsi"/>
              </w:rPr>
              <w:t>79.1</w:t>
            </w:r>
          </w:p>
        </w:tc>
        <w:tc>
          <w:tcPr>
            <w:tcW w:w="1575" w:type="dxa"/>
          </w:tcPr>
          <w:p w14:paraId="1CAAB10D" w14:textId="77777777" w:rsidR="001C4595" w:rsidRPr="004607A7" w:rsidRDefault="001C4595" w:rsidP="00835FD0">
            <w:pPr>
              <w:spacing w:line="480" w:lineRule="auto"/>
              <w:contextualSpacing/>
              <w:jc w:val="right"/>
              <w:rPr>
                <w:rFonts w:cstheme="minorHAnsi"/>
              </w:rPr>
            </w:pPr>
            <w:r w:rsidRPr="004607A7">
              <w:rPr>
                <w:rFonts w:cstheme="minorHAnsi"/>
              </w:rPr>
              <w:t>34</w:t>
            </w:r>
          </w:p>
        </w:tc>
      </w:tr>
      <w:tr w:rsidR="001C4595" w:rsidRPr="004607A7" w14:paraId="3FE84F29" w14:textId="77777777" w:rsidTr="00835FD0">
        <w:tc>
          <w:tcPr>
            <w:tcW w:w="2870" w:type="dxa"/>
          </w:tcPr>
          <w:p w14:paraId="31FBFA5B" w14:textId="77777777" w:rsidR="001C4595" w:rsidRPr="004607A7" w:rsidRDefault="001C4595" w:rsidP="00835FD0">
            <w:pPr>
              <w:autoSpaceDE w:val="0"/>
              <w:autoSpaceDN w:val="0"/>
              <w:adjustRightInd w:val="0"/>
              <w:spacing w:line="480" w:lineRule="auto"/>
              <w:contextualSpacing/>
              <w:rPr>
                <w:rFonts w:cstheme="minorHAnsi"/>
              </w:rPr>
            </w:pPr>
          </w:p>
        </w:tc>
        <w:tc>
          <w:tcPr>
            <w:tcW w:w="2493" w:type="dxa"/>
          </w:tcPr>
          <w:p w14:paraId="2AC04083" w14:textId="77777777" w:rsidR="001C4595" w:rsidRPr="004607A7" w:rsidRDefault="001C4595" w:rsidP="00835FD0">
            <w:pPr>
              <w:spacing w:line="480" w:lineRule="auto"/>
              <w:contextualSpacing/>
              <w:rPr>
                <w:rFonts w:cstheme="minorHAnsi"/>
              </w:rPr>
            </w:pPr>
            <w:r w:rsidRPr="004607A7">
              <w:rPr>
                <w:rFonts w:cstheme="minorHAnsi"/>
              </w:rPr>
              <w:t>They are consulted</w:t>
            </w:r>
          </w:p>
        </w:tc>
        <w:tc>
          <w:tcPr>
            <w:tcW w:w="2088" w:type="dxa"/>
          </w:tcPr>
          <w:p w14:paraId="2C77B80F" w14:textId="77777777" w:rsidR="001C4595" w:rsidRPr="004607A7" w:rsidRDefault="001C4595" w:rsidP="00835FD0">
            <w:pPr>
              <w:spacing w:line="480" w:lineRule="auto"/>
              <w:contextualSpacing/>
              <w:jc w:val="right"/>
              <w:rPr>
                <w:rFonts w:cstheme="minorHAnsi"/>
              </w:rPr>
            </w:pPr>
            <w:r w:rsidRPr="004607A7">
              <w:rPr>
                <w:rFonts w:cstheme="minorHAnsi"/>
              </w:rPr>
              <w:t>7</w:t>
            </w:r>
          </w:p>
        </w:tc>
        <w:tc>
          <w:tcPr>
            <w:tcW w:w="1575" w:type="dxa"/>
          </w:tcPr>
          <w:p w14:paraId="07DCE275" w14:textId="77777777" w:rsidR="001C4595" w:rsidRPr="004607A7" w:rsidRDefault="001C4595" w:rsidP="00835FD0">
            <w:pPr>
              <w:spacing w:line="480" w:lineRule="auto"/>
              <w:contextualSpacing/>
              <w:jc w:val="right"/>
              <w:rPr>
                <w:rFonts w:cstheme="minorHAnsi"/>
              </w:rPr>
            </w:pPr>
            <w:r w:rsidRPr="004607A7">
              <w:rPr>
                <w:rFonts w:cstheme="minorHAnsi"/>
              </w:rPr>
              <w:t>3</w:t>
            </w:r>
          </w:p>
        </w:tc>
      </w:tr>
      <w:tr w:rsidR="001C4595" w:rsidRPr="004607A7" w14:paraId="15D819E4" w14:textId="77777777" w:rsidTr="00835FD0">
        <w:tc>
          <w:tcPr>
            <w:tcW w:w="2870" w:type="dxa"/>
          </w:tcPr>
          <w:p w14:paraId="4E31BBA0" w14:textId="77777777" w:rsidR="001C4595" w:rsidRPr="004607A7" w:rsidRDefault="001C4595" w:rsidP="00835FD0">
            <w:pPr>
              <w:autoSpaceDE w:val="0"/>
              <w:autoSpaceDN w:val="0"/>
              <w:adjustRightInd w:val="0"/>
              <w:spacing w:line="480" w:lineRule="auto"/>
              <w:contextualSpacing/>
              <w:rPr>
                <w:rFonts w:cstheme="minorHAnsi"/>
              </w:rPr>
            </w:pPr>
          </w:p>
        </w:tc>
        <w:tc>
          <w:tcPr>
            <w:tcW w:w="2493" w:type="dxa"/>
          </w:tcPr>
          <w:p w14:paraId="64F7B9E5" w14:textId="77777777" w:rsidR="001C4595" w:rsidRPr="004607A7" w:rsidRDefault="001C4595" w:rsidP="00835FD0">
            <w:pPr>
              <w:spacing w:line="480" w:lineRule="auto"/>
              <w:contextualSpacing/>
              <w:rPr>
                <w:rFonts w:cstheme="minorHAnsi"/>
              </w:rPr>
            </w:pPr>
            <w:r w:rsidRPr="004607A7">
              <w:rPr>
                <w:rFonts w:cstheme="minorHAnsi"/>
              </w:rPr>
              <w:t>They are actively involved</w:t>
            </w:r>
          </w:p>
        </w:tc>
        <w:tc>
          <w:tcPr>
            <w:tcW w:w="2088" w:type="dxa"/>
          </w:tcPr>
          <w:p w14:paraId="0EA37F0E" w14:textId="77777777" w:rsidR="001C4595" w:rsidRPr="004607A7" w:rsidRDefault="001C4595" w:rsidP="00835FD0">
            <w:pPr>
              <w:spacing w:line="480" w:lineRule="auto"/>
              <w:contextualSpacing/>
              <w:jc w:val="right"/>
              <w:rPr>
                <w:rFonts w:cstheme="minorHAnsi"/>
              </w:rPr>
            </w:pPr>
            <w:r w:rsidRPr="004607A7">
              <w:rPr>
                <w:rFonts w:cstheme="minorHAnsi"/>
              </w:rPr>
              <w:t>14</w:t>
            </w:r>
          </w:p>
        </w:tc>
        <w:tc>
          <w:tcPr>
            <w:tcW w:w="1575" w:type="dxa"/>
          </w:tcPr>
          <w:p w14:paraId="314DEF0A" w14:textId="77777777" w:rsidR="001C4595" w:rsidRPr="004607A7" w:rsidRDefault="001C4595" w:rsidP="00835FD0">
            <w:pPr>
              <w:spacing w:line="480" w:lineRule="auto"/>
              <w:contextualSpacing/>
              <w:jc w:val="right"/>
              <w:rPr>
                <w:rFonts w:cstheme="minorHAnsi"/>
              </w:rPr>
            </w:pPr>
            <w:r w:rsidRPr="004607A7">
              <w:rPr>
                <w:rFonts w:cstheme="minorHAnsi"/>
              </w:rPr>
              <w:t>6</w:t>
            </w:r>
          </w:p>
        </w:tc>
      </w:tr>
      <w:tr w:rsidR="001C4595" w:rsidRPr="004607A7" w14:paraId="27532C3B" w14:textId="77777777" w:rsidTr="00835FD0">
        <w:tc>
          <w:tcPr>
            <w:tcW w:w="2870" w:type="dxa"/>
          </w:tcPr>
          <w:p w14:paraId="1E660FB4" w14:textId="77777777" w:rsidR="001C4595" w:rsidRPr="004607A7" w:rsidRDefault="001C4595" w:rsidP="00835FD0">
            <w:pPr>
              <w:autoSpaceDE w:val="0"/>
              <w:autoSpaceDN w:val="0"/>
              <w:adjustRightInd w:val="0"/>
              <w:spacing w:line="480" w:lineRule="auto"/>
              <w:contextualSpacing/>
              <w:rPr>
                <w:rFonts w:cstheme="minorHAnsi"/>
              </w:rPr>
            </w:pPr>
          </w:p>
        </w:tc>
        <w:tc>
          <w:tcPr>
            <w:tcW w:w="2493" w:type="dxa"/>
          </w:tcPr>
          <w:p w14:paraId="4C7537FE" w14:textId="77777777" w:rsidR="001C4595" w:rsidRPr="004607A7" w:rsidRDefault="001C4595" w:rsidP="00835FD0">
            <w:pPr>
              <w:spacing w:line="480" w:lineRule="auto"/>
              <w:contextualSpacing/>
              <w:rPr>
                <w:rFonts w:cstheme="minorHAnsi"/>
              </w:rPr>
            </w:pPr>
            <w:r w:rsidRPr="004607A7">
              <w:rPr>
                <w:rFonts w:cstheme="minorHAnsi"/>
              </w:rPr>
              <w:t>Total</w:t>
            </w:r>
          </w:p>
        </w:tc>
        <w:tc>
          <w:tcPr>
            <w:tcW w:w="2088" w:type="dxa"/>
          </w:tcPr>
          <w:p w14:paraId="47F1EFAD" w14:textId="77777777" w:rsidR="001C4595" w:rsidRPr="004607A7" w:rsidRDefault="001C4595" w:rsidP="00835FD0">
            <w:pPr>
              <w:spacing w:line="480" w:lineRule="auto"/>
              <w:contextualSpacing/>
              <w:jc w:val="right"/>
              <w:rPr>
                <w:rFonts w:cstheme="minorHAnsi"/>
              </w:rPr>
            </w:pPr>
            <w:r w:rsidRPr="004607A7">
              <w:rPr>
                <w:rFonts w:cstheme="minorHAnsi"/>
              </w:rPr>
              <w:t>100</w:t>
            </w:r>
          </w:p>
        </w:tc>
        <w:tc>
          <w:tcPr>
            <w:tcW w:w="1575" w:type="dxa"/>
          </w:tcPr>
          <w:p w14:paraId="2784A8F9" w14:textId="77777777" w:rsidR="001C4595" w:rsidRPr="004607A7" w:rsidRDefault="001C4595" w:rsidP="00835FD0">
            <w:pPr>
              <w:spacing w:line="480" w:lineRule="auto"/>
              <w:contextualSpacing/>
              <w:jc w:val="right"/>
              <w:rPr>
                <w:rFonts w:cstheme="minorHAnsi"/>
              </w:rPr>
            </w:pPr>
            <w:r w:rsidRPr="004607A7">
              <w:rPr>
                <w:rFonts w:cstheme="minorHAnsi"/>
              </w:rPr>
              <w:t>43</w:t>
            </w:r>
          </w:p>
        </w:tc>
      </w:tr>
      <w:tr w:rsidR="001C4595" w:rsidRPr="004607A7" w14:paraId="139736AA" w14:textId="77777777" w:rsidTr="00835FD0">
        <w:tc>
          <w:tcPr>
            <w:tcW w:w="9026" w:type="dxa"/>
            <w:gridSpan w:val="4"/>
            <w:tcBorders>
              <w:top w:val="single" w:sz="4" w:space="0" w:color="auto"/>
            </w:tcBorders>
          </w:tcPr>
          <w:p w14:paraId="3CD489C2" w14:textId="76750F97" w:rsidR="001C4595" w:rsidRPr="004607A7" w:rsidRDefault="00230988" w:rsidP="00835FD0">
            <w:pPr>
              <w:autoSpaceDE w:val="0"/>
              <w:autoSpaceDN w:val="0"/>
              <w:adjustRightInd w:val="0"/>
              <w:contextualSpacing/>
              <w:rPr>
                <w:rFonts w:cstheme="minorHAnsi"/>
                <w:iCs/>
              </w:rPr>
            </w:pPr>
            <w:r w:rsidRPr="004607A7">
              <w:rPr>
                <w:rFonts w:cstheme="minorHAnsi"/>
                <w:iCs/>
              </w:rPr>
              <w:t>*</w:t>
            </w:r>
            <w:r w:rsidR="001C4595" w:rsidRPr="004607A7">
              <w:rPr>
                <w:rFonts w:cstheme="minorHAnsi"/>
                <w:iCs/>
              </w:rPr>
              <w:t>Note: missing service response data n = 2</w:t>
            </w:r>
          </w:p>
          <w:p w14:paraId="40B5A567" w14:textId="7F1ED8E0" w:rsidR="001C4595" w:rsidRPr="004607A7" w:rsidRDefault="00230988" w:rsidP="00835FD0">
            <w:pPr>
              <w:autoSpaceDE w:val="0"/>
              <w:autoSpaceDN w:val="0"/>
              <w:adjustRightInd w:val="0"/>
              <w:contextualSpacing/>
              <w:rPr>
                <w:rFonts w:cstheme="minorHAnsi"/>
                <w:i/>
              </w:rPr>
            </w:pPr>
            <w:r w:rsidRPr="004607A7">
              <w:rPr>
                <w:rFonts w:cstheme="minorHAnsi"/>
                <w:iCs/>
              </w:rPr>
              <w:t>**</w:t>
            </w:r>
            <w:r w:rsidR="001C4595" w:rsidRPr="004607A7">
              <w:rPr>
                <w:rFonts w:cstheme="minorHAnsi"/>
                <w:iCs/>
              </w:rPr>
              <w:t>Note: missing service response data n = 1</w:t>
            </w:r>
          </w:p>
        </w:tc>
      </w:tr>
    </w:tbl>
    <w:p w14:paraId="7100B916" w14:textId="77777777" w:rsidR="001C4595" w:rsidRPr="004607A7" w:rsidRDefault="001C4595" w:rsidP="00AA51B8">
      <w:pPr>
        <w:spacing w:line="360" w:lineRule="auto"/>
        <w:contextualSpacing/>
        <w:mirrorIndents/>
        <w:jc w:val="both"/>
        <w:rPr>
          <w:rFonts w:asciiTheme="minorHAnsi" w:hAnsiTheme="minorHAnsi" w:cstheme="minorHAnsi"/>
        </w:rPr>
      </w:pPr>
    </w:p>
    <w:p w14:paraId="721CDE8D" w14:textId="7643EF5B" w:rsidR="0036480F" w:rsidRPr="00BC1269" w:rsidRDefault="008A1200" w:rsidP="00AA51B8">
      <w:pPr>
        <w:spacing w:line="360" w:lineRule="auto"/>
        <w:contextualSpacing/>
        <w:mirrorIndents/>
        <w:jc w:val="both"/>
        <w:rPr>
          <w:rFonts w:asciiTheme="minorHAnsi" w:hAnsiTheme="minorHAnsi" w:cstheme="minorHAnsi"/>
        </w:rPr>
      </w:pPr>
      <w:r w:rsidRPr="006D0062">
        <w:rPr>
          <w:rFonts w:asciiTheme="minorHAnsi" w:hAnsiTheme="minorHAnsi" w:cstheme="minorHAnsi"/>
        </w:rPr>
        <w:t xml:space="preserve">When exploring the level of participation that </w:t>
      </w:r>
      <w:r w:rsidR="00FA390F" w:rsidRPr="006D0062">
        <w:rPr>
          <w:rFonts w:asciiTheme="minorHAnsi" w:hAnsiTheme="minorHAnsi" w:cstheme="minorHAnsi"/>
        </w:rPr>
        <w:t>Appropriate Adult Schemes</w:t>
      </w:r>
      <w:r w:rsidRPr="006D0062">
        <w:rPr>
          <w:rFonts w:asciiTheme="minorHAnsi" w:hAnsiTheme="minorHAnsi" w:cstheme="minorHAnsi"/>
        </w:rPr>
        <w:t xml:space="preserve"> engaged in, </w:t>
      </w:r>
      <w:r w:rsidR="003A1981" w:rsidRPr="006D0062">
        <w:rPr>
          <w:rFonts w:asciiTheme="minorHAnsi" w:hAnsiTheme="minorHAnsi" w:cstheme="minorHAnsi"/>
        </w:rPr>
        <w:t xml:space="preserve">20% of services suggest that </w:t>
      </w:r>
      <w:r w:rsidRPr="006D0062">
        <w:rPr>
          <w:rFonts w:asciiTheme="minorHAnsi" w:hAnsiTheme="minorHAnsi" w:cstheme="minorHAnsi"/>
        </w:rPr>
        <w:t xml:space="preserve">they had </w:t>
      </w:r>
      <w:r w:rsidR="003A1981" w:rsidRPr="006D0062">
        <w:rPr>
          <w:rFonts w:asciiTheme="minorHAnsi" w:hAnsiTheme="minorHAnsi" w:cstheme="minorHAnsi"/>
        </w:rPr>
        <w:t>consulted</w:t>
      </w:r>
      <w:r w:rsidR="00192382" w:rsidRPr="006D0062">
        <w:rPr>
          <w:rFonts w:asciiTheme="minorHAnsi" w:hAnsiTheme="minorHAnsi" w:cstheme="minorHAnsi"/>
        </w:rPr>
        <w:t xml:space="preserve"> service users in training design</w:t>
      </w:r>
      <w:r w:rsidR="003D1F0D" w:rsidRPr="006D0062">
        <w:rPr>
          <w:rFonts w:asciiTheme="minorHAnsi" w:hAnsiTheme="minorHAnsi" w:cstheme="minorHAnsi"/>
        </w:rPr>
        <w:t xml:space="preserve"> (see table 3)</w:t>
      </w:r>
      <w:r w:rsidR="00192382" w:rsidRPr="006D0062">
        <w:rPr>
          <w:rFonts w:asciiTheme="minorHAnsi" w:hAnsiTheme="minorHAnsi" w:cstheme="minorHAnsi"/>
        </w:rPr>
        <w:t xml:space="preserve">. </w:t>
      </w:r>
      <w:r w:rsidR="00192382" w:rsidRPr="000E31E7">
        <w:rPr>
          <w:rFonts w:asciiTheme="minorHAnsi" w:hAnsiTheme="minorHAnsi" w:cstheme="minorHAnsi"/>
        </w:rPr>
        <w:t>12% of services suggested that service users were consulted in training delivery</w:t>
      </w:r>
      <w:r w:rsidR="00DB1573" w:rsidRPr="000E31E7">
        <w:rPr>
          <w:rFonts w:asciiTheme="minorHAnsi" w:hAnsiTheme="minorHAnsi" w:cstheme="minorHAnsi"/>
        </w:rPr>
        <w:t>,</w:t>
      </w:r>
      <w:r w:rsidR="00192382" w:rsidRPr="000E31E7">
        <w:rPr>
          <w:rFonts w:asciiTheme="minorHAnsi" w:hAnsiTheme="minorHAnsi" w:cstheme="minorHAnsi"/>
        </w:rPr>
        <w:t xml:space="preserve"> and </w:t>
      </w:r>
      <w:r w:rsidR="006D0062" w:rsidRPr="000E31E7">
        <w:rPr>
          <w:rFonts w:asciiTheme="minorHAnsi" w:hAnsiTheme="minorHAnsi" w:cstheme="minorHAnsi"/>
        </w:rPr>
        <w:t>just</w:t>
      </w:r>
      <w:r w:rsidR="00192382" w:rsidRPr="000E31E7">
        <w:rPr>
          <w:rFonts w:asciiTheme="minorHAnsi" w:hAnsiTheme="minorHAnsi" w:cstheme="minorHAnsi"/>
        </w:rPr>
        <w:t xml:space="preserve"> 7% concerning</w:t>
      </w:r>
      <w:r w:rsidR="00312EAF" w:rsidRPr="000E31E7">
        <w:rPr>
          <w:rFonts w:asciiTheme="minorHAnsi" w:hAnsiTheme="minorHAnsi" w:cstheme="minorHAnsi"/>
        </w:rPr>
        <w:t xml:space="preserve"> continuing professional development</w:t>
      </w:r>
      <w:r w:rsidR="001C4595" w:rsidRPr="000E31E7">
        <w:rPr>
          <w:rFonts w:asciiTheme="minorHAnsi" w:hAnsiTheme="minorHAnsi" w:cstheme="minorHAnsi"/>
        </w:rPr>
        <w:t xml:space="preserve"> </w:t>
      </w:r>
      <w:r w:rsidR="003D1F0D" w:rsidRPr="000E31E7">
        <w:rPr>
          <w:rFonts w:asciiTheme="minorHAnsi" w:hAnsiTheme="minorHAnsi" w:cstheme="minorHAnsi"/>
        </w:rPr>
        <w:t>(see table 3)</w:t>
      </w:r>
      <w:r w:rsidR="00312EAF" w:rsidRPr="000E31E7">
        <w:rPr>
          <w:rFonts w:asciiTheme="minorHAnsi" w:hAnsiTheme="minorHAnsi" w:cstheme="minorHAnsi"/>
        </w:rPr>
        <w:t>.</w:t>
      </w:r>
      <w:r w:rsidR="00913D01" w:rsidRPr="000E31E7">
        <w:rPr>
          <w:rFonts w:asciiTheme="minorHAnsi" w:hAnsiTheme="minorHAnsi" w:cstheme="minorHAnsi"/>
        </w:rPr>
        <w:t xml:space="preserve"> Only, 2.4% of services actively encourage service users to take a lead role in training development, 2.4% of services encourage service users to take a lead role in training</w:t>
      </w:r>
      <w:r w:rsidR="004F2A75" w:rsidRPr="000E31E7">
        <w:rPr>
          <w:rFonts w:asciiTheme="minorHAnsi" w:hAnsiTheme="minorHAnsi" w:cstheme="minorHAnsi"/>
        </w:rPr>
        <w:t>,</w:t>
      </w:r>
      <w:r w:rsidR="00913D01" w:rsidRPr="000E31E7">
        <w:rPr>
          <w:rFonts w:asciiTheme="minorHAnsi" w:hAnsiTheme="minorHAnsi" w:cstheme="minorHAnsi"/>
        </w:rPr>
        <w:t xml:space="preserve"> and 14% in continuing professional development training</w:t>
      </w:r>
      <w:r w:rsidR="003D1F0D" w:rsidRPr="000E31E7">
        <w:rPr>
          <w:rFonts w:asciiTheme="minorHAnsi" w:hAnsiTheme="minorHAnsi" w:cstheme="minorHAnsi"/>
        </w:rPr>
        <w:t xml:space="preserve"> (see table 3)</w:t>
      </w:r>
      <w:r w:rsidR="00913D01" w:rsidRPr="000E31E7">
        <w:rPr>
          <w:rFonts w:asciiTheme="minorHAnsi" w:hAnsiTheme="minorHAnsi" w:cstheme="minorHAnsi"/>
        </w:rPr>
        <w:t>.</w:t>
      </w:r>
      <w:r w:rsidR="00034E13" w:rsidRPr="000E31E7">
        <w:rPr>
          <w:rFonts w:asciiTheme="minorHAnsi" w:hAnsiTheme="minorHAnsi" w:cstheme="minorHAnsi"/>
        </w:rPr>
        <w:t xml:space="preserve"> </w:t>
      </w:r>
      <w:r w:rsidR="003A1981" w:rsidRPr="00BC1269">
        <w:rPr>
          <w:rFonts w:asciiTheme="minorHAnsi" w:hAnsiTheme="minorHAnsi" w:cstheme="minorHAnsi"/>
        </w:rPr>
        <w:t>However</w:t>
      </w:r>
      <w:r w:rsidR="00615BE4" w:rsidRPr="00BC1269">
        <w:rPr>
          <w:rFonts w:asciiTheme="minorHAnsi" w:hAnsiTheme="minorHAnsi" w:cstheme="minorHAnsi"/>
        </w:rPr>
        <w:t>,</w:t>
      </w:r>
      <w:r w:rsidR="003A1981" w:rsidRPr="00BC1269">
        <w:rPr>
          <w:rFonts w:asciiTheme="minorHAnsi" w:hAnsiTheme="minorHAnsi" w:cstheme="minorHAnsi"/>
        </w:rPr>
        <w:t xml:space="preserve"> it should be noted that in the qualitative data</w:t>
      </w:r>
      <w:r w:rsidR="00615BE4" w:rsidRPr="00BC1269">
        <w:rPr>
          <w:rFonts w:asciiTheme="minorHAnsi" w:hAnsiTheme="minorHAnsi" w:cstheme="minorHAnsi"/>
        </w:rPr>
        <w:t xml:space="preserve"> </w:t>
      </w:r>
      <w:r w:rsidR="00DB1573" w:rsidRPr="00BC1269">
        <w:rPr>
          <w:rFonts w:asciiTheme="minorHAnsi" w:hAnsiTheme="minorHAnsi" w:cstheme="minorHAnsi"/>
        </w:rPr>
        <w:t>A</w:t>
      </w:r>
      <w:r w:rsidR="00615BE4" w:rsidRPr="00BC1269">
        <w:rPr>
          <w:rFonts w:asciiTheme="minorHAnsi" w:hAnsiTheme="minorHAnsi" w:cstheme="minorHAnsi"/>
        </w:rPr>
        <w:t xml:space="preserve">ppropriate </w:t>
      </w:r>
      <w:r w:rsidR="00DB1573" w:rsidRPr="00BC1269">
        <w:rPr>
          <w:rFonts w:asciiTheme="minorHAnsi" w:hAnsiTheme="minorHAnsi" w:cstheme="minorHAnsi"/>
        </w:rPr>
        <w:t>A</w:t>
      </w:r>
      <w:r w:rsidR="00615BE4" w:rsidRPr="00BC1269">
        <w:rPr>
          <w:rFonts w:asciiTheme="minorHAnsi" w:hAnsiTheme="minorHAnsi" w:cstheme="minorHAnsi"/>
        </w:rPr>
        <w:t xml:space="preserve">dult </w:t>
      </w:r>
      <w:r w:rsidR="00DB1573" w:rsidRPr="00BC1269">
        <w:rPr>
          <w:rFonts w:asciiTheme="minorHAnsi" w:hAnsiTheme="minorHAnsi" w:cstheme="minorHAnsi"/>
        </w:rPr>
        <w:t>scheme</w:t>
      </w:r>
      <w:r w:rsidR="00615BE4" w:rsidRPr="00BC1269">
        <w:rPr>
          <w:rFonts w:asciiTheme="minorHAnsi" w:hAnsiTheme="minorHAnsi" w:cstheme="minorHAnsi"/>
        </w:rPr>
        <w:t xml:space="preserve"> managers often confused service user involvement with </w:t>
      </w:r>
      <w:r w:rsidR="00DB1573" w:rsidRPr="00BC1269">
        <w:rPr>
          <w:rFonts w:asciiTheme="minorHAnsi" w:hAnsiTheme="minorHAnsi" w:cstheme="minorHAnsi"/>
        </w:rPr>
        <w:t>A</w:t>
      </w:r>
      <w:r w:rsidR="00615BE4" w:rsidRPr="00BC1269">
        <w:rPr>
          <w:rFonts w:asciiTheme="minorHAnsi" w:hAnsiTheme="minorHAnsi" w:cstheme="minorHAnsi"/>
        </w:rPr>
        <w:t xml:space="preserve">ppropriate </w:t>
      </w:r>
      <w:r w:rsidR="00DB1573" w:rsidRPr="00BC1269">
        <w:rPr>
          <w:rFonts w:asciiTheme="minorHAnsi" w:hAnsiTheme="minorHAnsi" w:cstheme="minorHAnsi"/>
        </w:rPr>
        <w:t>A</w:t>
      </w:r>
      <w:r w:rsidR="00615BE4" w:rsidRPr="00BC1269">
        <w:rPr>
          <w:rFonts w:asciiTheme="minorHAnsi" w:hAnsiTheme="minorHAnsi" w:cstheme="minorHAnsi"/>
        </w:rPr>
        <w:t>dult volunteer involvement.</w:t>
      </w:r>
      <w:r w:rsidR="00FD4C83" w:rsidRPr="00BC1269">
        <w:rPr>
          <w:rFonts w:asciiTheme="minorHAnsi" w:hAnsiTheme="minorHAnsi" w:cstheme="minorHAnsi"/>
        </w:rPr>
        <w:t xml:space="preserve"> </w:t>
      </w:r>
      <w:r w:rsidR="006E2C8A" w:rsidRPr="00BC1269">
        <w:rPr>
          <w:rFonts w:asciiTheme="minorHAnsi" w:hAnsiTheme="minorHAnsi" w:cstheme="minorHAnsi"/>
        </w:rPr>
        <w:t>As one</w:t>
      </w:r>
      <w:r w:rsidR="0036480F" w:rsidRPr="00BC1269">
        <w:rPr>
          <w:rFonts w:asciiTheme="minorHAnsi" w:hAnsiTheme="minorHAnsi" w:cstheme="minorHAnsi"/>
        </w:rPr>
        <w:t xml:space="preserve"> service manager state</w:t>
      </w:r>
      <w:r w:rsidR="00DB1573" w:rsidRPr="00BC1269">
        <w:rPr>
          <w:rFonts w:asciiTheme="minorHAnsi" w:hAnsiTheme="minorHAnsi" w:cstheme="minorHAnsi"/>
        </w:rPr>
        <w:t>s</w:t>
      </w:r>
      <w:r w:rsidR="0036480F" w:rsidRPr="00BC1269">
        <w:rPr>
          <w:rFonts w:asciiTheme="minorHAnsi" w:hAnsiTheme="minorHAnsi" w:cstheme="minorHAnsi"/>
        </w:rPr>
        <w:t xml:space="preserve">: </w:t>
      </w:r>
    </w:p>
    <w:p w14:paraId="522C5E31" w14:textId="77777777" w:rsidR="00A82FD9" w:rsidRPr="00BC1269" w:rsidRDefault="00A82FD9" w:rsidP="00AA51B8">
      <w:pPr>
        <w:spacing w:line="360" w:lineRule="auto"/>
        <w:contextualSpacing/>
        <w:mirrorIndents/>
        <w:jc w:val="both"/>
        <w:rPr>
          <w:rFonts w:asciiTheme="minorHAnsi" w:hAnsiTheme="minorHAnsi" w:cstheme="minorHAnsi"/>
        </w:rPr>
      </w:pPr>
    </w:p>
    <w:p w14:paraId="1F96F0CB" w14:textId="23C9D403" w:rsidR="005E2F06" w:rsidRPr="00BC1269" w:rsidRDefault="0036480F" w:rsidP="0036480F">
      <w:pPr>
        <w:spacing w:line="360" w:lineRule="auto"/>
        <w:ind w:left="567" w:right="567"/>
        <w:contextualSpacing/>
        <w:mirrorIndents/>
        <w:jc w:val="both"/>
        <w:rPr>
          <w:rFonts w:asciiTheme="minorHAnsi" w:hAnsiTheme="minorHAnsi" w:cstheme="minorHAnsi"/>
        </w:rPr>
      </w:pPr>
      <w:r w:rsidRPr="00BC1269">
        <w:rPr>
          <w:rFonts w:asciiTheme="minorHAnsi" w:hAnsiTheme="minorHAnsi" w:cstheme="minorHAnsi"/>
        </w:rPr>
        <w:t>One of our AA volunteers helps to deliver the AA training package. We have group supervision where we can share experiences and hints, tips</w:t>
      </w:r>
      <w:r w:rsidR="004F2A75" w:rsidRPr="00BC1269">
        <w:rPr>
          <w:rFonts w:asciiTheme="minorHAnsi" w:hAnsiTheme="minorHAnsi" w:cstheme="minorHAnsi"/>
        </w:rPr>
        <w:t>,</w:t>
      </w:r>
      <w:r w:rsidRPr="00BC1269">
        <w:rPr>
          <w:rFonts w:asciiTheme="minorHAnsi" w:hAnsiTheme="minorHAnsi" w:cstheme="minorHAnsi"/>
        </w:rPr>
        <w:t xml:space="preserve"> and of course any gripes or issues</w:t>
      </w:r>
      <w:r w:rsidR="001C23B8" w:rsidRPr="00BC1269">
        <w:rPr>
          <w:rFonts w:asciiTheme="minorHAnsi" w:hAnsiTheme="minorHAnsi" w:cstheme="minorHAnsi"/>
        </w:rPr>
        <w:t xml:space="preserve"> (Scheme Manager 41)</w:t>
      </w:r>
      <w:r w:rsidRPr="00BC1269">
        <w:rPr>
          <w:rFonts w:asciiTheme="minorHAnsi" w:hAnsiTheme="minorHAnsi" w:cstheme="minorHAnsi"/>
        </w:rPr>
        <w:t>.</w:t>
      </w:r>
    </w:p>
    <w:p w14:paraId="65293311" w14:textId="77777777" w:rsidR="00D4093F" w:rsidRPr="00BC1269" w:rsidRDefault="00D4093F" w:rsidP="00AA51B8">
      <w:pPr>
        <w:spacing w:line="360" w:lineRule="auto"/>
        <w:contextualSpacing/>
        <w:mirrorIndents/>
        <w:jc w:val="both"/>
        <w:rPr>
          <w:rFonts w:asciiTheme="minorHAnsi" w:hAnsiTheme="minorHAnsi" w:cstheme="minorHAnsi"/>
        </w:rPr>
      </w:pPr>
    </w:p>
    <w:p w14:paraId="5010EF51" w14:textId="094104B7" w:rsidR="00DB1573" w:rsidRPr="002C1CF0" w:rsidRDefault="008F556E" w:rsidP="00AA51B8">
      <w:pPr>
        <w:spacing w:line="360" w:lineRule="auto"/>
        <w:contextualSpacing/>
        <w:mirrorIndents/>
        <w:jc w:val="both"/>
        <w:rPr>
          <w:rFonts w:asciiTheme="minorHAnsi" w:hAnsiTheme="minorHAnsi" w:cstheme="minorHAnsi"/>
        </w:rPr>
      </w:pPr>
      <w:r w:rsidRPr="00BC1269">
        <w:rPr>
          <w:rFonts w:asciiTheme="minorHAnsi" w:hAnsiTheme="minorHAnsi" w:cstheme="minorHAnsi"/>
        </w:rPr>
        <w:t xml:space="preserve">This comment is repeated by </w:t>
      </w:r>
      <w:r w:rsidR="001C4595" w:rsidRPr="00BC1269">
        <w:rPr>
          <w:rFonts w:asciiTheme="minorHAnsi" w:hAnsiTheme="minorHAnsi" w:cstheme="minorHAnsi"/>
        </w:rPr>
        <w:t>several</w:t>
      </w:r>
      <w:r w:rsidRPr="00BC1269">
        <w:rPr>
          <w:rFonts w:asciiTheme="minorHAnsi" w:hAnsiTheme="minorHAnsi" w:cstheme="minorHAnsi"/>
        </w:rPr>
        <w:t xml:space="preserve"> </w:t>
      </w:r>
      <w:r w:rsidR="00DB1573" w:rsidRPr="00BC1269">
        <w:rPr>
          <w:rFonts w:asciiTheme="minorHAnsi" w:hAnsiTheme="minorHAnsi" w:cstheme="minorHAnsi"/>
        </w:rPr>
        <w:t>A</w:t>
      </w:r>
      <w:r w:rsidRPr="00BC1269">
        <w:rPr>
          <w:rFonts w:asciiTheme="minorHAnsi" w:hAnsiTheme="minorHAnsi" w:cstheme="minorHAnsi"/>
        </w:rPr>
        <w:t xml:space="preserve">ppropriate </w:t>
      </w:r>
      <w:r w:rsidR="00DB1573" w:rsidRPr="00BC1269">
        <w:rPr>
          <w:rFonts w:asciiTheme="minorHAnsi" w:hAnsiTheme="minorHAnsi" w:cstheme="minorHAnsi"/>
        </w:rPr>
        <w:t>A</w:t>
      </w:r>
      <w:r w:rsidRPr="00BC1269">
        <w:rPr>
          <w:rFonts w:asciiTheme="minorHAnsi" w:hAnsiTheme="minorHAnsi" w:cstheme="minorHAnsi"/>
        </w:rPr>
        <w:t>dult managers when feeding back on service user involvement</w:t>
      </w:r>
      <w:r w:rsidR="00D4093F" w:rsidRPr="00BC1269">
        <w:rPr>
          <w:rFonts w:asciiTheme="minorHAnsi" w:hAnsiTheme="minorHAnsi" w:cstheme="minorHAnsi"/>
        </w:rPr>
        <w:t xml:space="preserve"> concerning education and training. </w:t>
      </w:r>
      <w:r w:rsidR="00DB1573" w:rsidRPr="002C1CF0">
        <w:rPr>
          <w:rFonts w:asciiTheme="minorHAnsi" w:hAnsiTheme="minorHAnsi" w:cstheme="minorHAnsi"/>
        </w:rPr>
        <w:t xml:space="preserve">This indicates that many conceptualise their volunteers as </w:t>
      </w:r>
      <w:r w:rsidR="00325BAA" w:rsidRPr="002C1CF0">
        <w:rPr>
          <w:rFonts w:asciiTheme="minorHAnsi" w:hAnsiTheme="minorHAnsi" w:cstheme="minorHAnsi"/>
        </w:rPr>
        <w:t xml:space="preserve">their </w:t>
      </w:r>
      <w:r w:rsidR="00DB1573" w:rsidRPr="002C1CF0">
        <w:rPr>
          <w:rFonts w:asciiTheme="minorHAnsi" w:hAnsiTheme="minorHAnsi" w:cstheme="minorHAnsi"/>
        </w:rPr>
        <w:t xml:space="preserve">service users, rather than the vulnerable suspects that they support.  </w:t>
      </w:r>
    </w:p>
    <w:p w14:paraId="591E1F5D" w14:textId="77777777" w:rsidR="00DB1573" w:rsidRPr="002C1CF0" w:rsidRDefault="00DB1573" w:rsidP="00AA51B8">
      <w:pPr>
        <w:spacing w:line="360" w:lineRule="auto"/>
        <w:contextualSpacing/>
        <w:mirrorIndents/>
        <w:jc w:val="both"/>
        <w:rPr>
          <w:rFonts w:asciiTheme="minorHAnsi" w:hAnsiTheme="minorHAnsi" w:cstheme="minorHAnsi"/>
        </w:rPr>
      </w:pPr>
    </w:p>
    <w:p w14:paraId="184D0BF4" w14:textId="484FA014" w:rsidR="00034E13" w:rsidRPr="00D8086C" w:rsidRDefault="00DB1573" w:rsidP="00AA51B8">
      <w:pPr>
        <w:spacing w:line="360" w:lineRule="auto"/>
        <w:contextualSpacing/>
        <w:mirrorIndents/>
        <w:jc w:val="both"/>
        <w:rPr>
          <w:rFonts w:asciiTheme="minorHAnsi" w:hAnsiTheme="minorHAnsi" w:cstheme="minorHAnsi"/>
        </w:rPr>
      </w:pPr>
      <w:r w:rsidRPr="002C1CF0">
        <w:rPr>
          <w:rFonts w:asciiTheme="minorHAnsi" w:hAnsiTheme="minorHAnsi" w:cstheme="minorHAnsi"/>
        </w:rPr>
        <w:t>T</w:t>
      </w:r>
      <w:r w:rsidR="00D4093F" w:rsidRPr="002C1CF0">
        <w:rPr>
          <w:rFonts w:asciiTheme="minorHAnsi" w:hAnsiTheme="minorHAnsi" w:cstheme="minorHAnsi"/>
        </w:rPr>
        <w:t>hese comments are revealing in</w:t>
      </w:r>
      <w:r w:rsidR="0002692A" w:rsidRPr="002C1CF0">
        <w:rPr>
          <w:rFonts w:asciiTheme="minorHAnsi" w:hAnsiTheme="minorHAnsi" w:cstheme="minorHAnsi"/>
        </w:rPr>
        <w:t xml:space="preserve"> understanding the ideological drive</w:t>
      </w:r>
      <w:r w:rsidRPr="002C1CF0">
        <w:rPr>
          <w:rFonts w:asciiTheme="minorHAnsi" w:hAnsiTheme="minorHAnsi" w:cstheme="minorHAnsi"/>
        </w:rPr>
        <w:t>r</w:t>
      </w:r>
      <w:r w:rsidR="0002692A" w:rsidRPr="002C1CF0">
        <w:rPr>
          <w:rFonts w:asciiTheme="minorHAnsi" w:hAnsiTheme="minorHAnsi" w:cstheme="minorHAnsi"/>
        </w:rPr>
        <w:t xml:space="preserve">s which underpin many of the </w:t>
      </w:r>
      <w:r w:rsidR="00FA390F" w:rsidRPr="002C1CF0">
        <w:rPr>
          <w:rFonts w:asciiTheme="minorHAnsi" w:hAnsiTheme="minorHAnsi" w:cstheme="minorHAnsi"/>
        </w:rPr>
        <w:t xml:space="preserve">Appropriate Adult </w:t>
      </w:r>
      <w:r w:rsidRPr="002C1CF0">
        <w:rPr>
          <w:rFonts w:asciiTheme="minorHAnsi" w:hAnsiTheme="minorHAnsi" w:cstheme="minorHAnsi"/>
        </w:rPr>
        <w:t>s</w:t>
      </w:r>
      <w:r w:rsidR="00FA390F" w:rsidRPr="002C1CF0">
        <w:rPr>
          <w:rFonts w:asciiTheme="minorHAnsi" w:hAnsiTheme="minorHAnsi" w:cstheme="minorHAnsi"/>
        </w:rPr>
        <w:t>chemes</w:t>
      </w:r>
      <w:r w:rsidR="0002692A" w:rsidRPr="002C1CF0">
        <w:rPr>
          <w:rFonts w:asciiTheme="minorHAnsi" w:hAnsiTheme="minorHAnsi" w:cstheme="minorHAnsi"/>
        </w:rPr>
        <w:t xml:space="preserve"> that support</w:t>
      </w:r>
      <w:r w:rsidR="007D7955" w:rsidRPr="002C1CF0">
        <w:rPr>
          <w:rFonts w:asciiTheme="minorHAnsi" w:hAnsiTheme="minorHAnsi" w:cstheme="minorHAnsi"/>
        </w:rPr>
        <w:t xml:space="preserve"> young people and </w:t>
      </w:r>
      <w:r w:rsidRPr="002C1CF0">
        <w:rPr>
          <w:rFonts w:asciiTheme="minorHAnsi" w:hAnsiTheme="minorHAnsi" w:cstheme="minorHAnsi"/>
        </w:rPr>
        <w:t xml:space="preserve">‘vulnerable’ </w:t>
      </w:r>
      <w:r w:rsidR="007D7955" w:rsidRPr="002C1CF0">
        <w:rPr>
          <w:rFonts w:asciiTheme="minorHAnsi" w:hAnsiTheme="minorHAnsi" w:cstheme="minorHAnsi"/>
        </w:rPr>
        <w:t>adult</w:t>
      </w:r>
      <w:r w:rsidRPr="002C1CF0">
        <w:rPr>
          <w:rFonts w:asciiTheme="minorHAnsi" w:hAnsiTheme="minorHAnsi" w:cstheme="minorHAnsi"/>
        </w:rPr>
        <w:t>s</w:t>
      </w:r>
      <w:r w:rsidR="007D7955" w:rsidRPr="002C1CF0">
        <w:rPr>
          <w:rFonts w:asciiTheme="minorHAnsi" w:hAnsiTheme="minorHAnsi" w:cstheme="minorHAnsi"/>
        </w:rPr>
        <w:t xml:space="preserve"> who are detained in custody.</w:t>
      </w:r>
      <w:r w:rsidR="00FB4345" w:rsidRPr="002C1CF0">
        <w:rPr>
          <w:rFonts w:asciiTheme="minorHAnsi" w:hAnsiTheme="minorHAnsi" w:cstheme="minorHAnsi"/>
        </w:rPr>
        <w:t xml:space="preserve">  </w:t>
      </w:r>
      <w:r w:rsidR="00850680" w:rsidRPr="002C1CF0">
        <w:rPr>
          <w:rFonts w:asciiTheme="minorHAnsi" w:hAnsiTheme="minorHAnsi" w:cstheme="minorHAnsi"/>
        </w:rPr>
        <w:t xml:space="preserve">We can </w:t>
      </w:r>
      <w:r w:rsidR="00325BAA" w:rsidRPr="002C1CF0">
        <w:rPr>
          <w:rFonts w:asciiTheme="minorHAnsi" w:hAnsiTheme="minorHAnsi" w:cstheme="minorHAnsi"/>
        </w:rPr>
        <w:t>suggest</w:t>
      </w:r>
      <w:r w:rsidR="00850680" w:rsidRPr="002C1CF0">
        <w:rPr>
          <w:rFonts w:asciiTheme="minorHAnsi" w:hAnsiTheme="minorHAnsi" w:cstheme="minorHAnsi"/>
        </w:rPr>
        <w:t xml:space="preserve"> that ideas of involvement and partnership</w:t>
      </w:r>
      <w:r w:rsidR="00C2680F" w:rsidRPr="002C1CF0">
        <w:rPr>
          <w:rFonts w:asciiTheme="minorHAnsi" w:hAnsiTheme="minorHAnsi" w:cstheme="minorHAnsi"/>
        </w:rPr>
        <w:t xml:space="preserve"> take place at a very tokenistic level as in some cases managers seem to misinterpret</w:t>
      </w:r>
      <w:r w:rsidR="00C60090" w:rsidRPr="002C1CF0">
        <w:rPr>
          <w:rFonts w:asciiTheme="minorHAnsi" w:hAnsiTheme="minorHAnsi" w:cstheme="minorHAnsi"/>
        </w:rPr>
        <w:t xml:space="preserve"> service user involvement for practitioner/volunteer involvement in training. </w:t>
      </w:r>
      <w:r w:rsidR="001D1FFE" w:rsidRPr="00D8086C">
        <w:rPr>
          <w:rFonts w:asciiTheme="minorHAnsi" w:hAnsiTheme="minorHAnsi" w:cstheme="minorHAnsi"/>
        </w:rPr>
        <w:t>Therefore,</w:t>
      </w:r>
      <w:r w:rsidR="00C60090" w:rsidRPr="00D8086C">
        <w:rPr>
          <w:rFonts w:asciiTheme="minorHAnsi" w:hAnsiTheme="minorHAnsi" w:cstheme="minorHAnsi"/>
        </w:rPr>
        <w:t xml:space="preserve"> we can theorise that</w:t>
      </w:r>
      <w:r w:rsidR="0048025E" w:rsidRPr="00D8086C">
        <w:rPr>
          <w:rFonts w:asciiTheme="minorHAnsi" w:hAnsiTheme="minorHAnsi" w:cstheme="minorHAnsi"/>
        </w:rPr>
        <w:t xml:space="preserve"> </w:t>
      </w:r>
      <w:r w:rsidR="001D1FFE" w:rsidRPr="00D8086C">
        <w:rPr>
          <w:rFonts w:asciiTheme="minorHAnsi" w:hAnsiTheme="minorHAnsi" w:cstheme="minorHAnsi"/>
        </w:rPr>
        <w:t>most of</w:t>
      </w:r>
      <w:r w:rsidR="0048025E" w:rsidRPr="00D8086C">
        <w:rPr>
          <w:rFonts w:asciiTheme="minorHAnsi" w:hAnsiTheme="minorHAnsi" w:cstheme="minorHAnsi"/>
        </w:rPr>
        <w:t xml:space="preserve"> the services do not conceptualise service users </w:t>
      </w:r>
      <w:r w:rsidR="007206D3" w:rsidRPr="00D8086C">
        <w:rPr>
          <w:rFonts w:asciiTheme="minorHAnsi" w:hAnsiTheme="minorHAnsi" w:cstheme="minorHAnsi"/>
        </w:rPr>
        <w:t xml:space="preserve">as </w:t>
      </w:r>
      <w:r w:rsidR="001E6FB4" w:rsidRPr="00D8086C">
        <w:rPr>
          <w:rFonts w:asciiTheme="minorHAnsi" w:hAnsiTheme="minorHAnsi" w:cstheme="minorHAnsi"/>
        </w:rPr>
        <w:t xml:space="preserve">the </w:t>
      </w:r>
      <w:r w:rsidR="007206D3" w:rsidRPr="00D8086C">
        <w:rPr>
          <w:rFonts w:asciiTheme="minorHAnsi" w:hAnsiTheme="minorHAnsi" w:cstheme="minorHAnsi"/>
        </w:rPr>
        <w:t>expert of their own lives which can co-construct better services through the</w:t>
      </w:r>
      <w:r w:rsidR="00607EF8" w:rsidRPr="00D8086C">
        <w:rPr>
          <w:rFonts w:asciiTheme="minorHAnsi" w:hAnsiTheme="minorHAnsi" w:cstheme="minorHAnsi"/>
        </w:rPr>
        <w:t xml:space="preserve"> emancipation and empowerment model or even acknowledging service users as</w:t>
      </w:r>
      <w:r w:rsidR="0048025E" w:rsidRPr="00D8086C">
        <w:rPr>
          <w:rFonts w:asciiTheme="minorHAnsi" w:hAnsiTheme="minorHAnsi" w:cstheme="minorHAnsi"/>
        </w:rPr>
        <w:t xml:space="preserve"> partners through the experiential knowledge model</w:t>
      </w:r>
      <w:r w:rsidR="00607EF8" w:rsidRPr="00D8086C">
        <w:rPr>
          <w:rFonts w:asciiTheme="minorHAnsi" w:hAnsiTheme="minorHAnsi" w:cstheme="minorHAnsi"/>
        </w:rPr>
        <w:t xml:space="preserve">. This data seems to reveal that </w:t>
      </w:r>
      <w:r w:rsidR="00FA390F" w:rsidRPr="00D8086C">
        <w:rPr>
          <w:rFonts w:asciiTheme="minorHAnsi" w:hAnsiTheme="minorHAnsi" w:cstheme="minorHAnsi"/>
        </w:rPr>
        <w:t>Appropriate Adult Schemes</w:t>
      </w:r>
      <w:r w:rsidR="002B5A33" w:rsidRPr="00D8086C">
        <w:rPr>
          <w:rFonts w:asciiTheme="minorHAnsi" w:hAnsiTheme="minorHAnsi" w:cstheme="minorHAnsi"/>
        </w:rPr>
        <w:t xml:space="preserve"> made little attempt in acknowledging or</w:t>
      </w:r>
      <w:r w:rsidR="00BD301F" w:rsidRPr="00D8086C">
        <w:rPr>
          <w:rFonts w:asciiTheme="minorHAnsi" w:hAnsiTheme="minorHAnsi" w:cstheme="minorHAnsi"/>
        </w:rPr>
        <w:t xml:space="preserve"> negotiating the power dynamic which exists between</w:t>
      </w:r>
      <w:r w:rsidR="001C4595" w:rsidRPr="00D8086C">
        <w:rPr>
          <w:rFonts w:asciiTheme="minorHAnsi" w:hAnsiTheme="minorHAnsi" w:cstheme="minorHAnsi"/>
        </w:rPr>
        <w:t xml:space="preserve"> professional/practitioners and service users.</w:t>
      </w:r>
    </w:p>
    <w:p w14:paraId="1B20AAD8" w14:textId="77777777" w:rsidR="00034E13" w:rsidRPr="00D8086C" w:rsidRDefault="00034E13" w:rsidP="00AA51B8">
      <w:pPr>
        <w:spacing w:line="360" w:lineRule="auto"/>
        <w:contextualSpacing/>
        <w:mirrorIndents/>
        <w:jc w:val="both"/>
        <w:rPr>
          <w:rFonts w:asciiTheme="minorHAnsi" w:hAnsiTheme="minorHAnsi" w:cstheme="minorHAnsi"/>
        </w:rPr>
      </w:pPr>
    </w:p>
    <w:p w14:paraId="1EAD0E9F" w14:textId="5184765F" w:rsidR="004768E4" w:rsidRPr="00D8086C" w:rsidRDefault="006003F2" w:rsidP="00AA51B8">
      <w:pPr>
        <w:spacing w:line="360" w:lineRule="auto"/>
        <w:contextualSpacing/>
        <w:mirrorIndents/>
        <w:jc w:val="both"/>
        <w:rPr>
          <w:rFonts w:asciiTheme="minorHAnsi" w:hAnsiTheme="minorHAnsi" w:cstheme="minorHAnsi"/>
          <w:b/>
          <w:bCs/>
        </w:rPr>
      </w:pPr>
      <w:r w:rsidRPr="00D8086C">
        <w:rPr>
          <w:rFonts w:asciiTheme="minorHAnsi" w:hAnsiTheme="minorHAnsi" w:cstheme="minorHAnsi"/>
          <w:b/>
          <w:bCs/>
        </w:rPr>
        <w:t xml:space="preserve">Service User Involvement in The Management of </w:t>
      </w:r>
      <w:r w:rsidR="00FA390F" w:rsidRPr="00D8086C">
        <w:rPr>
          <w:rFonts w:asciiTheme="minorHAnsi" w:hAnsiTheme="minorHAnsi" w:cstheme="minorHAnsi"/>
          <w:b/>
          <w:bCs/>
        </w:rPr>
        <w:t>Appropriate Adult Schemes</w:t>
      </w:r>
    </w:p>
    <w:p w14:paraId="5F743345" w14:textId="534CFE21" w:rsidR="00D4367D" w:rsidRPr="00D8086C" w:rsidRDefault="00D4367D" w:rsidP="00AA51B8">
      <w:pPr>
        <w:spacing w:line="360" w:lineRule="auto"/>
        <w:contextualSpacing/>
        <w:mirrorIndents/>
        <w:jc w:val="both"/>
        <w:rPr>
          <w:rFonts w:asciiTheme="minorHAnsi" w:hAnsiTheme="minorHAnsi" w:cstheme="minorHAnsi"/>
        </w:rPr>
      </w:pPr>
    </w:p>
    <w:p w14:paraId="0DAD900D" w14:textId="747BCF8A" w:rsidR="00B75D00" w:rsidRPr="00347E6F" w:rsidRDefault="003C4FAF" w:rsidP="00AA51B8">
      <w:pPr>
        <w:spacing w:line="360" w:lineRule="auto"/>
        <w:contextualSpacing/>
        <w:mirrorIndents/>
        <w:jc w:val="both"/>
        <w:rPr>
          <w:rFonts w:asciiTheme="minorHAnsi" w:hAnsiTheme="minorHAnsi" w:cstheme="minorHAnsi"/>
        </w:rPr>
      </w:pPr>
      <w:r w:rsidRPr="00727485">
        <w:rPr>
          <w:rFonts w:asciiTheme="minorHAnsi" w:hAnsiTheme="minorHAnsi" w:cstheme="minorHAnsi"/>
        </w:rPr>
        <w:t>As the</w:t>
      </w:r>
      <w:r w:rsidR="00642CB1" w:rsidRPr="00727485">
        <w:rPr>
          <w:rFonts w:asciiTheme="minorHAnsi" w:hAnsiTheme="minorHAnsi" w:cstheme="minorHAnsi"/>
        </w:rPr>
        <w:t xml:space="preserve"> National</w:t>
      </w:r>
      <w:r w:rsidRPr="00727485">
        <w:rPr>
          <w:rFonts w:asciiTheme="minorHAnsi" w:hAnsiTheme="minorHAnsi" w:cstheme="minorHAnsi"/>
        </w:rPr>
        <w:t xml:space="preserve"> </w:t>
      </w:r>
      <w:r w:rsidR="00642CB1" w:rsidRPr="00727485">
        <w:rPr>
          <w:rFonts w:asciiTheme="minorHAnsi" w:hAnsiTheme="minorHAnsi" w:cstheme="minorHAnsi"/>
        </w:rPr>
        <w:t>A</w:t>
      </w:r>
      <w:r w:rsidRPr="00727485">
        <w:rPr>
          <w:rFonts w:asciiTheme="minorHAnsi" w:hAnsiTheme="minorHAnsi" w:cstheme="minorHAnsi"/>
        </w:rPr>
        <w:t xml:space="preserve">ppropriate </w:t>
      </w:r>
      <w:r w:rsidR="00642CB1" w:rsidRPr="00727485">
        <w:rPr>
          <w:rFonts w:asciiTheme="minorHAnsi" w:hAnsiTheme="minorHAnsi" w:cstheme="minorHAnsi"/>
        </w:rPr>
        <w:t>A</w:t>
      </w:r>
      <w:r w:rsidRPr="00727485">
        <w:rPr>
          <w:rFonts w:asciiTheme="minorHAnsi" w:hAnsiTheme="minorHAnsi" w:cstheme="minorHAnsi"/>
        </w:rPr>
        <w:t xml:space="preserve">dult </w:t>
      </w:r>
      <w:r w:rsidR="00642CB1" w:rsidRPr="00727485">
        <w:rPr>
          <w:rFonts w:asciiTheme="minorHAnsi" w:hAnsiTheme="minorHAnsi" w:cstheme="minorHAnsi"/>
        </w:rPr>
        <w:t>N</w:t>
      </w:r>
      <w:r w:rsidRPr="00727485">
        <w:rPr>
          <w:rFonts w:asciiTheme="minorHAnsi" w:hAnsiTheme="minorHAnsi" w:cstheme="minorHAnsi"/>
        </w:rPr>
        <w:t xml:space="preserve">etwork advocates for services to use </w:t>
      </w:r>
      <w:proofErr w:type="spellStart"/>
      <w:r w:rsidRPr="00727485">
        <w:rPr>
          <w:rFonts w:asciiTheme="minorHAnsi" w:hAnsiTheme="minorHAnsi" w:cstheme="minorHAnsi"/>
        </w:rPr>
        <w:t>Arnstein’s</w:t>
      </w:r>
      <w:proofErr w:type="spellEnd"/>
      <w:r w:rsidR="00642CB1" w:rsidRPr="00727485">
        <w:rPr>
          <w:rFonts w:asciiTheme="minorHAnsi" w:hAnsiTheme="minorHAnsi" w:cstheme="minorHAnsi"/>
        </w:rPr>
        <w:t xml:space="preserve"> ladder of participation</w:t>
      </w:r>
      <w:r w:rsidRPr="00727485">
        <w:rPr>
          <w:rFonts w:asciiTheme="minorHAnsi" w:hAnsiTheme="minorHAnsi" w:cstheme="minorHAnsi"/>
        </w:rPr>
        <w:t xml:space="preserve"> (1969</w:t>
      </w:r>
      <w:r w:rsidR="003D3620" w:rsidRPr="00727485">
        <w:rPr>
          <w:rFonts w:asciiTheme="minorHAnsi" w:hAnsiTheme="minorHAnsi" w:cstheme="minorHAnsi"/>
        </w:rPr>
        <w:t>: 26</w:t>
      </w:r>
      <w:r w:rsidRPr="00727485">
        <w:rPr>
          <w:rFonts w:asciiTheme="minorHAnsi" w:hAnsiTheme="minorHAnsi" w:cstheme="minorHAnsi"/>
        </w:rPr>
        <w:t>)</w:t>
      </w:r>
      <w:r w:rsidR="008C5F2A" w:rsidRPr="00727485">
        <w:rPr>
          <w:rFonts w:asciiTheme="minorHAnsi" w:hAnsiTheme="minorHAnsi" w:cstheme="minorHAnsi"/>
        </w:rPr>
        <w:t xml:space="preserve"> </w:t>
      </w:r>
      <w:r w:rsidR="00E369B4" w:rsidRPr="00727485">
        <w:rPr>
          <w:rFonts w:asciiTheme="minorHAnsi" w:hAnsiTheme="minorHAnsi" w:cstheme="minorHAnsi"/>
        </w:rPr>
        <w:t>to</w:t>
      </w:r>
      <w:r w:rsidR="008C5F2A" w:rsidRPr="00727485">
        <w:rPr>
          <w:rFonts w:asciiTheme="minorHAnsi" w:hAnsiTheme="minorHAnsi" w:cstheme="minorHAnsi"/>
        </w:rPr>
        <w:t xml:space="preserve"> achieve </w:t>
      </w:r>
      <w:r w:rsidR="003D3620" w:rsidRPr="00727485">
        <w:rPr>
          <w:rFonts w:asciiTheme="minorHAnsi" w:hAnsiTheme="minorHAnsi" w:cstheme="minorHAnsi"/>
        </w:rPr>
        <w:t>a ‘</w:t>
      </w:r>
      <w:r w:rsidR="008C5F2A" w:rsidRPr="00727485">
        <w:rPr>
          <w:rFonts w:asciiTheme="minorHAnsi" w:hAnsiTheme="minorHAnsi" w:cstheme="minorHAnsi"/>
        </w:rPr>
        <w:t>degree of citizen power</w:t>
      </w:r>
      <w:r w:rsidR="003D3620" w:rsidRPr="00727485">
        <w:rPr>
          <w:rFonts w:asciiTheme="minorHAnsi" w:hAnsiTheme="minorHAnsi" w:cstheme="minorHAnsi"/>
        </w:rPr>
        <w:t>’</w:t>
      </w:r>
      <w:r w:rsidR="008C5F2A" w:rsidRPr="00727485">
        <w:rPr>
          <w:rFonts w:asciiTheme="minorHAnsi" w:hAnsiTheme="minorHAnsi" w:cstheme="minorHAnsi"/>
        </w:rPr>
        <w:t xml:space="preserve">, we can </w:t>
      </w:r>
      <w:r w:rsidR="00642CB1" w:rsidRPr="00727485">
        <w:rPr>
          <w:rFonts w:asciiTheme="minorHAnsi" w:hAnsiTheme="minorHAnsi" w:cstheme="minorHAnsi"/>
        </w:rPr>
        <w:t xml:space="preserve">assume </w:t>
      </w:r>
      <w:r w:rsidR="008C5F2A" w:rsidRPr="00727485">
        <w:rPr>
          <w:rFonts w:asciiTheme="minorHAnsi" w:hAnsiTheme="minorHAnsi" w:cstheme="minorHAnsi"/>
        </w:rPr>
        <w:t>that there is an aspiration for an</w:t>
      </w:r>
      <w:r w:rsidR="00E369B4" w:rsidRPr="00727485">
        <w:rPr>
          <w:rFonts w:asciiTheme="minorHAnsi" w:hAnsiTheme="minorHAnsi" w:cstheme="minorHAnsi"/>
        </w:rPr>
        <w:t xml:space="preserve"> Emancipation and Empowerment </w:t>
      </w:r>
      <w:r w:rsidR="00642CB1" w:rsidRPr="00727485">
        <w:rPr>
          <w:rFonts w:asciiTheme="minorHAnsi" w:hAnsiTheme="minorHAnsi" w:cstheme="minorHAnsi"/>
        </w:rPr>
        <w:t>approach</w:t>
      </w:r>
      <w:r w:rsidR="00E369B4" w:rsidRPr="00727485">
        <w:rPr>
          <w:rFonts w:asciiTheme="minorHAnsi" w:hAnsiTheme="minorHAnsi" w:cstheme="minorHAnsi"/>
        </w:rPr>
        <w:t xml:space="preserve"> </w:t>
      </w:r>
      <w:r w:rsidR="00642CB1" w:rsidRPr="00727485">
        <w:rPr>
          <w:rFonts w:asciiTheme="minorHAnsi" w:hAnsiTheme="minorHAnsi" w:cstheme="minorHAnsi"/>
        </w:rPr>
        <w:t>to</w:t>
      </w:r>
      <w:r w:rsidR="00E369B4" w:rsidRPr="00727485">
        <w:rPr>
          <w:rFonts w:asciiTheme="minorHAnsi" w:hAnsiTheme="minorHAnsi" w:cstheme="minorHAnsi"/>
        </w:rPr>
        <w:t xml:space="preserve"> involvement.</w:t>
      </w:r>
      <w:r w:rsidR="00642CB1" w:rsidRPr="00727485">
        <w:rPr>
          <w:rFonts w:asciiTheme="minorHAnsi" w:hAnsiTheme="minorHAnsi" w:cstheme="minorHAnsi"/>
        </w:rPr>
        <w:t xml:space="preserve"> From this perspective, </w:t>
      </w:r>
      <w:r w:rsidR="00F131EB" w:rsidRPr="00727485">
        <w:rPr>
          <w:rFonts w:asciiTheme="minorHAnsi" w:hAnsiTheme="minorHAnsi" w:cstheme="minorHAnsi"/>
        </w:rPr>
        <w:t>service users</w:t>
      </w:r>
      <w:r w:rsidR="00E6730E" w:rsidRPr="00727485">
        <w:rPr>
          <w:rFonts w:asciiTheme="minorHAnsi" w:hAnsiTheme="minorHAnsi" w:cstheme="minorHAnsi"/>
        </w:rPr>
        <w:t xml:space="preserve"> are </w:t>
      </w:r>
      <w:r w:rsidR="00642CB1" w:rsidRPr="00727485">
        <w:rPr>
          <w:rFonts w:asciiTheme="minorHAnsi" w:hAnsiTheme="minorHAnsi" w:cstheme="minorHAnsi"/>
        </w:rPr>
        <w:t xml:space="preserve">ideally </w:t>
      </w:r>
      <w:r w:rsidR="00E6730E" w:rsidRPr="00727485">
        <w:rPr>
          <w:rFonts w:asciiTheme="minorHAnsi" w:hAnsiTheme="minorHAnsi" w:cstheme="minorHAnsi"/>
        </w:rPr>
        <w:t xml:space="preserve">involved </w:t>
      </w:r>
      <w:r w:rsidR="00A4766C" w:rsidRPr="00727485">
        <w:rPr>
          <w:rFonts w:asciiTheme="minorHAnsi" w:hAnsiTheme="minorHAnsi" w:cstheme="minorHAnsi"/>
        </w:rPr>
        <w:t>at</w:t>
      </w:r>
      <w:r w:rsidR="00E6730E" w:rsidRPr="00727485">
        <w:rPr>
          <w:rFonts w:asciiTheme="minorHAnsi" w:hAnsiTheme="minorHAnsi" w:cstheme="minorHAnsi"/>
        </w:rPr>
        <w:t xml:space="preserve"> every stage of the service, </w:t>
      </w:r>
      <w:r w:rsidR="00B81248" w:rsidRPr="00727485">
        <w:rPr>
          <w:rFonts w:asciiTheme="minorHAnsi" w:hAnsiTheme="minorHAnsi" w:cstheme="minorHAnsi"/>
        </w:rPr>
        <w:t>as it is service users who are the experts of their own lives and their own experiences of services. Hence</w:t>
      </w:r>
      <w:r w:rsidR="00A4766C" w:rsidRPr="00727485">
        <w:rPr>
          <w:rFonts w:asciiTheme="minorHAnsi" w:hAnsiTheme="minorHAnsi" w:cstheme="minorHAnsi"/>
        </w:rPr>
        <w:t>,</w:t>
      </w:r>
      <w:r w:rsidR="00B81248" w:rsidRPr="00727485">
        <w:rPr>
          <w:rFonts w:asciiTheme="minorHAnsi" w:hAnsiTheme="minorHAnsi" w:cstheme="minorHAnsi"/>
        </w:rPr>
        <w:t xml:space="preserve"> it is this expertise </w:t>
      </w:r>
      <w:r w:rsidR="001E6FB4" w:rsidRPr="00727485">
        <w:rPr>
          <w:rFonts w:asciiTheme="minorHAnsi" w:hAnsiTheme="minorHAnsi" w:cstheme="minorHAnsi"/>
        </w:rPr>
        <w:t>that</w:t>
      </w:r>
      <w:r w:rsidR="00B81248" w:rsidRPr="00727485">
        <w:rPr>
          <w:rFonts w:asciiTheme="minorHAnsi" w:hAnsiTheme="minorHAnsi" w:cstheme="minorHAnsi"/>
        </w:rPr>
        <w:t xml:space="preserve"> is used to allow practitioners to facilitate t</w:t>
      </w:r>
      <w:r w:rsidR="00642CB1" w:rsidRPr="00727485">
        <w:rPr>
          <w:rFonts w:asciiTheme="minorHAnsi" w:hAnsiTheme="minorHAnsi" w:cstheme="minorHAnsi"/>
        </w:rPr>
        <w:t>he</w:t>
      </w:r>
      <w:r w:rsidR="00B81248" w:rsidRPr="00727485">
        <w:rPr>
          <w:rFonts w:asciiTheme="minorHAnsi" w:hAnsiTheme="minorHAnsi" w:cstheme="minorHAnsi"/>
        </w:rPr>
        <w:t xml:space="preserve"> develop</w:t>
      </w:r>
      <w:r w:rsidR="001E6FB4" w:rsidRPr="00727485">
        <w:rPr>
          <w:rFonts w:asciiTheme="minorHAnsi" w:hAnsiTheme="minorHAnsi" w:cstheme="minorHAnsi"/>
        </w:rPr>
        <w:t>ment</w:t>
      </w:r>
      <w:r w:rsidR="000C2839" w:rsidRPr="00727485">
        <w:rPr>
          <w:rFonts w:asciiTheme="minorHAnsi" w:hAnsiTheme="minorHAnsi" w:cstheme="minorHAnsi"/>
        </w:rPr>
        <w:t xml:space="preserve"> </w:t>
      </w:r>
      <w:r w:rsidR="001E6FB4" w:rsidRPr="00727485">
        <w:rPr>
          <w:rFonts w:asciiTheme="minorHAnsi" w:hAnsiTheme="minorHAnsi" w:cstheme="minorHAnsi"/>
        </w:rPr>
        <w:t xml:space="preserve">of </w:t>
      </w:r>
      <w:r w:rsidR="000C2839" w:rsidRPr="00727485">
        <w:rPr>
          <w:rFonts w:asciiTheme="minorHAnsi" w:hAnsiTheme="minorHAnsi" w:cstheme="minorHAnsi"/>
        </w:rPr>
        <w:t xml:space="preserve">effective and appropriate services. </w:t>
      </w:r>
      <w:r w:rsidR="00E369B4" w:rsidRPr="00A561B5">
        <w:rPr>
          <w:rFonts w:asciiTheme="minorHAnsi" w:hAnsiTheme="minorHAnsi" w:cstheme="minorHAnsi"/>
        </w:rPr>
        <w:t>To achieve Emancipation and Empowerment</w:t>
      </w:r>
      <w:r w:rsidR="00642CB1" w:rsidRPr="00A561B5">
        <w:rPr>
          <w:rFonts w:asciiTheme="minorHAnsi" w:hAnsiTheme="minorHAnsi" w:cstheme="minorHAnsi"/>
        </w:rPr>
        <w:t xml:space="preserve"> ideology</w:t>
      </w:r>
      <w:r w:rsidR="00E369B4" w:rsidRPr="00A561B5">
        <w:rPr>
          <w:rFonts w:asciiTheme="minorHAnsi" w:hAnsiTheme="minorHAnsi" w:cstheme="minorHAnsi"/>
        </w:rPr>
        <w:t xml:space="preserve"> </w:t>
      </w:r>
      <w:r w:rsidR="00642CB1" w:rsidRPr="00A561B5">
        <w:rPr>
          <w:rFonts w:asciiTheme="minorHAnsi" w:hAnsiTheme="minorHAnsi" w:cstheme="minorHAnsi"/>
        </w:rPr>
        <w:t>as a form of practice</w:t>
      </w:r>
      <w:r w:rsidR="00E369B4" w:rsidRPr="00A561B5">
        <w:rPr>
          <w:rFonts w:asciiTheme="minorHAnsi" w:hAnsiTheme="minorHAnsi" w:cstheme="minorHAnsi"/>
        </w:rPr>
        <w:t>, service users must be involved in every level of the organisation.</w:t>
      </w:r>
      <w:r w:rsidR="000C2839" w:rsidRPr="00A561B5">
        <w:rPr>
          <w:rFonts w:asciiTheme="minorHAnsi" w:hAnsiTheme="minorHAnsi" w:cstheme="minorHAnsi"/>
        </w:rPr>
        <w:t xml:space="preserve"> </w:t>
      </w:r>
      <w:r w:rsidR="00642CB1" w:rsidRPr="00347E6F">
        <w:rPr>
          <w:rFonts w:asciiTheme="minorHAnsi" w:hAnsiTheme="minorHAnsi" w:cstheme="minorHAnsi"/>
        </w:rPr>
        <w:t>T</w:t>
      </w:r>
      <w:r w:rsidR="00A35D3A" w:rsidRPr="00347E6F">
        <w:rPr>
          <w:rFonts w:asciiTheme="minorHAnsi" w:hAnsiTheme="minorHAnsi" w:cstheme="minorHAnsi"/>
        </w:rPr>
        <w:t xml:space="preserve">here was very little evidence to suggest that </w:t>
      </w:r>
      <w:r w:rsidR="00FA390F" w:rsidRPr="00347E6F">
        <w:rPr>
          <w:rFonts w:asciiTheme="minorHAnsi" w:hAnsiTheme="minorHAnsi" w:cstheme="minorHAnsi"/>
        </w:rPr>
        <w:t>Appropriate Adult Schemes</w:t>
      </w:r>
      <w:r w:rsidR="00A35D3A" w:rsidRPr="00347E6F">
        <w:rPr>
          <w:rFonts w:asciiTheme="minorHAnsi" w:hAnsiTheme="minorHAnsi" w:cstheme="minorHAnsi"/>
        </w:rPr>
        <w:t xml:space="preserve"> conceptualised service users as the expert or even as equal partners</w:t>
      </w:r>
      <w:r w:rsidR="00EB043C" w:rsidRPr="00347E6F">
        <w:rPr>
          <w:rFonts w:asciiTheme="minorHAnsi" w:hAnsiTheme="minorHAnsi" w:cstheme="minorHAnsi"/>
        </w:rPr>
        <w:t xml:space="preserve"> in service development or service provision</w:t>
      </w:r>
      <w:r w:rsidR="00642CB1" w:rsidRPr="00347E6F">
        <w:rPr>
          <w:rFonts w:asciiTheme="minorHAnsi" w:hAnsiTheme="minorHAnsi" w:cstheme="minorHAnsi"/>
        </w:rPr>
        <w:t>.</w:t>
      </w:r>
      <w:r w:rsidR="002D50F6" w:rsidRPr="00347E6F">
        <w:rPr>
          <w:rFonts w:asciiTheme="minorHAnsi" w:hAnsiTheme="minorHAnsi" w:cstheme="minorHAnsi"/>
        </w:rPr>
        <w:t xml:space="preserve"> </w:t>
      </w:r>
      <w:r w:rsidR="00642CB1" w:rsidRPr="00347E6F">
        <w:rPr>
          <w:rFonts w:asciiTheme="minorHAnsi" w:hAnsiTheme="minorHAnsi" w:cstheme="minorHAnsi"/>
        </w:rPr>
        <w:t>Only</w:t>
      </w:r>
      <w:r w:rsidR="002D50F6" w:rsidRPr="00347E6F">
        <w:rPr>
          <w:rFonts w:asciiTheme="minorHAnsi" w:hAnsiTheme="minorHAnsi" w:cstheme="minorHAnsi"/>
        </w:rPr>
        <w:t xml:space="preserve"> 5% of </w:t>
      </w:r>
      <w:r w:rsidR="00FA390F" w:rsidRPr="00347E6F">
        <w:rPr>
          <w:rFonts w:asciiTheme="minorHAnsi" w:hAnsiTheme="minorHAnsi" w:cstheme="minorHAnsi"/>
        </w:rPr>
        <w:t>Appropriate Adult Schemes</w:t>
      </w:r>
      <w:r w:rsidR="002D50F6" w:rsidRPr="00347E6F">
        <w:rPr>
          <w:rFonts w:asciiTheme="minorHAnsi" w:hAnsiTheme="minorHAnsi" w:cstheme="minorHAnsi"/>
        </w:rPr>
        <w:t xml:space="preserve"> attempted to actively involve service users in their steering groups</w:t>
      </w:r>
      <w:r w:rsidR="00642CB1" w:rsidRPr="00347E6F">
        <w:rPr>
          <w:rFonts w:asciiTheme="minorHAnsi" w:hAnsiTheme="minorHAnsi" w:cstheme="minorHAnsi"/>
        </w:rPr>
        <w:t>,</w:t>
      </w:r>
      <w:r w:rsidR="002D50F6" w:rsidRPr="00347E6F">
        <w:rPr>
          <w:rFonts w:asciiTheme="minorHAnsi" w:hAnsiTheme="minorHAnsi" w:cstheme="minorHAnsi"/>
        </w:rPr>
        <w:t xml:space="preserve"> </w:t>
      </w:r>
      <w:r w:rsidR="00642CB1" w:rsidRPr="00347E6F">
        <w:rPr>
          <w:rFonts w:asciiTheme="minorHAnsi" w:hAnsiTheme="minorHAnsi" w:cstheme="minorHAnsi"/>
        </w:rPr>
        <w:t xml:space="preserve">and 9% in </w:t>
      </w:r>
      <w:r w:rsidR="002D50F6" w:rsidRPr="00347E6F">
        <w:rPr>
          <w:rFonts w:asciiTheme="minorHAnsi" w:hAnsiTheme="minorHAnsi" w:cstheme="minorHAnsi"/>
        </w:rPr>
        <w:t>management committees (</w:t>
      </w:r>
      <w:r w:rsidR="009C65D0" w:rsidRPr="00347E6F">
        <w:rPr>
          <w:rFonts w:asciiTheme="minorHAnsi" w:hAnsiTheme="minorHAnsi" w:cstheme="minorHAnsi"/>
        </w:rPr>
        <w:t>see table 4)</w:t>
      </w:r>
      <w:r w:rsidR="00A1158C" w:rsidRPr="00347E6F">
        <w:rPr>
          <w:rFonts w:asciiTheme="minorHAnsi" w:hAnsiTheme="minorHAnsi" w:cstheme="minorHAnsi"/>
        </w:rPr>
        <w:t>.</w:t>
      </w:r>
      <w:r w:rsidR="00A4524E" w:rsidRPr="00347E6F">
        <w:rPr>
          <w:rFonts w:asciiTheme="minorHAnsi" w:hAnsiTheme="minorHAnsi" w:cstheme="minorHAnsi"/>
        </w:rPr>
        <w:t xml:space="preserve"> </w:t>
      </w:r>
    </w:p>
    <w:p w14:paraId="0D3D0840" w14:textId="77777777" w:rsidR="00001C8C" w:rsidRPr="00347E6F" w:rsidRDefault="00001C8C" w:rsidP="00AA51B8">
      <w:pPr>
        <w:spacing w:line="360" w:lineRule="auto"/>
        <w:contextualSpacing/>
        <w:mirrorIndents/>
        <w:jc w:val="both"/>
        <w:rPr>
          <w:rFonts w:asciiTheme="minorHAnsi" w:hAnsiTheme="minorHAnsi" w:cstheme="minorHAns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2394"/>
        <w:gridCol w:w="2078"/>
        <w:gridCol w:w="1396"/>
      </w:tblGrid>
      <w:tr w:rsidR="00001C8C" w:rsidRPr="004607A7" w14:paraId="2AAD0995" w14:textId="77777777" w:rsidTr="00835FD0">
        <w:tc>
          <w:tcPr>
            <w:tcW w:w="9026" w:type="dxa"/>
            <w:gridSpan w:val="4"/>
            <w:tcBorders>
              <w:bottom w:val="single" w:sz="4" w:space="0" w:color="auto"/>
            </w:tcBorders>
          </w:tcPr>
          <w:p w14:paraId="6F22F20F" w14:textId="77777777" w:rsidR="00001C8C" w:rsidRPr="00347E6F" w:rsidRDefault="00001C8C" w:rsidP="00835FD0">
            <w:pPr>
              <w:autoSpaceDE w:val="0"/>
              <w:autoSpaceDN w:val="0"/>
              <w:adjustRightInd w:val="0"/>
              <w:spacing w:line="480" w:lineRule="auto"/>
              <w:contextualSpacing/>
              <w:rPr>
                <w:rFonts w:cstheme="minorHAnsi"/>
              </w:rPr>
            </w:pPr>
            <w:r w:rsidRPr="00347E6F">
              <w:rPr>
                <w:rFonts w:cstheme="minorHAnsi"/>
                <w:i/>
              </w:rPr>
              <w:t xml:space="preserve">Table 4 </w:t>
            </w:r>
            <w:r w:rsidRPr="00347E6F">
              <w:rPr>
                <w:rFonts w:cstheme="minorHAnsi"/>
              </w:rPr>
              <w:t>Service User Involvement in Services</w:t>
            </w:r>
          </w:p>
        </w:tc>
      </w:tr>
      <w:tr w:rsidR="00001C8C" w:rsidRPr="004607A7" w14:paraId="3C6D2406" w14:textId="77777777" w:rsidTr="00835FD0">
        <w:tc>
          <w:tcPr>
            <w:tcW w:w="2606" w:type="dxa"/>
            <w:tcBorders>
              <w:top w:val="single" w:sz="4" w:space="0" w:color="auto"/>
              <w:bottom w:val="single" w:sz="4" w:space="0" w:color="auto"/>
            </w:tcBorders>
          </w:tcPr>
          <w:p w14:paraId="4B5574C4" w14:textId="77777777" w:rsidR="00001C8C" w:rsidRPr="004607A7" w:rsidRDefault="00001C8C" w:rsidP="00835FD0">
            <w:pPr>
              <w:spacing w:line="480" w:lineRule="auto"/>
              <w:contextualSpacing/>
              <w:rPr>
                <w:rFonts w:cstheme="minorHAnsi"/>
              </w:rPr>
            </w:pPr>
            <w:r w:rsidRPr="004607A7">
              <w:rPr>
                <w:rFonts w:cstheme="minorHAnsi"/>
              </w:rPr>
              <w:t>Variable Categories</w:t>
            </w:r>
          </w:p>
        </w:tc>
        <w:tc>
          <w:tcPr>
            <w:tcW w:w="2625" w:type="dxa"/>
            <w:tcBorders>
              <w:top w:val="single" w:sz="4" w:space="0" w:color="auto"/>
              <w:bottom w:val="single" w:sz="4" w:space="0" w:color="auto"/>
            </w:tcBorders>
          </w:tcPr>
          <w:p w14:paraId="286D62AA" w14:textId="77777777" w:rsidR="00001C8C" w:rsidRPr="004607A7" w:rsidRDefault="00001C8C" w:rsidP="00835FD0">
            <w:pPr>
              <w:spacing w:line="480" w:lineRule="auto"/>
              <w:contextualSpacing/>
              <w:rPr>
                <w:rFonts w:cstheme="minorHAnsi"/>
              </w:rPr>
            </w:pPr>
            <w:r w:rsidRPr="004607A7">
              <w:rPr>
                <w:rFonts w:cstheme="minorHAnsi"/>
              </w:rPr>
              <w:t>Variable Values</w:t>
            </w:r>
          </w:p>
        </w:tc>
        <w:tc>
          <w:tcPr>
            <w:tcW w:w="2222" w:type="dxa"/>
            <w:tcBorders>
              <w:top w:val="single" w:sz="4" w:space="0" w:color="auto"/>
              <w:bottom w:val="single" w:sz="4" w:space="0" w:color="auto"/>
            </w:tcBorders>
          </w:tcPr>
          <w:p w14:paraId="076ED6F9" w14:textId="77777777" w:rsidR="00001C8C" w:rsidRPr="004607A7" w:rsidRDefault="00001C8C" w:rsidP="00835FD0">
            <w:pPr>
              <w:spacing w:line="480" w:lineRule="auto"/>
              <w:contextualSpacing/>
              <w:jc w:val="right"/>
              <w:rPr>
                <w:rFonts w:cstheme="minorHAnsi"/>
              </w:rPr>
            </w:pPr>
            <w:r w:rsidRPr="004607A7">
              <w:rPr>
                <w:rFonts w:cstheme="minorHAnsi"/>
              </w:rPr>
              <w:t>Percentage</w:t>
            </w:r>
          </w:p>
        </w:tc>
        <w:tc>
          <w:tcPr>
            <w:tcW w:w="1573" w:type="dxa"/>
            <w:tcBorders>
              <w:top w:val="single" w:sz="4" w:space="0" w:color="auto"/>
              <w:bottom w:val="single" w:sz="4" w:space="0" w:color="auto"/>
            </w:tcBorders>
          </w:tcPr>
          <w:p w14:paraId="4239BF4F" w14:textId="77777777" w:rsidR="00001C8C" w:rsidRPr="004607A7" w:rsidRDefault="00001C8C" w:rsidP="00835FD0">
            <w:pPr>
              <w:spacing w:line="480" w:lineRule="auto"/>
              <w:contextualSpacing/>
              <w:jc w:val="right"/>
              <w:rPr>
                <w:rFonts w:cstheme="minorHAnsi"/>
              </w:rPr>
            </w:pPr>
            <w:r w:rsidRPr="004607A7">
              <w:rPr>
                <w:rFonts w:cstheme="minorHAnsi"/>
              </w:rPr>
              <w:t>n</w:t>
            </w:r>
          </w:p>
        </w:tc>
      </w:tr>
      <w:tr w:rsidR="00001C8C" w:rsidRPr="004607A7" w14:paraId="725DE32D" w14:textId="77777777" w:rsidTr="00835FD0">
        <w:tc>
          <w:tcPr>
            <w:tcW w:w="2606" w:type="dxa"/>
            <w:tcBorders>
              <w:top w:val="single" w:sz="4" w:space="0" w:color="auto"/>
            </w:tcBorders>
          </w:tcPr>
          <w:p w14:paraId="420BCA5A" w14:textId="77777777" w:rsidR="00001C8C" w:rsidRPr="004607A7" w:rsidRDefault="00001C8C" w:rsidP="00835FD0">
            <w:pPr>
              <w:autoSpaceDE w:val="0"/>
              <w:autoSpaceDN w:val="0"/>
              <w:adjustRightInd w:val="0"/>
              <w:spacing w:line="480" w:lineRule="auto"/>
              <w:contextualSpacing/>
              <w:rPr>
                <w:rFonts w:cstheme="minorHAnsi"/>
              </w:rPr>
            </w:pPr>
          </w:p>
        </w:tc>
        <w:tc>
          <w:tcPr>
            <w:tcW w:w="2625" w:type="dxa"/>
            <w:tcBorders>
              <w:top w:val="single" w:sz="4" w:space="0" w:color="auto"/>
            </w:tcBorders>
          </w:tcPr>
          <w:p w14:paraId="595EC62C" w14:textId="77777777" w:rsidR="00001C8C" w:rsidRPr="004607A7" w:rsidRDefault="00001C8C" w:rsidP="00835FD0">
            <w:pPr>
              <w:autoSpaceDE w:val="0"/>
              <w:autoSpaceDN w:val="0"/>
              <w:adjustRightInd w:val="0"/>
              <w:spacing w:line="480" w:lineRule="auto"/>
              <w:contextualSpacing/>
              <w:rPr>
                <w:rFonts w:cstheme="minorHAnsi"/>
              </w:rPr>
            </w:pPr>
          </w:p>
        </w:tc>
        <w:tc>
          <w:tcPr>
            <w:tcW w:w="2222" w:type="dxa"/>
            <w:tcBorders>
              <w:top w:val="single" w:sz="4" w:space="0" w:color="auto"/>
            </w:tcBorders>
          </w:tcPr>
          <w:p w14:paraId="23E559E8" w14:textId="77777777" w:rsidR="00001C8C" w:rsidRPr="004607A7" w:rsidRDefault="00001C8C" w:rsidP="00835FD0">
            <w:pPr>
              <w:autoSpaceDE w:val="0"/>
              <w:autoSpaceDN w:val="0"/>
              <w:adjustRightInd w:val="0"/>
              <w:spacing w:line="480" w:lineRule="auto"/>
              <w:contextualSpacing/>
              <w:rPr>
                <w:rFonts w:cstheme="minorHAnsi"/>
              </w:rPr>
            </w:pPr>
          </w:p>
        </w:tc>
        <w:tc>
          <w:tcPr>
            <w:tcW w:w="1573" w:type="dxa"/>
            <w:tcBorders>
              <w:top w:val="single" w:sz="4" w:space="0" w:color="auto"/>
            </w:tcBorders>
          </w:tcPr>
          <w:p w14:paraId="30B6DD8B" w14:textId="77777777" w:rsidR="00001C8C" w:rsidRPr="004607A7" w:rsidRDefault="00001C8C" w:rsidP="00835FD0">
            <w:pPr>
              <w:autoSpaceDE w:val="0"/>
              <w:autoSpaceDN w:val="0"/>
              <w:adjustRightInd w:val="0"/>
              <w:spacing w:line="480" w:lineRule="auto"/>
              <w:contextualSpacing/>
              <w:rPr>
                <w:rFonts w:cstheme="minorHAnsi"/>
              </w:rPr>
            </w:pPr>
          </w:p>
        </w:tc>
      </w:tr>
      <w:tr w:rsidR="00001C8C" w:rsidRPr="004607A7" w14:paraId="224919FF" w14:textId="77777777" w:rsidTr="00835FD0">
        <w:tc>
          <w:tcPr>
            <w:tcW w:w="2606" w:type="dxa"/>
          </w:tcPr>
          <w:p w14:paraId="16E132B5" w14:textId="77777777" w:rsidR="00001C8C" w:rsidRPr="004607A7" w:rsidRDefault="00001C8C" w:rsidP="00835FD0">
            <w:pPr>
              <w:autoSpaceDE w:val="0"/>
              <w:autoSpaceDN w:val="0"/>
              <w:adjustRightInd w:val="0"/>
              <w:spacing w:line="480" w:lineRule="auto"/>
              <w:contextualSpacing/>
              <w:rPr>
                <w:rFonts w:cstheme="minorHAnsi"/>
              </w:rPr>
            </w:pPr>
            <w:r w:rsidRPr="004607A7">
              <w:rPr>
                <w:rFonts w:cstheme="minorHAnsi"/>
              </w:rPr>
              <w:t>Involvement in steering</w:t>
            </w:r>
          </w:p>
        </w:tc>
        <w:tc>
          <w:tcPr>
            <w:tcW w:w="2625" w:type="dxa"/>
          </w:tcPr>
          <w:p w14:paraId="5862F8E2" w14:textId="77777777" w:rsidR="00001C8C" w:rsidRPr="004607A7" w:rsidRDefault="00001C8C" w:rsidP="00835FD0">
            <w:pPr>
              <w:spacing w:line="480" w:lineRule="auto"/>
              <w:contextualSpacing/>
              <w:rPr>
                <w:rFonts w:cstheme="minorHAnsi"/>
              </w:rPr>
            </w:pPr>
            <w:r w:rsidRPr="004607A7">
              <w:rPr>
                <w:rFonts w:cstheme="minorHAnsi"/>
              </w:rPr>
              <w:t>Not at all</w:t>
            </w:r>
          </w:p>
        </w:tc>
        <w:tc>
          <w:tcPr>
            <w:tcW w:w="2222" w:type="dxa"/>
          </w:tcPr>
          <w:p w14:paraId="67F2D99B" w14:textId="77777777" w:rsidR="00001C8C" w:rsidRPr="004607A7" w:rsidRDefault="00001C8C" w:rsidP="00835FD0">
            <w:pPr>
              <w:spacing w:line="480" w:lineRule="auto"/>
              <w:contextualSpacing/>
              <w:jc w:val="right"/>
              <w:rPr>
                <w:rFonts w:cstheme="minorHAnsi"/>
              </w:rPr>
            </w:pPr>
            <w:r w:rsidRPr="004607A7">
              <w:rPr>
                <w:rFonts w:cstheme="minorHAnsi"/>
              </w:rPr>
              <w:t>72.1</w:t>
            </w:r>
          </w:p>
        </w:tc>
        <w:tc>
          <w:tcPr>
            <w:tcW w:w="1573" w:type="dxa"/>
          </w:tcPr>
          <w:p w14:paraId="6A92F18A" w14:textId="77777777" w:rsidR="00001C8C" w:rsidRPr="004607A7" w:rsidRDefault="00001C8C" w:rsidP="00835FD0">
            <w:pPr>
              <w:spacing w:line="480" w:lineRule="auto"/>
              <w:contextualSpacing/>
              <w:jc w:val="right"/>
              <w:rPr>
                <w:rFonts w:cstheme="minorHAnsi"/>
              </w:rPr>
            </w:pPr>
            <w:r w:rsidRPr="004607A7">
              <w:rPr>
                <w:rFonts w:cstheme="minorHAnsi"/>
              </w:rPr>
              <w:t>31</w:t>
            </w:r>
          </w:p>
        </w:tc>
      </w:tr>
      <w:tr w:rsidR="00001C8C" w:rsidRPr="004607A7" w14:paraId="336CBE68" w14:textId="77777777" w:rsidTr="00835FD0">
        <w:tc>
          <w:tcPr>
            <w:tcW w:w="2606" w:type="dxa"/>
          </w:tcPr>
          <w:p w14:paraId="6976FD76" w14:textId="77777777" w:rsidR="00001C8C" w:rsidRPr="004607A7" w:rsidRDefault="00001C8C" w:rsidP="00835FD0">
            <w:pPr>
              <w:autoSpaceDE w:val="0"/>
              <w:autoSpaceDN w:val="0"/>
              <w:adjustRightInd w:val="0"/>
              <w:spacing w:line="480" w:lineRule="auto"/>
              <w:contextualSpacing/>
              <w:rPr>
                <w:rFonts w:cstheme="minorHAnsi"/>
              </w:rPr>
            </w:pPr>
            <w:r w:rsidRPr="004607A7">
              <w:rPr>
                <w:rFonts w:cstheme="minorHAnsi"/>
              </w:rPr>
              <w:t>groups</w:t>
            </w:r>
          </w:p>
        </w:tc>
        <w:tc>
          <w:tcPr>
            <w:tcW w:w="2625" w:type="dxa"/>
          </w:tcPr>
          <w:p w14:paraId="14E6900E" w14:textId="77777777" w:rsidR="00001C8C" w:rsidRPr="004607A7" w:rsidRDefault="00001C8C" w:rsidP="00835FD0">
            <w:pPr>
              <w:spacing w:line="480" w:lineRule="auto"/>
              <w:contextualSpacing/>
              <w:rPr>
                <w:rFonts w:cstheme="minorHAnsi"/>
              </w:rPr>
            </w:pPr>
            <w:r w:rsidRPr="004607A7">
              <w:rPr>
                <w:rFonts w:cstheme="minorHAnsi"/>
              </w:rPr>
              <w:t>They are consulted</w:t>
            </w:r>
          </w:p>
        </w:tc>
        <w:tc>
          <w:tcPr>
            <w:tcW w:w="2222" w:type="dxa"/>
          </w:tcPr>
          <w:p w14:paraId="6C312A0C" w14:textId="77777777" w:rsidR="00001C8C" w:rsidRPr="004607A7" w:rsidRDefault="00001C8C" w:rsidP="00835FD0">
            <w:pPr>
              <w:spacing w:line="480" w:lineRule="auto"/>
              <w:contextualSpacing/>
              <w:jc w:val="right"/>
              <w:rPr>
                <w:rFonts w:cstheme="minorHAnsi"/>
              </w:rPr>
            </w:pPr>
            <w:r w:rsidRPr="004607A7">
              <w:rPr>
                <w:rFonts w:cstheme="minorHAnsi"/>
              </w:rPr>
              <w:t>23.3</w:t>
            </w:r>
          </w:p>
        </w:tc>
        <w:tc>
          <w:tcPr>
            <w:tcW w:w="1573" w:type="dxa"/>
          </w:tcPr>
          <w:p w14:paraId="3526FAB5" w14:textId="77777777" w:rsidR="00001C8C" w:rsidRPr="004607A7" w:rsidRDefault="00001C8C" w:rsidP="00835FD0">
            <w:pPr>
              <w:spacing w:line="480" w:lineRule="auto"/>
              <w:contextualSpacing/>
              <w:jc w:val="right"/>
              <w:rPr>
                <w:rFonts w:cstheme="minorHAnsi"/>
              </w:rPr>
            </w:pPr>
            <w:r w:rsidRPr="004607A7">
              <w:rPr>
                <w:rFonts w:cstheme="minorHAnsi"/>
              </w:rPr>
              <w:t>10</w:t>
            </w:r>
          </w:p>
        </w:tc>
      </w:tr>
      <w:tr w:rsidR="00001C8C" w:rsidRPr="004607A7" w14:paraId="7FE07B14" w14:textId="77777777" w:rsidTr="00835FD0">
        <w:tc>
          <w:tcPr>
            <w:tcW w:w="2606" w:type="dxa"/>
          </w:tcPr>
          <w:p w14:paraId="6DD16EA6" w14:textId="77777777" w:rsidR="00001C8C" w:rsidRPr="004607A7" w:rsidRDefault="00001C8C" w:rsidP="00835FD0">
            <w:pPr>
              <w:autoSpaceDE w:val="0"/>
              <w:autoSpaceDN w:val="0"/>
              <w:adjustRightInd w:val="0"/>
              <w:spacing w:line="480" w:lineRule="auto"/>
              <w:contextualSpacing/>
              <w:rPr>
                <w:rFonts w:cstheme="minorHAnsi"/>
              </w:rPr>
            </w:pPr>
          </w:p>
        </w:tc>
        <w:tc>
          <w:tcPr>
            <w:tcW w:w="2625" w:type="dxa"/>
          </w:tcPr>
          <w:p w14:paraId="168ED277" w14:textId="77777777" w:rsidR="00001C8C" w:rsidRPr="004607A7" w:rsidRDefault="00001C8C" w:rsidP="00835FD0">
            <w:pPr>
              <w:spacing w:line="480" w:lineRule="auto"/>
              <w:contextualSpacing/>
              <w:rPr>
                <w:rFonts w:cstheme="minorHAnsi"/>
              </w:rPr>
            </w:pPr>
            <w:r w:rsidRPr="004607A7">
              <w:rPr>
                <w:rFonts w:cstheme="minorHAnsi"/>
              </w:rPr>
              <w:t>They are actively involved</w:t>
            </w:r>
          </w:p>
        </w:tc>
        <w:tc>
          <w:tcPr>
            <w:tcW w:w="2222" w:type="dxa"/>
          </w:tcPr>
          <w:p w14:paraId="002CD1F6" w14:textId="77777777" w:rsidR="00001C8C" w:rsidRPr="004607A7" w:rsidRDefault="00001C8C" w:rsidP="00835FD0">
            <w:pPr>
              <w:spacing w:line="480" w:lineRule="auto"/>
              <w:contextualSpacing/>
              <w:jc w:val="right"/>
              <w:rPr>
                <w:rFonts w:cstheme="minorHAnsi"/>
              </w:rPr>
            </w:pPr>
            <w:r w:rsidRPr="004607A7">
              <w:rPr>
                <w:rFonts w:cstheme="minorHAnsi"/>
              </w:rPr>
              <w:t>4.7</w:t>
            </w:r>
          </w:p>
        </w:tc>
        <w:tc>
          <w:tcPr>
            <w:tcW w:w="1573" w:type="dxa"/>
          </w:tcPr>
          <w:p w14:paraId="527F7CB8" w14:textId="77777777" w:rsidR="00001C8C" w:rsidRPr="004607A7" w:rsidRDefault="00001C8C" w:rsidP="00835FD0">
            <w:pPr>
              <w:spacing w:line="480" w:lineRule="auto"/>
              <w:contextualSpacing/>
              <w:jc w:val="right"/>
              <w:rPr>
                <w:rFonts w:cstheme="minorHAnsi"/>
              </w:rPr>
            </w:pPr>
            <w:r w:rsidRPr="004607A7">
              <w:rPr>
                <w:rFonts w:cstheme="minorHAnsi"/>
              </w:rPr>
              <w:t>2</w:t>
            </w:r>
          </w:p>
        </w:tc>
      </w:tr>
      <w:tr w:rsidR="00001C8C" w:rsidRPr="004607A7" w14:paraId="1AC0B75A" w14:textId="77777777" w:rsidTr="00835FD0">
        <w:tc>
          <w:tcPr>
            <w:tcW w:w="2606" w:type="dxa"/>
          </w:tcPr>
          <w:p w14:paraId="61DEAD7E" w14:textId="77777777" w:rsidR="00001C8C" w:rsidRPr="004607A7" w:rsidRDefault="00001C8C" w:rsidP="00835FD0">
            <w:pPr>
              <w:autoSpaceDE w:val="0"/>
              <w:autoSpaceDN w:val="0"/>
              <w:adjustRightInd w:val="0"/>
              <w:spacing w:line="480" w:lineRule="auto"/>
              <w:contextualSpacing/>
              <w:rPr>
                <w:rFonts w:cstheme="minorHAnsi"/>
              </w:rPr>
            </w:pPr>
          </w:p>
        </w:tc>
        <w:tc>
          <w:tcPr>
            <w:tcW w:w="2625" w:type="dxa"/>
          </w:tcPr>
          <w:p w14:paraId="36B2A519" w14:textId="77777777" w:rsidR="00001C8C" w:rsidRPr="004607A7" w:rsidRDefault="00001C8C" w:rsidP="00835FD0">
            <w:pPr>
              <w:autoSpaceDE w:val="0"/>
              <w:autoSpaceDN w:val="0"/>
              <w:adjustRightInd w:val="0"/>
              <w:spacing w:line="480" w:lineRule="auto"/>
              <w:contextualSpacing/>
              <w:rPr>
                <w:rFonts w:cstheme="minorHAnsi"/>
              </w:rPr>
            </w:pPr>
            <w:r w:rsidRPr="004607A7">
              <w:rPr>
                <w:rFonts w:cstheme="minorHAnsi"/>
              </w:rPr>
              <w:t>Total</w:t>
            </w:r>
          </w:p>
        </w:tc>
        <w:tc>
          <w:tcPr>
            <w:tcW w:w="2222" w:type="dxa"/>
          </w:tcPr>
          <w:p w14:paraId="7E748040" w14:textId="77777777" w:rsidR="00001C8C" w:rsidRPr="004607A7" w:rsidRDefault="00001C8C" w:rsidP="00835FD0">
            <w:pPr>
              <w:autoSpaceDE w:val="0"/>
              <w:autoSpaceDN w:val="0"/>
              <w:adjustRightInd w:val="0"/>
              <w:spacing w:line="480" w:lineRule="auto"/>
              <w:contextualSpacing/>
              <w:jc w:val="right"/>
              <w:rPr>
                <w:rFonts w:cstheme="minorHAnsi"/>
              </w:rPr>
            </w:pPr>
            <w:r w:rsidRPr="004607A7">
              <w:rPr>
                <w:rFonts w:cstheme="minorHAnsi"/>
              </w:rPr>
              <w:t>100%</w:t>
            </w:r>
          </w:p>
        </w:tc>
        <w:tc>
          <w:tcPr>
            <w:tcW w:w="1573" w:type="dxa"/>
          </w:tcPr>
          <w:p w14:paraId="56692517" w14:textId="77777777" w:rsidR="00001C8C" w:rsidRPr="004607A7" w:rsidRDefault="00001C8C" w:rsidP="00835FD0">
            <w:pPr>
              <w:autoSpaceDE w:val="0"/>
              <w:autoSpaceDN w:val="0"/>
              <w:adjustRightInd w:val="0"/>
              <w:spacing w:line="480" w:lineRule="auto"/>
              <w:contextualSpacing/>
              <w:jc w:val="right"/>
              <w:rPr>
                <w:rFonts w:cstheme="minorHAnsi"/>
              </w:rPr>
            </w:pPr>
            <w:r w:rsidRPr="004607A7">
              <w:rPr>
                <w:rFonts w:cstheme="minorHAnsi"/>
              </w:rPr>
              <w:t>43</w:t>
            </w:r>
          </w:p>
        </w:tc>
      </w:tr>
      <w:tr w:rsidR="00001C8C" w:rsidRPr="004607A7" w14:paraId="55D5DB7B" w14:textId="77777777" w:rsidTr="00835FD0">
        <w:tc>
          <w:tcPr>
            <w:tcW w:w="2606" w:type="dxa"/>
          </w:tcPr>
          <w:p w14:paraId="6E46C2EC" w14:textId="77777777" w:rsidR="00001C8C" w:rsidRPr="004607A7" w:rsidRDefault="00001C8C" w:rsidP="00835FD0">
            <w:pPr>
              <w:autoSpaceDE w:val="0"/>
              <w:autoSpaceDN w:val="0"/>
              <w:adjustRightInd w:val="0"/>
              <w:spacing w:line="480" w:lineRule="auto"/>
              <w:contextualSpacing/>
              <w:rPr>
                <w:rFonts w:cstheme="minorHAnsi"/>
              </w:rPr>
            </w:pPr>
          </w:p>
        </w:tc>
        <w:tc>
          <w:tcPr>
            <w:tcW w:w="2625" w:type="dxa"/>
          </w:tcPr>
          <w:p w14:paraId="2BB0BFA9" w14:textId="77777777" w:rsidR="00001C8C" w:rsidRPr="004607A7" w:rsidRDefault="00001C8C" w:rsidP="00835FD0">
            <w:pPr>
              <w:autoSpaceDE w:val="0"/>
              <w:autoSpaceDN w:val="0"/>
              <w:adjustRightInd w:val="0"/>
              <w:spacing w:line="480" w:lineRule="auto"/>
              <w:contextualSpacing/>
              <w:rPr>
                <w:rFonts w:cstheme="minorHAnsi"/>
              </w:rPr>
            </w:pPr>
          </w:p>
        </w:tc>
        <w:tc>
          <w:tcPr>
            <w:tcW w:w="2222" w:type="dxa"/>
          </w:tcPr>
          <w:p w14:paraId="36B58DD6" w14:textId="77777777" w:rsidR="00001C8C" w:rsidRPr="004607A7" w:rsidRDefault="00001C8C" w:rsidP="00835FD0">
            <w:pPr>
              <w:autoSpaceDE w:val="0"/>
              <w:autoSpaceDN w:val="0"/>
              <w:adjustRightInd w:val="0"/>
              <w:spacing w:line="480" w:lineRule="auto"/>
              <w:contextualSpacing/>
              <w:jc w:val="right"/>
              <w:rPr>
                <w:rFonts w:cstheme="minorHAnsi"/>
              </w:rPr>
            </w:pPr>
          </w:p>
        </w:tc>
        <w:tc>
          <w:tcPr>
            <w:tcW w:w="1573" w:type="dxa"/>
          </w:tcPr>
          <w:p w14:paraId="6E0F239B" w14:textId="77777777" w:rsidR="00001C8C" w:rsidRPr="004607A7" w:rsidRDefault="00001C8C" w:rsidP="00835FD0">
            <w:pPr>
              <w:autoSpaceDE w:val="0"/>
              <w:autoSpaceDN w:val="0"/>
              <w:adjustRightInd w:val="0"/>
              <w:spacing w:line="480" w:lineRule="auto"/>
              <w:contextualSpacing/>
              <w:jc w:val="right"/>
              <w:rPr>
                <w:rFonts w:cstheme="minorHAnsi"/>
              </w:rPr>
            </w:pPr>
          </w:p>
        </w:tc>
      </w:tr>
      <w:tr w:rsidR="00001C8C" w:rsidRPr="004607A7" w14:paraId="3D02C04F" w14:textId="77777777" w:rsidTr="00835FD0">
        <w:tc>
          <w:tcPr>
            <w:tcW w:w="2606" w:type="dxa"/>
          </w:tcPr>
          <w:p w14:paraId="0851E65D" w14:textId="77777777" w:rsidR="00001C8C" w:rsidRPr="004607A7" w:rsidRDefault="00001C8C" w:rsidP="00835FD0">
            <w:pPr>
              <w:autoSpaceDE w:val="0"/>
              <w:autoSpaceDN w:val="0"/>
              <w:adjustRightInd w:val="0"/>
              <w:spacing w:line="480" w:lineRule="auto"/>
              <w:contextualSpacing/>
              <w:rPr>
                <w:rFonts w:cstheme="minorHAnsi"/>
              </w:rPr>
            </w:pPr>
            <w:r w:rsidRPr="004607A7">
              <w:rPr>
                <w:rFonts w:cstheme="minorHAnsi"/>
              </w:rPr>
              <w:t>Involvement in service</w:t>
            </w:r>
          </w:p>
        </w:tc>
        <w:tc>
          <w:tcPr>
            <w:tcW w:w="2625" w:type="dxa"/>
          </w:tcPr>
          <w:p w14:paraId="48FF27BF" w14:textId="77777777" w:rsidR="00001C8C" w:rsidRPr="004607A7" w:rsidRDefault="00001C8C" w:rsidP="00835FD0">
            <w:pPr>
              <w:spacing w:line="480" w:lineRule="auto"/>
              <w:contextualSpacing/>
              <w:rPr>
                <w:rFonts w:cstheme="minorHAnsi"/>
              </w:rPr>
            </w:pPr>
            <w:r w:rsidRPr="004607A7">
              <w:rPr>
                <w:rFonts w:cstheme="minorHAnsi"/>
              </w:rPr>
              <w:t>Not at all</w:t>
            </w:r>
          </w:p>
        </w:tc>
        <w:tc>
          <w:tcPr>
            <w:tcW w:w="2222" w:type="dxa"/>
          </w:tcPr>
          <w:p w14:paraId="7FA4996F" w14:textId="77777777" w:rsidR="00001C8C" w:rsidRPr="004607A7" w:rsidRDefault="00001C8C" w:rsidP="00835FD0">
            <w:pPr>
              <w:spacing w:line="480" w:lineRule="auto"/>
              <w:contextualSpacing/>
              <w:jc w:val="right"/>
              <w:rPr>
                <w:rFonts w:cstheme="minorHAnsi"/>
              </w:rPr>
            </w:pPr>
            <w:r w:rsidRPr="004607A7">
              <w:rPr>
                <w:rFonts w:cstheme="minorHAnsi"/>
              </w:rPr>
              <w:t>72.1</w:t>
            </w:r>
          </w:p>
        </w:tc>
        <w:tc>
          <w:tcPr>
            <w:tcW w:w="1573" w:type="dxa"/>
          </w:tcPr>
          <w:p w14:paraId="689F295D" w14:textId="77777777" w:rsidR="00001C8C" w:rsidRPr="004607A7" w:rsidRDefault="00001C8C" w:rsidP="00835FD0">
            <w:pPr>
              <w:spacing w:line="480" w:lineRule="auto"/>
              <w:contextualSpacing/>
              <w:jc w:val="right"/>
              <w:rPr>
                <w:rFonts w:cstheme="minorHAnsi"/>
              </w:rPr>
            </w:pPr>
            <w:r w:rsidRPr="004607A7">
              <w:rPr>
                <w:rFonts w:cstheme="minorHAnsi"/>
              </w:rPr>
              <w:t>31</w:t>
            </w:r>
          </w:p>
        </w:tc>
      </w:tr>
      <w:tr w:rsidR="00001C8C" w:rsidRPr="004607A7" w14:paraId="601ACD0C" w14:textId="77777777" w:rsidTr="00835FD0">
        <w:tc>
          <w:tcPr>
            <w:tcW w:w="2606" w:type="dxa"/>
          </w:tcPr>
          <w:p w14:paraId="2D986347" w14:textId="77777777" w:rsidR="00001C8C" w:rsidRPr="004607A7" w:rsidRDefault="00001C8C" w:rsidP="00835FD0">
            <w:pPr>
              <w:tabs>
                <w:tab w:val="left" w:pos="1605"/>
              </w:tabs>
              <w:autoSpaceDE w:val="0"/>
              <w:autoSpaceDN w:val="0"/>
              <w:adjustRightInd w:val="0"/>
              <w:spacing w:line="480" w:lineRule="auto"/>
              <w:contextualSpacing/>
              <w:rPr>
                <w:rFonts w:cstheme="minorHAnsi"/>
              </w:rPr>
            </w:pPr>
            <w:r w:rsidRPr="004607A7">
              <w:rPr>
                <w:rFonts w:cstheme="minorHAnsi"/>
              </w:rPr>
              <w:t>management committees</w:t>
            </w:r>
            <w:r w:rsidRPr="004607A7">
              <w:rPr>
                <w:rFonts w:cstheme="minorHAnsi"/>
              </w:rPr>
              <w:tab/>
            </w:r>
          </w:p>
        </w:tc>
        <w:tc>
          <w:tcPr>
            <w:tcW w:w="2625" w:type="dxa"/>
          </w:tcPr>
          <w:p w14:paraId="4A2566B2" w14:textId="77777777" w:rsidR="00001C8C" w:rsidRPr="004607A7" w:rsidRDefault="00001C8C" w:rsidP="00835FD0">
            <w:pPr>
              <w:spacing w:line="480" w:lineRule="auto"/>
              <w:contextualSpacing/>
              <w:rPr>
                <w:rFonts w:cstheme="minorHAnsi"/>
              </w:rPr>
            </w:pPr>
            <w:r w:rsidRPr="004607A7">
              <w:rPr>
                <w:rFonts w:cstheme="minorHAnsi"/>
              </w:rPr>
              <w:t>They are consulted</w:t>
            </w:r>
          </w:p>
        </w:tc>
        <w:tc>
          <w:tcPr>
            <w:tcW w:w="2222" w:type="dxa"/>
          </w:tcPr>
          <w:p w14:paraId="17E19495" w14:textId="77777777" w:rsidR="00001C8C" w:rsidRPr="004607A7" w:rsidRDefault="00001C8C" w:rsidP="00835FD0">
            <w:pPr>
              <w:spacing w:line="480" w:lineRule="auto"/>
              <w:contextualSpacing/>
              <w:jc w:val="right"/>
              <w:rPr>
                <w:rFonts w:cstheme="minorHAnsi"/>
              </w:rPr>
            </w:pPr>
            <w:r w:rsidRPr="004607A7">
              <w:rPr>
                <w:rFonts w:cstheme="minorHAnsi"/>
              </w:rPr>
              <w:t>18.6</w:t>
            </w:r>
          </w:p>
        </w:tc>
        <w:tc>
          <w:tcPr>
            <w:tcW w:w="1573" w:type="dxa"/>
          </w:tcPr>
          <w:p w14:paraId="440DCA68" w14:textId="77777777" w:rsidR="00001C8C" w:rsidRPr="004607A7" w:rsidRDefault="00001C8C" w:rsidP="00835FD0">
            <w:pPr>
              <w:spacing w:line="480" w:lineRule="auto"/>
              <w:contextualSpacing/>
              <w:jc w:val="right"/>
              <w:rPr>
                <w:rFonts w:cstheme="minorHAnsi"/>
              </w:rPr>
            </w:pPr>
            <w:r w:rsidRPr="004607A7">
              <w:rPr>
                <w:rFonts w:cstheme="minorHAnsi"/>
              </w:rPr>
              <w:t>8</w:t>
            </w:r>
          </w:p>
        </w:tc>
      </w:tr>
      <w:tr w:rsidR="00001C8C" w:rsidRPr="004607A7" w14:paraId="20D4D7EA" w14:textId="77777777" w:rsidTr="00835FD0">
        <w:tc>
          <w:tcPr>
            <w:tcW w:w="2606" w:type="dxa"/>
          </w:tcPr>
          <w:p w14:paraId="7F393A52" w14:textId="77777777" w:rsidR="00001C8C" w:rsidRPr="004607A7" w:rsidRDefault="00001C8C" w:rsidP="00835FD0">
            <w:pPr>
              <w:autoSpaceDE w:val="0"/>
              <w:autoSpaceDN w:val="0"/>
              <w:adjustRightInd w:val="0"/>
              <w:spacing w:line="480" w:lineRule="auto"/>
              <w:contextualSpacing/>
              <w:rPr>
                <w:rFonts w:cstheme="minorHAnsi"/>
              </w:rPr>
            </w:pPr>
          </w:p>
        </w:tc>
        <w:tc>
          <w:tcPr>
            <w:tcW w:w="2625" w:type="dxa"/>
          </w:tcPr>
          <w:p w14:paraId="517F4A62" w14:textId="77777777" w:rsidR="00001C8C" w:rsidRPr="004607A7" w:rsidRDefault="00001C8C" w:rsidP="00835FD0">
            <w:pPr>
              <w:spacing w:line="480" w:lineRule="auto"/>
              <w:contextualSpacing/>
              <w:rPr>
                <w:rFonts w:cstheme="minorHAnsi"/>
              </w:rPr>
            </w:pPr>
            <w:r w:rsidRPr="004607A7">
              <w:rPr>
                <w:rFonts w:cstheme="minorHAnsi"/>
              </w:rPr>
              <w:t>They are actively involved</w:t>
            </w:r>
          </w:p>
        </w:tc>
        <w:tc>
          <w:tcPr>
            <w:tcW w:w="2222" w:type="dxa"/>
          </w:tcPr>
          <w:p w14:paraId="1B556F57" w14:textId="77777777" w:rsidR="00001C8C" w:rsidRPr="004607A7" w:rsidRDefault="00001C8C" w:rsidP="00835FD0">
            <w:pPr>
              <w:spacing w:line="480" w:lineRule="auto"/>
              <w:contextualSpacing/>
              <w:jc w:val="right"/>
              <w:rPr>
                <w:rFonts w:cstheme="minorHAnsi"/>
              </w:rPr>
            </w:pPr>
            <w:r w:rsidRPr="004607A7">
              <w:rPr>
                <w:rFonts w:cstheme="minorHAnsi"/>
              </w:rPr>
              <w:t>9.3</w:t>
            </w:r>
          </w:p>
        </w:tc>
        <w:tc>
          <w:tcPr>
            <w:tcW w:w="1573" w:type="dxa"/>
          </w:tcPr>
          <w:p w14:paraId="379D1900" w14:textId="77777777" w:rsidR="00001C8C" w:rsidRPr="004607A7" w:rsidRDefault="00001C8C" w:rsidP="00835FD0">
            <w:pPr>
              <w:spacing w:line="480" w:lineRule="auto"/>
              <w:contextualSpacing/>
              <w:jc w:val="right"/>
              <w:rPr>
                <w:rFonts w:cstheme="minorHAnsi"/>
              </w:rPr>
            </w:pPr>
            <w:r w:rsidRPr="004607A7">
              <w:rPr>
                <w:rFonts w:cstheme="minorHAnsi"/>
              </w:rPr>
              <w:t>4</w:t>
            </w:r>
          </w:p>
        </w:tc>
      </w:tr>
      <w:tr w:rsidR="00001C8C" w:rsidRPr="004607A7" w14:paraId="04C8FCAE" w14:textId="77777777" w:rsidTr="00835FD0">
        <w:tc>
          <w:tcPr>
            <w:tcW w:w="2606" w:type="dxa"/>
          </w:tcPr>
          <w:p w14:paraId="206BE75A" w14:textId="77777777" w:rsidR="00001C8C" w:rsidRPr="004607A7" w:rsidRDefault="00001C8C" w:rsidP="00835FD0">
            <w:pPr>
              <w:autoSpaceDE w:val="0"/>
              <w:autoSpaceDN w:val="0"/>
              <w:adjustRightInd w:val="0"/>
              <w:spacing w:line="480" w:lineRule="auto"/>
              <w:contextualSpacing/>
              <w:rPr>
                <w:rFonts w:cstheme="minorHAnsi"/>
              </w:rPr>
            </w:pPr>
          </w:p>
        </w:tc>
        <w:tc>
          <w:tcPr>
            <w:tcW w:w="2625" w:type="dxa"/>
          </w:tcPr>
          <w:p w14:paraId="66973C23" w14:textId="77777777" w:rsidR="00001C8C" w:rsidRPr="004607A7" w:rsidRDefault="00001C8C" w:rsidP="00835FD0">
            <w:pPr>
              <w:spacing w:line="480" w:lineRule="auto"/>
              <w:contextualSpacing/>
              <w:rPr>
                <w:rFonts w:cstheme="minorHAnsi"/>
              </w:rPr>
            </w:pPr>
            <w:r w:rsidRPr="004607A7">
              <w:rPr>
                <w:rFonts w:cstheme="minorHAnsi"/>
              </w:rPr>
              <w:t>Total</w:t>
            </w:r>
          </w:p>
        </w:tc>
        <w:tc>
          <w:tcPr>
            <w:tcW w:w="2222" w:type="dxa"/>
          </w:tcPr>
          <w:p w14:paraId="52EAFFC1" w14:textId="77777777" w:rsidR="00001C8C" w:rsidRPr="004607A7" w:rsidRDefault="00001C8C" w:rsidP="00835FD0">
            <w:pPr>
              <w:spacing w:line="480" w:lineRule="auto"/>
              <w:contextualSpacing/>
              <w:jc w:val="right"/>
              <w:rPr>
                <w:rFonts w:cstheme="minorHAnsi"/>
              </w:rPr>
            </w:pPr>
            <w:r w:rsidRPr="004607A7">
              <w:rPr>
                <w:rFonts w:cstheme="minorHAnsi"/>
              </w:rPr>
              <w:t>100.0%</w:t>
            </w:r>
          </w:p>
        </w:tc>
        <w:tc>
          <w:tcPr>
            <w:tcW w:w="1573" w:type="dxa"/>
          </w:tcPr>
          <w:p w14:paraId="1C625E51" w14:textId="77777777" w:rsidR="00001C8C" w:rsidRPr="004607A7" w:rsidRDefault="00001C8C" w:rsidP="00835FD0">
            <w:pPr>
              <w:spacing w:line="480" w:lineRule="auto"/>
              <w:contextualSpacing/>
              <w:jc w:val="right"/>
              <w:rPr>
                <w:rFonts w:cstheme="minorHAnsi"/>
              </w:rPr>
            </w:pPr>
            <w:r w:rsidRPr="004607A7">
              <w:rPr>
                <w:rFonts w:cstheme="minorHAnsi"/>
              </w:rPr>
              <w:t>43</w:t>
            </w:r>
          </w:p>
        </w:tc>
      </w:tr>
      <w:tr w:rsidR="00001C8C" w:rsidRPr="004607A7" w14:paraId="17F6F225" w14:textId="77777777" w:rsidTr="00835FD0">
        <w:tc>
          <w:tcPr>
            <w:tcW w:w="2606" w:type="dxa"/>
          </w:tcPr>
          <w:p w14:paraId="2D925BFB" w14:textId="77777777" w:rsidR="00001C8C" w:rsidRPr="004607A7" w:rsidRDefault="00001C8C" w:rsidP="00835FD0">
            <w:pPr>
              <w:autoSpaceDE w:val="0"/>
              <w:autoSpaceDN w:val="0"/>
              <w:adjustRightInd w:val="0"/>
              <w:spacing w:line="480" w:lineRule="auto"/>
              <w:contextualSpacing/>
              <w:rPr>
                <w:rFonts w:cstheme="minorHAnsi"/>
              </w:rPr>
            </w:pPr>
          </w:p>
        </w:tc>
        <w:tc>
          <w:tcPr>
            <w:tcW w:w="2625" w:type="dxa"/>
          </w:tcPr>
          <w:p w14:paraId="62DF6B92" w14:textId="77777777" w:rsidR="00001C8C" w:rsidRPr="004607A7" w:rsidRDefault="00001C8C" w:rsidP="00835FD0">
            <w:pPr>
              <w:spacing w:line="480" w:lineRule="auto"/>
              <w:contextualSpacing/>
              <w:rPr>
                <w:rFonts w:cstheme="minorHAnsi"/>
              </w:rPr>
            </w:pPr>
          </w:p>
        </w:tc>
        <w:tc>
          <w:tcPr>
            <w:tcW w:w="2222" w:type="dxa"/>
          </w:tcPr>
          <w:p w14:paraId="302EB381" w14:textId="77777777" w:rsidR="00001C8C" w:rsidRPr="004607A7" w:rsidRDefault="00001C8C" w:rsidP="00835FD0">
            <w:pPr>
              <w:spacing w:line="480" w:lineRule="auto"/>
              <w:contextualSpacing/>
              <w:jc w:val="right"/>
              <w:rPr>
                <w:rFonts w:cstheme="minorHAnsi"/>
              </w:rPr>
            </w:pPr>
          </w:p>
        </w:tc>
        <w:tc>
          <w:tcPr>
            <w:tcW w:w="1573" w:type="dxa"/>
          </w:tcPr>
          <w:p w14:paraId="0AA9322F" w14:textId="77777777" w:rsidR="00001C8C" w:rsidRPr="004607A7" w:rsidRDefault="00001C8C" w:rsidP="00835FD0">
            <w:pPr>
              <w:spacing w:line="480" w:lineRule="auto"/>
              <w:contextualSpacing/>
              <w:jc w:val="right"/>
              <w:rPr>
                <w:rFonts w:cstheme="minorHAnsi"/>
              </w:rPr>
            </w:pPr>
          </w:p>
        </w:tc>
      </w:tr>
      <w:tr w:rsidR="00001C8C" w:rsidRPr="004607A7" w14:paraId="5DF6A974" w14:textId="77777777" w:rsidTr="00835FD0">
        <w:tc>
          <w:tcPr>
            <w:tcW w:w="2606" w:type="dxa"/>
          </w:tcPr>
          <w:p w14:paraId="77B42A56" w14:textId="77777777" w:rsidR="00001C8C" w:rsidRPr="004607A7" w:rsidRDefault="00001C8C" w:rsidP="00835FD0">
            <w:pPr>
              <w:autoSpaceDE w:val="0"/>
              <w:autoSpaceDN w:val="0"/>
              <w:adjustRightInd w:val="0"/>
              <w:spacing w:line="480" w:lineRule="auto"/>
              <w:contextualSpacing/>
              <w:rPr>
                <w:rFonts w:cstheme="minorHAnsi"/>
              </w:rPr>
            </w:pPr>
            <w:r w:rsidRPr="004607A7">
              <w:rPr>
                <w:rFonts w:cstheme="minorHAnsi"/>
              </w:rPr>
              <w:t>Evaluation and Quality</w:t>
            </w:r>
          </w:p>
        </w:tc>
        <w:tc>
          <w:tcPr>
            <w:tcW w:w="2625" w:type="dxa"/>
          </w:tcPr>
          <w:p w14:paraId="55C92E96" w14:textId="77777777" w:rsidR="00001C8C" w:rsidRPr="004607A7" w:rsidRDefault="00001C8C" w:rsidP="00835FD0">
            <w:pPr>
              <w:spacing w:line="480" w:lineRule="auto"/>
              <w:contextualSpacing/>
              <w:rPr>
                <w:rFonts w:cstheme="minorHAnsi"/>
              </w:rPr>
            </w:pPr>
            <w:r w:rsidRPr="004607A7">
              <w:rPr>
                <w:rFonts w:cstheme="minorHAnsi"/>
              </w:rPr>
              <w:t>Not at all</w:t>
            </w:r>
          </w:p>
        </w:tc>
        <w:tc>
          <w:tcPr>
            <w:tcW w:w="2222" w:type="dxa"/>
          </w:tcPr>
          <w:p w14:paraId="220D0863" w14:textId="77777777" w:rsidR="00001C8C" w:rsidRPr="004607A7" w:rsidRDefault="00001C8C" w:rsidP="00835FD0">
            <w:pPr>
              <w:spacing w:line="480" w:lineRule="auto"/>
              <w:contextualSpacing/>
              <w:jc w:val="right"/>
              <w:rPr>
                <w:rFonts w:cstheme="minorHAnsi"/>
              </w:rPr>
            </w:pPr>
            <w:r w:rsidRPr="004607A7">
              <w:rPr>
                <w:rFonts w:cstheme="minorHAnsi"/>
              </w:rPr>
              <w:t>52.4</w:t>
            </w:r>
          </w:p>
        </w:tc>
        <w:tc>
          <w:tcPr>
            <w:tcW w:w="1573" w:type="dxa"/>
          </w:tcPr>
          <w:p w14:paraId="690773E9" w14:textId="77777777" w:rsidR="00001C8C" w:rsidRPr="004607A7" w:rsidRDefault="00001C8C" w:rsidP="00835FD0">
            <w:pPr>
              <w:spacing w:line="480" w:lineRule="auto"/>
              <w:contextualSpacing/>
              <w:jc w:val="right"/>
              <w:rPr>
                <w:rFonts w:cstheme="minorHAnsi"/>
              </w:rPr>
            </w:pPr>
            <w:r w:rsidRPr="004607A7">
              <w:rPr>
                <w:rFonts w:cstheme="minorHAnsi"/>
              </w:rPr>
              <w:t>22</w:t>
            </w:r>
          </w:p>
        </w:tc>
      </w:tr>
      <w:tr w:rsidR="00001C8C" w:rsidRPr="004607A7" w14:paraId="531AB161" w14:textId="77777777" w:rsidTr="00835FD0">
        <w:tc>
          <w:tcPr>
            <w:tcW w:w="2606" w:type="dxa"/>
          </w:tcPr>
          <w:p w14:paraId="5ACFB1FD" w14:textId="77777777" w:rsidR="00001C8C" w:rsidRPr="004607A7" w:rsidRDefault="00001C8C" w:rsidP="00835FD0">
            <w:pPr>
              <w:autoSpaceDE w:val="0"/>
              <w:autoSpaceDN w:val="0"/>
              <w:adjustRightInd w:val="0"/>
              <w:spacing w:line="480" w:lineRule="auto"/>
              <w:contextualSpacing/>
              <w:rPr>
                <w:rFonts w:cstheme="minorHAnsi"/>
              </w:rPr>
            </w:pPr>
          </w:p>
        </w:tc>
        <w:tc>
          <w:tcPr>
            <w:tcW w:w="2625" w:type="dxa"/>
          </w:tcPr>
          <w:p w14:paraId="6CEC117F" w14:textId="77777777" w:rsidR="00001C8C" w:rsidRPr="004607A7" w:rsidRDefault="00001C8C" w:rsidP="00835FD0">
            <w:pPr>
              <w:spacing w:line="480" w:lineRule="auto"/>
              <w:contextualSpacing/>
              <w:rPr>
                <w:rFonts w:cstheme="minorHAnsi"/>
              </w:rPr>
            </w:pPr>
            <w:r w:rsidRPr="004607A7">
              <w:rPr>
                <w:rFonts w:cstheme="minorHAnsi"/>
              </w:rPr>
              <w:t>They are consulted</w:t>
            </w:r>
          </w:p>
        </w:tc>
        <w:tc>
          <w:tcPr>
            <w:tcW w:w="2222" w:type="dxa"/>
          </w:tcPr>
          <w:p w14:paraId="37682621" w14:textId="77777777" w:rsidR="00001C8C" w:rsidRPr="004607A7" w:rsidRDefault="00001C8C" w:rsidP="00835FD0">
            <w:pPr>
              <w:spacing w:line="480" w:lineRule="auto"/>
              <w:contextualSpacing/>
              <w:jc w:val="right"/>
              <w:rPr>
                <w:rFonts w:cstheme="minorHAnsi"/>
              </w:rPr>
            </w:pPr>
            <w:r w:rsidRPr="004607A7">
              <w:rPr>
                <w:rFonts w:cstheme="minorHAnsi"/>
              </w:rPr>
              <w:t>28.6</w:t>
            </w:r>
          </w:p>
        </w:tc>
        <w:tc>
          <w:tcPr>
            <w:tcW w:w="1573" w:type="dxa"/>
          </w:tcPr>
          <w:p w14:paraId="318B9688" w14:textId="77777777" w:rsidR="00001C8C" w:rsidRPr="004607A7" w:rsidRDefault="00001C8C" w:rsidP="00835FD0">
            <w:pPr>
              <w:spacing w:line="480" w:lineRule="auto"/>
              <w:contextualSpacing/>
              <w:jc w:val="right"/>
              <w:rPr>
                <w:rFonts w:cstheme="minorHAnsi"/>
              </w:rPr>
            </w:pPr>
            <w:r w:rsidRPr="004607A7">
              <w:rPr>
                <w:rFonts w:cstheme="minorHAnsi"/>
              </w:rPr>
              <w:t>12</w:t>
            </w:r>
          </w:p>
        </w:tc>
      </w:tr>
      <w:tr w:rsidR="00001C8C" w:rsidRPr="004607A7" w14:paraId="23044728" w14:textId="77777777" w:rsidTr="00835FD0">
        <w:tc>
          <w:tcPr>
            <w:tcW w:w="2606" w:type="dxa"/>
          </w:tcPr>
          <w:p w14:paraId="4213A523" w14:textId="77777777" w:rsidR="00001C8C" w:rsidRPr="004607A7" w:rsidRDefault="00001C8C" w:rsidP="00835FD0">
            <w:pPr>
              <w:autoSpaceDE w:val="0"/>
              <w:autoSpaceDN w:val="0"/>
              <w:adjustRightInd w:val="0"/>
              <w:spacing w:line="480" w:lineRule="auto"/>
              <w:contextualSpacing/>
              <w:rPr>
                <w:rFonts w:cstheme="minorHAnsi"/>
              </w:rPr>
            </w:pPr>
          </w:p>
        </w:tc>
        <w:tc>
          <w:tcPr>
            <w:tcW w:w="2625" w:type="dxa"/>
          </w:tcPr>
          <w:p w14:paraId="06B313D3" w14:textId="77777777" w:rsidR="00001C8C" w:rsidRPr="004607A7" w:rsidRDefault="00001C8C" w:rsidP="00835FD0">
            <w:pPr>
              <w:spacing w:line="480" w:lineRule="auto"/>
              <w:contextualSpacing/>
              <w:rPr>
                <w:rFonts w:cstheme="minorHAnsi"/>
              </w:rPr>
            </w:pPr>
            <w:r w:rsidRPr="004607A7">
              <w:rPr>
                <w:rFonts w:cstheme="minorHAnsi"/>
              </w:rPr>
              <w:t>They are actively involved</w:t>
            </w:r>
          </w:p>
        </w:tc>
        <w:tc>
          <w:tcPr>
            <w:tcW w:w="2222" w:type="dxa"/>
          </w:tcPr>
          <w:p w14:paraId="1F0C2C8B" w14:textId="77777777" w:rsidR="00001C8C" w:rsidRPr="004607A7" w:rsidRDefault="00001C8C" w:rsidP="00835FD0">
            <w:pPr>
              <w:spacing w:line="480" w:lineRule="auto"/>
              <w:contextualSpacing/>
              <w:jc w:val="right"/>
              <w:rPr>
                <w:rFonts w:cstheme="minorHAnsi"/>
              </w:rPr>
            </w:pPr>
            <w:r w:rsidRPr="004607A7">
              <w:rPr>
                <w:rFonts w:cstheme="minorHAnsi"/>
              </w:rPr>
              <w:t>19.0</w:t>
            </w:r>
          </w:p>
        </w:tc>
        <w:tc>
          <w:tcPr>
            <w:tcW w:w="1573" w:type="dxa"/>
          </w:tcPr>
          <w:p w14:paraId="31158E63" w14:textId="77777777" w:rsidR="00001C8C" w:rsidRPr="004607A7" w:rsidRDefault="00001C8C" w:rsidP="00835FD0">
            <w:pPr>
              <w:spacing w:line="480" w:lineRule="auto"/>
              <w:contextualSpacing/>
              <w:jc w:val="right"/>
              <w:rPr>
                <w:rFonts w:cstheme="minorHAnsi"/>
              </w:rPr>
            </w:pPr>
            <w:r w:rsidRPr="004607A7">
              <w:rPr>
                <w:rFonts w:cstheme="minorHAnsi"/>
              </w:rPr>
              <w:t>8</w:t>
            </w:r>
          </w:p>
        </w:tc>
      </w:tr>
      <w:tr w:rsidR="00001C8C" w:rsidRPr="004607A7" w14:paraId="310EFAEC" w14:textId="77777777" w:rsidTr="00835FD0">
        <w:tc>
          <w:tcPr>
            <w:tcW w:w="2606" w:type="dxa"/>
          </w:tcPr>
          <w:p w14:paraId="762A7F2D" w14:textId="77777777" w:rsidR="00001C8C" w:rsidRPr="004607A7" w:rsidRDefault="00001C8C" w:rsidP="00835FD0">
            <w:pPr>
              <w:autoSpaceDE w:val="0"/>
              <w:autoSpaceDN w:val="0"/>
              <w:adjustRightInd w:val="0"/>
              <w:spacing w:line="480" w:lineRule="auto"/>
              <w:contextualSpacing/>
              <w:rPr>
                <w:rFonts w:cstheme="minorHAnsi"/>
              </w:rPr>
            </w:pPr>
          </w:p>
        </w:tc>
        <w:tc>
          <w:tcPr>
            <w:tcW w:w="2625" w:type="dxa"/>
          </w:tcPr>
          <w:p w14:paraId="575DE3A6" w14:textId="77777777" w:rsidR="00001C8C" w:rsidRPr="004607A7" w:rsidRDefault="00001C8C" w:rsidP="00835FD0">
            <w:pPr>
              <w:spacing w:line="480" w:lineRule="auto"/>
              <w:contextualSpacing/>
              <w:rPr>
                <w:rFonts w:cstheme="minorHAnsi"/>
              </w:rPr>
            </w:pPr>
            <w:r w:rsidRPr="004607A7">
              <w:rPr>
                <w:rFonts w:cstheme="minorHAnsi"/>
              </w:rPr>
              <w:t>Total</w:t>
            </w:r>
          </w:p>
        </w:tc>
        <w:tc>
          <w:tcPr>
            <w:tcW w:w="2222" w:type="dxa"/>
          </w:tcPr>
          <w:p w14:paraId="47F32C59" w14:textId="77777777" w:rsidR="00001C8C" w:rsidRPr="004607A7" w:rsidRDefault="00001C8C" w:rsidP="00835FD0">
            <w:pPr>
              <w:spacing w:line="480" w:lineRule="auto"/>
              <w:contextualSpacing/>
              <w:jc w:val="right"/>
              <w:rPr>
                <w:rFonts w:cstheme="minorHAnsi"/>
              </w:rPr>
            </w:pPr>
            <w:r w:rsidRPr="004607A7">
              <w:rPr>
                <w:rFonts w:cstheme="minorHAnsi"/>
              </w:rPr>
              <w:t>100.0%</w:t>
            </w:r>
          </w:p>
        </w:tc>
        <w:tc>
          <w:tcPr>
            <w:tcW w:w="1573" w:type="dxa"/>
          </w:tcPr>
          <w:p w14:paraId="56F93264" w14:textId="77777777" w:rsidR="00001C8C" w:rsidRPr="004607A7" w:rsidRDefault="00001C8C" w:rsidP="00835FD0">
            <w:pPr>
              <w:spacing w:line="480" w:lineRule="auto"/>
              <w:contextualSpacing/>
              <w:jc w:val="right"/>
              <w:rPr>
                <w:rFonts w:cstheme="minorHAnsi"/>
              </w:rPr>
            </w:pPr>
            <w:r w:rsidRPr="004607A7">
              <w:rPr>
                <w:rFonts w:cstheme="minorHAnsi"/>
              </w:rPr>
              <w:t>42</w:t>
            </w:r>
          </w:p>
        </w:tc>
      </w:tr>
      <w:tr w:rsidR="00001C8C" w:rsidRPr="004607A7" w14:paraId="08A2655E" w14:textId="77777777" w:rsidTr="00835FD0">
        <w:tc>
          <w:tcPr>
            <w:tcW w:w="2606" w:type="dxa"/>
            <w:tcBorders>
              <w:bottom w:val="single" w:sz="4" w:space="0" w:color="auto"/>
            </w:tcBorders>
          </w:tcPr>
          <w:p w14:paraId="26BD0C59" w14:textId="77777777" w:rsidR="00001C8C" w:rsidRPr="004607A7" w:rsidRDefault="00001C8C" w:rsidP="00835FD0">
            <w:pPr>
              <w:autoSpaceDE w:val="0"/>
              <w:autoSpaceDN w:val="0"/>
              <w:adjustRightInd w:val="0"/>
              <w:spacing w:line="480" w:lineRule="auto"/>
              <w:contextualSpacing/>
              <w:rPr>
                <w:rFonts w:cstheme="minorHAnsi"/>
              </w:rPr>
            </w:pPr>
            <w:r w:rsidRPr="004607A7">
              <w:rPr>
                <w:rFonts w:cstheme="minorHAnsi"/>
              </w:rPr>
              <w:t>Involvement in service</w:t>
            </w:r>
          </w:p>
        </w:tc>
        <w:tc>
          <w:tcPr>
            <w:tcW w:w="2625" w:type="dxa"/>
            <w:tcBorders>
              <w:bottom w:val="single" w:sz="4" w:space="0" w:color="auto"/>
            </w:tcBorders>
          </w:tcPr>
          <w:p w14:paraId="3D8F794A" w14:textId="77777777" w:rsidR="00001C8C" w:rsidRPr="004607A7" w:rsidRDefault="00001C8C" w:rsidP="00835FD0">
            <w:pPr>
              <w:spacing w:line="480" w:lineRule="auto"/>
              <w:contextualSpacing/>
              <w:rPr>
                <w:rFonts w:cstheme="minorHAnsi"/>
              </w:rPr>
            </w:pPr>
            <w:r w:rsidRPr="004607A7">
              <w:rPr>
                <w:rFonts w:cstheme="minorHAnsi"/>
              </w:rPr>
              <w:t>Not at all</w:t>
            </w:r>
          </w:p>
        </w:tc>
        <w:tc>
          <w:tcPr>
            <w:tcW w:w="2222" w:type="dxa"/>
            <w:tcBorders>
              <w:bottom w:val="single" w:sz="4" w:space="0" w:color="auto"/>
            </w:tcBorders>
          </w:tcPr>
          <w:p w14:paraId="442CE63F" w14:textId="77777777" w:rsidR="00001C8C" w:rsidRPr="004607A7" w:rsidRDefault="00001C8C" w:rsidP="00835FD0">
            <w:pPr>
              <w:spacing w:line="480" w:lineRule="auto"/>
              <w:contextualSpacing/>
              <w:jc w:val="right"/>
              <w:rPr>
                <w:rFonts w:cstheme="minorHAnsi"/>
              </w:rPr>
            </w:pPr>
            <w:r w:rsidRPr="004607A7">
              <w:rPr>
                <w:rFonts w:cstheme="minorHAnsi"/>
              </w:rPr>
              <w:t>72.1</w:t>
            </w:r>
          </w:p>
        </w:tc>
        <w:tc>
          <w:tcPr>
            <w:tcW w:w="1573" w:type="dxa"/>
            <w:tcBorders>
              <w:bottom w:val="single" w:sz="4" w:space="0" w:color="auto"/>
            </w:tcBorders>
          </w:tcPr>
          <w:p w14:paraId="0989DAFA" w14:textId="77777777" w:rsidR="00001C8C" w:rsidRPr="004607A7" w:rsidRDefault="00001C8C" w:rsidP="00835FD0">
            <w:pPr>
              <w:spacing w:line="480" w:lineRule="auto"/>
              <w:contextualSpacing/>
              <w:jc w:val="right"/>
              <w:rPr>
                <w:rFonts w:cstheme="minorHAnsi"/>
              </w:rPr>
            </w:pPr>
            <w:r w:rsidRPr="004607A7">
              <w:rPr>
                <w:rFonts w:cstheme="minorHAnsi"/>
              </w:rPr>
              <w:t>31</w:t>
            </w:r>
          </w:p>
        </w:tc>
      </w:tr>
      <w:tr w:rsidR="00001C8C" w:rsidRPr="004607A7" w14:paraId="736F2D50" w14:textId="77777777" w:rsidTr="00835FD0">
        <w:tc>
          <w:tcPr>
            <w:tcW w:w="9026" w:type="dxa"/>
            <w:gridSpan w:val="4"/>
            <w:tcBorders>
              <w:top w:val="single" w:sz="4" w:space="0" w:color="auto"/>
            </w:tcBorders>
          </w:tcPr>
          <w:p w14:paraId="591771A2" w14:textId="77777777" w:rsidR="00001C8C" w:rsidRPr="004607A7" w:rsidRDefault="00001C8C" w:rsidP="00835FD0">
            <w:pPr>
              <w:autoSpaceDE w:val="0"/>
              <w:autoSpaceDN w:val="0"/>
              <w:adjustRightInd w:val="0"/>
              <w:spacing w:line="480" w:lineRule="auto"/>
              <w:contextualSpacing/>
              <w:rPr>
                <w:rFonts w:cstheme="minorHAnsi"/>
                <w:iCs/>
              </w:rPr>
            </w:pPr>
            <w:r w:rsidRPr="004607A7">
              <w:rPr>
                <w:rFonts w:cstheme="minorHAnsi"/>
                <w:iCs/>
              </w:rPr>
              <w:t>Note: missing service response data n = 1</w:t>
            </w:r>
          </w:p>
        </w:tc>
      </w:tr>
    </w:tbl>
    <w:p w14:paraId="6D41CCF4" w14:textId="77777777" w:rsidR="00B75D00" w:rsidRPr="004607A7" w:rsidRDefault="00B75D00" w:rsidP="00AA51B8">
      <w:pPr>
        <w:spacing w:line="360" w:lineRule="auto"/>
        <w:contextualSpacing/>
        <w:mirrorIndents/>
        <w:jc w:val="both"/>
        <w:rPr>
          <w:rFonts w:asciiTheme="minorHAnsi" w:hAnsiTheme="minorHAnsi" w:cstheme="minorHAnsi"/>
        </w:rPr>
      </w:pPr>
    </w:p>
    <w:p w14:paraId="404D0BCF" w14:textId="64233CF3" w:rsidR="00887881" w:rsidRPr="0077722A" w:rsidRDefault="00FA390F" w:rsidP="00E50993">
      <w:pPr>
        <w:spacing w:line="360" w:lineRule="auto"/>
        <w:contextualSpacing/>
        <w:mirrorIndents/>
        <w:jc w:val="both"/>
        <w:rPr>
          <w:rFonts w:asciiTheme="minorHAnsi" w:hAnsiTheme="minorHAnsi" w:cstheme="minorHAnsi"/>
        </w:rPr>
      </w:pPr>
      <w:r w:rsidRPr="00B15BF7">
        <w:rPr>
          <w:rFonts w:asciiTheme="minorHAnsi" w:hAnsiTheme="minorHAnsi" w:cstheme="minorHAnsi"/>
        </w:rPr>
        <w:t>Appropriate Adult Schemes</w:t>
      </w:r>
      <w:r w:rsidR="00B75D00" w:rsidRPr="00B15BF7">
        <w:rPr>
          <w:rFonts w:asciiTheme="minorHAnsi" w:hAnsiTheme="minorHAnsi" w:cstheme="minorHAnsi"/>
        </w:rPr>
        <w:t xml:space="preserve"> did</w:t>
      </w:r>
      <w:r w:rsidR="00783927" w:rsidRPr="00B15BF7">
        <w:rPr>
          <w:rFonts w:asciiTheme="minorHAnsi" w:hAnsiTheme="minorHAnsi" w:cstheme="minorHAnsi"/>
        </w:rPr>
        <w:t xml:space="preserve"> </w:t>
      </w:r>
      <w:r w:rsidR="00B75D00" w:rsidRPr="00B15BF7">
        <w:rPr>
          <w:rFonts w:asciiTheme="minorHAnsi" w:hAnsiTheme="minorHAnsi" w:cstheme="minorHAnsi"/>
        </w:rPr>
        <w:t>suggest</w:t>
      </w:r>
      <w:r w:rsidR="00783927" w:rsidRPr="00B15BF7">
        <w:rPr>
          <w:rFonts w:asciiTheme="minorHAnsi" w:hAnsiTheme="minorHAnsi" w:cstheme="minorHAnsi"/>
        </w:rPr>
        <w:t xml:space="preserve"> that 23% of service users were consulted</w:t>
      </w:r>
      <w:r w:rsidR="007A73CB" w:rsidRPr="00B15BF7">
        <w:rPr>
          <w:rFonts w:asciiTheme="minorHAnsi" w:hAnsiTheme="minorHAnsi" w:cstheme="minorHAnsi"/>
        </w:rPr>
        <w:t xml:space="preserve"> to </w:t>
      </w:r>
      <w:r w:rsidR="007A73CB" w:rsidRPr="00B15BF7">
        <w:rPr>
          <w:rFonts w:asciiTheme="minorHAnsi" w:hAnsiTheme="minorHAnsi" w:cstheme="minorHAnsi"/>
          <w:i/>
          <w:iCs/>
        </w:rPr>
        <w:t>inform</w:t>
      </w:r>
      <w:r w:rsidR="007A73CB" w:rsidRPr="00B15BF7">
        <w:rPr>
          <w:rFonts w:asciiTheme="minorHAnsi" w:hAnsiTheme="minorHAnsi" w:cstheme="minorHAnsi"/>
        </w:rPr>
        <w:t xml:space="preserve"> steering groups and 19% were consulted to </w:t>
      </w:r>
      <w:r w:rsidR="007A73CB" w:rsidRPr="00B15BF7">
        <w:rPr>
          <w:rFonts w:asciiTheme="minorHAnsi" w:hAnsiTheme="minorHAnsi" w:cstheme="minorHAnsi"/>
          <w:i/>
          <w:iCs/>
        </w:rPr>
        <w:t xml:space="preserve">inform </w:t>
      </w:r>
      <w:r w:rsidR="007A73CB" w:rsidRPr="00B15BF7">
        <w:rPr>
          <w:rFonts w:asciiTheme="minorHAnsi" w:hAnsiTheme="minorHAnsi" w:cstheme="minorHAnsi"/>
        </w:rPr>
        <w:t>management committees</w:t>
      </w:r>
      <w:r w:rsidR="00001C8C" w:rsidRPr="00B15BF7">
        <w:rPr>
          <w:rFonts w:asciiTheme="minorHAnsi" w:hAnsiTheme="minorHAnsi" w:cstheme="minorHAnsi"/>
        </w:rPr>
        <w:t xml:space="preserve"> </w:t>
      </w:r>
      <w:r w:rsidR="00B75D00" w:rsidRPr="00B15BF7">
        <w:rPr>
          <w:rFonts w:asciiTheme="minorHAnsi" w:hAnsiTheme="minorHAnsi" w:cstheme="minorHAnsi"/>
        </w:rPr>
        <w:t>(</w:t>
      </w:r>
      <w:r w:rsidR="00710F65" w:rsidRPr="00B15BF7">
        <w:rPr>
          <w:rFonts w:asciiTheme="minorHAnsi" w:hAnsiTheme="minorHAnsi" w:cstheme="minorHAnsi"/>
        </w:rPr>
        <w:t>T</w:t>
      </w:r>
      <w:r w:rsidR="00B75D00" w:rsidRPr="00B15BF7">
        <w:rPr>
          <w:rFonts w:asciiTheme="minorHAnsi" w:hAnsiTheme="minorHAnsi" w:cstheme="minorHAnsi"/>
        </w:rPr>
        <w:t>able 4)</w:t>
      </w:r>
      <w:r w:rsidR="007A73CB" w:rsidRPr="00B15BF7">
        <w:rPr>
          <w:rFonts w:asciiTheme="minorHAnsi" w:hAnsiTheme="minorHAnsi" w:cstheme="minorHAnsi"/>
        </w:rPr>
        <w:t>.</w:t>
      </w:r>
      <w:r w:rsidR="008411F2" w:rsidRPr="00B15BF7">
        <w:rPr>
          <w:rFonts w:asciiTheme="minorHAnsi" w:hAnsiTheme="minorHAnsi" w:cstheme="minorHAnsi"/>
        </w:rPr>
        <w:t xml:space="preserve"> Thus, this reveals that some services did </w:t>
      </w:r>
      <w:r w:rsidR="00804DEB" w:rsidRPr="00B15BF7">
        <w:rPr>
          <w:rFonts w:asciiTheme="minorHAnsi" w:hAnsiTheme="minorHAnsi" w:cstheme="minorHAnsi"/>
        </w:rPr>
        <w:t>try</w:t>
      </w:r>
      <w:r w:rsidR="008411F2" w:rsidRPr="00B15BF7">
        <w:rPr>
          <w:rFonts w:asciiTheme="minorHAnsi" w:hAnsiTheme="minorHAnsi" w:cstheme="minorHAnsi"/>
        </w:rPr>
        <w:t xml:space="preserve"> to incorporate service user experiences within their steering and management groups</w:t>
      </w:r>
      <w:r w:rsidR="00BC2322" w:rsidRPr="00B15BF7">
        <w:rPr>
          <w:rFonts w:asciiTheme="minorHAnsi" w:hAnsiTheme="minorHAnsi" w:cstheme="minorHAnsi"/>
        </w:rPr>
        <w:t xml:space="preserve">, yet </w:t>
      </w:r>
      <w:r w:rsidR="00804DEB" w:rsidRPr="00B15BF7">
        <w:rPr>
          <w:rFonts w:asciiTheme="minorHAnsi" w:hAnsiTheme="minorHAnsi" w:cstheme="minorHAnsi"/>
        </w:rPr>
        <w:t>consultation</w:t>
      </w:r>
      <w:r w:rsidR="000C3076" w:rsidRPr="00B15BF7">
        <w:rPr>
          <w:rFonts w:asciiTheme="minorHAnsi" w:hAnsiTheme="minorHAnsi" w:cstheme="minorHAnsi"/>
        </w:rPr>
        <w:t xml:space="preserve"> is not the same as involvement as it reinforces </w:t>
      </w:r>
      <w:r w:rsidR="00804DEB" w:rsidRPr="00B15BF7">
        <w:rPr>
          <w:rFonts w:asciiTheme="minorHAnsi" w:hAnsiTheme="minorHAnsi" w:cstheme="minorHAnsi"/>
        </w:rPr>
        <w:t>existing power dynamics between practitioners and service users.</w:t>
      </w:r>
      <w:r w:rsidR="000C3076" w:rsidRPr="00B15BF7">
        <w:rPr>
          <w:rFonts w:asciiTheme="minorHAnsi" w:hAnsiTheme="minorHAnsi" w:cstheme="minorHAnsi"/>
        </w:rPr>
        <w:t xml:space="preserve"> </w:t>
      </w:r>
      <w:r w:rsidR="00001C8C" w:rsidRPr="00B15BF7">
        <w:rPr>
          <w:rFonts w:asciiTheme="minorHAnsi" w:hAnsiTheme="minorHAnsi" w:cstheme="minorHAnsi"/>
        </w:rPr>
        <w:t xml:space="preserve"> </w:t>
      </w:r>
      <w:r w:rsidR="00C42B11" w:rsidRPr="00F114A8">
        <w:rPr>
          <w:rFonts w:asciiTheme="minorHAnsi" w:hAnsiTheme="minorHAnsi" w:cstheme="minorHAnsi"/>
        </w:rPr>
        <w:t xml:space="preserve">Within the qualitative data </w:t>
      </w:r>
      <w:r w:rsidRPr="00F114A8">
        <w:rPr>
          <w:rFonts w:asciiTheme="minorHAnsi" w:hAnsiTheme="minorHAnsi" w:cstheme="minorHAnsi"/>
        </w:rPr>
        <w:t xml:space="preserve">Appropriate Adult </w:t>
      </w:r>
      <w:r w:rsidR="00642CB1" w:rsidRPr="00F114A8">
        <w:rPr>
          <w:rFonts w:asciiTheme="minorHAnsi" w:hAnsiTheme="minorHAnsi" w:cstheme="minorHAnsi"/>
        </w:rPr>
        <w:t>s</w:t>
      </w:r>
      <w:r w:rsidRPr="00F114A8">
        <w:rPr>
          <w:rFonts w:asciiTheme="minorHAnsi" w:hAnsiTheme="minorHAnsi" w:cstheme="minorHAnsi"/>
        </w:rPr>
        <w:t>chemes</w:t>
      </w:r>
      <w:r w:rsidR="00C42B11" w:rsidRPr="00F114A8">
        <w:rPr>
          <w:rFonts w:asciiTheme="minorHAnsi" w:hAnsiTheme="minorHAnsi" w:cstheme="minorHAnsi"/>
        </w:rPr>
        <w:t xml:space="preserve"> did discuss significant barriers to service user involvement</w:t>
      </w:r>
      <w:r w:rsidR="000B76F4" w:rsidRPr="00F114A8">
        <w:rPr>
          <w:rFonts w:asciiTheme="minorHAnsi" w:hAnsiTheme="minorHAnsi" w:cstheme="minorHAnsi"/>
        </w:rPr>
        <w:t>, but these were often individualised and focused on why service users did not become active members rather acknowledging organisational problems</w:t>
      </w:r>
      <w:r w:rsidR="00B47B4C" w:rsidRPr="00F114A8">
        <w:rPr>
          <w:rFonts w:asciiTheme="minorHAnsi" w:hAnsiTheme="minorHAnsi" w:cstheme="minorHAnsi"/>
        </w:rPr>
        <w:t xml:space="preserve"> which prevented service users </w:t>
      </w:r>
      <w:r w:rsidR="000E65F5" w:rsidRPr="00F114A8">
        <w:rPr>
          <w:rFonts w:asciiTheme="minorHAnsi" w:hAnsiTheme="minorHAnsi" w:cstheme="minorHAnsi"/>
        </w:rPr>
        <w:t>from</w:t>
      </w:r>
      <w:r w:rsidR="00B47B4C" w:rsidRPr="00F114A8">
        <w:rPr>
          <w:rFonts w:asciiTheme="minorHAnsi" w:hAnsiTheme="minorHAnsi" w:cstheme="minorHAnsi"/>
        </w:rPr>
        <w:t xml:space="preserve"> becoming partners. </w:t>
      </w:r>
      <w:r w:rsidR="000E65F5" w:rsidRPr="004D1BCF">
        <w:rPr>
          <w:rFonts w:asciiTheme="minorHAnsi" w:hAnsiTheme="minorHAnsi" w:cstheme="minorHAnsi"/>
        </w:rPr>
        <w:t>Several</w:t>
      </w:r>
      <w:r w:rsidR="00B47B4C" w:rsidRPr="004D1BCF">
        <w:rPr>
          <w:rFonts w:asciiTheme="minorHAnsi" w:hAnsiTheme="minorHAnsi" w:cstheme="minorHAnsi"/>
        </w:rPr>
        <w:t xml:space="preserve"> </w:t>
      </w:r>
      <w:r w:rsidR="00094709" w:rsidRPr="004D1BCF">
        <w:rPr>
          <w:rFonts w:asciiTheme="minorHAnsi" w:hAnsiTheme="minorHAnsi" w:cstheme="minorHAnsi"/>
        </w:rPr>
        <w:t>A</w:t>
      </w:r>
      <w:r w:rsidR="00B47B4C" w:rsidRPr="004D1BCF">
        <w:rPr>
          <w:rFonts w:asciiTheme="minorHAnsi" w:hAnsiTheme="minorHAnsi" w:cstheme="minorHAnsi"/>
        </w:rPr>
        <w:t xml:space="preserve">ppropriate </w:t>
      </w:r>
      <w:r w:rsidR="00094709" w:rsidRPr="004D1BCF">
        <w:rPr>
          <w:rFonts w:asciiTheme="minorHAnsi" w:hAnsiTheme="minorHAnsi" w:cstheme="minorHAnsi"/>
        </w:rPr>
        <w:t>A</w:t>
      </w:r>
      <w:r w:rsidR="00B47B4C" w:rsidRPr="004D1BCF">
        <w:rPr>
          <w:rFonts w:asciiTheme="minorHAnsi" w:hAnsiTheme="minorHAnsi" w:cstheme="minorHAnsi"/>
        </w:rPr>
        <w:t>dult managers suggested that</w:t>
      </w:r>
      <w:r w:rsidR="00E50993" w:rsidRPr="004D1BCF">
        <w:rPr>
          <w:rFonts w:asciiTheme="minorHAnsi" w:hAnsiTheme="minorHAnsi" w:cstheme="minorHAnsi"/>
        </w:rPr>
        <w:t xml:space="preserve"> the key problem </w:t>
      </w:r>
      <w:r w:rsidR="00F114A8" w:rsidRPr="004D1BCF">
        <w:rPr>
          <w:rFonts w:asciiTheme="minorHAnsi" w:hAnsiTheme="minorHAnsi" w:cstheme="minorHAnsi"/>
        </w:rPr>
        <w:t xml:space="preserve">was </w:t>
      </w:r>
      <w:r w:rsidR="00670A1D" w:rsidRPr="004D1BCF">
        <w:rPr>
          <w:rFonts w:asciiTheme="minorHAnsi" w:hAnsiTheme="minorHAnsi" w:cstheme="minorHAnsi"/>
        </w:rPr>
        <w:t>the “</w:t>
      </w:r>
      <w:r w:rsidR="001C4595" w:rsidRPr="004D1BCF">
        <w:rPr>
          <w:rFonts w:asciiTheme="minorHAnsi" w:hAnsiTheme="minorHAnsi" w:cstheme="minorHAnsi"/>
          <w:i/>
          <w:iCs/>
        </w:rPr>
        <w:t>vulnerability of the service user</w:t>
      </w:r>
      <w:r w:rsidR="001C4595" w:rsidRPr="004D1BCF">
        <w:rPr>
          <w:rFonts w:asciiTheme="minorHAnsi" w:hAnsiTheme="minorHAnsi" w:cstheme="minorHAnsi"/>
        </w:rPr>
        <w:t>”</w:t>
      </w:r>
      <w:r w:rsidR="001C23B8" w:rsidRPr="004D1BCF">
        <w:rPr>
          <w:rFonts w:asciiTheme="minorHAnsi" w:hAnsiTheme="minorHAnsi" w:cstheme="minorHAnsi"/>
        </w:rPr>
        <w:t xml:space="preserve"> (Scheme Manager 15)</w:t>
      </w:r>
      <w:r w:rsidR="00B423D2" w:rsidRPr="004D1BCF">
        <w:rPr>
          <w:rFonts w:asciiTheme="minorHAnsi" w:hAnsiTheme="minorHAnsi" w:cstheme="minorHAnsi"/>
        </w:rPr>
        <w:t xml:space="preserve">. </w:t>
      </w:r>
      <w:r w:rsidR="00670A1D" w:rsidRPr="00420599">
        <w:rPr>
          <w:rFonts w:asciiTheme="minorHAnsi" w:hAnsiTheme="minorHAnsi" w:cstheme="minorHAnsi"/>
        </w:rPr>
        <w:t>From this perspective</w:t>
      </w:r>
      <w:r w:rsidR="000E65F5" w:rsidRPr="00420599">
        <w:rPr>
          <w:rFonts w:asciiTheme="minorHAnsi" w:hAnsiTheme="minorHAnsi" w:cstheme="minorHAnsi"/>
        </w:rPr>
        <w:t>,</w:t>
      </w:r>
      <w:r w:rsidR="00670A1D" w:rsidRPr="00420599">
        <w:rPr>
          <w:rFonts w:asciiTheme="minorHAnsi" w:hAnsiTheme="minorHAnsi" w:cstheme="minorHAnsi"/>
        </w:rPr>
        <w:t xml:space="preserve"> adult service users were </w:t>
      </w:r>
      <w:proofErr w:type="spellStart"/>
      <w:r w:rsidR="00D73910" w:rsidRPr="00420599">
        <w:rPr>
          <w:rFonts w:asciiTheme="minorHAnsi" w:hAnsiTheme="minorHAnsi" w:cstheme="minorHAnsi"/>
        </w:rPr>
        <w:t>pathologi</w:t>
      </w:r>
      <w:r w:rsidR="00A4766C" w:rsidRPr="00420599">
        <w:rPr>
          <w:rFonts w:asciiTheme="minorHAnsi" w:hAnsiTheme="minorHAnsi" w:cstheme="minorHAnsi"/>
        </w:rPr>
        <w:t>s</w:t>
      </w:r>
      <w:r w:rsidR="00D73910" w:rsidRPr="00420599">
        <w:rPr>
          <w:rFonts w:asciiTheme="minorHAnsi" w:hAnsiTheme="minorHAnsi" w:cstheme="minorHAnsi"/>
        </w:rPr>
        <w:t>ed</w:t>
      </w:r>
      <w:proofErr w:type="spellEnd"/>
      <w:r w:rsidR="00D73910" w:rsidRPr="00420599">
        <w:rPr>
          <w:rFonts w:asciiTheme="minorHAnsi" w:hAnsiTheme="minorHAnsi" w:cstheme="minorHAnsi"/>
        </w:rPr>
        <w:t xml:space="preserve"> </w:t>
      </w:r>
      <w:r w:rsidR="00604C50" w:rsidRPr="00420599">
        <w:rPr>
          <w:rFonts w:asciiTheme="minorHAnsi" w:hAnsiTheme="minorHAnsi" w:cstheme="minorHAnsi"/>
        </w:rPr>
        <w:t>and issues of disability we</w:t>
      </w:r>
      <w:r w:rsidR="00A4766C" w:rsidRPr="00420599">
        <w:rPr>
          <w:rFonts w:asciiTheme="minorHAnsi" w:hAnsiTheme="minorHAnsi" w:cstheme="minorHAnsi"/>
        </w:rPr>
        <w:t>re</w:t>
      </w:r>
      <w:r w:rsidR="00604C50" w:rsidRPr="00420599">
        <w:rPr>
          <w:rFonts w:asciiTheme="minorHAnsi" w:hAnsiTheme="minorHAnsi" w:cstheme="minorHAnsi"/>
        </w:rPr>
        <w:t xml:space="preserve"> used to dismiss the appropriateness of service user input within</w:t>
      </w:r>
      <w:r w:rsidR="00BE2461" w:rsidRPr="00420599">
        <w:rPr>
          <w:rFonts w:asciiTheme="minorHAnsi" w:hAnsiTheme="minorHAnsi" w:cstheme="minorHAnsi"/>
        </w:rPr>
        <w:t xml:space="preserve"> their service development. </w:t>
      </w:r>
      <w:r w:rsidR="004D1BCF" w:rsidRPr="0077722A">
        <w:rPr>
          <w:rFonts w:asciiTheme="minorHAnsi" w:hAnsiTheme="minorHAnsi" w:cstheme="minorHAnsi"/>
        </w:rPr>
        <w:t>Thus</w:t>
      </w:r>
      <w:r w:rsidR="000E65F5" w:rsidRPr="0077722A">
        <w:rPr>
          <w:rFonts w:asciiTheme="minorHAnsi" w:hAnsiTheme="minorHAnsi" w:cstheme="minorHAnsi"/>
        </w:rPr>
        <w:t>,</w:t>
      </w:r>
      <w:r w:rsidR="00BE2461" w:rsidRPr="0077722A">
        <w:rPr>
          <w:rFonts w:asciiTheme="minorHAnsi" w:hAnsiTheme="minorHAnsi" w:cstheme="minorHAnsi"/>
        </w:rPr>
        <w:t xml:space="preserve"> disability was very much conceptualised </w:t>
      </w:r>
      <w:r w:rsidR="00420599" w:rsidRPr="0077722A">
        <w:rPr>
          <w:rFonts w:asciiTheme="minorHAnsi" w:hAnsiTheme="minorHAnsi" w:cstheme="minorHAnsi"/>
        </w:rPr>
        <w:t>from</w:t>
      </w:r>
      <w:r w:rsidR="00BE2461" w:rsidRPr="0077722A">
        <w:rPr>
          <w:rFonts w:asciiTheme="minorHAnsi" w:hAnsiTheme="minorHAnsi" w:cstheme="minorHAnsi"/>
        </w:rPr>
        <w:t xml:space="preserve"> a biomedical perspective rather than resulting from</w:t>
      </w:r>
      <w:r w:rsidR="00F024BC" w:rsidRPr="0077722A">
        <w:rPr>
          <w:rFonts w:asciiTheme="minorHAnsi" w:hAnsiTheme="minorHAnsi" w:cstheme="minorHAnsi"/>
        </w:rPr>
        <w:t xml:space="preserve"> environmental factors (Macdonald </w:t>
      </w:r>
      <w:r w:rsidR="00F024BC" w:rsidRPr="0077722A">
        <w:rPr>
          <w:rFonts w:asciiTheme="minorHAnsi" w:hAnsiTheme="minorHAnsi" w:cstheme="minorHAnsi"/>
          <w:i/>
          <w:iCs/>
        </w:rPr>
        <w:t>et al.</w:t>
      </w:r>
      <w:r w:rsidR="009A12B8" w:rsidRPr="0077722A">
        <w:rPr>
          <w:rFonts w:asciiTheme="minorHAnsi" w:hAnsiTheme="minorHAnsi" w:cstheme="minorHAnsi"/>
          <w:i/>
          <w:iCs/>
        </w:rPr>
        <w:t>,</w:t>
      </w:r>
      <w:r w:rsidR="00F024BC" w:rsidRPr="0077722A">
        <w:rPr>
          <w:rFonts w:asciiTheme="minorHAnsi" w:hAnsiTheme="minorHAnsi" w:cstheme="minorHAnsi"/>
        </w:rPr>
        <w:t xml:space="preserve"> 2020).</w:t>
      </w:r>
      <w:r w:rsidR="00830BA5" w:rsidRPr="0077722A">
        <w:rPr>
          <w:rFonts w:asciiTheme="minorHAnsi" w:hAnsiTheme="minorHAnsi" w:cstheme="minorHAnsi"/>
        </w:rPr>
        <w:t xml:space="preserve"> </w:t>
      </w:r>
      <w:r w:rsidR="00887881" w:rsidRPr="0077722A">
        <w:rPr>
          <w:rFonts w:asciiTheme="minorHAnsi" w:hAnsiTheme="minorHAnsi" w:cstheme="minorHAnsi"/>
        </w:rPr>
        <w:t xml:space="preserve">Another </w:t>
      </w:r>
      <w:r w:rsidR="00094709" w:rsidRPr="0077722A">
        <w:rPr>
          <w:rFonts w:asciiTheme="minorHAnsi" w:hAnsiTheme="minorHAnsi" w:cstheme="minorHAnsi"/>
        </w:rPr>
        <w:t>A</w:t>
      </w:r>
      <w:r w:rsidR="00887881" w:rsidRPr="0077722A">
        <w:rPr>
          <w:rFonts w:asciiTheme="minorHAnsi" w:hAnsiTheme="minorHAnsi" w:cstheme="minorHAnsi"/>
        </w:rPr>
        <w:t xml:space="preserve">ppropriate </w:t>
      </w:r>
      <w:r w:rsidR="00094709" w:rsidRPr="0077722A">
        <w:rPr>
          <w:rFonts w:asciiTheme="minorHAnsi" w:hAnsiTheme="minorHAnsi" w:cstheme="minorHAnsi"/>
        </w:rPr>
        <w:t>A</w:t>
      </w:r>
      <w:r w:rsidR="00887881" w:rsidRPr="0077722A">
        <w:rPr>
          <w:rFonts w:asciiTheme="minorHAnsi" w:hAnsiTheme="minorHAnsi" w:cstheme="minorHAnsi"/>
        </w:rPr>
        <w:t>dult manager suggested that:</w:t>
      </w:r>
    </w:p>
    <w:p w14:paraId="102DB1E0" w14:textId="77777777" w:rsidR="00887881" w:rsidRPr="0077722A" w:rsidRDefault="00887881" w:rsidP="00E50993">
      <w:pPr>
        <w:spacing w:line="360" w:lineRule="auto"/>
        <w:contextualSpacing/>
        <w:mirrorIndents/>
        <w:jc w:val="both"/>
        <w:rPr>
          <w:rFonts w:asciiTheme="minorHAnsi" w:hAnsiTheme="minorHAnsi" w:cstheme="minorHAnsi"/>
        </w:rPr>
      </w:pPr>
    </w:p>
    <w:p w14:paraId="346528A9" w14:textId="6C4C3AA0" w:rsidR="00E50993" w:rsidRPr="0077722A" w:rsidRDefault="00887881" w:rsidP="00561A52">
      <w:pPr>
        <w:spacing w:line="360" w:lineRule="auto"/>
        <w:ind w:left="567" w:right="567"/>
        <w:contextualSpacing/>
        <w:mirrorIndents/>
        <w:jc w:val="both"/>
        <w:rPr>
          <w:rFonts w:asciiTheme="minorHAnsi" w:hAnsiTheme="minorHAnsi" w:cstheme="minorHAnsi"/>
        </w:rPr>
      </w:pPr>
      <w:r w:rsidRPr="0077722A">
        <w:rPr>
          <w:rFonts w:asciiTheme="minorHAnsi" w:hAnsiTheme="minorHAnsi" w:cstheme="minorHAnsi"/>
        </w:rPr>
        <w:t>Availability and reliability of the service user group is the biggest problem within the client group.  Not having the appropriate staff</w:t>
      </w:r>
      <w:r w:rsidR="000E65F5" w:rsidRPr="0077722A">
        <w:rPr>
          <w:rFonts w:asciiTheme="minorHAnsi" w:hAnsiTheme="minorHAnsi" w:cstheme="minorHAnsi"/>
        </w:rPr>
        <w:t>/</w:t>
      </w:r>
      <w:r w:rsidRPr="0077722A">
        <w:rPr>
          <w:rFonts w:asciiTheme="minorHAnsi" w:hAnsiTheme="minorHAnsi" w:cstheme="minorHAnsi"/>
        </w:rPr>
        <w:t>time</w:t>
      </w:r>
      <w:r w:rsidR="000E65F5" w:rsidRPr="0077722A">
        <w:rPr>
          <w:rFonts w:asciiTheme="minorHAnsi" w:hAnsiTheme="minorHAnsi" w:cstheme="minorHAnsi"/>
        </w:rPr>
        <w:t>/</w:t>
      </w:r>
      <w:r w:rsidRPr="0077722A">
        <w:rPr>
          <w:rFonts w:asciiTheme="minorHAnsi" w:hAnsiTheme="minorHAnsi" w:cstheme="minorHAnsi"/>
        </w:rPr>
        <w:t>funding to develop such an input structure</w:t>
      </w:r>
      <w:r w:rsidR="00094709" w:rsidRPr="0077722A">
        <w:rPr>
          <w:rFonts w:asciiTheme="minorHAnsi" w:hAnsiTheme="minorHAnsi" w:cstheme="minorHAnsi"/>
        </w:rPr>
        <w:t>,</w:t>
      </w:r>
      <w:r w:rsidRPr="0077722A">
        <w:rPr>
          <w:rFonts w:asciiTheme="minorHAnsi" w:hAnsiTheme="minorHAnsi" w:cstheme="minorHAnsi"/>
        </w:rPr>
        <w:t xml:space="preserve"> and monitor it as well</w:t>
      </w:r>
      <w:r w:rsidR="00094709" w:rsidRPr="0077722A">
        <w:rPr>
          <w:rFonts w:asciiTheme="minorHAnsi" w:hAnsiTheme="minorHAnsi" w:cstheme="minorHAnsi"/>
        </w:rPr>
        <w:t>,</w:t>
      </w:r>
      <w:r w:rsidRPr="0077722A">
        <w:rPr>
          <w:rFonts w:asciiTheme="minorHAnsi" w:hAnsiTheme="minorHAnsi" w:cstheme="minorHAnsi"/>
        </w:rPr>
        <w:t xml:space="preserve"> is really the biggest issue altogether for me</w:t>
      </w:r>
      <w:r w:rsidR="001C23B8" w:rsidRPr="0077722A">
        <w:rPr>
          <w:rFonts w:asciiTheme="minorHAnsi" w:hAnsiTheme="minorHAnsi" w:cstheme="minorHAnsi"/>
        </w:rPr>
        <w:t xml:space="preserve"> (Scheme Manager 24)</w:t>
      </w:r>
      <w:r w:rsidRPr="0077722A">
        <w:rPr>
          <w:rFonts w:asciiTheme="minorHAnsi" w:hAnsiTheme="minorHAnsi" w:cstheme="minorHAnsi"/>
        </w:rPr>
        <w:t>.</w:t>
      </w:r>
    </w:p>
    <w:p w14:paraId="48917EC4" w14:textId="77777777" w:rsidR="00E50993" w:rsidRPr="0077722A" w:rsidRDefault="00E50993" w:rsidP="00E50993">
      <w:pPr>
        <w:spacing w:line="360" w:lineRule="auto"/>
        <w:contextualSpacing/>
        <w:mirrorIndents/>
        <w:jc w:val="both"/>
        <w:rPr>
          <w:rFonts w:asciiTheme="minorHAnsi" w:hAnsiTheme="minorHAnsi" w:cstheme="minorHAnsi"/>
        </w:rPr>
      </w:pPr>
    </w:p>
    <w:p w14:paraId="2CE05B15" w14:textId="05825147" w:rsidR="00F20BF4" w:rsidRPr="00E77DC0" w:rsidRDefault="00830BA5" w:rsidP="00E50993">
      <w:pPr>
        <w:spacing w:line="360" w:lineRule="auto"/>
        <w:contextualSpacing/>
        <w:mirrorIndents/>
        <w:jc w:val="both"/>
        <w:rPr>
          <w:rFonts w:asciiTheme="minorHAnsi" w:hAnsiTheme="minorHAnsi" w:cstheme="minorHAnsi"/>
        </w:rPr>
      </w:pPr>
      <w:r w:rsidRPr="00E5382A">
        <w:rPr>
          <w:rFonts w:asciiTheme="minorHAnsi" w:hAnsiTheme="minorHAnsi" w:cstheme="minorHAnsi"/>
        </w:rPr>
        <w:t>Within this narrative</w:t>
      </w:r>
      <w:r w:rsidR="000E65F5" w:rsidRPr="00E5382A">
        <w:rPr>
          <w:rFonts w:asciiTheme="minorHAnsi" w:hAnsiTheme="minorHAnsi" w:cstheme="minorHAnsi"/>
        </w:rPr>
        <w:t>,</w:t>
      </w:r>
      <w:r w:rsidRPr="00E5382A">
        <w:rPr>
          <w:rFonts w:asciiTheme="minorHAnsi" w:hAnsiTheme="minorHAnsi" w:cstheme="minorHAnsi"/>
        </w:rPr>
        <w:t xml:space="preserve"> it is the service user which is a significant problem</w:t>
      </w:r>
      <w:r w:rsidR="002358DD" w:rsidRPr="00E5382A">
        <w:rPr>
          <w:rFonts w:asciiTheme="minorHAnsi" w:hAnsiTheme="minorHAnsi" w:cstheme="minorHAnsi"/>
        </w:rPr>
        <w:t xml:space="preserve"> concerning their reliability to engage with </w:t>
      </w:r>
      <w:r w:rsidR="00FA390F" w:rsidRPr="00E5382A">
        <w:rPr>
          <w:rFonts w:asciiTheme="minorHAnsi" w:hAnsiTheme="minorHAnsi" w:cstheme="minorHAnsi"/>
        </w:rPr>
        <w:t>Appropriate Adult Schemes</w:t>
      </w:r>
      <w:r w:rsidR="002358DD" w:rsidRPr="00E5382A">
        <w:rPr>
          <w:rFonts w:asciiTheme="minorHAnsi" w:hAnsiTheme="minorHAnsi" w:cstheme="minorHAnsi"/>
        </w:rPr>
        <w:t>. However, the manager also acknowledges key structural barriers</w:t>
      </w:r>
      <w:r w:rsidR="00311767" w:rsidRPr="00E5382A">
        <w:rPr>
          <w:rFonts w:asciiTheme="minorHAnsi" w:hAnsiTheme="minorHAnsi" w:cstheme="minorHAnsi"/>
        </w:rPr>
        <w:t xml:space="preserve"> concerning a lack of funding and time to develop meaningful forms of service user involvement and partnership working. From </w:t>
      </w:r>
      <w:r w:rsidR="00094709" w:rsidRPr="00E5382A">
        <w:rPr>
          <w:rFonts w:asciiTheme="minorHAnsi" w:hAnsiTheme="minorHAnsi" w:cstheme="minorHAnsi"/>
        </w:rPr>
        <w:t>t</w:t>
      </w:r>
      <w:r w:rsidR="00311767" w:rsidRPr="00E5382A">
        <w:rPr>
          <w:rFonts w:asciiTheme="minorHAnsi" w:hAnsiTheme="minorHAnsi" w:cstheme="minorHAnsi"/>
        </w:rPr>
        <w:t>his perspective, services were underfunded</w:t>
      </w:r>
      <w:r w:rsidR="00474958" w:rsidRPr="00E5382A">
        <w:rPr>
          <w:rFonts w:asciiTheme="minorHAnsi" w:hAnsiTheme="minorHAnsi" w:cstheme="minorHAnsi"/>
        </w:rPr>
        <w:t xml:space="preserve"> and undervalued within the criminal justice system. </w:t>
      </w:r>
      <w:r w:rsidR="00354778" w:rsidRPr="009F7261">
        <w:rPr>
          <w:rFonts w:asciiTheme="minorHAnsi" w:hAnsiTheme="minorHAnsi" w:cstheme="minorHAnsi"/>
        </w:rPr>
        <w:t>Within the qualitative data</w:t>
      </w:r>
      <w:r w:rsidR="000E65F5" w:rsidRPr="009F7261">
        <w:rPr>
          <w:rFonts w:asciiTheme="minorHAnsi" w:hAnsiTheme="minorHAnsi" w:cstheme="minorHAnsi"/>
        </w:rPr>
        <w:t>,</w:t>
      </w:r>
      <w:r w:rsidR="00354778" w:rsidRPr="009F7261">
        <w:rPr>
          <w:rFonts w:asciiTheme="minorHAnsi" w:hAnsiTheme="minorHAnsi" w:cstheme="minorHAnsi"/>
        </w:rPr>
        <w:t xml:space="preserve"> although it was clear that </w:t>
      </w:r>
      <w:r w:rsidR="00094709" w:rsidRPr="009F7261">
        <w:rPr>
          <w:rFonts w:asciiTheme="minorHAnsi" w:hAnsiTheme="minorHAnsi" w:cstheme="minorHAnsi"/>
        </w:rPr>
        <w:t>A</w:t>
      </w:r>
      <w:r w:rsidR="00354778" w:rsidRPr="009F7261">
        <w:rPr>
          <w:rFonts w:asciiTheme="minorHAnsi" w:hAnsiTheme="minorHAnsi" w:cstheme="minorHAnsi"/>
        </w:rPr>
        <w:t xml:space="preserve">ppropriate </w:t>
      </w:r>
      <w:r w:rsidR="00094709" w:rsidRPr="009F7261">
        <w:rPr>
          <w:rFonts w:asciiTheme="minorHAnsi" w:hAnsiTheme="minorHAnsi" w:cstheme="minorHAnsi"/>
        </w:rPr>
        <w:t>A</w:t>
      </w:r>
      <w:r w:rsidR="00354778" w:rsidRPr="009F7261">
        <w:rPr>
          <w:rFonts w:asciiTheme="minorHAnsi" w:hAnsiTheme="minorHAnsi" w:cstheme="minorHAnsi"/>
        </w:rPr>
        <w:t>dult managers were under a lot of pressure to run effective services with little support,</w:t>
      </w:r>
      <w:r w:rsidR="009437D8" w:rsidRPr="009F7261">
        <w:rPr>
          <w:rFonts w:asciiTheme="minorHAnsi" w:hAnsiTheme="minorHAnsi" w:cstheme="minorHAnsi"/>
        </w:rPr>
        <w:t xml:space="preserve"> a</w:t>
      </w:r>
      <w:r w:rsidR="001C4595" w:rsidRPr="009F7261">
        <w:rPr>
          <w:rFonts w:asciiTheme="minorHAnsi" w:hAnsiTheme="minorHAnsi" w:cstheme="minorHAnsi"/>
        </w:rPr>
        <w:t xml:space="preserve">ttitudes of scheme managers </w:t>
      </w:r>
      <w:r w:rsidR="00F61EFB" w:rsidRPr="009F7261">
        <w:rPr>
          <w:rFonts w:asciiTheme="minorHAnsi" w:hAnsiTheme="minorHAnsi" w:cstheme="minorHAnsi"/>
        </w:rPr>
        <w:t>often lay blame</w:t>
      </w:r>
      <w:r w:rsidR="003E6EEE" w:rsidRPr="009F7261">
        <w:rPr>
          <w:rFonts w:asciiTheme="minorHAnsi" w:hAnsiTheme="minorHAnsi" w:cstheme="minorHAnsi"/>
        </w:rPr>
        <w:t xml:space="preserve"> at the door of service users</w:t>
      </w:r>
      <w:r w:rsidR="004015E5" w:rsidRPr="009F7261">
        <w:rPr>
          <w:rFonts w:asciiTheme="minorHAnsi" w:hAnsiTheme="minorHAnsi" w:cstheme="minorHAnsi"/>
        </w:rPr>
        <w:t>.</w:t>
      </w:r>
      <w:r w:rsidR="003E6EEE" w:rsidRPr="009F7261">
        <w:rPr>
          <w:rFonts w:asciiTheme="minorHAnsi" w:hAnsiTheme="minorHAnsi" w:cstheme="minorHAnsi"/>
        </w:rPr>
        <w:t xml:space="preserve"> </w:t>
      </w:r>
      <w:r w:rsidR="00421F20" w:rsidRPr="00E77DC0">
        <w:rPr>
          <w:rFonts w:asciiTheme="minorHAnsi" w:hAnsiTheme="minorHAnsi" w:cstheme="minorHAnsi"/>
        </w:rPr>
        <w:t>Managers did no</w:t>
      </w:r>
      <w:r w:rsidR="00E92184" w:rsidRPr="00E77DC0">
        <w:rPr>
          <w:rFonts w:asciiTheme="minorHAnsi" w:hAnsiTheme="minorHAnsi" w:cstheme="minorHAnsi"/>
        </w:rPr>
        <w:t>t</w:t>
      </w:r>
      <w:r w:rsidR="00421F20" w:rsidRPr="00E77DC0">
        <w:rPr>
          <w:rFonts w:asciiTheme="minorHAnsi" w:hAnsiTheme="minorHAnsi" w:cstheme="minorHAnsi"/>
        </w:rPr>
        <w:t xml:space="preserve"> seem to acknowledge that</w:t>
      </w:r>
      <w:r w:rsidR="003E6EEE" w:rsidRPr="00E77DC0">
        <w:rPr>
          <w:rFonts w:asciiTheme="minorHAnsi" w:hAnsiTheme="minorHAnsi" w:cstheme="minorHAnsi"/>
        </w:rPr>
        <w:t xml:space="preserve"> </w:t>
      </w:r>
      <w:r w:rsidR="00421F20" w:rsidRPr="00E77DC0">
        <w:rPr>
          <w:rFonts w:asciiTheme="minorHAnsi" w:hAnsiTheme="minorHAnsi" w:cstheme="minorHAnsi"/>
        </w:rPr>
        <w:t xml:space="preserve">service user </w:t>
      </w:r>
      <w:r w:rsidR="003E6EEE" w:rsidRPr="00E77DC0">
        <w:rPr>
          <w:rFonts w:asciiTheme="minorHAnsi" w:hAnsiTheme="minorHAnsi" w:cstheme="minorHAnsi"/>
        </w:rPr>
        <w:t xml:space="preserve">involvement and partnership work </w:t>
      </w:r>
      <w:r w:rsidR="00F57C5A" w:rsidRPr="00E77DC0">
        <w:rPr>
          <w:rFonts w:asciiTheme="minorHAnsi" w:hAnsiTheme="minorHAnsi" w:cstheme="minorHAnsi"/>
        </w:rPr>
        <w:t>is</w:t>
      </w:r>
      <w:r w:rsidR="003E6EEE" w:rsidRPr="00E77DC0">
        <w:rPr>
          <w:rFonts w:asciiTheme="minorHAnsi" w:hAnsiTheme="minorHAnsi" w:cstheme="minorHAnsi"/>
        </w:rPr>
        <w:t xml:space="preserve"> underpinned by a power relationship</w:t>
      </w:r>
      <w:r w:rsidR="009F7261" w:rsidRPr="00E77DC0">
        <w:rPr>
          <w:rFonts w:asciiTheme="minorHAnsi" w:hAnsiTheme="minorHAnsi" w:cstheme="minorHAnsi"/>
        </w:rPr>
        <w:t>,</w:t>
      </w:r>
      <w:r w:rsidR="00C428E7" w:rsidRPr="00E77DC0">
        <w:rPr>
          <w:rFonts w:asciiTheme="minorHAnsi" w:hAnsiTheme="minorHAnsi" w:cstheme="minorHAnsi"/>
        </w:rPr>
        <w:t xml:space="preserve"> where service user voices </w:t>
      </w:r>
      <w:r w:rsidR="009F7261" w:rsidRPr="00E77DC0">
        <w:rPr>
          <w:rFonts w:asciiTheme="minorHAnsi" w:hAnsiTheme="minorHAnsi" w:cstheme="minorHAnsi"/>
        </w:rPr>
        <w:t xml:space="preserve">can </w:t>
      </w:r>
      <w:r w:rsidR="00C428E7" w:rsidRPr="00E77DC0">
        <w:rPr>
          <w:rFonts w:asciiTheme="minorHAnsi" w:hAnsiTheme="minorHAnsi" w:cstheme="minorHAnsi"/>
        </w:rPr>
        <w:t>become a fundamental part of the service, rather than</w:t>
      </w:r>
      <w:r w:rsidR="00F3485D" w:rsidRPr="00E77DC0">
        <w:rPr>
          <w:rFonts w:asciiTheme="minorHAnsi" w:hAnsiTheme="minorHAnsi" w:cstheme="minorHAnsi"/>
        </w:rPr>
        <w:t xml:space="preserve"> a tokenistic exercise </w:t>
      </w:r>
      <w:r w:rsidR="002F31C5" w:rsidRPr="00E77DC0">
        <w:rPr>
          <w:rFonts w:asciiTheme="minorHAnsi" w:hAnsiTheme="minorHAnsi" w:cstheme="minorHAnsi"/>
        </w:rPr>
        <w:t>of</w:t>
      </w:r>
      <w:r w:rsidR="00F3485D" w:rsidRPr="00E77DC0">
        <w:rPr>
          <w:rFonts w:asciiTheme="minorHAnsi" w:hAnsiTheme="minorHAnsi" w:cstheme="minorHAnsi"/>
        </w:rPr>
        <w:t xml:space="preserve"> customer feedback to justify</w:t>
      </w:r>
      <w:r w:rsidR="00FF46C2" w:rsidRPr="00E77DC0">
        <w:rPr>
          <w:rFonts w:asciiTheme="minorHAnsi" w:hAnsiTheme="minorHAnsi" w:cstheme="minorHAnsi"/>
        </w:rPr>
        <w:t xml:space="preserve"> future funding applications.</w:t>
      </w:r>
    </w:p>
    <w:p w14:paraId="5D91E3AD" w14:textId="77777777" w:rsidR="00C57069" w:rsidRPr="00E77DC0" w:rsidRDefault="00C57069" w:rsidP="00AA51B8">
      <w:pPr>
        <w:spacing w:line="360" w:lineRule="auto"/>
        <w:contextualSpacing/>
        <w:mirrorIndents/>
        <w:jc w:val="both"/>
        <w:rPr>
          <w:rFonts w:asciiTheme="minorHAnsi" w:hAnsiTheme="minorHAnsi" w:cstheme="minorHAnsi"/>
        </w:rPr>
      </w:pPr>
    </w:p>
    <w:p w14:paraId="10710C82" w14:textId="77777777" w:rsidR="00F94AB4" w:rsidRPr="00E77DC0" w:rsidRDefault="00F94AB4" w:rsidP="00F94AB4">
      <w:pPr>
        <w:spacing w:line="360" w:lineRule="auto"/>
        <w:contextualSpacing/>
        <w:mirrorIndents/>
        <w:jc w:val="both"/>
        <w:rPr>
          <w:rFonts w:asciiTheme="minorHAnsi" w:hAnsiTheme="minorHAnsi" w:cstheme="minorHAnsi"/>
          <w:b/>
          <w:lang w:bidi="en-US"/>
        </w:rPr>
      </w:pPr>
      <w:r w:rsidRPr="00E77DC0">
        <w:rPr>
          <w:rFonts w:asciiTheme="minorHAnsi" w:hAnsiTheme="minorHAnsi" w:cstheme="minorHAnsi"/>
          <w:b/>
          <w:lang w:bidi="en-US"/>
        </w:rPr>
        <w:t>Conclusion</w:t>
      </w:r>
    </w:p>
    <w:p w14:paraId="7E0A0C7A" w14:textId="77777777" w:rsidR="00C57069" w:rsidRPr="00E77DC0" w:rsidRDefault="00C57069" w:rsidP="00AA51B8">
      <w:pPr>
        <w:spacing w:line="360" w:lineRule="auto"/>
        <w:contextualSpacing/>
        <w:mirrorIndents/>
        <w:jc w:val="both"/>
        <w:rPr>
          <w:rFonts w:asciiTheme="minorHAnsi" w:hAnsiTheme="minorHAnsi" w:cstheme="minorHAnsi"/>
        </w:rPr>
      </w:pPr>
    </w:p>
    <w:p w14:paraId="6635E683" w14:textId="2920FF7C" w:rsidR="000A0538" w:rsidRPr="0080237C" w:rsidRDefault="009727EB" w:rsidP="00AA51B8">
      <w:pPr>
        <w:spacing w:line="360" w:lineRule="auto"/>
        <w:contextualSpacing/>
        <w:mirrorIndents/>
        <w:jc w:val="both"/>
        <w:rPr>
          <w:rFonts w:asciiTheme="minorHAnsi" w:hAnsiTheme="minorHAnsi" w:cstheme="minorHAnsi"/>
          <w:bCs/>
          <w:lang w:bidi="en-US"/>
        </w:rPr>
      </w:pPr>
      <w:r w:rsidRPr="00E77DC0">
        <w:rPr>
          <w:rFonts w:asciiTheme="minorHAnsi" w:hAnsiTheme="minorHAnsi" w:cstheme="minorHAnsi"/>
          <w:bCs/>
          <w:lang w:bidi="en-US"/>
        </w:rPr>
        <w:t xml:space="preserve">The importance of service user involvement has been a significant motivator in the development of effective services that meet the needs of the </w:t>
      </w:r>
      <w:r w:rsidR="00094709" w:rsidRPr="00E77DC0">
        <w:rPr>
          <w:rFonts w:asciiTheme="minorHAnsi" w:hAnsiTheme="minorHAnsi" w:cstheme="minorHAnsi"/>
          <w:bCs/>
          <w:lang w:bidi="en-US"/>
        </w:rPr>
        <w:t>vulnerable suspects</w:t>
      </w:r>
      <w:r w:rsidRPr="00E77DC0">
        <w:rPr>
          <w:rFonts w:asciiTheme="minorHAnsi" w:hAnsiTheme="minorHAnsi" w:cstheme="minorHAnsi"/>
          <w:bCs/>
          <w:lang w:bidi="en-US"/>
        </w:rPr>
        <w:t xml:space="preserve"> (Hanley </w:t>
      </w:r>
      <w:r w:rsidRPr="00E77DC0">
        <w:rPr>
          <w:rFonts w:asciiTheme="minorHAnsi" w:hAnsiTheme="minorHAnsi" w:cstheme="minorHAnsi"/>
          <w:bCs/>
          <w:i/>
          <w:iCs/>
          <w:lang w:bidi="en-US"/>
        </w:rPr>
        <w:t>et al.,</w:t>
      </w:r>
      <w:r w:rsidRPr="00E77DC0">
        <w:rPr>
          <w:rFonts w:asciiTheme="minorHAnsi" w:hAnsiTheme="minorHAnsi" w:cstheme="minorHAnsi"/>
          <w:bCs/>
          <w:lang w:bidi="en-US"/>
        </w:rPr>
        <w:t xml:space="preserve"> 2004; Macdonald and Taylor-</w:t>
      </w:r>
      <w:proofErr w:type="spellStart"/>
      <w:r w:rsidRPr="00E77DC0">
        <w:rPr>
          <w:rFonts w:asciiTheme="minorHAnsi" w:hAnsiTheme="minorHAnsi" w:cstheme="minorHAnsi"/>
          <w:bCs/>
          <w:lang w:bidi="en-US"/>
        </w:rPr>
        <w:t>Gooby</w:t>
      </w:r>
      <w:proofErr w:type="spellEnd"/>
      <w:r w:rsidR="009A12B8" w:rsidRPr="00E77DC0">
        <w:rPr>
          <w:rFonts w:asciiTheme="minorHAnsi" w:hAnsiTheme="minorHAnsi" w:cstheme="minorHAnsi"/>
          <w:bCs/>
          <w:lang w:bidi="en-US"/>
        </w:rPr>
        <w:t xml:space="preserve">, </w:t>
      </w:r>
      <w:r w:rsidRPr="00E77DC0">
        <w:rPr>
          <w:rFonts w:asciiTheme="minorHAnsi" w:hAnsiTheme="minorHAnsi" w:cstheme="minorHAnsi"/>
          <w:bCs/>
          <w:lang w:bidi="en-US"/>
        </w:rPr>
        <w:t>201</w:t>
      </w:r>
      <w:r w:rsidR="00202BA1" w:rsidRPr="00E77DC0">
        <w:rPr>
          <w:rFonts w:asciiTheme="minorHAnsi" w:hAnsiTheme="minorHAnsi" w:cstheme="minorHAnsi"/>
          <w:bCs/>
          <w:lang w:bidi="en-US"/>
        </w:rPr>
        <w:t>4</w:t>
      </w:r>
      <w:r w:rsidRPr="00E77DC0">
        <w:rPr>
          <w:rFonts w:asciiTheme="minorHAnsi" w:hAnsiTheme="minorHAnsi" w:cstheme="minorHAnsi"/>
          <w:bCs/>
          <w:lang w:bidi="en-US"/>
        </w:rPr>
        <w:t xml:space="preserve">; </w:t>
      </w:r>
      <w:proofErr w:type="spellStart"/>
      <w:r w:rsidRPr="00E77DC0">
        <w:rPr>
          <w:rFonts w:asciiTheme="minorHAnsi" w:hAnsiTheme="minorHAnsi" w:cstheme="minorHAnsi"/>
          <w:bCs/>
          <w:lang w:bidi="en-US"/>
        </w:rPr>
        <w:t>Askheim</w:t>
      </w:r>
      <w:proofErr w:type="spellEnd"/>
      <w:r w:rsidRPr="00E77DC0">
        <w:rPr>
          <w:rFonts w:asciiTheme="minorHAnsi" w:hAnsiTheme="minorHAnsi" w:cstheme="minorHAnsi"/>
          <w:bCs/>
          <w:lang w:bidi="en-US"/>
        </w:rPr>
        <w:t xml:space="preserve"> </w:t>
      </w:r>
      <w:r w:rsidRPr="00E77DC0">
        <w:rPr>
          <w:rFonts w:asciiTheme="minorHAnsi" w:hAnsiTheme="minorHAnsi" w:cstheme="minorHAnsi"/>
          <w:bCs/>
          <w:i/>
          <w:iCs/>
          <w:lang w:bidi="en-US"/>
        </w:rPr>
        <w:t>et al</w:t>
      </w:r>
      <w:r w:rsidR="009A12B8" w:rsidRPr="00E77DC0">
        <w:rPr>
          <w:rFonts w:asciiTheme="minorHAnsi" w:hAnsiTheme="minorHAnsi" w:cstheme="minorHAnsi"/>
          <w:bCs/>
          <w:i/>
          <w:iCs/>
          <w:lang w:bidi="en-US"/>
        </w:rPr>
        <w:t>.,</w:t>
      </w:r>
      <w:r w:rsidRPr="00E77DC0">
        <w:rPr>
          <w:rFonts w:asciiTheme="minorHAnsi" w:hAnsiTheme="minorHAnsi" w:cstheme="minorHAnsi"/>
          <w:bCs/>
          <w:lang w:bidi="en-US"/>
        </w:rPr>
        <w:t xml:space="preserve"> 2016).</w:t>
      </w:r>
      <w:r w:rsidR="00DB3AB0" w:rsidRPr="00E77DC0">
        <w:rPr>
          <w:rFonts w:asciiTheme="minorHAnsi" w:hAnsiTheme="minorHAnsi" w:cstheme="minorHAnsi"/>
          <w:bCs/>
          <w:lang w:bidi="en-US"/>
        </w:rPr>
        <w:t xml:space="preserve"> </w:t>
      </w:r>
      <w:r w:rsidR="00DB3AB0" w:rsidRPr="00541CD0">
        <w:rPr>
          <w:rFonts w:asciiTheme="minorHAnsi" w:hAnsiTheme="minorHAnsi" w:cstheme="minorHAnsi"/>
          <w:bCs/>
          <w:lang w:bidi="en-US"/>
        </w:rPr>
        <w:t xml:space="preserve">This is illustrated in the National Appropriate Adult Network </w:t>
      </w:r>
      <w:r w:rsidR="00F14D4B" w:rsidRPr="00541CD0">
        <w:rPr>
          <w:rFonts w:asciiTheme="minorHAnsi" w:hAnsiTheme="minorHAnsi" w:cstheme="minorHAnsi"/>
          <w:bCs/>
          <w:lang w:bidi="en-US"/>
        </w:rPr>
        <w:t>standards (2018)</w:t>
      </w:r>
      <w:r w:rsidR="00380ACE" w:rsidRPr="00541CD0">
        <w:rPr>
          <w:rFonts w:asciiTheme="minorHAnsi" w:hAnsiTheme="minorHAnsi" w:cstheme="minorHAnsi"/>
          <w:bCs/>
          <w:lang w:bidi="en-US"/>
        </w:rPr>
        <w:t xml:space="preserve"> that state </w:t>
      </w:r>
      <w:r w:rsidR="00094709" w:rsidRPr="00541CD0">
        <w:rPr>
          <w:rFonts w:asciiTheme="minorHAnsi" w:hAnsiTheme="minorHAnsi" w:cstheme="minorHAnsi"/>
          <w:bCs/>
          <w:lang w:bidi="en-US"/>
        </w:rPr>
        <w:t xml:space="preserve">it is their aim that </w:t>
      </w:r>
      <w:r w:rsidR="00F14D4B" w:rsidRPr="00541CD0">
        <w:rPr>
          <w:rFonts w:asciiTheme="minorHAnsi" w:hAnsiTheme="minorHAnsi" w:cstheme="minorHAnsi"/>
          <w:bCs/>
          <w:lang w:bidi="en-US"/>
        </w:rPr>
        <w:t>“Service users and other people with relevant lived experience are actively and genuinely working in partnership with the scheme to define, develop, deliver and evaluate AA provision” (Standard 1.9</w:t>
      </w:r>
      <w:r w:rsidR="00A4766C" w:rsidRPr="00541CD0">
        <w:rPr>
          <w:rFonts w:asciiTheme="minorHAnsi" w:hAnsiTheme="minorHAnsi" w:cstheme="minorHAnsi"/>
          <w:bCs/>
          <w:lang w:bidi="en-US"/>
        </w:rPr>
        <w:t xml:space="preserve"> :24</w:t>
      </w:r>
      <w:r w:rsidR="00F14D4B" w:rsidRPr="00541CD0">
        <w:rPr>
          <w:rFonts w:asciiTheme="minorHAnsi" w:hAnsiTheme="minorHAnsi" w:cstheme="minorHAnsi"/>
          <w:bCs/>
          <w:lang w:bidi="en-US"/>
        </w:rPr>
        <w:t>).</w:t>
      </w:r>
      <w:r w:rsidR="00E74660" w:rsidRPr="00541CD0">
        <w:rPr>
          <w:rFonts w:asciiTheme="minorHAnsi" w:hAnsiTheme="minorHAnsi" w:cstheme="minorHAnsi"/>
          <w:bCs/>
          <w:lang w:bidi="en-US"/>
        </w:rPr>
        <w:t xml:space="preserve"> </w:t>
      </w:r>
      <w:r w:rsidR="00380ACE" w:rsidRPr="00541CD0">
        <w:rPr>
          <w:rFonts w:asciiTheme="minorHAnsi" w:hAnsiTheme="minorHAnsi" w:cstheme="minorHAnsi"/>
          <w:bCs/>
          <w:lang w:bidi="en-US"/>
        </w:rPr>
        <w:t xml:space="preserve"> As discussed</w:t>
      </w:r>
      <w:r w:rsidR="000B06EC" w:rsidRPr="00541CD0">
        <w:rPr>
          <w:rFonts w:asciiTheme="minorHAnsi" w:hAnsiTheme="minorHAnsi" w:cstheme="minorHAnsi"/>
          <w:bCs/>
          <w:lang w:bidi="en-US"/>
        </w:rPr>
        <w:t>, measuring service user involvement</w:t>
      </w:r>
      <w:r w:rsidRPr="00541CD0">
        <w:rPr>
          <w:rFonts w:asciiTheme="minorHAnsi" w:hAnsiTheme="minorHAnsi" w:cstheme="minorHAnsi"/>
          <w:bCs/>
          <w:lang w:bidi="en-US"/>
        </w:rPr>
        <w:t xml:space="preserve"> has been traditionally conceptualised</w:t>
      </w:r>
      <w:r w:rsidR="00952A97" w:rsidRPr="00541CD0">
        <w:rPr>
          <w:rFonts w:asciiTheme="minorHAnsi" w:hAnsiTheme="minorHAnsi" w:cstheme="minorHAnsi"/>
          <w:bCs/>
          <w:lang w:bidi="en-US"/>
        </w:rPr>
        <w:t xml:space="preserve"> </w:t>
      </w:r>
      <w:r w:rsidR="00094709" w:rsidRPr="00541CD0">
        <w:rPr>
          <w:rFonts w:asciiTheme="minorHAnsi" w:hAnsiTheme="minorHAnsi" w:cstheme="minorHAnsi"/>
          <w:bCs/>
          <w:lang w:bidi="en-US"/>
        </w:rPr>
        <w:t xml:space="preserve">using </w:t>
      </w:r>
      <w:proofErr w:type="spellStart"/>
      <w:r w:rsidRPr="00541CD0">
        <w:rPr>
          <w:rFonts w:asciiTheme="minorHAnsi" w:hAnsiTheme="minorHAnsi" w:cstheme="minorHAnsi"/>
          <w:bCs/>
          <w:lang w:bidi="en-US"/>
        </w:rPr>
        <w:t>Arnstein’s</w:t>
      </w:r>
      <w:proofErr w:type="spellEnd"/>
      <w:r w:rsidRPr="00541CD0">
        <w:rPr>
          <w:rFonts w:asciiTheme="minorHAnsi" w:hAnsiTheme="minorHAnsi" w:cstheme="minorHAnsi"/>
          <w:bCs/>
          <w:lang w:bidi="en-US"/>
        </w:rPr>
        <w:t xml:space="preserve"> ladder of participation (</w:t>
      </w:r>
      <w:proofErr w:type="spellStart"/>
      <w:r w:rsidRPr="00541CD0">
        <w:rPr>
          <w:rFonts w:asciiTheme="minorHAnsi" w:hAnsiTheme="minorHAnsi" w:cstheme="minorHAnsi"/>
          <w:bCs/>
          <w:lang w:bidi="en-US"/>
        </w:rPr>
        <w:t>Arnstein</w:t>
      </w:r>
      <w:proofErr w:type="spellEnd"/>
      <w:r w:rsidRPr="00541CD0">
        <w:rPr>
          <w:rFonts w:asciiTheme="minorHAnsi" w:hAnsiTheme="minorHAnsi" w:cstheme="minorHAnsi"/>
          <w:bCs/>
          <w:lang w:bidi="en-US"/>
        </w:rPr>
        <w:t xml:space="preserve"> 1969; Charles and DeMaio 1993; Allain </w:t>
      </w:r>
      <w:r w:rsidRPr="00541CD0">
        <w:rPr>
          <w:rFonts w:asciiTheme="minorHAnsi" w:hAnsiTheme="minorHAnsi" w:cstheme="minorHAnsi"/>
          <w:bCs/>
          <w:i/>
          <w:iCs/>
          <w:lang w:bidi="en-US"/>
        </w:rPr>
        <w:t>et al</w:t>
      </w:r>
      <w:r w:rsidRPr="00541CD0">
        <w:rPr>
          <w:rFonts w:asciiTheme="minorHAnsi" w:hAnsiTheme="minorHAnsi" w:cstheme="minorHAnsi"/>
          <w:bCs/>
          <w:lang w:bidi="en-US"/>
        </w:rPr>
        <w:t>.</w:t>
      </w:r>
      <w:r w:rsidR="00325BAA" w:rsidRPr="00541CD0">
        <w:rPr>
          <w:rFonts w:asciiTheme="minorHAnsi" w:hAnsiTheme="minorHAnsi" w:cstheme="minorHAnsi"/>
          <w:bCs/>
          <w:lang w:bidi="en-US"/>
        </w:rPr>
        <w:t>,</w:t>
      </w:r>
      <w:r w:rsidRPr="00541CD0">
        <w:rPr>
          <w:rFonts w:asciiTheme="minorHAnsi" w:hAnsiTheme="minorHAnsi" w:cstheme="minorHAnsi"/>
          <w:bCs/>
          <w:lang w:bidi="en-US"/>
        </w:rPr>
        <w:t xml:space="preserve"> 2006). </w:t>
      </w:r>
      <w:r w:rsidR="00286D5B" w:rsidRPr="00B215F2">
        <w:rPr>
          <w:rFonts w:asciiTheme="minorHAnsi" w:hAnsiTheme="minorHAnsi" w:cstheme="minorHAnsi"/>
          <w:bCs/>
          <w:lang w:bidi="en-US"/>
        </w:rPr>
        <w:t xml:space="preserve">Although </w:t>
      </w:r>
      <w:proofErr w:type="spellStart"/>
      <w:r w:rsidRPr="00B215F2">
        <w:rPr>
          <w:rFonts w:asciiTheme="minorHAnsi" w:hAnsiTheme="minorHAnsi" w:cstheme="minorHAnsi"/>
          <w:bCs/>
          <w:lang w:bidi="en-US"/>
        </w:rPr>
        <w:t>Arnstein</w:t>
      </w:r>
      <w:r w:rsidR="000E65F5" w:rsidRPr="00B215F2">
        <w:rPr>
          <w:rFonts w:asciiTheme="minorHAnsi" w:hAnsiTheme="minorHAnsi" w:cstheme="minorHAnsi"/>
          <w:bCs/>
          <w:lang w:bidi="en-US"/>
        </w:rPr>
        <w:t>'s</w:t>
      </w:r>
      <w:proofErr w:type="spellEnd"/>
      <w:r w:rsidRPr="00B215F2">
        <w:rPr>
          <w:rFonts w:asciiTheme="minorHAnsi" w:hAnsiTheme="minorHAnsi" w:cstheme="minorHAnsi"/>
          <w:bCs/>
          <w:lang w:bidi="en-US"/>
        </w:rPr>
        <w:t xml:space="preserve"> (1969) ladder gives us a framework to understand </w:t>
      </w:r>
      <w:r w:rsidR="000D137A" w:rsidRPr="00B215F2">
        <w:rPr>
          <w:rFonts w:asciiTheme="minorHAnsi" w:hAnsiTheme="minorHAnsi" w:cstheme="minorHAnsi"/>
          <w:bCs/>
          <w:lang w:bidi="en-US"/>
        </w:rPr>
        <w:t xml:space="preserve">the </w:t>
      </w:r>
      <w:r w:rsidRPr="00B215F2">
        <w:rPr>
          <w:rFonts w:asciiTheme="minorHAnsi" w:hAnsiTheme="minorHAnsi" w:cstheme="minorHAnsi"/>
          <w:bCs/>
          <w:lang w:bidi="en-US"/>
        </w:rPr>
        <w:t xml:space="preserve">degrees of power </w:t>
      </w:r>
      <w:r w:rsidR="00B550DB" w:rsidRPr="00B215F2">
        <w:rPr>
          <w:rFonts w:asciiTheme="minorHAnsi" w:hAnsiTheme="minorHAnsi" w:cstheme="minorHAnsi"/>
          <w:bCs/>
          <w:lang w:bidi="en-US"/>
        </w:rPr>
        <w:t xml:space="preserve">concerning </w:t>
      </w:r>
      <w:r w:rsidR="000D137A" w:rsidRPr="00B215F2">
        <w:rPr>
          <w:rFonts w:asciiTheme="minorHAnsi" w:hAnsiTheme="minorHAnsi" w:cstheme="minorHAnsi"/>
          <w:bCs/>
          <w:lang w:bidi="en-US"/>
        </w:rPr>
        <w:t xml:space="preserve">the </w:t>
      </w:r>
      <w:r w:rsidR="00B550DB" w:rsidRPr="00B215F2">
        <w:rPr>
          <w:rFonts w:asciiTheme="minorHAnsi" w:hAnsiTheme="minorHAnsi" w:cstheme="minorHAnsi"/>
          <w:bCs/>
          <w:lang w:bidi="en-US"/>
        </w:rPr>
        <w:t xml:space="preserve">relationship </w:t>
      </w:r>
      <w:r w:rsidRPr="00B215F2">
        <w:rPr>
          <w:rFonts w:asciiTheme="minorHAnsi" w:hAnsiTheme="minorHAnsi" w:cstheme="minorHAnsi"/>
          <w:bCs/>
          <w:lang w:bidi="en-US"/>
        </w:rPr>
        <w:t>between professionals/practitioners and service users</w:t>
      </w:r>
      <w:r w:rsidR="00B550DB" w:rsidRPr="00B215F2">
        <w:rPr>
          <w:rFonts w:asciiTheme="minorHAnsi" w:hAnsiTheme="minorHAnsi" w:cstheme="minorHAnsi"/>
          <w:bCs/>
          <w:lang w:bidi="en-US"/>
        </w:rPr>
        <w:t>,</w:t>
      </w:r>
      <w:r w:rsidR="00766B65" w:rsidRPr="00B215F2">
        <w:rPr>
          <w:rFonts w:asciiTheme="minorHAnsi" w:hAnsiTheme="minorHAnsi" w:cstheme="minorHAnsi"/>
          <w:bCs/>
          <w:lang w:bidi="en-US"/>
        </w:rPr>
        <w:t xml:space="preserve"> </w:t>
      </w:r>
      <w:r w:rsidR="000D137A" w:rsidRPr="00B215F2">
        <w:rPr>
          <w:rFonts w:asciiTheme="minorHAnsi" w:hAnsiTheme="minorHAnsi" w:cstheme="minorHAnsi"/>
          <w:bCs/>
          <w:lang w:bidi="en-US"/>
        </w:rPr>
        <w:t xml:space="preserve">the </w:t>
      </w:r>
      <w:r w:rsidR="00766B65" w:rsidRPr="00B215F2">
        <w:rPr>
          <w:rFonts w:asciiTheme="minorHAnsi" w:hAnsiTheme="minorHAnsi" w:cstheme="minorHAnsi"/>
          <w:bCs/>
          <w:lang w:bidi="en-US"/>
        </w:rPr>
        <w:t>model does not discuss ideological drivers which underpin ideas of involvement</w:t>
      </w:r>
      <w:r w:rsidRPr="00B215F2">
        <w:rPr>
          <w:rFonts w:asciiTheme="minorHAnsi" w:hAnsiTheme="minorHAnsi" w:cstheme="minorHAnsi"/>
          <w:bCs/>
          <w:lang w:bidi="en-US"/>
        </w:rPr>
        <w:t xml:space="preserve">. </w:t>
      </w:r>
      <w:r w:rsidR="00094709" w:rsidRPr="00B215F2">
        <w:rPr>
          <w:rFonts w:asciiTheme="minorHAnsi" w:hAnsiTheme="minorHAnsi" w:cstheme="minorHAnsi"/>
          <w:bCs/>
          <w:lang w:bidi="en-US"/>
        </w:rPr>
        <w:t>W</w:t>
      </w:r>
      <w:r w:rsidRPr="00B215F2">
        <w:rPr>
          <w:rFonts w:asciiTheme="minorHAnsi" w:hAnsiTheme="minorHAnsi" w:cstheme="minorHAnsi"/>
          <w:bCs/>
          <w:lang w:bidi="en-US"/>
        </w:rPr>
        <w:t xml:space="preserve">ithin the work of </w:t>
      </w:r>
      <w:proofErr w:type="spellStart"/>
      <w:r w:rsidRPr="00B215F2">
        <w:rPr>
          <w:rFonts w:asciiTheme="minorHAnsi" w:hAnsiTheme="minorHAnsi" w:cstheme="minorHAnsi"/>
          <w:bCs/>
          <w:lang w:bidi="en-US"/>
        </w:rPr>
        <w:t>Forbat</w:t>
      </w:r>
      <w:proofErr w:type="spellEnd"/>
      <w:r w:rsidRPr="00B215F2">
        <w:rPr>
          <w:rFonts w:asciiTheme="minorHAnsi" w:hAnsiTheme="minorHAnsi" w:cstheme="minorHAnsi"/>
          <w:bCs/>
          <w:lang w:bidi="en-US"/>
        </w:rPr>
        <w:t xml:space="preserve">, </w:t>
      </w:r>
      <w:r w:rsidRPr="00B215F2">
        <w:rPr>
          <w:rFonts w:asciiTheme="minorHAnsi" w:hAnsiTheme="minorHAnsi" w:cstheme="minorHAnsi"/>
          <w:bCs/>
          <w:i/>
          <w:iCs/>
          <w:lang w:bidi="en-US"/>
        </w:rPr>
        <w:t>et al.</w:t>
      </w:r>
      <w:r w:rsidRPr="00B215F2">
        <w:rPr>
          <w:rFonts w:asciiTheme="minorHAnsi" w:hAnsiTheme="minorHAnsi" w:cstheme="minorHAnsi"/>
          <w:bCs/>
          <w:lang w:bidi="en-US"/>
        </w:rPr>
        <w:t xml:space="preserve"> (2009) the</w:t>
      </w:r>
      <w:r w:rsidR="000D137A" w:rsidRPr="00B215F2">
        <w:rPr>
          <w:rFonts w:asciiTheme="minorHAnsi" w:hAnsiTheme="minorHAnsi" w:cstheme="minorHAnsi"/>
          <w:bCs/>
          <w:lang w:bidi="en-US"/>
        </w:rPr>
        <w:t>y</w:t>
      </w:r>
      <w:r w:rsidRPr="00B215F2">
        <w:rPr>
          <w:rFonts w:asciiTheme="minorHAnsi" w:hAnsiTheme="minorHAnsi" w:cstheme="minorHAnsi"/>
          <w:bCs/>
          <w:lang w:bidi="en-US"/>
        </w:rPr>
        <w:t xml:space="preserve"> </w:t>
      </w:r>
      <w:r w:rsidR="00094709" w:rsidRPr="00B215F2">
        <w:rPr>
          <w:rFonts w:asciiTheme="minorHAnsi" w:hAnsiTheme="minorHAnsi" w:cstheme="minorHAnsi"/>
          <w:bCs/>
          <w:lang w:bidi="en-US"/>
        </w:rPr>
        <w:t xml:space="preserve">advance the </w:t>
      </w:r>
      <w:r w:rsidRPr="00B215F2">
        <w:rPr>
          <w:rFonts w:asciiTheme="minorHAnsi" w:hAnsiTheme="minorHAnsi" w:cstheme="minorHAnsi"/>
          <w:bCs/>
          <w:lang w:bidi="en-US"/>
        </w:rPr>
        <w:t xml:space="preserve">traditional analysis of power with </w:t>
      </w:r>
      <w:r w:rsidR="00094709" w:rsidRPr="00B215F2">
        <w:rPr>
          <w:rFonts w:asciiTheme="minorHAnsi" w:hAnsiTheme="minorHAnsi" w:cstheme="minorHAnsi"/>
          <w:bCs/>
          <w:lang w:bidi="en-US"/>
        </w:rPr>
        <w:t xml:space="preserve">the addition of </w:t>
      </w:r>
      <w:r w:rsidRPr="00B215F2">
        <w:rPr>
          <w:rFonts w:asciiTheme="minorHAnsi" w:hAnsiTheme="minorHAnsi" w:cstheme="minorHAnsi"/>
          <w:bCs/>
          <w:lang w:bidi="en-US"/>
        </w:rPr>
        <w:t xml:space="preserve">ideological drivers which underpin different forms of involvement. </w:t>
      </w:r>
      <w:r w:rsidR="00094709" w:rsidRPr="0080237C">
        <w:rPr>
          <w:rFonts w:asciiTheme="minorHAnsi" w:hAnsiTheme="minorHAnsi" w:cstheme="minorHAnsi"/>
          <w:bCs/>
          <w:lang w:bidi="en-US"/>
        </w:rPr>
        <w:t>N</w:t>
      </w:r>
      <w:r w:rsidRPr="0080237C">
        <w:rPr>
          <w:rFonts w:asciiTheme="minorHAnsi" w:hAnsiTheme="minorHAnsi" w:cstheme="minorHAnsi"/>
          <w:bCs/>
          <w:lang w:bidi="en-US"/>
        </w:rPr>
        <w:t>ot only does developing service user involvement entail analysis of power</w:t>
      </w:r>
      <w:r w:rsidR="00094709" w:rsidRPr="0080237C">
        <w:rPr>
          <w:rFonts w:asciiTheme="minorHAnsi" w:hAnsiTheme="minorHAnsi" w:cstheme="minorHAnsi"/>
          <w:bCs/>
          <w:lang w:bidi="en-US"/>
        </w:rPr>
        <w:t>,</w:t>
      </w:r>
      <w:r w:rsidRPr="0080237C">
        <w:rPr>
          <w:rFonts w:asciiTheme="minorHAnsi" w:hAnsiTheme="minorHAnsi" w:cstheme="minorHAnsi"/>
          <w:bCs/>
          <w:lang w:bidi="en-US"/>
        </w:rPr>
        <w:t xml:space="preserve"> but also </w:t>
      </w:r>
      <w:r w:rsidR="00094709" w:rsidRPr="0080237C">
        <w:rPr>
          <w:rFonts w:asciiTheme="minorHAnsi" w:hAnsiTheme="minorHAnsi" w:cstheme="minorHAnsi"/>
          <w:bCs/>
          <w:lang w:bidi="en-US"/>
        </w:rPr>
        <w:t xml:space="preserve">requires an understanding of </w:t>
      </w:r>
      <w:r w:rsidRPr="0080237C">
        <w:rPr>
          <w:rFonts w:asciiTheme="minorHAnsi" w:hAnsiTheme="minorHAnsi" w:cstheme="minorHAnsi"/>
          <w:bCs/>
          <w:lang w:bidi="en-US"/>
        </w:rPr>
        <w:t xml:space="preserve">the ideological </w:t>
      </w:r>
      <w:bookmarkStart w:id="12" w:name="_Hlk71900491"/>
      <w:r w:rsidR="00094709" w:rsidRPr="0080237C">
        <w:rPr>
          <w:rFonts w:asciiTheme="minorHAnsi" w:hAnsiTheme="minorHAnsi" w:cstheme="minorHAnsi"/>
          <w:bCs/>
          <w:lang w:bidi="en-US"/>
        </w:rPr>
        <w:t xml:space="preserve">drivers </w:t>
      </w:r>
      <w:r w:rsidRPr="0080237C">
        <w:rPr>
          <w:rFonts w:asciiTheme="minorHAnsi" w:hAnsiTheme="minorHAnsi" w:cstheme="minorHAnsi"/>
          <w:bCs/>
          <w:lang w:bidi="en-US"/>
        </w:rPr>
        <w:t>(</w:t>
      </w:r>
      <w:proofErr w:type="spellStart"/>
      <w:r w:rsidRPr="0080237C">
        <w:rPr>
          <w:rFonts w:asciiTheme="minorHAnsi" w:hAnsiTheme="minorHAnsi" w:cstheme="minorHAnsi"/>
          <w:bCs/>
          <w:lang w:bidi="en-US"/>
        </w:rPr>
        <w:t>Forbat</w:t>
      </w:r>
      <w:proofErr w:type="spellEnd"/>
      <w:r w:rsidRPr="0080237C">
        <w:rPr>
          <w:rFonts w:asciiTheme="minorHAnsi" w:hAnsiTheme="minorHAnsi" w:cstheme="minorHAnsi"/>
          <w:bCs/>
          <w:lang w:bidi="en-US"/>
        </w:rPr>
        <w:t xml:space="preserve">, </w:t>
      </w:r>
      <w:r w:rsidRPr="0080237C">
        <w:rPr>
          <w:rFonts w:asciiTheme="minorHAnsi" w:hAnsiTheme="minorHAnsi" w:cstheme="minorHAnsi"/>
          <w:bCs/>
          <w:i/>
          <w:iCs/>
          <w:lang w:bidi="en-US"/>
        </w:rPr>
        <w:t>et al.</w:t>
      </w:r>
      <w:r w:rsidRPr="0080237C">
        <w:rPr>
          <w:rFonts w:asciiTheme="minorHAnsi" w:hAnsiTheme="minorHAnsi" w:cstheme="minorHAnsi"/>
          <w:bCs/>
          <w:lang w:bidi="en-US"/>
        </w:rPr>
        <w:t xml:space="preserve"> 2009). </w:t>
      </w:r>
    </w:p>
    <w:bookmarkEnd w:id="12"/>
    <w:p w14:paraId="6E6545F5" w14:textId="77777777" w:rsidR="000A0538" w:rsidRPr="0080237C" w:rsidRDefault="000A0538" w:rsidP="00AA51B8">
      <w:pPr>
        <w:spacing w:line="360" w:lineRule="auto"/>
        <w:contextualSpacing/>
        <w:mirrorIndents/>
        <w:jc w:val="both"/>
        <w:rPr>
          <w:rFonts w:asciiTheme="minorHAnsi" w:hAnsiTheme="minorHAnsi" w:cstheme="minorHAnsi"/>
          <w:bCs/>
          <w:lang w:bidi="en-US"/>
        </w:rPr>
      </w:pPr>
    </w:p>
    <w:p w14:paraId="7DE52D47" w14:textId="0DE6A10F" w:rsidR="00E753B3" w:rsidRPr="00D14ECD" w:rsidRDefault="000A0538" w:rsidP="00656513">
      <w:pPr>
        <w:spacing w:before="240" w:line="360" w:lineRule="auto"/>
        <w:contextualSpacing/>
        <w:mirrorIndents/>
        <w:jc w:val="both"/>
        <w:rPr>
          <w:rFonts w:asciiTheme="minorHAnsi" w:hAnsiTheme="minorHAnsi" w:cstheme="minorHAnsi"/>
        </w:rPr>
      </w:pPr>
      <w:r w:rsidRPr="0080237C">
        <w:rPr>
          <w:rFonts w:asciiTheme="minorHAnsi" w:hAnsiTheme="minorHAnsi" w:cstheme="minorHAnsi"/>
          <w:bCs/>
          <w:lang w:bidi="en-US"/>
        </w:rPr>
        <w:t>W</w:t>
      </w:r>
      <w:r w:rsidR="009727EB" w:rsidRPr="0080237C">
        <w:rPr>
          <w:rFonts w:asciiTheme="minorHAnsi" w:hAnsiTheme="minorHAnsi" w:cstheme="minorHAnsi"/>
          <w:bCs/>
          <w:lang w:bidi="en-US"/>
        </w:rPr>
        <w:t xml:space="preserve">ithin the </w:t>
      </w:r>
      <w:r w:rsidR="00094709" w:rsidRPr="0080237C">
        <w:rPr>
          <w:rFonts w:asciiTheme="minorHAnsi" w:hAnsiTheme="minorHAnsi" w:cstheme="minorHAnsi"/>
          <w:bCs/>
          <w:lang w:bidi="en-US"/>
        </w:rPr>
        <w:t>C</w:t>
      </w:r>
      <w:r w:rsidR="009727EB" w:rsidRPr="0080237C">
        <w:rPr>
          <w:rFonts w:asciiTheme="minorHAnsi" w:hAnsiTheme="minorHAnsi" w:cstheme="minorHAnsi"/>
          <w:bCs/>
          <w:lang w:bidi="en-US"/>
        </w:rPr>
        <w:t xml:space="preserve">riminal </w:t>
      </w:r>
      <w:r w:rsidR="00094709" w:rsidRPr="0080237C">
        <w:rPr>
          <w:rFonts w:asciiTheme="minorHAnsi" w:hAnsiTheme="minorHAnsi" w:cstheme="minorHAnsi"/>
          <w:bCs/>
          <w:lang w:bidi="en-US"/>
        </w:rPr>
        <w:t>J</w:t>
      </w:r>
      <w:r w:rsidR="009727EB" w:rsidRPr="0080237C">
        <w:rPr>
          <w:rFonts w:asciiTheme="minorHAnsi" w:hAnsiTheme="minorHAnsi" w:cstheme="minorHAnsi"/>
          <w:bCs/>
          <w:lang w:bidi="en-US"/>
        </w:rPr>
        <w:t xml:space="preserve">ustice </w:t>
      </w:r>
      <w:r w:rsidR="00094709" w:rsidRPr="0080237C">
        <w:rPr>
          <w:rFonts w:asciiTheme="minorHAnsi" w:hAnsiTheme="minorHAnsi" w:cstheme="minorHAnsi"/>
          <w:bCs/>
          <w:lang w:bidi="en-US"/>
        </w:rPr>
        <w:t>S</w:t>
      </w:r>
      <w:r w:rsidR="009727EB" w:rsidRPr="0080237C">
        <w:rPr>
          <w:rFonts w:asciiTheme="minorHAnsi" w:hAnsiTheme="minorHAnsi" w:cstheme="minorHAnsi"/>
          <w:bCs/>
          <w:lang w:bidi="en-US"/>
        </w:rPr>
        <w:t>ystem</w:t>
      </w:r>
      <w:r w:rsidR="000D137A" w:rsidRPr="0080237C">
        <w:rPr>
          <w:rFonts w:asciiTheme="minorHAnsi" w:hAnsiTheme="minorHAnsi" w:cstheme="minorHAnsi"/>
          <w:bCs/>
          <w:lang w:bidi="en-US"/>
        </w:rPr>
        <w:t>,</w:t>
      </w:r>
      <w:r w:rsidR="009727EB" w:rsidRPr="0080237C">
        <w:rPr>
          <w:rFonts w:asciiTheme="minorHAnsi" w:hAnsiTheme="minorHAnsi" w:cstheme="minorHAnsi"/>
          <w:bCs/>
          <w:lang w:bidi="en-US"/>
        </w:rPr>
        <w:t xml:space="preserve"> this level of analysis </w:t>
      </w:r>
      <w:r w:rsidR="00094709" w:rsidRPr="0080237C">
        <w:rPr>
          <w:rFonts w:asciiTheme="minorHAnsi" w:hAnsiTheme="minorHAnsi" w:cstheme="minorHAnsi"/>
          <w:bCs/>
          <w:lang w:bidi="en-US"/>
        </w:rPr>
        <w:t xml:space="preserve">regarding </w:t>
      </w:r>
      <w:r w:rsidR="009727EB" w:rsidRPr="0080237C">
        <w:rPr>
          <w:rFonts w:asciiTheme="minorHAnsi" w:hAnsiTheme="minorHAnsi" w:cstheme="minorHAnsi"/>
          <w:bCs/>
          <w:lang w:bidi="en-US"/>
        </w:rPr>
        <w:t xml:space="preserve">service user involvement has been absent from debates </w:t>
      </w:r>
      <w:r w:rsidR="00936B1F" w:rsidRPr="0080237C">
        <w:rPr>
          <w:rFonts w:asciiTheme="minorHAnsi" w:hAnsiTheme="minorHAnsi" w:cstheme="minorHAnsi"/>
          <w:bCs/>
          <w:lang w:bidi="en-US"/>
        </w:rPr>
        <w:t>around</w:t>
      </w:r>
      <w:r w:rsidR="009727EB" w:rsidRPr="0080237C">
        <w:rPr>
          <w:rFonts w:asciiTheme="minorHAnsi" w:hAnsiTheme="minorHAnsi" w:cstheme="minorHAnsi"/>
          <w:bCs/>
          <w:lang w:bidi="en-US"/>
        </w:rPr>
        <w:t xml:space="preserve"> service development (Weaver 2011; Honeywell 2020).</w:t>
      </w:r>
      <w:r w:rsidRPr="0080237C">
        <w:rPr>
          <w:rFonts w:asciiTheme="minorHAnsi" w:hAnsiTheme="minorHAnsi" w:cstheme="minorHAnsi"/>
          <w:bCs/>
          <w:lang w:bidi="en-US"/>
        </w:rPr>
        <w:t xml:space="preserve"> </w:t>
      </w:r>
      <w:r w:rsidR="005A22D0" w:rsidRPr="0080237C">
        <w:rPr>
          <w:rFonts w:asciiTheme="minorHAnsi" w:hAnsiTheme="minorHAnsi" w:cstheme="minorHAnsi"/>
          <w:bCs/>
          <w:lang w:bidi="en-US"/>
        </w:rPr>
        <w:t xml:space="preserve">Unlike within health and social care practice, there has been no theoretical attempt to assess effective and appropriate models of service user involvement. </w:t>
      </w:r>
      <w:r w:rsidR="005A22D0" w:rsidRPr="006B7C92">
        <w:rPr>
          <w:rFonts w:asciiTheme="minorHAnsi" w:hAnsiTheme="minorHAnsi" w:cstheme="minorHAnsi"/>
          <w:bCs/>
          <w:lang w:bidi="en-US"/>
        </w:rPr>
        <w:t>This study has</w:t>
      </w:r>
      <w:r w:rsidR="00ED1F5F" w:rsidRPr="006B7C92">
        <w:rPr>
          <w:rFonts w:asciiTheme="minorHAnsi" w:hAnsiTheme="minorHAnsi" w:cstheme="minorHAnsi"/>
          <w:bCs/>
          <w:lang w:bidi="en-US"/>
        </w:rPr>
        <w:t xml:space="preserve"> drawn on dominant ideas of service user involvement which have emerged from social work and health care debate concerning</w:t>
      </w:r>
      <w:r w:rsidR="00D12770" w:rsidRPr="006B7C92">
        <w:rPr>
          <w:rFonts w:asciiTheme="minorHAnsi" w:hAnsiTheme="minorHAnsi" w:cstheme="minorHAnsi"/>
          <w:bCs/>
          <w:lang w:bidi="en-US"/>
        </w:rPr>
        <w:t xml:space="preserve"> what service user involvement means and how it can be appropriately applied to service development (</w:t>
      </w:r>
      <w:proofErr w:type="spellStart"/>
      <w:r w:rsidR="00ED3B93" w:rsidRPr="006B7C92">
        <w:rPr>
          <w:rFonts w:asciiTheme="minorHAnsi" w:hAnsiTheme="minorHAnsi" w:cstheme="minorHAnsi"/>
          <w:bCs/>
          <w:lang w:bidi="en-US"/>
        </w:rPr>
        <w:t>Forbat</w:t>
      </w:r>
      <w:proofErr w:type="spellEnd"/>
      <w:r w:rsidR="00ED3B93" w:rsidRPr="006B7C92">
        <w:rPr>
          <w:rFonts w:asciiTheme="minorHAnsi" w:hAnsiTheme="minorHAnsi" w:cstheme="minorHAnsi"/>
          <w:bCs/>
          <w:lang w:bidi="en-US"/>
        </w:rPr>
        <w:t xml:space="preserve"> </w:t>
      </w:r>
      <w:r w:rsidR="00ED3B93" w:rsidRPr="006B7C92">
        <w:rPr>
          <w:rFonts w:asciiTheme="minorHAnsi" w:hAnsiTheme="minorHAnsi" w:cstheme="minorHAnsi"/>
          <w:bCs/>
          <w:i/>
          <w:iCs/>
          <w:lang w:bidi="en-US"/>
        </w:rPr>
        <w:t>et al</w:t>
      </w:r>
      <w:r w:rsidR="00ED3B93" w:rsidRPr="006B7C92">
        <w:rPr>
          <w:rFonts w:asciiTheme="minorHAnsi" w:hAnsiTheme="minorHAnsi" w:cstheme="minorHAnsi"/>
          <w:bCs/>
          <w:lang w:bidi="en-US"/>
        </w:rPr>
        <w:t>.</w:t>
      </w:r>
      <w:r w:rsidR="009A12B8" w:rsidRPr="006B7C92">
        <w:rPr>
          <w:rFonts w:asciiTheme="minorHAnsi" w:hAnsiTheme="minorHAnsi" w:cstheme="minorHAnsi"/>
          <w:bCs/>
          <w:lang w:bidi="en-US"/>
        </w:rPr>
        <w:t>,</w:t>
      </w:r>
      <w:r w:rsidR="00ED3B93" w:rsidRPr="006B7C92">
        <w:rPr>
          <w:rFonts w:asciiTheme="minorHAnsi" w:hAnsiTheme="minorHAnsi" w:cstheme="minorHAnsi"/>
          <w:bCs/>
          <w:lang w:bidi="en-US"/>
        </w:rPr>
        <w:t xml:space="preserve"> 2009; </w:t>
      </w:r>
      <w:r w:rsidR="00EF5535" w:rsidRPr="006B7C92">
        <w:rPr>
          <w:rFonts w:asciiTheme="minorHAnsi" w:hAnsiTheme="minorHAnsi" w:cstheme="minorHAnsi"/>
          <w:bCs/>
          <w:lang w:bidi="en-US"/>
        </w:rPr>
        <w:t>Weaver</w:t>
      </w:r>
      <w:r w:rsidR="009A12B8" w:rsidRPr="006B7C92">
        <w:rPr>
          <w:rFonts w:asciiTheme="minorHAnsi" w:hAnsiTheme="minorHAnsi" w:cstheme="minorHAnsi"/>
          <w:bCs/>
          <w:lang w:bidi="en-US"/>
        </w:rPr>
        <w:t>,</w:t>
      </w:r>
      <w:r w:rsidR="00EF5535" w:rsidRPr="006B7C92">
        <w:rPr>
          <w:rFonts w:asciiTheme="minorHAnsi" w:hAnsiTheme="minorHAnsi" w:cstheme="minorHAnsi"/>
          <w:bCs/>
          <w:lang w:bidi="en-US"/>
        </w:rPr>
        <w:t xml:space="preserve"> 2011;</w:t>
      </w:r>
      <w:r w:rsidR="00656513" w:rsidRPr="006B7C92">
        <w:rPr>
          <w:rFonts w:asciiTheme="minorHAnsi" w:hAnsiTheme="minorHAnsi" w:cstheme="minorHAnsi"/>
          <w:bCs/>
          <w:lang w:bidi="en-US"/>
        </w:rPr>
        <w:t xml:space="preserve"> Macdonald and Taylor-</w:t>
      </w:r>
      <w:proofErr w:type="spellStart"/>
      <w:r w:rsidR="00656513" w:rsidRPr="006B7C92">
        <w:rPr>
          <w:rFonts w:asciiTheme="minorHAnsi" w:hAnsiTheme="minorHAnsi" w:cstheme="minorHAnsi"/>
          <w:bCs/>
          <w:lang w:bidi="en-US"/>
        </w:rPr>
        <w:t>Gooby</w:t>
      </w:r>
      <w:proofErr w:type="spellEnd"/>
      <w:r w:rsidR="009A12B8" w:rsidRPr="006B7C92">
        <w:rPr>
          <w:rFonts w:asciiTheme="minorHAnsi" w:hAnsiTheme="minorHAnsi" w:cstheme="minorHAnsi"/>
          <w:bCs/>
          <w:lang w:bidi="en-US"/>
        </w:rPr>
        <w:t>,</w:t>
      </w:r>
      <w:r w:rsidR="00656513" w:rsidRPr="006B7C92">
        <w:rPr>
          <w:rFonts w:asciiTheme="minorHAnsi" w:hAnsiTheme="minorHAnsi" w:cstheme="minorHAnsi"/>
          <w:bCs/>
          <w:lang w:bidi="en-US"/>
        </w:rPr>
        <w:t xml:space="preserve"> 201</w:t>
      </w:r>
      <w:r w:rsidR="00202BA1" w:rsidRPr="006B7C92">
        <w:rPr>
          <w:rFonts w:asciiTheme="minorHAnsi" w:hAnsiTheme="minorHAnsi" w:cstheme="minorHAnsi"/>
          <w:bCs/>
          <w:lang w:bidi="en-US"/>
        </w:rPr>
        <w:t>4</w:t>
      </w:r>
      <w:r w:rsidR="00656513" w:rsidRPr="006B7C92">
        <w:rPr>
          <w:rFonts w:asciiTheme="minorHAnsi" w:hAnsiTheme="minorHAnsi" w:cstheme="minorHAnsi"/>
          <w:bCs/>
          <w:lang w:bidi="en-US"/>
        </w:rPr>
        <w:t>;</w:t>
      </w:r>
      <w:r w:rsidR="00EF5535" w:rsidRPr="006B7C92">
        <w:rPr>
          <w:rFonts w:asciiTheme="minorHAnsi" w:hAnsiTheme="minorHAnsi" w:cstheme="minorHAnsi"/>
          <w:bCs/>
          <w:lang w:bidi="en-US"/>
        </w:rPr>
        <w:t xml:space="preserve"> </w:t>
      </w:r>
      <w:r w:rsidR="000526C0" w:rsidRPr="006B7C92">
        <w:rPr>
          <w:rFonts w:asciiTheme="minorHAnsi" w:hAnsiTheme="minorHAnsi" w:cstheme="minorHAnsi"/>
          <w:bCs/>
          <w:lang w:bidi="en-US"/>
        </w:rPr>
        <w:t>Hughes</w:t>
      </w:r>
      <w:r w:rsidR="009A12B8" w:rsidRPr="006B7C92">
        <w:rPr>
          <w:rFonts w:asciiTheme="minorHAnsi" w:hAnsiTheme="minorHAnsi" w:cstheme="minorHAnsi"/>
          <w:bCs/>
          <w:lang w:bidi="en-US"/>
        </w:rPr>
        <w:t>,</w:t>
      </w:r>
      <w:r w:rsidR="000526C0" w:rsidRPr="006B7C92">
        <w:rPr>
          <w:rFonts w:asciiTheme="minorHAnsi" w:hAnsiTheme="minorHAnsi" w:cstheme="minorHAnsi"/>
          <w:bCs/>
          <w:lang w:bidi="en-US"/>
        </w:rPr>
        <w:t xml:space="preserve"> 2017</w:t>
      </w:r>
      <w:r w:rsidR="00D12770" w:rsidRPr="006B7C92">
        <w:rPr>
          <w:rFonts w:asciiTheme="minorHAnsi" w:hAnsiTheme="minorHAnsi" w:cstheme="minorHAnsi"/>
          <w:bCs/>
          <w:lang w:bidi="en-US"/>
        </w:rPr>
        <w:t xml:space="preserve">). </w:t>
      </w:r>
      <w:r w:rsidR="000D4E08" w:rsidRPr="006B7C92">
        <w:rPr>
          <w:rFonts w:asciiTheme="minorHAnsi" w:hAnsiTheme="minorHAnsi" w:cstheme="minorHAnsi"/>
          <w:bCs/>
          <w:lang w:bidi="en-US"/>
        </w:rPr>
        <w:t>Within our study</w:t>
      </w:r>
      <w:r w:rsidR="00936B1F" w:rsidRPr="006B7C92">
        <w:rPr>
          <w:rFonts w:asciiTheme="minorHAnsi" w:hAnsiTheme="minorHAnsi" w:cstheme="minorHAnsi"/>
          <w:bCs/>
          <w:lang w:bidi="en-US"/>
        </w:rPr>
        <w:t>,</w:t>
      </w:r>
      <w:r w:rsidR="000D4E08" w:rsidRPr="006B7C92">
        <w:rPr>
          <w:rFonts w:asciiTheme="minorHAnsi" w:hAnsiTheme="minorHAnsi" w:cstheme="minorHAnsi"/>
          <w:bCs/>
          <w:lang w:bidi="en-US"/>
        </w:rPr>
        <w:t xml:space="preserve"> when applying </w:t>
      </w:r>
      <w:proofErr w:type="spellStart"/>
      <w:r w:rsidR="000D4E08" w:rsidRPr="006B7C92">
        <w:rPr>
          <w:rFonts w:asciiTheme="minorHAnsi" w:hAnsiTheme="minorHAnsi" w:cstheme="minorHAnsi"/>
          <w:bCs/>
          <w:lang w:bidi="en-US"/>
        </w:rPr>
        <w:t>Forbat</w:t>
      </w:r>
      <w:proofErr w:type="spellEnd"/>
      <w:r w:rsidR="000D4E08" w:rsidRPr="006B7C92">
        <w:rPr>
          <w:rFonts w:asciiTheme="minorHAnsi" w:hAnsiTheme="minorHAnsi" w:cstheme="minorHAnsi"/>
          <w:bCs/>
          <w:lang w:bidi="en-US"/>
        </w:rPr>
        <w:t xml:space="preserve">, </w:t>
      </w:r>
      <w:r w:rsidR="000D4E08" w:rsidRPr="006B7C92">
        <w:rPr>
          <w:rFonts w:asciiTheme="minorHAnsi" w:hAnsiTheme="minorHAnsi" w:cstheme="minorHAnsi"/>
          <w:bCs/>
          <w:i/>
          <w:iCs/>
          <w:lang w:bidi="en-US"/>
        </w:rPr>
        <w:t>et al.</w:t>
      </w:r>
      <w:r w:rsidR="000D4E08" w:rsidRPr="006B7C92">
        <w:rPr>
          <w:rFonts w:asciiTheme="minorHAnsi" w:hAnsiTheme="minorHAnsi" w:cstheme="minorHAnsi"/>
          <w:bCs/>
          <w:lang w:bidi="en-US"/>
        </w:rPr>
        <w:t xml:space="preserve"> (2009)</w:t>
      </w:r>
      <w:r w:rsidR="00723D40" w:rsidRPr="006B7C92">
        <w:rPr>
          <w:rFonts w:asciiTheme="minorHAnsi" w:hAnsiTheme="minorHAnsi" w:cstheme="minorHAnsi"/>
          <w:bCs/>
          <w:lang w:bidi="en-US"/>
        </w:rPr>
        <w:t xml:space="preserve"> </w:t>
      </w:r>
      <w:r w:rsidR="002961DE" w:rsidRPr="006B7C92">
        <w:rPr>
          <w:rFonts w:asciiTheme="minorHAnsi" w:hAnsiTheme="minorHAnsi" w:cstheme="minorHAnsi"/>
          <w:bCs/>
          <w:lang w:bidi="en-US"/>
        </w:rPr>
        <w:t xml:space="preserve">models of involvement it became clear that for the majority of </w:t>
      </w:r>
      <w:r w:rsidR="00FA390F" w:rsidRPr="006B7C92">
        <w:rPr>
          <w:rFonts w:asciiTheme="minorHAnsi" w:hAnsiTheme="minorHAnsi" w:cstheme="minorHAnsi"/>
          <w:bCs/>
          <w:lang w:bidi="en-US"/>
        </w:rPr>
        <w:t>Appropriate Adult Schemes</w:t>
      </w:r>
      <w:r w:rsidR="00363142" w:rsidRPr="006B7C92">
        <w:rPr>
          <w:rFonts w:asciiTheme="minorHAnsi" w:hAnsiTheme="minorHAnsi" w:cstheme="minorHAnsi"/>
          <w:bCs/>
          <w:lang w:bidi="en-US"/>
        </w:rPr>
        <w:t>, service user involvement was underpinned by the ‘free market economy model’</w:t>
      </w:r>
      <w:r w:rsidR="00656513" w:rsidRPr="006B7C92">
        <w:rPr>
          <w:rFonts w:asciiTheme="minorHAnsi" w:hAnsiTheme="minorHAnsi" w:cstheme="minorHAnsi"/>
          <w:bCs/>
          <w:lang w:bidi="en-US"/>
        </w:rPr>
        <w:t xml:space="preserve"> (</w:t>
      </w:r>
      <w:bookmarkStart w:id="13" w:name="_Hlk71898965"/>
      <w:proofErr w:type="spellStart"/>
      <w:r w:rsidR="00656513" w:rsidRPr="006B7C92">
        <w:rPr>
          <w:rFonts w:asciiTheme="minorHAnsi" w:hAnsiTheme="minorHAnsi" w:cstheme="minorHAnsi"/>
          <w:bCs/>
          <w:lang w:bidi="en-US"/>
        </w:rPr>
        <w:t>Forbat</w:t>
      </w:r>
      <w:proofErr w:type="spellEnd"/>
      <w:r w:rsidR="00656513" w:rsidRPr="006B7C92">
        <w:rPr>
          <w:rFonts w:asciiTheme="minorHAnsi" w:hAnsiTheme="minorHAnsi" w:cstheme="minorHAnsi"/>
          <w:bCs/>
          <w:lang w:bidi="en-US"/>
        </w:rPr>
        <w:t xml:space="preserve"> </w:t>
      </w:r>
      <w:r w:rsidR="00656513" w:rsidRPr="006B7C92">
        <w:rPr>
          <w:rFonts w:asciiTheme="minorHAnsi" w:hAnsiTheme="minorHAnsi" w:cstheme="minorHAnsi"/>
          <w:bCs/>
          <w:i/>
          <w:iCs/>
          <w:lang w:bidi="en-US"/>
        </w:rPr>
        <w:t>et al</w:t>
      </w:r>
      <w:r w:rsidR="00656513" w:rsidRPr="006B7C92">
        <w:rPr>
          <w:rFonts w:asciiTheme="minorHAnsi" w:hAnsiTheme="minorHAnsi" w:cstheme="minorHAnsi"/>
          <w:bCs/>
          <w:lang w:bidi="en-US"/>
        </w:rPr>
        <w:t>.</w:t>
      </w:r>
      <w:r w:rsidR="009A12B8" w:rsidRPr="006B7C92">
        <w:rPr>
          <w:rFonts w:asciiTheme="minorHAnsi" w:hAnsiTheme="minorHAnsi" w:cstheme="minorHAnsi"/>
          <w:bCs/>
          <w:lang w:bidi="en-US"/>
        </w:rPr>
        <w:t>,</w:t>
      </w:r>
      <w:r w:rsidR="00656513" w:rsidRPr="006B7C92">
        <w:rPr>
          <w:rFonts w:asciiTheme="minorHAnsi" w:hAnsiTheme="minorHAnsi" w:cstheme="minorHAnsi"/>
          <w:bCs/>
          <w:lang w:bidi="en-US"/>
        </w:rPr>
        <w:t xml:space="preserve"> 2009</w:t>
      </w:r>
      <w:bookmarkEnd w:id="13"/>
      <w:r w:rsidR="00FA2C01" w:rsidRPr="006B7C92">
        <w:rPr>
          <w:rFonts w:asciiTheme="minorHAnsi" w:hAnsiTheme="minorHAnsi" w:cstheme="minorHAnsi"/>
          <w:bCs/>
          <w:lang w:bidi="en-US"/>
        </w:rPr>
        <w:t>)</w:t>
      </w:r>
      <w:r w:rsidR="00363142" w:rsidRPr="006B7C92">
        <w:rPr>
          <w:rFonts w:asciiTheme="minorHAnsi" w:hAnsiTheme="minorHAnsi" w:cstheme="minorHAnsi"/>
          <w:bCs/>
          <w:lang w:bidi="en-US"/>
        </w:rPr>
        <w:t xml:space="preserve">. </w:t>
      </w:r>
      <w:r w:rsidR="00FF096E" w:rsidRPr="00363C0D">
        <w:rPr>
          <w:rFonts w:asciiTheme="minorHAnsi" w:hAnsiTheme="minorHAnsi" w:cstheme="minorHAnsi"/>
          <w:bCs/>
          <w:lang w:bidi="en-US"/>
        </w:rPr>
        <w:t>For most managers</w:t>
      </w:r>
      <w:r w:rsidR="00E74660" w:rsidRPr="00363C0D">
        <w:rPr>
          <w:rFonts w:asciiTheme="minorHAnsi" w:hAnsiTheme="minorHAnsi" w:cstheme="minorHAnsi"/>
          <w:bCs/>
          <w:lang w:bidi="en-US"/>
        </w:rPr>
        <w:t>,</w:t>
      </w:r>
      <w:r w:rsidR="00063400" w:rsidRPr="00363C0D">
        <w:rPr>
          <w:rFonts w:asciiTheme="minorHAnsi" w:hAnsiTheme="minorHAnsi" w:cstheme="minorHAnsi"/>
          <w:bCs/>
          <w:lang w:bidi="en-US"/>
        </w:rPr>
        <w:t xml:space="preserve"> service user involvement was conceptualised through </w:t>
      </w:r>
      <w:r w:rsidR="00712783" w:rsidRPr="00363C0D">
        <w:rPr>
          <w:rFonts w:asciiTheme="minorHAnsi" w:hAnsiTheme="minorHAnsi" w:cstheme="minorHAnsi"/>
          <w:bCs/>
          <w:lang w:bidi="en-US"/>
        </w:rPr>
        <w:t xml:space="preserve">the administrative procedure of collecting service user feedback from </w:t>
      </w:r>
      <w:r w:rsidR="00661296" w:rsidRPr="00363C0D">
        <w:rPr>
          <w:rFonts w:asciiTheme="minorHAnsi" w:hAnsiTheme="minorHAnsi" w:cstheme="minorHAnsi"/>
          <w:bCs/>
          <w:lang w:bidi="en-US"/>
        </w:rPr>
        <w:t>a ‘consumer’-based questionnaire to assess how effective their services are</w:t>
      </w:r>
      <w:r w:rsidR="00A67DB8" w:rsidRPr="00363C0D">
        <w:rPr>
          <w:rFonts w:asciiTheme="minorHAnsi" w:hAnsiTheme="minorHAnsi" w:cstheme="minorHAnsi"/>
          <w:bCs/>
          <w:lang w:bidi="en-US"/>
        </w:rPr>
        <w:t xml:space="preserve"> in custody</w:t>
      </w:r>
      <w:r w:rsidR="00DF1723" w:rsidRPr="00363C0D">
        <w:rPr>
          <w:rFonts w:asciiTheme="minorHAnsi" w:hAnsiTheme="minorHAnsi" w:cstheme="minorHAnsi"/>
          <w:bCs/>
          <w:lang w:bidi="en-US"/>
        </w:rPr>
        <w:t xml:space="preserve"> (Macdonald and Taylor-</w:t>
      </w:r>
      <w:proofErr w:type="spellStart"/>
      <w:r w:rsidR="00DF1723" w:rsidRPr="00363C0D">
        <w:rPr>
          <w:rFonts w:asciiTheme="minorHAnsi" w:hAnsiTheme="minorHAnsi" w:cstheme="minorHAnsi"/>
          <w:bCs/>
          <w:lang w:bidi="en-US"/>
        </w:rPr>
        <w:t>Gooby</w:t>
      </w:r>
      <w:proofErr w:type="spellEnd"/>
      <w:r w:rsidR="009A12B8" w:rsidRPr="00363C0D">
        <w:rPr>
          <w:rFonts w:asciiTheme="minorHAnsi" w:hAnsiTheme="minorHAnsi" w:cstheme="minorHAnsi"/>
          <w:bCs/>
          <w:lang w:bidi="en-US"/>
        </w:rPr>
        <w:t>,</w:t>
      </w:r>
      <w:r w:rsidR="00DF1723" w:rsidRPr="00363C0D">
        <w:rPr>
          <w:rFonts w:asciiTheme="minorHAnsi" w:hAnsiTheme="minorHAnsi" w:cstheme="minorHAnsi"/>
          <w:bCs/>
          <w:lang w:bidi="en-US"/>
        </w:rPr>
        <w:t xml:space="preserve"> 201</w:t>
      </w:r>
      <w:r w:rsidR="00202BA1" w:rsidRPr="00363C0D">
        <w:rPr>
          <w:rFonts w:asciiTheme="minorHAnsi" w:hAnsiTheme="minorHAnsi" w:cstheme="minorHAnsi"/>
          <w:bCs/>
          <w:lang w:bidi="en-US"/>
        </w:rPr>
        <w:t>4</w:t>
      </w:r>
      <w:r w:rsidR="00DF1723" w:rsidRPr="00363C0D">
        <w:rPr>
          <w:rFonts w:asciiTheme="minorHAnsi" w:hAnsiTheme="minorHAnsi" w:cstheme="minorHAnsi"/>
          <w:bCs/>
          <w:lang w:bidi="en-US"/>
        </w:rPr>
        <w:t>)</w:t>
      </w:r>
      <w:r w:rsidR="00A67DB8" w:rsidRPr="00363C0D">
        <w:rPr>
          <w:rFonts w:asciiTheme="minorHAnsi" w:hAnsiTheme="minorHAnsi" w:cstheme="minorHAnsi"/>
          <w:bCs/>
          <w:lang w:bidi="en-US"/>
        </w:rPr>
        <w:t>.</w:t>
      </w:r>
      <w:r w:rsidR="00936B1F" w:rsidRPr="00363C0D">
        <w:rPr>
          <w:rFonts w:asciiTheme="minorHAnsi" w:hAnsiTheme="minorHAnsi" w:cstheme="minorHAnsi"/>
          <w:bCs/>
          <w:lang w:bidi="en-US"/>
        </w:rPr>
        <w:t xml:space="preserve">  The majority of A</w:t>
      </w:r>
      <w:r w:rsidR="00A67DB8" w:rsidRPr="00363C0D">
        <w:rPr>
          <w:rFonts w:asciiTheme="minorHAnsi" w:hAnsiTheme="minorHAnsi" w:cstheme="minorHAnsi"/>
          <w:bCs/>
          <w:lang w:bidi="en-US"/>
        </w:rPr>
        <w:t xml:space="preserve">ppropriate </w:t>
      </w:r>
      <w:r w:rsidR="00936B1F" w:rsidRPr="00363C0D">
        <w:rPr>
          <w:rFonts w:asciiTheme="minorHAnsi" w:hAnsiTheme="minorHAnsi" w:cstheme="minorHAnsi"/>
          <w:bCs/>
          <w:lang w:bidi="en-US"/>
        </w:rPr>
        <w:t>A</w:t>
      </w:r>
      <w:r w:rsidR="00A67DB8" w:rsidRPr="00363C0D">
        <w:rPr>
          <w:rFonts w:asciiTheme="minorHAnsi" w:hAnsiTheme="minorHAnsi" w:cstheme="minorHAnsi"/>
          <w:bCs/>
          <w:lang w:bidi="en-US"/>
        </w:rPr>
        <w:t xml:space="preserve">dult </w:t>
      </w:r>
      <w:r w:rsidR="001D1FFE" w:rsidRPr="00363C0D">
        <w:rPr>
          <w:rFonts w:asciiTheme="minorHAnsi" w:hAnsiTheme="minorHAnsi" w:cstheme="minorHAnsi"/>
          <w:bCs/>
          <w:lang w:bidi="en-US"/>
        </w:rPr>
        <w:t>schemes collected</w:t>
      </w:r>
      <w:r w:rsidR="00ED54C4" w:rsidRPr="00363C0D">
        <w:rPr>
          <w:rFonts w:asciiTheme="minorHAnsi" w:hAnsiTheme="minorHAnsi" w:cstheme="minorHAnsi"/>
          <w:bCs/>
          <w:lang w:bidi="en-US"/>
        </w:rPr>
        <w:t xml:space="preserve"> service user feedback</w:t>
      </w:r>
      <w:r w:rsidR="00936B1F" w:rsidRPr="00363C0D">
        <w:rPr>
          <w:rFonts w:asciiTheme="minorHAnsi" w:hAnsiTheme="minorHAnsi" w:cstheme="minorHAnsi"/>
          <w:bCs/>
          <w:lang w:bidi="en-US"/>
        </w:rPr>
        <w:t>,</w:t>
      </w:r>
      <w:r w:rsidR="00ED54C4" w:rsidRPr="00363C0D">
        <w:rPr>
          <w:rFonts w:asciiTheme="minorHAnsi" w:hAnsiTheme="minorHAnsi" w:cstheme="minorHAnsi"/>
          <w:bCs/>
          <w:lang w:bidi="en-US"/>
        </w:rPr>
        <w:t xml:space="preserve"> but </w:t>
      </w:r>
      <w:r w:rsidR="00936B1F" w:rsidRPr="00363C0D">
        <w:rPr>
          <w:rFonts w:asciiTheme="minorHAnsi" w:hAnsiTheme="minorHAnsi" w:cstheme="minorHAnsi"/>
          <w:bCs/>
          <w:lang w:bidi="en-US"/>
        </w:rPr>
        <w:t>few</w:t>
      </w:r>
      <w:r w:rsidR="00ED54C4" w:rsidRPr="00363C0D">
        <w:rPr>
          <w:rFonts w:asciiTheme="minorHAnsi" w:hAnsiTheme="minorHAnsi" w:cstheme="minorHAnsi"/>
          <w:bCs/>
          <w:lang w:bidi="en-US"/>
        </w:rPr>
        <w:t xml:space="preserve"> stated they always attempted to act on the feedback. </w:t>
      </w:r>
      <w:r w:rsidR="00936B1F" w:rsidRPr="00363C0D">
        <w:rPr>
          <w:rFonts w:asciiTheme="minorHAnsi" w:hAnsiTheme="minorHAnsi" w:cstheme="minorHAnsi"/>
          <w:bCs/>
          <w:lang w:bidi="en-US"/>
        </w:rPr>
        <w:t>F</w:t>
      </w:r>
      <w:r w:rsidR="00ED54C4" w:rsidRPr="00363C0D">
        <w:rPr>
          <w:rFonts w:asciiTheme="minorHAnsi" w:hAnsiTheme="minorHAnsi" w:cstheme="minorHAnsi"/>
          <w:bCs/>
          <w:lang w:bidi="en-US"/>
        </w:rPr>
        <w:t>eedback became a mechanism of</w:t>
      </w:r>
      <w:r w:rsidR="005E1A4E" w:rsidRPr="00363C0D">
        <w:rPr>
          <w:rFonts w:asciiTheme="minorHAnsi" w:hAnsiTheme="minorHAnsi" w:cstheme="minorHAnsi"/>
          <w:bCs/>
          <w:lang w:bidi="en-US"/>
        </w:rPr>
        <w:t xml:space="preserve"> the neoliberal quas</w:t>
      </w:r>
      <w:r w:rsidR="00936B1F" w:rsidRPr="00363C0D">
        <w:rPr>
          <w:rFonts w:asciiTheme="minorHAnsi" w:hAnsiTheme="minorHAnsi" w:cstheme="minorHAnsi"/>
          <w:bCs/>
          <w:lang w:bidi="en-US"/>
        </w:rPr>
        <w:t>i-</w:t>
      </w:r>
      <w:r w:rsidR="005E1A4E" w:rsidRPr="00363C0D">
        <w:rPr>
          <w:rFonts w:asciiTheme="minorHAnsi" w:hAnsiTheme="minorHAnsi" w:cstheme="minorHAnsi"/>
          <w:bCs/>
          <w:lang w:bidi="en-US"/>
        </w:rPr>
        <w:t>market approach to service</w:t>
      </w:r>
      <w:r w:rsidR="00B708CF" w:rsidRPr="00363C0D">
        <w:rPr>
          <w:rFonts w:asciiTheme="minorHAnsi" w:hAnsiTheme="minorHAnsi" w:cstheme="minorHAnsi"/>
          <w:bCs/>
          <w:lang w:bidi="en-US"/>
        </w:rPr>
        <w:t xml:space="preserve"> user involvement</w:t>
      </w:r>
      <w:r w:rsidR="00936B1F" w:rsidRPr="00363C0D">
        <w:rPr>
          <w:rFonts w:asciiTheme="minorHAnsi" w:hAnsiTheme="minorHAnsi" w:cstheme="minorHAnsi"/>
          <w:bCs/>
          <w:lang w:bidi="en-US"/>
        </w:rPr>
        <w:t>.</w:t>
      </w:r>
      <w:r w:rsidR="00B708CF" w:rsidRPr="00363C0D">
        <w:rPr>
          <w:rFonts w:asciiTheme="minorHAnsi" w:hAnsiTheme="minorHAnsi" w:cstheme="minorHAnsi"/>
          <w:bCs/>
          <w:lang w:bidi="en-US"/>
        </w:rPr>
        <w:t xml:space="preserve"> </w:t>
      </w:r>
      <w:r w:rsidR="00936B1F" w:rsidRPr="00D14ECD">
        <w:rPr>
          <w:rFonts w:asciiTheme="minorHAnsi" w:hAnsiTheme="minorHAnsi" w:cstheme="minorHAnsi"/>
          <w:bCs/>
          <w:lang w:bidi="en-US"/>
        </w:rPr>
        <w:t>D</w:t>
      </w:r>
      <w:r w:rsidR="00B708CF" w:rsidRPr="00D14ECD">
        <w:rPr>
          <w:rFonts w:asciiTheme="minorHAnsi" w:hAnsiTheme="minorHAnsi" w:cstheme="minorHAnsi"/>
          <w:bCs/>
          <w:lang w:bidi="en-US"/>
        </w:rPr>
        <w:t>etainees become customers,</w:t>
      </w:r>
      <w:r w:rsidR="00F82188" w:rsidRPr="00D14ECD">
        <w:rPr>
          <w:rFonts w:asciiTheme="minorHAnsi" w:hAnsiTheme="minorHAnsi" w:cstheme="minorHAnsi"/>
          <w:bCs/>
          <w:lang w:bidi="en-US"/>
        </w:rPr>
        <w:t xml:space="preserve"> and </w:t>
      </w:r>
      <w:r w:rsidR="00936B1F" w:rsidRPr="00D14ECD">
        <w:rPr>
          <w:rFonts w:asciiTheme="minorHAnsi" w:hAnsiTheme="minorHAnsi" w:cstheme="minorHAnsi"/>
          <w:bCs/>
          <w:lang w:bidi="en-US"/>
        </w:rPr>
        <w:t xml:space="preserve">they </w:t>
      </w:r>
      <w:r w:rsidR="00F82188" w:rsidRPr="00D14ECD">
        <w:rPr>
          <w:rFonts w:asciiTheme="minorHAnsi" w:hAnsiTheme="minorHAnsi" w:cstheme="minorHAnsi"/>
          <w:bCs/>
          <w:lang w:bidi="en-US"/>
        </w:rPr>
        <w:t xml:space="preserve">feedback on how successful </w:t>
      </w:r>
      <w:r w:rsidR="00936B1F" w:rsidRPr="00D14ECD">
        <w:rPr>
          <w:rFonts w:asciiTheme="minorHAnsi" w:hAnsiTheme="minorHAnsi" w:cstheme="minorHAnsi"/>
          <w:bCs/>
          <w:lang w:bidi="en-US"/>
        </w:rPr>
        <w:t>A</w:t>
      </w:r>
      <w:r w:rsidR="00F82188" w:rsidRPr="00D14ECD">
        <w:rPr>
          <w:rFonts w:asciiTheme="minorHAnsi" w:hAnsiTheme="minorHAnsi" w:cstheme="minorHAnsi"/>
          <w:bCs/>
          <w:lang w:bidi="en-US"/>
        </w:rPr>
        <w:t xml:space="preserve">ppropriate </w:t>
      </w:r>
      <w:r w:rsidR="00936B1F" w:rsidRPr="00D14ECD">
        <w:rPr>
          <w:rFonts w:asciiTheme="minorHAnsi" w:hAnsiTheme="minorHAnsi" w:cstheme="minorHAnsi"/>
          <w:bCs/>
          <w:lang w:bidi="en-US"/>
        </w:rPr>
        <w:t>A</w:t>
      </w:r>
      <w:r w:rsidR="00F82188" w:rsidRPr="00D14ECD">
        <w:rPr>
          <w:rFonts w:asciiTheme="minorHAnsi" w:hAnsiTheme="minorHAnsi" w:cstheme="minorHAnsi"/>
          <w:bCs/>
          <w:lang w:bidi="en-US"/>
        </w:rPr>
        <w:t>dult</w:t>
      </w:r>
      <w:r w:rsidR="000D137A" w:rsidRPr="00D14ECD">
        <w:rPr>
          <w:rFonts w:asciiTheme="minorHAnsi" w:hAnsiTheme="minorHAnsi" w:cstheme="minorHAnsi"/>
          <w:bCs/>
          <w:lang w:bidi="en-US"/>
        </w:rPr>
        <w:t>s</w:t>
      </w:r>
      <w:r w:rsidR="00F82188" w:rsidRPr="00D14ECD">
        <w:rPr>
          <w:rFonts w:asciiTheme="minorHAnsi" w:hAnsiTheme="minorHAnsi" w:cstheme="minorHAnsi"/>
          <w:bCs/>
          <w:lang w:bidi="en-US"/>
        </w:rPr>
        <w:t xml:space="preserve"> </w:t>
      </w:r>
      <w:r w:rsidR="00936B1F" w:rsidRPr="00D14ECD">
        <w:rPr>
          <w:rFonts w:asciiTheme="minorHAnsi" w:hAnsiTheme="minorHAnsi" w:cstheme="minorHAnsi"/>
          <w:bCs/>
          <w:lang w:bidi="en-US"/>
        </w:rPr>
        <w:t xml:space="preserve">schemes are </w:t>
      </w:r>
      <w:r w:rsidR="00F82188" w:rsidRPr="00D14ECD">
        <w:rPr>
          <w:rFonts w:asciiTheme="minorHAnsi" w:hAnsiTheme="minorHAnsi" w:cstheme="minorHAnsi"/>
          <w:bCs/>
          <w:lang w:bidi="en-US"/>
        </w:rPr>
        <w:t>in supporting them during their stay in custody</w:t>
      </w:r>
      <w:r w:rsidR="00DF1723" w:rsidRPr="00D14ECD">
        <w:rPr>
          <w:rFonts w:asciiTheme="minorHAnsi" w:hAnsiTheme="minorHAnsi" w:cstheme="minorHAnsi"/>
          <w:bCs/>
          <w:lang w:bidi="en-US"/>
        </w:rPr>
        <w:t xml:space="preserve"> (</w:t>
      </w:r>
      <w:proofErr w:type="spellStart"/>
      <w:r w:rsidR="00DF1723" w:rsidRPr="00D14ECD">
        <w:rPr>
          <w:rFonts w:asciiTheme="minorHAnsi" w:hAnsiTheme="minorHAnsi" w:cstheme="minorHAnsi"/>
          <w:bCs/>
          <w:lang w:bidi="en-US"/>
        </w:rPr>
        <w:t>Forbat</w:t>
      </w:r>
      <w:proofErr w:type="spellEnd"/>
      <w:r w:rsidR="00DF1723" w:rsidRPr="00D14ECD">
        <w:rPr>
          <w:rFonts w:asciiTheme="minorHAnsi" w:hAnsiTheme="minorHAnsi" w:cstheme="minorHAnsi"/>
          <w:bCs/>
          <w:lang w:bidi="en-US"/>
        </w:rPr>
        <w:t xml:space="preserve"> </w:t>
      </w:r>
      <w:r w:rsidR="00DF1723" w:rsidRPr="00D14ECD">
        <w:rPr>
          <w:rFonts w:asciiTheme="minorHAnsi" w:hAnsiTheme="minorHAnsi" w:cstheme="minorHAnsi"/>
          <w:bCs/>
          <w:i/>
          <w:iCs/>
          <w:lang w:bidi="en-US"/>
        </w:rPr>
        <w:t>et al.</w:t>
      </w:r>
      <w:r w:rsidR="009A12B8" w:rsidRPr="00D14ECD">
        <w:rPr>
          <w:rFonts w:asciiTheme="minorHAnsi" w:hAnsiTheme="minorHAnsi" w:cstheme="minorHAnsi"/>
          <w:bCs/>
          <w:i/>
          <w:iCs/>
          <w:lang w:bidi="en-US"/>
        </w:rPr>
        <w:t>,</w:t>
      </w:r>
      <w:r w:rsidR="00DF1723" w:rsidRPr="00D14ECD">
        <w:rPr>
          <w:rFonts w:asciiTheme="minorHAnsi" w:hAnsiTheme="minorHAnsi" w:cstheme="minorHAnsi"/>
          <w:bCs/>
          <w:lang w:bidi="en-US"/>
        </w:rPr>
        <w:t xml:space="preserve"> 2009; Macdonald and Taylor-</w:t>
      </w:r>
      <w:proofErr w:type="spellStart"/>
      <w:r w:rsidR="00DF1723" w:rsidRPr="00D14ECD">
        <w:rPr>
          <w:rFonts w:asciiTheme="minorHAnsi" w:hAnsiTheme="minorHAnsi" w:cstheme="minorHAnsi"/>
          <w:bCs/>
          <w:lang w:bidi="en-US"/>
        </w:rPr>
        <w:t>Gooby</w:t>
      </w:r>
      <w:proofErr w:type="spellEnd"/>
      <w:r w:rsidR="009A12B8" w:rsidRPr="00D14ECD">
        <w:rPr>
          <w:rFonts w:asciiTheme="minorHAnsi" w:hAnsiTheme="minorHAnsi" w:cstheme="minorHAnsi"/>
          <w:bCs/>
          <w:lang w:bidi="en-US"/>
        </w:rPr>
        <w:t>,</w:t>
      </w:r>
      <w:r w:rsidR="00DF1723" w:rsidRPr="00D14ECD">
        <w:rPr>
          <w:rFonts w:asciiTheme="minorHAnsi" w:hAnsiTheme="minorHAnsi" w:cstheme="minorHAnsi"/>
          <w:bCs/>
          <w:lang w:bidi="en-US"/>
        </w:rPr>
        <w:t xml:space="preserve"> 201</w:t>
      </w:r>
      <w:r w:rsidR="00202BA1" w:rsidRPr="00D14ECD">
        <w:rPr>
          <w:rFonts w:asciiTheme="minorHAnsi" w:hAnsiTheme="minorHAnsi" w:cstheme="minorHAnsi"/>
          <w:bCs/>
          <w:lang w:bidi="en-US"/>
        </w:rPr>
        <w:t>4</w:t>
      </w:r>
      <w:r w:rsidR="00DF1723" w:rsidRPr="00D14ECD">
        <w:rPr>
          <w:rFonts w:asciiTheme="minorHAnsi" w:hAnsiTheme="minorHAnsi" w:cstheme="minorHAnsi"/>
          <w:bCs/>
          <w:lang w:bidi="en-US"/>
        </w:rPr>
        <w:t>)</w:t>
      </w:r>
      <w:r w:rsidR="00F82188" w:rsidRPr="00D14ECD">
        <w:rPr>
          <w:rFonts w:asciiTheme="minorHAnsi" w:hAnsiTheme="minorHAnsi" w:cstheme="minorHAnsi"/>
          <w:bCs/>
          <w:lang w:bidi="en-US"/>
        </w:rPr>
        <w:t>.</w:t>
      </w:r>
      <w:r w:rsidR="00F059E7" w:rsidRPr="00D14ECD">
        <w:rPr>
          <w:rFonts w:asciiTheme="minorHAnsi" w:hAnsiTheme="minorHAnsi" w:cstheme="minorHAnsi"/>
          <w:bCs/>
          <w:lang w:bidi="en-US"/>
        </w:rPr>
        <w:t xml:space="preserve"> </w:t>
      </w:r>
      <w:r w:rsidR="00936B1F" w:rsidRPr="00D14ECD">
        <w:rPr>
          <w:rFonts w:asciiTheme="minorHAnsi" w:hAnsiTheme="minorHAnsi" w:cstheme="minorHAnsi"/>
          <w:bCs/>
          <w:lang w:bidi="en-US"/>
        </w:rPr>
        <w:t>L</w:t>
      </w:r>
      <w:r w:rsidR="00F059E7" w:rsidRPr="00D14ECD">
        <w:rPr>
          <w:rFonts w:asciiTheme="minorHAnsi" w:hAnsiTheme="minorHAnsi" w:cstheme="minorHAnsi"/>
          <w:bCs/>
          <w:lang w:bidi="en-US"/>
        </w:rPr>
        <w:t xml:space="preserve">ess than half of </w:t>
      </w:r>
      <w:r w:rsidR="00FA390F" w:rsidRPr="00D14ECD">
        <w:rPr>
          <w:rFonts w:asciiTheme="minorHAnsi" w:hAnsiTheme="minorHAnsi" w:cstheme="minorHAnsi"/>
          <w:bCs/>
          <w:lang w:bidi="en-US"/>
        </w:rPr>
        <w:t>Appropriate Adult Schemes</w:t>
      </w:r>
      <w:r w:rsidR="00D23078" w:rsidRPr="00D14ECD">
        <w:rPr>
          <w:rFonts w:asciiTheme="minorHAnsi" w:hAnsiTheme="minorHAnsi" w:cstheme="minorHAnsi"/>
          <w:bCs/>
          <w:lang w:bidi="en-US"/>
        </w:rPr>
        <w:t xml:space="preserve"> </w:t>
      </w:r>
      <w:r w:rsidR="00F059E7" w:rsidRPr="00D14ECD">
        <w:rPr>
          <w:rFonts w:asciiTheme="minorHAnsi" w:hAnsiTheme="minorHAnsi" w:cstheme="minorHAnsi"/>
          <w:bCs/>
          <w:lang w:bidi="en-US"/>
        </w:rPr>
        <w:t>attempted to develop their services</w:t>
      </w:r>
      <w:r w:rsidR="00D23078" w:rsidRPr="00D14ECD">
        <w:rPr>
          <w:rFonts w:asciiTheme="minorHAnsi" w:hAnsiTheme="minorHAnsi" w:cstheme="minorHAnsi"/>
          <w:bCs/>
          <w:lang w:bidi="en-US"/>
        </w:rPr>
        <w:t xml:space="preserve"> based on feedback, </w:t>
      </w:r>
      <w:r w:rsidR="00936B1F" w:rsidRPr="00D14ECD">
        <w:rPr>
          <w:rFonts w:asciiTheme="minorHAnsi" w:hAnsiTheme="minorHAnsi" w:cstheme="minorHAnsi"/>
          <w:bCs/>
          <w:lang w:bidi="en-US"/>
        </w:rPr>
        <w:t xml:space="preserve">so </w:t>
      </w:r>
      <w:r w:rsidR="00D23078" w:rsidRPr="00D14ECD">
        <w:rPr>
          <w:rFonts w:asciiTheme="minorHAnsi" w:hAnsiTheme="minorHAnsi" w:cstheme="minorHAnsi"/>
          <w:bCs/>
          <w:lang w:bidi="en-US"/>
        </w:rPr>
        <w:t xml:space="preserve">we can </w:t>
      </w:r>
      <w:r w:rsidR="00936B1F" w:rsidRPr="00D14ECD">
        <w:rPr>
          <w:rFonts w:asciiTheme="minorHAnsi" w:hAnsiTheme="minorHAnsi" w:cstheme="minorHAnsi"/>
          <w:bCs/>
          <w:lang w:bidi="en-US"/>
        </w:rPr>
        <w:t>theorise</w:t>
      </w:r>
      <w:r w:rsidR="00D23078" w:rsidRPr="00D14ECD">
        <w:rPr>
          <w:rFonts w:asciiTheme="minorHAnsi" w:hAnsiTheme="minorHAnsi" w:cstheme="minorHAnsi"/>
          <w:bCs/>
          <w:lang w:bidi="en-US"/>
        </w:rPr>
        <w:t xml:space="preserve"> that the key motivator was to secure future funding for their services, as this</w:t>
      </w:r>
      <w:r w:rsidR="00D06D70" w:rsidRPr="00D14ECD">
        <w:rPr>
          <w:rFonts w:asciiTheme="minorHAnsi" w:hAnsiTheme="minorHAnsi" w:cstheme="minorHAnsi"/>
          <w:bCs/>
          <w:lang w:bidi="en-US"/>
        </w:rPr>
        <w:t xml:space="preserve"> form of customer feedback is central </w:t>
      </w:r>
      <w:r w:rsidR="00D93A0A" w:rsidRPr="00D14ECD">
        <w:rPr>
          <w:rFonts w:asciiTheme="minorHAnsi" w:hAnsiTheme="minorHAnsi" w:cstheme="minorHAnsi"/>
          <w:bCs/>
          <w:lang w:bidi="en-US"/>
        </w:rPr>
        <w:t xml:space="preserve">to </w:t>
      </w:r>
      <w:r w:rsidR="00D06D70" w:rsidRPr="00D14ECD">
        <w:rPr>
          <w:rFonts w:asciiTheme="minorHAnsi" w:hAnsiTheme="minorHAnsi" w:cstheme="minorHAnsi"/>
          <w:bCs/>
          <w:lang w:bidi="en-US"/>
        </w:rPr>
        <w:t>the commissioning process of their future funding bids</w:t>
      </w:r>
      <w:r w:rsidR="00DF1723" w:rsidRPr="00D14ECD">
        <w:rPr>
          <w:rFonts w:asciiTheme="minorHAnsi" w:hAnsiTheme="minorHAnsi" w:cstheme="minorHAnsi"/>
          <w:bCs/>
          <w:lang w:bidi="en-US"/>
        </w:rPr>
        <w:t xml:space="preserve"> (</w:t>
      </w:r>
      <w:r w:rsidR="00E25E87" w:rsidRPr="00D14ECD">
        <w:rPr>
          <w:rFonts w:asciiTheme="minorHAnsi" w:hAnsiTheme="minorHAnsi" w:cstheme="minorHAnsi"/>
          <w:bCs/>
          <w:lang w:bidi="en-US"/>
        </w:rPr>
        <w:t>Taylor-</w:t>
      </w:r>
      <w:proofErr w:type="spellStart"/>
      <w:r w:rsidR="00E25E87" w:rsidRPr="00D14ECD">
        <w:rPr>
          <w:rFonts w:asciiTheme="minorHAnsi" w:hAnsiTheme="minorHAnsi" w:cstheme="minorHAnsi"/>
          <w:bCs/>
          <w:lang w:bidi="en-US"/>
        </w:rPr>
        <w:t>Gooby</w:t>
      </w:r>
      <w:proofErr w:type="spellEnd"/>
      <w:r w:rsidR="00E25E87" w:rsidRPr="00D14ECD">
        <w:rPr>
          <w:rFonts w:asciiTheme="minorHAnsi" w:hAnsiTheme="minorHAnsi" w:cstheme="minorHAnsi"/>
          <w:bCs/>
          <w:lang w:bidi="en-US"/>
        </w:rPr>
        <w:t>, 2012</w:t>
      </w:r>
      <w:r w:rsidR="00773B63" w:rsidRPr="00D14ECD">
        <w:rPr>
          <w:rFonts w:asciiTheme="minorHAnsi" w:hAnsiTheme="minorHAnsi" w:cstheme="minorHAnsi"/>
          <w:bCs/>
          <w:lang w:bidi="en-US"/>
        </w:rPr>
        <w:t>)</w:t>
      </w:r>
      <w:r w:rsidR="00D06D70" w:rsidRPr="00D14ECD">
        <w:rPr>
          <w:rFonts w:asciiTheme="minorHAnsi" w:hAnsiTheme="minorHAnsi" w:cstheme="minorHAnsi"/>
          <w:bCs/>
          <w:lang w:bidi="en-US"/>
        </w:rPr>
        <w:t>.</w:t>
      </w:r>
    </w:p>
    <w:p w14:paraId="716A2009" w14:textId="36015DD5" w:rsidR="009727EB" w:rsidRPr="00D14ECD" w:rsidRDefault="009727EB" w:rsidP="00AA51B8">
      <w:pPr>
        <w:spacing w:line="360" w:lineRule="auto"/>
        <w:contextualSpacing/>
        <w:mirrorIndents/>
        <w:jc w:val="both"/>
        <w:rPr>
          <w:rFonts w:asciiTheme="minorHAnsi" w:hAnsiTheme="minorHAnsi" w:cstheme="minorHAnsi"/>
          <w:b/>
          <w:lang w:bidi="en-US"/>
        </w:rPr>
      </w:pPr>
    </w:p>
    <w:p w14:paraId="4907D703" w14:textId="348E2EBD" w:rsidR="009D3178" w:rsidRPr="00A53187" w:rsidRDefault="007A2CBF" w:rsidP="00AA51B8">
      <w:pPr>
        <w:spacing w:line="360" w:lineRule="auto"/>
        <w:contextualSpacing/>
        <w:mirrorIndents/>
        <w:jc w:val="both"/>
        <w:rPr>
          <w:rFonts w:asciiTheme="minorHAnsi" w:hAnsiTheme="minorHAnsi" w:cstheme="minorHAnsi"/>
          <w:bCs/>
          <w:lang w:bidi="en-US"/>
        </w:rPr>
      </w:pPr>
      <w:r w:rsidRPr="00B049ED">
        <w:rPr>
          <w:rFonts w:asciiTheme="minorHAnsi" w:hAnsiTheme="minorHAnsi" w:cstheme="minorHAnsi"/>
          <w:bCs/>
          <w:lang w:bidi="en-US"/>
        </w:rPr>
        <w:t>Although the National Appropriate Adult Network</w:t>
      </w:r>
      <w:r w:rsidR="00773B63" w:rsidRPr="00B049ED">
        <w:rPr>
          <w:rFonts w:asciiTheme="minorHAnsi" w:hAnsiTheme="minorHAnsi" w:cstheme="minorHAnsi"/>
          <w:bCs/>
          <w:lang w:bidi="en-US"/>
        </w:rPr>
        <w:t xml:space="preserve"> (201</w:t>
      </w:r>
      <w:r w:rsidR="00325BAA" w:rsidRPr="00B049ED">
        <w:rPr>
          <w:rFonts w:asciiTheme="minorHAnsi" w:hAnsiTheme="minorHAnsi" w:cstheme="minorHAnsi"/>
          <w:bCs/>
          <w:lang w:bidi="en-US"/>
        </w:rPr>
        <w:t>7; 2019</w:t>
      </w:r>
      <w:r w:rsidR="00773B63" w:rsidRPr="00B049ED">
        <w:rPr>
          <w:rFonts w:asciiTheme="minorHAnsi" w:hAnsiTheme="minorHAnsi" w:cstheme="minorHAnsi"/>
          <w:bCs/>
          <w:lang w:bidi="en-US"/>
        </w:rPr>
        <w:t>)</w:t>
      </w:r>
      <w:r w:rsidRPr="00B049ED">
        <w:rPr>
          <w:rFonts w:asciiTheme="minorHAnsi" w:hAnsiTheme="minorHAnsi" w:cstheme="minorHAnsi"/>
          <w:bCs/>
          <w:lang w:bidi="en-US"/>
        </w:rPr>
        <w:t xml:space="preserve"> </w:t>
      </w:r>
      <w:r w:rsidR="00B40912" w:rsidRPr="00B049ED">
        <w:rPr>
          <w:rFonts w:asciiTheme="minorHAnsi" w:hAnsiTheme="minorHAnsi" w:cstheme="minorHAnsi"/>
          <w:bCs/>
          <w:lang w:bidi="en-US"/>
        </w:rPr>
        <w:t xml:space="preserve">calls for service providers to develop meaningful forms of service user involvement based on </w:t>
      </w:r>
      <w:proofErr w:type="spellStart"/>
      <w:r w:rsidR="00B40912" w:rsidRPr="00B049ED">
        <w:rPr>
          <w:rFonts w:asciiTheme="minorHAnsi" w:hAnsiTheme="minorHAnsi" w:cstheme="minorHAnsi"/>
          <w:bCs/>
          <w:lang w:bidi="en-US"/>
        </w:rPr>
        <w:t>Arnstein</w:t>
      </w:r>
      <w:r w:rsidR="00325BAA" w:rsidRPr="00B049ED">
        <w:rPr>
          <w:rFonts w:asciiTheme="minorHAnsi" w:hAnsiTheme="minorHAnsi" w:cstheme="minorHAnsi"/>
          <w:bCs/>
          <w:lang w:bidi="en-US"/>
        </w:rPr>
        <w:t>’s</w:t>
      </w:r>
      <w:proofErr w:type="spellEnd"/>
      <w:r w:rsidR="00325BAA" w:rsidRPr="00B049ED">
        <w:rPr>
          <w:rFonts w:asciiTheme="minorHAnsi" w:hAnsiTheme="minorHAnsi" w:cstheme="minorHAnsi"/>
          <w:bCs/>
          <w:lang w:bidi="en-US"/>
        </w:rPr>
        <w:t xml:space="preserve"> participation</w:t>
      </w:r>
      <w:r w:rsidR="00AB6D31" w:rsidRPr="00B049ED">
        <w:rPr>
          <w:rFonts w:asciiTheme="minorHAnsi" w:hAnsiTheme="minorHAnsi" w:cstheme="minorHAnsi"/>
          <w:bCs/>
          <w:lang w:bidi="en-US"/>
        </w:rPr>
        <w:t xml:space="preserve"> (1969)</w:t>
      </w:r>
      <w:r w:rsidR="00B40912" w:rsidRPr="00B049ED">
        <w:rPr>
          <w:rFonts w:asciiTheme="minorHAnsi" w:hAnsiTheme="minorHAnsi" w:cstheme="minorHAnsi"/>
          <w:bCs/>
          <w:lang w:bidi="en-US"/>
        </w:rPr>
        <w:t xml:space="preserve"> ladder</w:t>
      </w:r>
      <w:r w:rsidR="008B7620" w:rsidRPr="00B049ED">
        <w:rPr>
          <w:rFonts w:asciiTheme="minorHAnsi" w:hAnsiTheme="minorHAnsi" w:cstheme="minorHAnsi"/>
          <w:bCs/>
          <w:lang w:bidi="en-US"/>
        </w:rPr>
        <w:t>, the data within this study suggest that there is little evidence that many of the services</w:t>
      </w:r>
      <w:r w:rsidR="00103338" w:rsidRPr="00B049ED">
        <w:rPr>
          <w:rFonts w:asciiTheme="minorHAnsi" w:hAnsiTheme="minorHAnsi" w:cstheme="minorHAnsi"/>
          <w:bCs/>
          <w:lang w:bidi="en-US"/>
        </w:rPr>
        <w:t xml:space="preserve"> have achieved any form of meaningful </w:t>
      </w:r>
      <w:r w:rsidR="00936B1F" w:rsidRPr="00B049ED">
        <w:rPr>
          <w:rFonts w:asciiTheme="minorHAnsi" w:hAnsiTheme="minorHAnsi" w:cstheme="minorHAnsi"/>
          <w:bCs/>
          <w:lang w:bidi="en-US"/>
        </w:rPr>
        <w:t xml:space="preserve">involvement </w:t>
      </w:r>
      <w:r w:rsidR="00891B5A" w:rsidRPr="00B049ED">
        <w:rPr>
          <w:rFonts w:asciiTheme="minorHAnsi" w:hAnsiTheme="minorHAnsi" w:cstheme="minorHAnsi"/>
          <w:bCs/>
          <w:lang w:bidi="en-US"/>
        </w:rPr>
        <w:t xml:space="preserve">of </w:t>
      </w:r>
      <w:r w:rsidR="00103338" w:rsidRPr="00B049ED">
        <w:rPr>
          <w:rFonts w:asciiTheme="minorHAnsi" w:hAnsiTheme="minorHAnsi" w:cstheme="minorHAnsi"/>
          <w:bCs/>
          <w:lang w:bidi="en-US"/>
        </w:rPr>
        <w:t>service users. In fact, in some of the qualitative data</w:t>
      </w:r>
      <w:r w:rsidR="00891B5A" w:rsidRPr="00B049ED">
        <w:rPr>
          <w:rFonts w:asciiTheme="minorHAnsi" w:hAnsiTheme="minorHAnsi" w:cstheme="minorHAnsi"/>
          <w:bCs/>
          <w:lang w:bidi="en-US"/>
        </w:rPr>
        <w:t>,</w:t>
      </w:r>
      <w:r w:rsidR="00103338" w:rsidRPr="00B049ED">
        <w:rPr>
          <w:rFonts w:asciiTheme="minorHAnsi" w:hAnsiTheme="minorHAnsi" w:cstheme="minorHAnsi"/>
          <w:bCs/>
          <w:lang w:bidi="en-US"/>
        </w:rPr>
        <w:t xml:space="preserve"> </w:t>
      </w:r>
      <w:r w:rsidR="00325BAA" w:rsidRPr="00B049ED">
        <w:rPr>
          <w:rFonts w:asciiTheme="minorHAnsi" w:hAnsiTheme="minorHAnsi" w:cstheme="minorHAnsi"/>
          <w:bCs/>
          <w:lang w:bidi="en-US"/>
        </w:rPr>
        <w:t>A</w:t>
      </w:r>
      <w:r w:rsidR="00103338" w:rsidRPr="00B049ED">
        <w:rPr>
          <w:rFonts w:asciiTheme="minorHAnsi" w:hAnsiTheme="minorHAnsi" w:cstheme="minorHAnsi"/>
          <w:bCs/>
          <w:lang w:bidi="en-US"/>
        </w:rPr>
        <w:t xml:space="preserve">ppropriate </w:t>
      </w:r>
      <w:r w:rsidR="00325BAA" w:rsidRPr="00B049ED">
        <w:rPr>
          <w:rFonts w:asciiTheme="minorHAnsi" w:hAnsiTheme="minorHAnsi" w:cstheme="minorHAnsi"/>
          <w:bCs/>
          <w:lang w:bidi="en-US"/>
        </w:rPr>
        <w:t>A</w:t>
      </w:r>
      <w:r w:rsidR="00103338" w:rsidRPr="00B049ED">
        <w:rPr>
          <w:rFonts w:asciiTheme="minorHAnsi" w:hAnsiTheme="minorHAnsi" w:cstheme="minorHAnsi"/>
          <w:bCs/>
          <w:lang w:bidi="en-US"/>
        </w:rPr>
        <w:t>dult managers confused service user involvement with practitioner/volunteer involvement concerning</w:t>
      </w:r>
      <w:r w:rsidR="005834FF" w:rsidRPr="00B049ED">
        <w:rPr>
          <w:rFonts w:asciiTheme="minorHAnsi" w:hAnsiTheme="minorHAnsi" w:cstheme="minorHAnsi"/>
          <w:bCs/>
          <w:lang w:bidi="en-US"/>
        </w:rPr>
        <w:t xml:space="preserve"> the development of their services.</w:t>
      </w:r>
      <w:r w:rsidR="00C85B52" w:rsidRPr="00B049ED">
        <w:rPr>
          <w:rFonts w:asciiTheme="minorHAnsi" w:hAnsiTheme="minorHAnsi" w:cstheme="minorHAnsi"/>
          <w:bCs/>
          <w:lang w:bidi="en-US"/>
        </w:rPr>
        <w:t xml:space="preserve"> </w:t>
      </w:r>
      <w:r w:rsidR="00C85B52" w:rsidRPr="00A53187">
        <w:rPr>
          <w:rFonts w:asciiTheme="minorHAnsi" w:hAnsiTheme="minorHAnsi" w:cstheme="minorHAnsi"/>
          <w:bCs/>
          <w:lang w:bidi="en-US"/>
        </w:rPr>
        <w:t>For services that understood the concept of service user involvement, their justification for not engaging</w:t>
      </w:r>
      <w:r w:rsidR="00763200" w:rsidRPr="00A53187">
        <w:rPr>
          <w:rFonts w:asciiTheme="minorHAnsi" w:hAnsiTheme="minorHAnsi" w:cstheme="minorHAnsi"/>
          <w:bCs/>
          <w:lang w:bidi="en-US"/>
        </w:rPr>
        <w:t xml:space="preserve"> in this activity often focused on service user </w:t>
      </w:r>
      <w:r w:rsidR="00936B1F" w:rsidRPr="00A53187">
        <w:rPr>
          <w:rFonts w:asciiTheme="minorHAnsi" w:hAnsiTheme="minorHAnsi" w:cstheme="minorHAnsi"/>
          <w:bCs/>
          <w:lang w:bidi="en-US"/>
        </w:rPr>
        <w:t xml:space="preserve">lack of </w:t>
      </w:r>
      <w:r w:rsidR="00763200" w:rsidRPr="00A53187">
        <w:rPr>
          <w:rFonts w:asciiTheme="minorHAnsi" w:hAnsiTheme="minorHAnsi" w:cstheme="minorHAnsi"/>
          <w:bCs/>
          <w:lang w:bidi="en-US"/>
        </w:rPr>
        <w:t xml:space="preserve">commitment, </w:t>
      </w:r>
      <w:r w:rsidR="00936B1F" w:rsidRPr="00A53187">
        <w:rPr>
          <w:rFonts w:asciiTheme="minorHAnsi" w:hAnsiTheme="minorHAnsi" w:cstheme="minorHAnsi"/>
          <w:bCs/>
          <w:lang w:bidi="en-US"/>
        </w:rPr>
        <w:t>their un</w:t>
      </w:r>
      <w:r w:rsidR="00763200" w:rsidRPr="00A53187">
        <w:rPr>
          <w:rFonts w:asciiTheme="minorHAnsi" w:hAnsiTheme="minorHAnsi" w:cstheme="minorHAnsi"/>
          <w:bCs/>
          <w:lang w:bidi="en-US"/>
        </w:rPr>
        <w:t>reliability</w:t>
      </w:r>
      <w:r w:rsidR="00D93A0A" w:rsidRPr="00A53187">
        <w:rPr>
          <w:rFonts w:asciiTheme="minorHAnsi" w:hAnsiTheme="minorHAnsi" w:cstheme="minorHAnsi"/>
          <w:bCs/>
          <w:lang w:bidi="en-US"/>
        </w:rPr>
        <w:t>,</w:t>
      </w:r>
      <w:r w:rsidR="00763200" w:rsidRPr="00A53187">
        <w:rPr>
          <w:rFonts w:asciiTheme="minorHAnsi" w:hAnsiTheme="minorHAnsi" w:cstheme="minorHAnsi"/>
          <w:bCs/>
          <w:lang w:bidi="en-US"/>
        </w:rPr>
        <w:t xml:space="preserve"> </w:t>
      </w:r>
      <w:r w:rsidR="00936B1F" w:rsidRPr="00A53187">
        <w:rPr>
          <w:rFonts w:asciiTheme="minorHAnsi" w:hAnsiTheme="minorHAnsi" w:cstheme="minorHAnsi"/>
          <w:bCs/>
          <w:lang w:bidi="en-US"/>
        </w:rPr>
        <w:t>and</w:t>
      </w:r>
      <w:r w:rsidR="00763200" w:rsidRPr="00A53187">
        <w:rPr>
          <w:rFonts w:asciiTheme="minorHAnsi" w:hAnsiTheme="minorHAnsi" w:cstheme="minorHAnsi"/>
          <w:bCs/>
          <w:lang w:bidi="en-US"/>
        </w:rPr>
        <w:t xml:space="preserve"> their inability to offer any useful information.</w:t>
      </w:r>
      <w:r w:rsidR="00764132" w:rsidRPr="00A53187">
        <w:rPr>
          <w:rFonts w:asciiTheme="minorHAnsi" w:hAnsiTheme="minorHAnsi" w:cstheme="minorHAnsi"/>
          <w:bCs/>
          <w:lang w:bidi="en-US"/>
        </w:rPr>
        <w:t xml:space="preserve"> There was no evidence that </w:t>
      </w:r>
      <w:r w:rsidR="00FA390F" w:rsidRPr="00A53187">
        <w:rPr>
          <w:rFonts w:asciiTheme="minorHAnsi" w:hAnsiTheme="minorHAnsi" w:cstheme="minorHAnsi"/>
          <w:bCs/>
          <w:lang w:bidi="en-US"/>
        </w:rPr>
        <w:t xml:space="preserve">Appropriate Adult </w:t>
      </w:r>
      <w:r w:rsidR="00936B1F" w:rsidRPr="00A53187">
        <w:rPr>
          <w:rFonts w:asciiTheme="minorHAnsi" w:hAnsiTheme="minorHAnsi" w:cstheme="minorHAnsi"/>
          <w:bCs/>
          <w:lang w:bidi="en-US"/>
        </w:rPr>
        <w:t>s</w:t>
      </w:r>
      <w:r w:rsidR="00FA390F" w:rsidRPr="00A53187">
        <w:rPr>
          <w:rFonts w:asciiTheme="minorHAnsi" w:hAnsiTheme="minorHAnsi" w:cstheme="minorHAnsi"/>
          <w:bCs/>
          <w:lang w:bidi="en-US"/>
        </w:rPr>
        <w:t>chemes</w:t>
      </w:r>
      <w:r w:rsidR="00764132" w:rsidRPr="00A53187">
        <w:rPr>
          <w:rFonts w:asciiTheme="minorHAnsi" w:hAnsiTheme="minorHAnsi" w:cstheme="minorHAnsi"/>
          <w:bCs/>
          <w:lang w:bidi="en-US"/>
        </w:rPr>
        <w:t xml:space="preserve"> had attempted to understand and engage in removing the power dynamics</w:t>
      </w:r>
      <w:r w:rsidR="002B6B4E" w:rsidRPr="00A53187">
        <w:rPr>
          <w:rFonts w:asciiTheme="minorHAnsi" w:hAnsiTheme="minorHAnsi" w:cstheme="minorHAnsi"/>
          <w:bCs/>
          <w:lang w:bidi="en-US"/>
        </w:rPr>
        <w:t xml:space="preserve"> </w:t>
      </w:r>
      <w:r w:rsidR="00D93A0A" w:rsidRPr="00A53187">
        <w:rPr>
          <w:rFonts w:asciiTheme="minorHAnsi" w:hAnsiTheme="minorHAnsi" w:cstheme="minorHAnsi"/>
          <w:bCs/>
          <w:lang w:bidi="en-US"/>
        </w:rPr>
        <w:t xml:space="preserve">that </w:t>
      </w:r>
      <w:r w:rsidR="002B6B4E" w:rsidRPr="00A53187">
        <w:rPr>
          <w:rFonts w:asciiTheme="minorHAnsi" w:hAnsiTheme="minorHAnsi" w:cstheme="minorHAnsi"/>
          <w:bCs/>
          <w:lang w:bidi="en-US"/>
        </w:rPr>
        <w:t xml:space="preserve">prevent </w:t>
      </w:r>
      <w:r w:rsidR="00764132" w:rsidRPr="00A53187">
        <w:rPr>
          <w:rFonts w:asciiTheme="minorHAnsi" w:hAnsiTheme="minorHAnsi" w:cstheme="minorHAnsi"/>
          <w:bCs/>
          <w:lang w:bidi="en-US"/>
        </w:rPr>
        <w:t>successful service user involvement</w:t>
      </w:r>
      <w:r w:rsidR="002B6B4E" w:rsidRPr="00A53187">
        <w:rPr>
          <w:rFonts w:asciiTheme="minorHAnsi" w:hAnsiTheme="minorHAnsi" w:cstheme="minorHAnsi"/>
          <w:bCs/>
          <w:lang w:bidi="en-US"/>
        </w:rPr>
        <w:t xml:space="preserve">. </w:t>
      </w:r>
    </w:p>
    <w:p w14:paraId="01B4B35D" w14:textId="77777777" w:rsidR="009D3178" w:rsidRPr="00A53187" w:rsidRDefault="009D3178" w:rsidP="00AA51B8">
      <w:pPr>
        <w:spacing w:line="360" w:lineRule="auto"/>
        <w:contextualSpacing/>
        <w:mirrorIndents/>
        <w:jc w:val="both"/>
        <w:rPr>
          <w:rFonts w:asciiTheme="minorHAnsi" w:hAnsiTheme="minorHAnsi" w:cstheme="minorHAnsi"/>
          <w:bCs/>
          <w:lang w:bidi="en-US"/>
        </w:rPr>
      </w:pPr>
    </w:p>
    <w:p w14:paraId="10832536" w14:textId="78B54569" w:rsidR="00AB6D31" w:rsidRPr="004873AD" w:rsidRDefault="009D3178" w:rsidP="00AA51B8">
      <w:pPr>
        <w:spacing w:line="360" w:lineRule="auto"/>
        <w:contextualSpacing/>
        <w:mirrorIndents/>
        <w:jc w:val="both"/>
        <w:rPr>
          <w:rFonts w:asciiTheme="minorHAnsi" w:hAnsiTheme="minorHAnsi" w:cstheme="minorHAnsi"/>
          <w:bCs/>
          <w:lang w:bidi="en-US"/>
        </w:rPr>
      </w:pPr>
      <w:r w:rsidRPr="00B91B7B">
        <w:rPr>
          <w:rFonts w:asciiTheme="minorHAnsi" w:hAnsiTheme="minorHAnsi" w:cstheme="minorHAnsi"/>
          <w:bCs/>
          <w:lang w:bidi="en-US"/>
        </w:rPr>
        <w:t>On a positive note</w:t>
      </w:r>
      <w:r w:rsidR="00D93A0A" w:rsidRPr="00B91B7B">
        <w:rPr>
          <w:rFonts w:asciiTheme="minorHAnsi" w:hAnsiTheme="minorHAnsi" w:cstheme="minorHAnsi"/>
          <w:bCs/>
          <w:lang w:bidi="en-US"/>
        </w:rPr>
        <w:t>,</w:t>
      </w:r>
      <w:r w:rsidRPr="00B91B7B">
        <w:rPr>
          <w:rFonts w:asciiTheme="minorHAnsi" w:hAnsiTheme="minorHAnsi" w:cstheme="minorHAnsi"/>
          <w:bCs/>
          <w:lang w:bidi="en-US"/>
        </w:rPr>
        <w:t xml:space="preserve"> i</w:t>
      </w:r>
      <w:r w:rsidRPr="00B91B7B">
        <w:rPr>
          <w:rFonts w:asciiTheme="minorHAnsi" w:hAnsiTheme="minorHAnsi" w:cstheme="minorHAnsi"/>
          <w:lang w:bidi="en-US"/>
        </w:rPr>
        <w:t xml:space="preserve">t is clear that there is </w:t>
      </w:r>
      <w:r w:rsidR="00D93A0A" w:rsidRPr="00B91B7B">
        <w:rPr>
          <w:rFonts w:asciiTheme="minorHAnsi" w:hAnsiTheme="minorHAnsi" w:cstheme="minorHAnsi"/>
          <w:lang w:bidi="en-US"/>
        </w:rPr>
        <w:t>a</w:t>
      </w:r>
      <w:r w:rsidRPr="00B91B7B">
        <w:rPr>
          <w:rFonts w:asciiTheme="minorHAnsi" w:hAnsiTheme="minorHAnsi" w:cstheme="minorHAnsi"/>
          <w:lang w:bidi="en-US"/>
        </w:rPr>
        <w:t xml:space="preserve"> need and the desire to improve opportunities for service users to be involved in the design and delivery of </w:t>
      </w:r>
      <w:r w:rsidR="00FA390F" w:rsidRPr="00B91B7B">
        <w:rPr>
          <w:rFonts w:asciiTheme="minorHAnsi" w:hAnsiTheme="minorHAnsi" w:cstheme="minorHAnsi"/>
          <w:lang w:bidi="en-US"/>
        </w:rPr>
        <w:t xml:space="preserve">Appropriate Adult </w:t>
      </w:r>
      <w:r w:rsidR="00936B1F" w:rsidRPr="00B91B7B">
        <w:rPr>
          <w:rFonts w:asciiTheme="minorHAnsi" w:hAnsiTheme="minorHAnsi" w:cstheme="minorHAnsi"/>
          <w:lang w:bidi="en-US"/>
        </w:rPr>
        <w:t>s</w:t>
      </w:r>
      <w:r w:rsidR="00FA390F" w:rsidRPr="00B91B7B">
        <w:rPr>
          <w:rFonts w:asciiTheme="minorHAnsi" w:hAnsiTheme="minorHAnsi" w:cstheme="minorHAnsi"/>
          <w:lang w:bidi="en-US"/>
        </w:rPr>
        <w:t>chemes</w:t>
      </w:r>
      <w:r w:rsidRPr="00B91B7B">
        <w:rPr>
          <w:rFonts w:asciiTheme="minorHAnsi" w:hAnsiTheme="minorHAnsi" w:cstheme="minorHAnsi"/>
          <w:lang w:bidi="en-US"/>
        </w:rPr>
        <w:t xml:space="preserve"> for vulnerable adults and young people. Service managers indicate a clear desire to improve service user participation, however</w:t>
      </w:r>
      <w:r w:rsidR="00D93A0A" w:rsidRPr="00B91B7B">
        <w:rPr>
          <w:rFonts w:asciiTheme="minorHAnsi" w:hAnsiTheme="minorHAnsi" w:cstheme="minorHAnsi"/>
          <w:lang w:bidi="en-US"/>
        </w:rPr>
        <w:t>,</w:t>
      </w:r>
      <w:r w:rsidRPr="00B91B7B">
        <w:rPr>
          <w:rFonts w:asciiTheme="minorHAnsi" w:hAnsiTheme="minorHAnsi" w:cstheme="minorHAnsi"/>
          <w:lang w:bidi="en-US"/>
        </w:rPr>
        <w:t xml:space="preserve"> they feel that they are operating under several constraints which make this difficult to achieve. Under austerity, and due to the ‘offender’ status of the service users (Peacock and Cosgrove, 2018), funding has been particularly problematic. </w:t>
      </w:r>
      <w:r w:rsidR="00325BAA" w:rsidRPr="000E4BF4">
        <w:rPr>
          <w:rFonts w:asciiTheme="minorHAnsi" w:hAnsiTheme="minorHAnsi" w:cstheme="minorHAnsi"/>
          <w:bCs/>
          <w:lang w:bidi="en-US"/>
        </w:rPr>
        <w:t xml:space="preserve">Although </w:t>
      </w:r>
      <w:r w:rsidR="00936B1F" w:rsidRPr="000E4BF4">
        <w:rPr>
          <w:rFonts w:asciiTheme="minorHAnsi" w:hAnsiTheme="minorHAnsi" w:cstheme="minorHAnsi"/>
        </w:rPr>
        <w:t xml:space="preserve">the </w:t>
      </w:r>
      <w:r w:rsidR="002B6B4E" w:rsidRPr="000E4BF4">
        <w:rPr>
          <w:rFonts w:asciiTheme="minorHAnsi" w:hAnsiTheme="minorHAnsi" w:cstheme="minorHAnsi"/>
          <w:bCs/>
          <w:lang w:bidi="en-US"/>
        </w:rPr>
        <w:t>National Appropriate Adult Network</w:t>
      </w:r>
      <w:r w:rsidR="00B2769C" w:rsidRPr="000E4BF4">
        <w:rPr>
          <w:rFonts w:asciiTheme="minorHAnsi" w:hAnsiTheme="minorHAnsi" w:cstheme="minorHAnsi"/>
          <w:bCs/>
          <w:lang w:bidi="en-US"/>
        </w:rPr>
        <w:t xml:space="preserve"> (2018</w:t>
      </w:r>
      <w:r w:rsidR="001D1FFE" w:rsidRPr="000E4BF4">
        <w:rPr>
          <w:rFonts w:asciiTheme="minorHAnsi" w:hAnsiTheme="minorHAnsi" w:cstheme="minorHAnsi"/>
          <w:bCs/>
          <w:lang w:bidi="en-US"/>
        </w:rPr>
        <w:t>) advocate</w:t>
      </w:r>
      <w:r w:rsidR="002B6B4E" w:rsidRPr="000E4BF4">
        <w:rPr>
          <w:rFonts w:asciiTheme="minorHAnsi" w:hAnsiTheme="minorHAnsi" w:cstheme="minorHAnsi"/>
          <w:bCs/>
          <w:lang w:bidi="en-US"/>
        </w:rPr>
        <w:t xml:space="preserve"> for</w:t>
      </w:r>
      <w:r w:rsidR="00700AC4" w:rsidRPr="000E4BF4">
        <w:rPr>
          <w:rFonts w:asciiTheme="minorHAnsi" w:hAnsiTheme="minorHAnsi" w:cstheme="minorHAnsi"/>
          <w:bCs/>
          <w:lang w:bidi="en-US"/>
        </w:rPr>
        <w:t xml:space="preserve"> a form of involvement which is either</w:t>
      </w:r>
      <w:r w:rsidR="007659CB" w:rsidRPr="000E4BF4">
        <w:rPr>
          <w:rFonts w:asciiTheme="minorHAnsi" w:hAnsiTheme="minorHAnsi" w:cstheme="minorHAnsi"/>
          <w:bCs/>
          <w:lang w:bidi="en-US"/>
        </w:rPr>
        <w:t xml:space="preserve"> ideologically </w:t>
      </w:r>
      <w:r w:rsidR="00700AC4" w:rsidRPr="000E4BF4">
        <w:rPr>
          <w:rFonts w:asciiTheme="minorHAnsi" w:hAnsiTheme="minorHAnsi" w:cstheme="minorHAnsi"/>
          <w:bCs/>
          <w:lang w:bidi="en-US"/>
        </w:rPr>
        <w:t xml:space="preserve">driven by </w:t>
      </w:r>
      <w:r w:rsidR="00E04190" w:rsidRPr="000E4BF4">
        <w:rPr>
          <w:rFonts w:asciiTheme="minorHAnsi" w:hAnsiTheme="minorHAnsi" w:cstheme="minorHAnsi"/>
          <w:bCs/>
          <w:lang w:bidi="en-US"/>
        </w:rPr>
        <w:t xml:space="preserve">the </w:t>
      </w:r>
      <w:r w:rsidR="00700AC4" w:rsidRPr="000E4BF4">
        <w:rPr>
          <w:rFonts w:asciiTheme="minorHAnsi" w:hAnsiTheme="minorHAnsi" w:cstheme="minorHAnsi"/>
          <w:bCs/>
          <w:lang w:bidi="en-US"/>
        </w:rPr>
        <w:t xml:space="preserve">‘experiential knowledge’ </w:t>
      </w:r>
      <w:r w:rsidR="00E04190" w:rsidRPr="000E4BF4">
        <w:rPr>
          <w:rFonts w:asciiTheme="minorHAnsi" w:hAnsiTheme="minorHAnsi" w:cstheme="minorHAnsi"/>
          <w:bCs/>
          <w:lang w:bidi="en-US"/>
        </w:rPr>
        <w:t>or ‘emancipation and empowerment</w:t>
      </w:r>
      <w:r w:rsidR="00936B1F" w:rsidRPr="000E4BF4">
        <w:rPr>
          <w:rFonts w:asciiTheme="minorHAnsi" w:hAnsiTheme="minorHAnsi" w:cstheme="minorHAnsi"/>
          <w:bCs/>
          <w:lang w:bidi="en-US"/>
        </w:rPr>
        <w:t>’</w:t>
      </w:r>
      <w:r w:rsidR="00E04190" w:rsidRPr="000E4BF4">
        <w:rPr>
          <w:rFonts w:asciiTheme="minorHAnsi" w:hAnsiTheme="minorHAnsi" w:cstheme="minorHAnsi"/>
          <w:bCs/>
          <w:lang w:bidi="en-US"/>
        </w:rPr>
        <w:t xml:space="preserve"> models </w:t>
      </w:r>
      <w:r w:rsidR="007659CB" w:rsidRPr="000E4BF4">
        <w:rPr>
          <w:rFonts w:asciiTheme="minorHAnsi" w:hAnsiTheme="minorHAnsi" w:cstheme="minorHAnsi"/>
          <w:bCs/>
          <w:lang w:bidi="en-US"/>
        </w:rPr>
        <w:t>of service user involvement</w:t>
      </w:r>
      <w:r w:rsidR="00EC5A25" w:rsidRPr="000E4BF4">
        <w:rPr>
          <w:rFonts w:asciiTheme="minorHAnsi" w:hAnsiTheme="minorHAnsi" w:cstheme="minorHAnsi"/>
          <w:bCs/>
          <w:lang w:bidi="en-US"/>
        </w:rPr>
        <w:t xml:space="preserve">, </w:t>
      </w:r>
      <w:r w:rsidR="00013F67" w:rsidRPr="000E4BF4">
        <w:rPr>
          <w:rFonts w:asciiTheme="minorHAnsi" w:hAnsiTheme="minorHAnsi" w:cstheme="minorHAnsi"/>
          <w:bCs/>
          <w:lang w:bidi="en-US"/>
        </w:rPr>
        <w:t>the data in this study suggests that services</w:t>
      </w:r>
      <w:r w:rsidR="00B42C90" w:rsidRPr="000E4BF4">
        <w:rPr>
          <w:rFonts w:asciiTheme="minorHAnsi" w:hAnsiTheme="minorHAnsi" w:cstheme="minorHAnsi"/>
          <w:bCs/>
          <w:lang w:bidi="en-US"/>
        </w:rPr>
        <w:t xml:space="preserve"> must rethink their current relationships with service users to achieve this goal</w:t>
      </w:r>
      <w:r w:rsidR="00B2769C" w:rsidRPr="000E4BF4">
        <w:rPr>
          <w:rFonts w:asciiTheme="minorHAnsi" w:hAnsiTheme="minorHAnsi" w:cstheme="minorHAnsi"/>
          <w:bCs/>
          <w:lang w:bidi="en-US"/>
        </w:rPr>
        <w:t xml:space="preserve"> (Taylor-</w:t>
      </w:r>
      <w:proofErr w:type="spellStart"/>
      <w:r w:rsidR="00B2769C" w:rsidRPr="000E4BF4">
        <w:rPr>
          <w:rFonts w:asciiTheme="minorHAnsi" w:hAnsiTheme="minorHAnsi" w:cstheme="minorHAnsi"/>
          <w:bCs/>
          <w:lang w:bidi="en-US"/>
        </w:rPr>
        <w:t>Gooby</w:t>
      </w:r>
      <w:proofErr w:type="spellEnd"/>
      <w:r w:rsidR="007D7A3D" w:rsidRPr="000E4BF4">
        <w:rPr>
          <w:rFonts w:asciiTheme="minorHAnsi" w:hAnsiTheme="minorHAnsi" w:cstheme="minorHAnsi"/>
          <w:bCs/>
          <w:lang w:bidi="en-US"/>
        </w:rPr>
        <w:t>,</w:t>
      </w:r>
      <w:r w:rsidR="00B2769C" w:rsidRPr="000E4BF4">
        <w:rPr>
          <w:rFonts w:asciiTheme="minorHAnsi" w:hAnsiTheme="minorHAnsi" w:cstheme="minorHAnsi"/>
          <w:bCs/>
          <w:lang w:bidi="en-US"/>
        </w:rPr>
        <w:t xml:space="preserve"> 2012)</w:t>
      </w:r>
      <w:r w:rsidR="00B42C90" w:rsidRPr="000E4BF4">
        <w:rPr>
          <w:rFonts w:asciiTheme="minorHAnsi" w:hAnsiTheme="minorHAnsi" w:cstheme="minorHAnsi"/>
          <w:bCs/>
          <w:lang w:bidi="en-US"/>
        </w:rPr>
        <w:t>.</w:t>
      </w:r>
      <w:r w:rsidR="00207694" w:rsidRPr="000E4BF4">
        <w:rPr>
          <w:rFonts w:asciiTheme="minorHAnsi" w:hAnsiTheme="minorHAnsi" w:cstheme="minorHAnsi"/>
          <w:bCs/>
          <w:lang w:bidi="en-US"/>
        </w:rPr>
        <w:t xml:space="preserve"> </w:t>
      </w:r>
      <w:r w:rsidR="00076D1B" w:rsidRPr="004873AD">
        <w:rPr>
          <w:rFonts w:asciiTheme="minorHAnsi" w:hAnsiTheme="minorHAnsi" w:cstheme="minorHAnsi"/>
          <w:bCs/>
          <w:lang w:bidi="en-US"/>
        </w:rPr>
        <w:t>To conclude, this</w:t>
      </w:r>
      <w:r w:rsidR="00207694" w:rsidRPr="004873AD">
        <w:rPr>
          <w:rFonts w:asciiTheme="minorHAnsi" w:hAnsiTheme="minorHAnsi" w:cstheme="minorHAnsi"/>
          <w:bCs/>
          <w:lang w:bidi="en-US"/>
        </w:rPr>
        <w:t xml:space="preserve"> study suggest</w:t>
      </w:r>
      <w:r w:rsidR="00076D1B" w:rsidRPr="004873AD">
        <w:rPr>
          <w:rFonts w:asciiTheme="minorHAnsi" w:hAnsiTheme="minorHAnsi" w:cstheme="minorHAnsi"/>
          <w:bCs/>
          <w:lang w:bidi="en-US"/>
        </w:rPr>
        <w:t>s</w:t>
      </w:r>
      <w:r w:rsidR="00207694" w:rsidRPr="004873AD">
        <w:rPr>
          <w:rFonts w:asciiTheme="minorHAnsi" w:hAnsiTheme="minorHAnsi" w:cstheme="minorHAnsi"/>
          <w:bCs/>
          <w:lang w:bidi="en-US"/>
        </w:rPr>
        <w:t xml:space="preserve"> that </w:t>
      </w:r>
      <w:r w:rsidR="00FA390F" w:rsidRPr="004873AD">
        <w:rPr>
          <w:rFonts w:asciiTheme="minorHAnsi" w:hAnsiTheme="minorHAnsi" w:cstheme="minorHAnsi"/>
          <w:bCs/>
          <w:lang w:bidi="en-US"/>
        </w:rPr>
        <w:t>Appropriate Adult Schemes</w:t>
      </w:r>
      <w:r w:rsidR="000E4BF4" w:rsidRPr="004873AD">
        <w:rPr>
          <w:rFonts w:asciiTheme="minorHAnsi" w:hAnsiTheme="minorHAnsi" w:cstheme="minorHAnsi"/>
          <w:bCs/>
          <w:lang w:bidi="en-US"/>
        </w:rPr>
        <w:t xml:space="preserve"> must</w:t>
      </w:r>
      <w:r w:rsidR="00207694" w:rsidRPr="004873AD">
        <w:rPr>
          <w:rFonts w:asciiTheme="minorHAnsi" w:hAnsiTheme="minorHAnsi" w:cstheme="minorHAnsi"/>
          <w:bCs/>
          <w:lang w:bidi="en-US"/>
        </w:rPr>
        <w:t xml:space="preserve"> move away from the </w:t>
      </w:r>
      <w:r w:rsidR="00325BAA" w:rsidRPr="004873AD">
        <w:rPr>
          <w:rFonts w:asciiTheme="minorHAnsi" w:hAnsiTheme="minorHAnsi" w:cstheme="minorHAnsi"/>
          <w:bCs/>
          <w:lang w:bidi="en-US"/>
        </w:rPr>
        <w:t>‘</w:t>
      </w:r>
      <w:r w:rsidR="00207694" w:rsidRPr="004873AD">
        <w:rPr>
          <w:rFonts w:asciiTheme="minorHAnsi" w:hAnsiTheme="minorHAnsi" w:cstheme="minorHAnsi"/>
          <w:bCs/>
          <w:lang w:bidi="en-US"/>
        </w:rPr>
        <w:t>free market</w:t>
      </w:r>
      <w:r w:rsidR="00325BAA" w:rsidRPr="004873AD">
        <w:rPr>
          <w:rFonts w:asciiTheme="minorHAnsi" w:hAnsiTheme="minorHAnsi" w:cstheme="minorHAnsi"/>
          <w:bCs/>
          <w:lang w:bidi="en-US"/>
        </w:rPr>
        <w:t>’</w:t>
      </w:r>
      <w:r w:rsidR="00207694" w:rsidRPr="004873AD">
        <w:rPr>
          <w:rFonts w:asciiTheme="minorHAnsi" w:hAnsiTheme="minorHAnsi" w:cstheme="minorHAnsi"/>
          <w:bCs/>
          <w:lang w:bidi="en-US"/>
        </w:rPr>
        <w:t xml:space="preserve"> economy model to develop a service user</w:t>
      </w:r>
      <w:r w:rsidR="00CE3EDD" w:rsidRPr="004873AD">
        <w:rPr>
          <w:rFonts w:asciiTheme="minorHAnsi" w:hAnsiTheme="minorHAnsi" w:cstheme="minorHAnsi"/>
          <w:bCs/>
          <w:lang w:bidi="en-US"/>
        </w:rPr>
        <w:t>-</w:t>
      </w:r>
      <w:r w:rsidR="00207694" w:rsidRPr="004873AD">
        <w:rPr>
          <w:rFonts w:asciiTheme="minorHAnsi" w:hAnsiTheme="minorHAnsi" w:cstheme="minorHAnsi"/>
          <w:bCs/>
          <w:lang w:bidi="en-US"/>
        </w:rPr>
        <w:t>led</w:t>
      </w:r>
      <w:r w:rsidR="00E42821" w:rsidRPr="004873AD">
        <w:rPr>
          <w:rFonts w:asciiTheme="minorHAnsi" w:hAnsiTheme="minorHAnsi" w:cstheme="minorHAnsi"/>
          <w:bCs/>
          <w:lang w:bidi="en-US"/>
        </w:rPr>
        <w:t xml:space="preserve"> approach to involvement</w:t>
      </w:r>
      <w:r w:rsidR="00B238F9" w:rsidRPr="004873AD">
        <w:rPr>
          <w:rFonts w:asciiTheme="minorHAnsi" w:hAnsiTheme="minorHAnsi" w:cstheme="minorHAnsi"/>
          <w:bCs/>
          <w:lang w:bidi="en-US"/>
        </w:rPr>
        <w:t>. By doing this Appropriate Adult Schemes will</w:t>
      </w:r>
      <w:r w:rsidR="00E42821" w:rsidRPr="004873AD">
        <w:rPr>
          <w:rFonts w:asciiTheme="minorHAnsi" w:hAnsiTheme="minorHAnsi" w:cstheme="minorHAnsi"/>
          <w:bCs/>
          <w:lang w:bidi="en-US"/>
        </w:rPr>
        <w:t xml:space="preserve"> not only</w:t>
      </w:r>
      <w:r w:rsidR="00E76BC6" w:rsidRPr="004873AD">
        <w:rPr>
          <w:rFonts w:asciiTheme="minorHAnsi" w:hAnsiTheme="minorHAnsi" w:cstheme="minorHAnsi"/>
          <w:bCs/>
          <w:lang w:bidi="en-US"/>
        </w:rPr>
        <w:t xml:space="preserve"> achieve the National </w:t>
      </w:r>
      <w:r w:rsidR="00576425" w:rsidRPr="004873AD">
        <w:rPr>
          <w:rFonts w:asciiTheme="minorHAnsi" w:hAnsiTheme="minorHAnsi" w:cstheme="minorHAnsi"/>
          <w:bCs/>
          <w:lang w:bidi="en-US"/>
        </w:rPr>
        <w:t>A</w:t>
      </w:r>
      <w:r w:rsidR="00E76BC6" w:rsidRPr="004873AD">
        <w:rPr>
          <w:rFonts w:asciiTheme="minorHAnsi" w:hAnsiTheme="minorHAnsi" w:cstheme="minorHAnsi"/>
          <w:bCs/>
          <w:lang w:bidi="en-US"/>
        </w:rPr>
        <w:t xml:space="preserve">ppropriate </w:t>
      </w:r>
      <w:r w:rsidR="00576425" w:rsidRPr="004873AD">
        <w:rPr>
          <w:rFonts w:asciiTheme="minorHAnsi" w:hAnsiTheme="minorHAnsi" w:cstheme="minorHAnsi"/>
          <w:bCs/>
          <w:lang w:bidi="en-US"/>
        </w:rPr>
        <w:t>A</w:t>
      </w:r>
      <w:r w:rsidR="00E76BC6" w:rsidRPr="004873AD">
        <w:rPr>
          <w:rFonts w:asciiTheme="minorHAnsi" w:hAnsiTheme="minorHAnsi" w:cstheme="minorHAnsi"/>
          <w:bCs/>
          <w:lang w:bidi="en-US"/>
        </w:rPr>
        <w:t xml:space="preserve">dult </w:t>
      </w:r>
      <w:r w:rsidR="00325BAA" w:rsidRPr="004873AD">
        <w:rPr>
          <w:rFonts w:asciiTheme="minorHAnsi" w:hAnsiTheme="minorHAnsi" w:cstheme="minorHAnsi"/>
          <w:bCs/>
          <w:lang w:bidi="en-US"/>
        </w:rPr>
        <w:t>N</w:t>
      </w:r>
      <w:r w:rsidR="00E76BC6" w:rsidRPr="004873AD">
        <w:rPr>
          <w:rFonts w:asciiTheme="minorHAnsi" w:hAnsiTheme="minorHAnsi" w:cstheme="minorHAnsi"/>
          <w:bCs/>
          <w:lang w:bidi="en-US"/>
        </w:rPr>
        <w:t>etwork</w:t>
      </w:r>
      <w:r w:rsidR="00DB6ADC" w:rsidRPr="004873AD">
        <w:rPr>
          <w:rFonts w:asciiTheme="minorHAnsi" w:hAnsiTheme="minorHAnsi" w:cstheme="minorHAnsi"/>
          <w:bCs/>
          <w:lang w:bidi="en-US"/>
        </w:rPr>
        <w:t>’</w:t>
      </w:r>
      <w:r w:rsidR="00E76BC6" w:rsidRPr="004873AD">
        <w:rPr>
          <w:rFonts w:asciiTheme="minorHAnsi" w:hAnsiTheme="minorHAnsi" w:cstheme="minorHAnsi"/>
          <w:bCs/>
          <w:lang w:bidi="en-US"/>
        </w:rPr>
        <w:t>s goal of service user involvement</w:t>
      </w:r>
      <w:r w:rsidR="00076D1B" w:rsidRPr="004873AD">
        <w:rPr>
          <w:rFonts w:asciiTheme="minorHAnsi" w:hAnsiTheme="minorHAnsi" w:cstheme="minorHAnsi"/>
          <w:bCs/>
          <w:lang w:bidi="en-US"/>
        </w:rPr>
        <w:t>,</w:t>
      </w:r>
      <w:r w:rsidR="00E76BC6" w:rsidRPr="004873AD">
        <w:rPr>
          <w:rFonts w:asciiTheme="minorHAnsi" w:hAnsiTheme="minorHAnsi" w:cstheme="minorHAnsi"/>
          <w:bCs/>
          <w:lang w:bidi="en-US"/>
        </w:rPr>
        <w:t xml:space="preserve"> but will subsequently significantly improve their services</w:t>
      </w:r>
      <w:r w:rsidR="00503725" w:rsidRPr="004873AD">
        <w:rPr>
          <w:rFonts w:asciiTheme="minorHAnsi" w:hAnsiTheme="minorHAnsi" w:cstheme="minorHAnsi"/>
          <w:bCs/>
          <w:lang w:bidi="en-US"/>
        </w:rPr>
        <w:t xml:space="preserve"> and meet the right</w:t>
      </w:r>
      <w:r w:rsidR="00576425" w:rsidRPr="004873AD">
        <w:rPr>
          <w:rFonts w:asciiTheme="minorHAnsi" w:hAnsiTheme="minorHAnsi" w:cstheme="minorHAnsi"/>
          <w:bCs/>
          <w:lang w:bidi="en-US"/>
        </w:rPr>
        <w:t>s</w:t>
      </w:r>
      <w:r w:rsidR="00503725" w:rsidRPr="004873AD">
        <w:rPr>
          <w:rFonts w:asciiTheme="minorHAnsi" w:hAnsiTheme="minorHAnsi" w:cstheme="minorHAnsi"/>
          <w:bCs/>
          <w:lang w:bidi="en-US"/>
        </w:rPr>
        <w:t xml:space="preserve"> and needs of vulnerable detainees in custody. </w:t>
      </w:r>
    </w:p>
    <w:p w14:paraId="1DD9758F" w14:textId="77777777" w:rsidR="00410224" w:rsidRPr="004873AD" w:rsidRDefault="00410224" w:rsidP="00AA51B8">
      <w:pPr>
        <w:spacing w:line="360" w:lineRule="auto"/>
        <w:contextualSpacing/>
        <w:mirrorIndents/>
        <w:jc w:val="both"/>
        <w:rPr>
          <w:rFonts w:asciiTheme="minorHAnsi" w:hAnsiTheme="minorHAnsi" w:cstheme="minorHAnsi"/>
          <w:bCs/>
          <w:lang w:bidi="en-US"/>
        </w:rPr>
      </w:pPr>
    </w:p>
    <w:p w14:paraId="11B4FDE1" w14:textId="74DDCB30" w:rsidR="00E94B7E" w:rsidRPr="004873AD" w:rsidRDefault="00E94B7E" w:rsidP="00403FCB">
      <w:pPr>
        <w:pStyle w:val="Heading1"/>
        <w:spacing w:line="360" w:lineRule="auto"/>
        <w:contextualSpacing/>
        <w:mirrorIndents/>
        <w:rPr>
          <w:rFonts w:asciiTheme="minorHAnsi" w:hAnsiTheme="minorHAnsi" w:cstheme="minorHAnsi"/>
          <w:sz w:val="24"/>
          <w:szCs w:val="24"/>
        </w:rPr>
      </w:pPr>
      <w:bookmarkStart w:id="14" w:name="_Toc4579802"/>
      <w:r w:rsidRPr="004873AD">
        <w:rPr>
          <w:rFonts w:asciiTheme="minorHAnsi" w:hAnsiTheme="minorHAnsi" w:cstheme="minorHAnsi"/>
          <w:sz w:val="24"/>
          <w:szCs w:val="24"/>
        </w:rPr>
        <w:t>References</w:t>
      </w:r>
      <w:bookmarkEnd w:id="14"/>
    </w:p>
    <w:p w14:paraId="20413882" w14:textId="7523ED40" w:rsidR="006F7F48" w:rsidRPr="00663239" w:rsidRDefault="00663239" w:rsidP="00663239">
      <w:pPr>
        <w:spacing w:before="240" w:after="120" w:line="360" w:lineRule="auto"/>
        <w:contextualSpacing/>
        <w:mirrorIndents/>
        <w:jc w:val="both"/>
        <w:rPr>
          <w:rFonts w:asciiTheme="minorHAnsi" w:hAnsiTheme="minorHAnsi" w:cstheme="minorHAnsi"/>
          <w:shd w:val="clear" w:color="auto" w:fill="FFFFFF"/>
        </w:rPr>
      </w:pPr>
      <w:r w:rsidRPr="004873AD">
        <w:rPr>
          <w:rFonts w:asciiTheme="minorHAnsi" w:hAnsiTheme="minorHAnsi" w:cstheme="minorHAnsi"/>
          <w:shd w:val="clear" w:color="auto" w:fill="FFFFFF"/>
        </w:rPr>
        <w:t xml:space="preserve">Allain, L., </w:t>
      </w:r>
      <w:proofErr w:type="spellStart"/>
      <w:r w:rsidRPr="004873AD">
        <w:rPr>
          <w:rFonts w:asciiTheme="minorHAnsi" w:hAnsiTheme="minorHAnsi" w:cstheme="minorHAnsi"/>
          <w:shd w:val="clear" w:color="auto" w:fill="FFFFFF"/>
        </w:rPr>
        <w:t>Cosis</w:t>
      </w:r>
      <w:proofErr w:type="spellEnd"/>
      <w:r w:rsidRPr="004873AD">
        <w:rPr>
          <w:rFonts w:asciiTheme="minorHAnsi" w:hAnsiTheme="minorHAnsi" w:cstheme="minorHAnsi"/>
          <w:shd w:val="clear" w:color="auto" w:fill="FFFFFF"/>
        </w:rPr>
        <w:t xml:space="preserve"> Brown, H., </w:t>
      </w:r>
      <w:proofErr w:type="spellStart"/>
      <w:r w:rsidRPr="00663239">
        <w:rPr>
          <w:rFonts w:asciiTheme="minorHAnsi" w:hAnsiTheme="minorHAnsi" w:cstheme="minorHAnsi"/>
          <w:shd w:val="clear" w:color="auto" w:fill="FFFFFF"/>
        </w:rPr>
        <w:t>Danso</w:t>
      </w:r>
      <w:proofErr w:type="spellEnd"/>
      <w:r w:rsidRPr="00663239">
        <w:rPr>
          <w:rFonts w:asciiTheme="minorHAnsi" w:hAnsiTheme="minorHAnsi" w:cstheme="minorHAnsi"/>
          <w:shd w:val="clear" w:color="auto" w:fill="FFFFFF"/>
        </w:rPr>
        <w:t xml:space="preserve">, C., Dillon, J., Finnegan, P., </w:t>
      </w:r>
      <w:proofErr w:type="spellStart"/>
      <w:r w:rsidRPr="00663239">
        <w:rPr>
          <w:rFonts w:asciiTheme="minorHAnsi" w:hAnsiTheme="minorHAnsi" w:cstheme="minorHAnsi"/>
          <w:shd w:val="clear" w:color="auto" w:fill="FFFFFF"/>
        </w:rPr>
        <w:t>Gadhoke</w:t>
      </w:r>
      <w:proofErr w:type="spellEnd"/>
      <w:r w:rsidRPr="00663239">
        <w:rPr>
          <w:rFonts w:asciiTheme="minorHAnsi" w:hAnsiTheme="minorHAnsi" w:cstheme="minorHAnsi"/>
          <w:shd w:val="clear" w:color="auto" w:fill="FFFFFF"/>
        </w:rPr>
        <w:t>, S., Whitaker, F. (2006). User and carer involvement in social work education—A university case study: Manipulation or citizen control? Social Work Education, 25, 403–413.</w:t>
      </w:r>
    </w:p>
    <w:p w14:paraId="67DFB944" w14:textId="5C2DD399" w:rsidR="008F4FF1" w:rsidRPr="008271B1" w:rsidRDefault="00FE58F7" w:rsidP="00403FCB">
      <w:pPr>
        <w:spacing w:before="240" w:after="120" w:line="360" w:lineRule="auto"/>
        <w:contextualSpacing/>
        <w:mirrorIndents/>
        <w:jc w:val="both"/>
        <w:rPr>
          <w:rFonts w:asciiTheme="minorHAnsi" w:hAnsiTheme="minorHAnsi" w:cstheme="minorHAnsi"/>
          <w:shd w:val="clear" w:color="auto" w:fill="FFFFFF"/>
        </w:rPr>
      </w:pPr>
      <w:proofErr w:type="spellStart"/>
      <w:r w:rsidRPr="008271B1">
        <w:rPr>
          <w:rFonts w:asciiTheme="minorHAnsi" w:hAnsiTheme="minorHAnsi" w:cstheme="minorHAnsi"/>
          <w:shd w:val="clear" w:color="auto" w:fill="FFFFFF"/>
        </w:rPr>
        <w:t>Askheima</w:t>
      </w:r>
      <w:proofErr w:type="spellEnd"/>
      <w:r w:rsidRPr="008271B1">
        <w:rPr>
          <w:rFonts w:asciiTheme="minorHAnsi" w:hAnsiTheme="minorHAnsi" w:cstheme="minorHAnsi"/>
          <w:shd w:val="clear" w:color="auto" w:fill="FFFFFF"/>
        </w:rPr>
        <w:t>, O., P., Beresford</w:t>
      </w:r>
      <w:r w:rsidR="004D6B16" w:rsidRPr="008271B1">
        <w:rPr>
          <w:rFonts w:asciiTheme="minorHAnsi" w:hAnsiTheme="minorHAnsi" w:cstheme="minorHAnsi"/>
          <w:shd w:val="clear" w:color="auto" w:fill="FFFFFF"/>
        </w:rPr>
        <w:t xml:space="preserve">, P., and </w:t>
      </w:r>
      <w:proofErr w:type="spellStart"/>
      <w:r w:rsidRPr="008271B1">
        <w:rPr>
          <w:rFonts w:asciiTheme="minorHAnsi" w:hAnsiTheme="minorHAnsi" w:cstheme="minorHAnsi"/>
          <w:shd w:val="clear" w:color="auto" w:fill="FFFFFF"/>
        </w:rPr>
        <w:t>Heule</w:t>
      </w:r>
      <w:proofErr w:type="spellEnd"/>
      <w:r w:rsidR="004D6B16" w:rsidRPr="008271B1">
        <w:rPr>
          <w:rFonts w:asciiTheme="minorHAnsi" w:hAnsiTheme="minorHAnsi" w:cstheme="minorHAnsi"/>
          <w:shd w:val="clear" w:color="auto" w:fill="FFFFFF"/>
        </w:rPr>
        <w:t>, C. (</w:t>
      </w:r>
      <w:r w:rsidR="006F7F48" w:rsidRPr="008271B1">
        <w:rPr>
          <w:rFonts w:asciiTheme="minorHAnsi" w:hAnsiTheme="minorHAnsi" w:cstheme="minorHAnsi"/>
          <w:shd w:val="clear" w:color="auto" w:fill="FFFFFF"/>
        </w:rPr>
        <w:t>2017</w:t>
      </w:r>
      <w:r w:rsidR="005D374F" w:rsidRPr="008271B1">
        <w:rPr>
          <w:rFonts w:asciiTheme="minorHAnsi" w:hAnsiTheme="minorHAnsi" w:cstheme="minorHAnsi"/>
          <w:shd w:val="clear" w:color="auto" w:fill="FFFFFF"/>
        </w:rPr>
        <w:t xml:space="preserve">) Mend the gap – strategies for user involvement in social work education. </w:t>
      </w:r>
      <w:r w:rsidR="008F4FF1" w:rsidRPr="008271B1">
        <w:rPr>
          <w:rFonts w:asciiTheme="minorHAnsi" w:hAnsiTheme="minorHAnsi" w:cstheme="minorHAnsi"/>
          <w:shd w:val="clear" w:color="auto" w:fill="FFFFFF"/>
        </w:rPr>
        <w:t>Social Work Education, 2017</w:t>
      </w:r>
    </w:p>
    <w:p w14:paraId="451CBD99" w14:textId="7C572727" w:rsidR="006F7F48" w:rsidRPr="008271B1" w:rsidRDefault="008F4FF1" w:rsidP="00403FCB">
      <w:pPr>
        <w:spacing w:before="240" w:after="120" w:line="360" w:lineRule="auto"/>
        <w:contextualSpacing/>
        <w:mirrorIndents/>
        <w:jc w:val="both"/>
        <w:rPr>
          <w:rFonts w:asciiTheme="minorHAnsi" w:hAnsiTheme="minorHAnsi" w:cstheme="minorHAnsi"/>
          <w:shd w:val="clear" w:color="auto" w:fill="FFFFFF"/>
        </w:rPr>
      </w:pPr>
      <w:r w:rsidRPr="008271B1">
        <w:rPr>
          <w:rFonts w:asciiTheme="minorHAnsi" w:hAnsiTheme="minorHAnsi" w:cstheme="minorHAnsi"/>
          <w:shd w:val="clear" w:color="auto" w:fill="FFFFFF"/>
        </w:rPr>
        <w:t>VOL. 36, NO. 2, 128–140.</w:t>
      </w:r>
    </w:p>
    <w:p w14:paraId="09A95C4F" w14:textId="77777777" w:rsidR="006F7F48" w:rsidRPr="004607A7" w:rsidRDefault="006F7F48" w:rsidP="00403FCB">
      <w:pPr>
        <w:spacing w:before="240" w:after="120" w:line="360" w:lineRule="auto"/>
        <w:contextualSpacing/>
        <w:mirrorIndents/>
        <w:jc w:val="both"/>
        <w:rPr>
          <w:rFonts w:asciiTheme="minorHAnsi" w:hAnsiTheme="minorHAnsi" w:cstheme="minorHAnsi"/>
          <w:color w:val="FF0000"/>
          <w:shd w:val="clear" w:color="auto" w:fill="FFFFFF"/>
        </w:rPr>
      </w:pPr>
    </w:p>
    <w:p w14:paraId="4FE02988" w14:textId="4146EBC3" w:rsidR="006E4DAC" w:rsidRPr="004607A7" w:rsidRDefault="006E4DAC" w:rsidP="00403FCB">
      <w:pPr>
        <w:spacing w:before="240" w:after="120" w:line="360" w:lineRule="auto"/>
        <w:contextualSpacing/>
        <w:mirrorIndents/>
        <w:jc w:val="both"/>
        <w:rPr>
          <w:rFonts w:asciiTheme="minorHAnsi" w:hAnsiTheme="minorHAnsi" w:cstheme="minorHAnsi"/>
          <w:color w:val="222222"/>
          <w:shd w:val="clear" w:color="auto" w:fill="FFFFFF"/>
        </w:rPr>
      </w:pPr>
      <w:proofErr w:type="spellStart"/>
      <w:r w:rsidRPr="004607A7">
        <w:rPr>
          <w:rFonts w:asciiTheme="minorHAnsi" w:hAnsiTheme="minorHAnsi" w:cstheme="minorHAnsi"/>
          <w:color w:val="222222"/>
          <w:shd w:val="clear" w:color="auto" w:fill="FFFFFF"/>
        </w:rPr>
        <w:t>Arnstein</w:t>
      </w:r>
      <w:proofErr w:type="spellEnd"/>
      <w:r w:rsidRPr="004607A7">
        <w:rPr>
          <w:rFonts w:asciiTheme="minorHAnsi" w:hAnsiTheme="minorHAnsi" w:cstheme="minorHAnsi"/>
          <w:color w:val="222222"/>
          <w:shd w:val="clear" w:color="auto" w:fill="FFFFFF"/>
        </w:rPr>
        <w:t>, S. R. (1969). A ladder of citizen participation. </w:t>
      </w:r>
      <w:r w:rsidRPr="004607A7">
        <w:rPr>
          <w:rFonts w:asciiTheme="minorHAnsi" w:hAnsiTheme="minorHAnsi" w:cstheme="minorHAnsi"/>
          <w:i/>
          <w:iCs/>
          <w:color w:val="222222"/>
          <w:shd w:val="clear" w:color="auto" w:fill="FFFFFF"/>
        </w:rPr>
        <w:t>Journal of the American Institute of planners</w:t>
      </w:r>
      <w:r w:rsidRPr="004607A7">
        <w:rPr>
          <w:rFonts w:asciiTheme="minorHAnsi" w:hAnsiTheme="minorHAnsi" w:cstheme="minorHAnsi"/>
          <w:color w:val="222222"/>
          <w:shd w:val="clear" w:color="auto" w:fill="FFFFFF"/>
        </w:rPr>
        <w:t>, </w:t>
      </w:r>
      <w:r w:rsidRPr="004607A7">
        <w:rPr>
          <w:rFonts w:asciiTheme="minorHAnsi" w:hAnsiTheme="minorHAnsi" w:cstheme="minorHAnsi"/>
          <w:i/>
          <w:iCs/>
          <w:color w:val="222222"/>
          <w:shd w:val="clear" w:color="auto" w:fill="FFFFFF"/>
        </w:rPr>
        <w:t>35</w:t>
      </w:r>
      <w:r w:rsidRPr="004607A7">
        <w:rPr>
          <w:rFonts w:asciiTheme="minorHAnsi" w:hAnsiTheme="minorHAnsi" w:cstheme="minorHAnsi"/>
          <w:color w:val="222222"/>
          <w:shd w:val="clear" w:color="auto" w:fill="FFFFFF"/>
        </w:rPr>
        <w:t>(4), 216-224.</w:t>
      </w:r>
    </w:p>
    <w:p w14:paraId="58CF5FFF" w14:textId="77777777" w:rsidR="006F7F48" w:rsidRPr="004607A7" w:rsidRDefault="006F7F48" w:rsidP="00403FCB">
      <w:pPr>
        <w:spacing w:before="240" w:after="120" w:line="360" w:lineRule="auto"/>
        <w:contextualSpacing/>
        <w:mirrorIndents/>
        <w:jc w:val="both"/>
        <w:rPr>
          <w:rFonts w:asciiTheme="minorHAnsi" w:hAnsiTheme="minorHAnsi" w:cstheme="minorHAnsi"/>
          <w:color w:val="222222"/>
          <w:shd w:val="clear" w:color="auto" w:fill="FFFFFF"/>
        </w:rPr>
      </w:pPr>
    </w:p>
    <w:p w14:paraId="38AA2D06" w14:textId="21743923" w:rsidR="00325BAA" w:rsidRPr="001228D7" w:rsidRDefault="00BF2CFB" w:rsidP="00403FCB">
      <w:pPr>
        <w:spacing w:before="240" w:after="120" w:line="360" w:lineRule="auto"/>
        <w:contextualSpacing/>
        <w:mirrorIndents/>
        <w:jc w:val="both"/>
        <w:rPr>
          <w:rFonts w:asciiTheme="minorHAnsi" w:hAnsiTheme="minorHAnsi" w:cstheme="minorHAnsi"/>
          <w:color w:val="222222"/>
          <w:shd w:val="clear" w:color="auto" w:fill="FFFFFF"/>
        </w:rPr>
      </w:pPr>
      <w:r w:rsidRPr="004607A7">
        <w:rPr>
          <w:rFonts w:asciiTheme="minorHAnsi" w:hAnsiTheme="minorHAnsi" w:cstheme="minorHAnsi"/>
          <w:color w:val="222222"/>
          <w:shd w:val="clear" w:color="auto" w:fill="FFFFFF"/>
        </w:rPr>
        <w:t xml:space="preserve">Buck, G., </w:t>
      </w:r>
      <w:proofErr w:type="spellStart"/>
      <w:r w:rsidRPr="004607A7">
        <w:rPr>
          <w:rFonts w:asciiTheme="minorHAnsi" w:hAnsiTheme="minorHAnsi" w:cstheme="minorHAnsi"/>
          <w:color w:val="222222"/>
          <w:shd w:val="clear" w:color="auto" w:fill="FFFFFF"/>
        </w:rPr>
        <w:t>Harriott</w:t>
      </w:r>
      <w:proofErr w:type="spellEnd"/>
      <w:r w:rsidRPr="004607A7">
        <w:rPr>
          <w:rFonts w:asciiTheme="minorHAnsi" w:hAnsiTheme="minorHAnsi" w:cstheme="minorHAnsi"/>
          <w:color w:val="222222"/>
          <w:shd w:val="clear" w:color="auto" w:fill="FFFFFF"/>
        </w:rPr>
        <w:t>, P., Ryan, K., Ryan, N., &amp; Tomczak, P. (2020). All our justice: people with convictions and ‘participatory’</w:t>
      </w:r>
      <w:r w:rsidR="007C5E0B" w:rsidRPr="004607A7">
        <w:rPr>
          <w:rFonts w:asciiTheme="minorHAnsi" w:hAnsiTheme="minorHAnsi" w:cstheme="minorHAnsi"/>
          <w:color w:val="222222"/>
          <w:shd w:val="clear" w:color="auto" w:fill="FFFFFF"/>
        </w:rPr>
        <w:t xml:space="preserve"> </w:t>
      </w:r>
      <w:r w:rsidRPr="004607A7">
        <w:rPr>
          <w:rFonts w:asciiTheme="minorHAnsi" w:hAnsiTheme="minorHAnsi" w:cstheme="minorHAnsi"/>
          <w:color w:val="222222"/>
          <w:shd w:val="clear" w:color="auto" w:fill="FFFFFF"/>
        </w:rPr>
        <w:t>criminal justice. In </w:t>
      </w:r>
      <w:r w:rsidRPr="004607A7">
        <w:rPr>
          <w:rFonts w:asciiTheme="minorHAnsi" w:hAnsiTheme="minorHAnsi" w:cstheme="minorHAnsi"/>
          <w:i/>
          <w:iCs/>
          <w:color w:val="222222"/>
          <w:shd w:val="clear" w:color="auto" w:fill="FFFFFF"/>
        </w:rPr>
        <w:t>The Routledge Handbook of Service User Involvement in Human Services Research and Education</w:t>
      </w:r>
      <w:r w:rsidRPr="004607A7">
        <w:rPr>
          <w:rFonts w:asciiTheme="minorHAnsi" w:hAnsiTheme="minorHAnsi" w:cstheme="minorHAnsi"/>
          <w:color w:val="222222"/>
          <w:shd w:val="clear" w:color="auto" w:fill="FFFFFF"/>
        </w:rPr>
        <w:t> (pp. 285-295). Routledge.</w:t>
      </w:r>
    </w:p>
    <w:p w14:paraId="282ECBD8" w14:textId="264EE95F" w:rsidR="00325BAA" w:rsidRPr="004607A7" w:rsidRDefault="00325BAA" w:rsidP="00403FCB">
      <w:pPr>
        <w:spacing w:before="240" w:after="120" w:line="360" w:lineRule="auto"/>
        <w:contextualSpacing/>
        <w:mirrorIndents/>
        <w:jc w:val="both"/>
        <w:rPr>
          <w:rFonts w:asciiTheme="minorHAnsi" w:hAnsiTheme="minorHAnsi" w:cstheme="minorHAnsi"/>
          <w:color w:val="FF0000"/>
          <w:shd w:val="clear" w:color="auto" w:fill="FFFFFF"/>
        </w:rPr>
      </w:pPr>
    </w:p>
    <w:p w14:paraId="388F1CEB" w14:textId="69323EAA" w:rsidR="006F7F48" w:rsidRPr="00FE7CD2" w:rsidRDefault="009813C0" w:rsidP="009813C0">
      <w:pPr>
        <w:spacing w:before="240" w:after="120" w:line="360" w:lineRule="auto"/>
        <w:contextualSpacing/>
        <w:mirrorIndents/>
        <w:jc w:val="both"/>
        <w:rPr>
          <w:rFonts w:asciiTheme="minorHAnsi" w:hAnsiTheme="minorHAnsi" w:cstheme="minorHAnsi"/>
          <w:shd w:val="clear" w:color="auto" w:fill="FFFFFF"/>
        </w:rPr>
      </w:pPr>
      <w:r w:rsidRPr="00FE7CD2">
        <w:rPr>
          <w:rFonts w:asciiTheme="minorHAnsi" w:hAnsiTheme="minorHAnsi" w:cstheme="minorHAnsi"/>
          <w:shd w:val="clear" w:color="auto" w:fill="FFFFFF"/>
        </w:rPr>
        <w:t>Chavira, D., Fowler, P. J., and Jason, A.</w:t>
      </w:r>
      <w:r w:rsidR="006A4D90" w:rsidRPr="00FE7CD2">
        <w:rPr>
          <w:rFonts w:asciiTheme="minorHAnsi" w:hAnsiTheme="minorHAnsi" w:cstheme="minorHAnsi"/>
          <w:shd w:val="clear" w:color="auto" w:fill="FFFFFF"/>
        </w:rPr>
        <w:t xml:space="preserve"> (2018) </w:t>
      </w:r>
      <w:r w:rsidRPr="00FE7CD2">
        <w:rPr>
          <w:rFonts w:asciiTheme="minorHAnsi" w:hAnsiTheme="minorHAnsi" w:cstheme="minorHAnsi"/>
          <w:shd w:val="clear" w:color="auto" w:fill="FFFFFF"/>
        </w:rPr>
        <w:t>Parenting and the association between maternal criminal justice involvement and adolescent delinquency</w:t>
      </w:r>
      <w:r w:rsidR="006A4D90" w:rsidRPr="00FE7CD2">
        <w:rPr>
          <w:rFonts w:asciiTheme="minorHAnsi" w:hAnsiTheme="minorHAnsi" w:cstheme="minorHAnsi"/>
          <w:shd w:val="clear" w:color="auto" w:fill="FFFFFF"/>
        </w:rPr>
        <w:t xml:space="preserve">. </w:t>
      </w:r>
      <w:r w:rsidRPr="00FE7CD2">
        <w:rPr>
          <w:rFonts w:asciiTheme="minorHAnsi" w:hAnsiTheme="minorHAnsi" w:cstheme="minorHAnsi"/>
          <w:shd w:val="clear" w:color="auto" w:fill="FFFFFF"/>
        </w:rPr>
        <w:t>Children and Youth Services Review</w:t>
      </w:r>
      <w:r w:rsidR="006A4D90" w:rsidRPr="00FE7CD2">
        <w:rPr>
          <w:rFonts w:asciiTheme="minorHAnsi" w:hAnsiTheme="minorHAnsi" w:cstheme="minorHAnsi"/>
          <w:shd w:val="clear" w:color="auto" w:fill="FFFFFF"/>
        </w:rPr>
        <w:t xml:space="preserve">. </w:t>
      </w:r>
      <w:r w:rsidRPr="00FE7CD2">
        <w:rPr>
          <w:rFonts w:asciiTheme="minorHAnsi" w:hAnsiTheme="minorHAnsi" w:cstheme="minorHAnsi"/>
          <w:shd w:val="clear" w:color="auto" w:fill="FFFFFF"/>
        </w:rPr>
        <w:t>87,</w:t>
      </w:r>
      <w:r w:rsidR="006A4D90" w:rsidRPr="00FE7CD2">
        <w:rPr>
          <w:rFonts w:asciiTheme="minorHAnsi" w:hAnsiTheme="minorHAnsi" w:cstheme="minorHAnsi"/>
          <w:shd w:val="clear" w:color="auto" w:fill="FFFFFF"/>
        </w:rPr>
        <w:t xml:space="preserve"> </w:t>
      </w:r>
      <w:r w:rsidRPr="00FE7CD2">
        <w:rPr>
          <w:rFonts w:asciiTheme="minorHAnsi" w:hAnsiTheme="minorHAnsi" w:cstheme="minorHAnsi"/>
          <w:shd w:val="clear" w:color="auto" w:fill="FFFFFF"/>
        </w:rPr>
        <w:t>114-122</w:t>
      </w:r>
      <w:r w:rsidR="00FE7CD2" w:rsidRPr="00FE7CD2">
        <w:rPr>
          <w:rFonts w:asciiTheme="minorHAnsi" w:hAnsiTheme="minorHAnsi" w:cstheme="minorHAnsi"/>
          <w:shd w:val="clear" w:color="auto" w:fill="FFFFFF"/>
        </w:rPr>
        <w:t>.</w:t>
      </w:r>
    </w:p>
    <w:p w14:paraId="479AE2E3" w14:textId="77777777" w:rsidR="00FE7CD2" w:rsidRPr="004607A7" w:rsidRDefault="00FE7CD2" w:rsidP="009813C0">
      <w:pPr>
        <w:spacing w:before="240" w:after="120" w:line="360" w:lineRule="auto"/>
        <w:contextualSpacing/>
        <w:mirrorIndents/>
        <w:jc w:val="both"/>
        <w:rPr>
          <w:rFonts w:asciiTheme="minorHAnsi" w:hAnsiTheme="minorHAnsi" w:cstheme="minorHAnsi"/>
          <w:color w:val="222222"/>
          <w:shd w:val="clear" w:color="auto" w:fill="FFFFFF"/>
        </w:rPr>
      </w:pPr>
    </w:p>
    <w:p w14:paraId="0348CE3A" w14:textId="4BAB1923" w:rsidR="00C36A0E" w:rsidRDefault="00C36A0E" w:rsidP="00403FCB">
      <w:pPr>
        <w:spacing w:before="240" w:after="120" w:line="360" w:lineRule="auto"/>
        <w:contextualSpacing/>
        <w:mirrorIndents/>
        <w:jc w:val="both"/>
        <w:rPr>
          <w:rFonts w:asciiTheme="minorHAnsi" w:hAnsiTheme="minorHAnsi" w:cstheme="minorHAnsi"/>
          <w:color w:val="222222"/>
          <w:shd w:val="clear" w:color="auto" w:fill="FFFFFF"/>
        </w:rPr>
      </w:pPr>
      <w:r w:rsidRPr="00C36A0E">
        <w:rPr>
          <w:rFonts w:asciiTheme="minorHAnsi" w:hAnsiTheme="minorHAnsi" w:cstheme="minorHAnsi"/>
          <w:color w:val="222222"/>
          <w:shd w:val="clear" w:color="auto" w:fill="FFFFFF"/>
        </w:rPr>
        <w:t>Crime and Disorder Act (1998). London: The Stationery Office.</w:t>
      </w:r>
    </w:p>
    <w:p w14:paraId="7DF02FE0" w14:textId="77777777" w:rsidR="00C36A0E" w:rsidRDefault="00C36A0E" w:rsidP="00403FCB">
      <w:pPr>
        <w:spacing w:before="240" w:after="120" w:line="360" w:lineRule="auto"/>
        <w:contextualSpacing/>
        <w:mirrorIndents/>
        <w:jc w:val="both"/>
        <w:rPr>
          <w:rFonts w:asciiTheme="minorHAnsi" w:hAnsiTheme="minorHAnsi" w:cstheme="minorHAnsi"/>
          <w:color w:val="222222"/>
          <w:shd w:val="clear" w:color="auto" w:fill="FFFFFF"/>
        </w:rPr>
      </w:pPr>
    </w:p>
    <w:p w14:paraId="40A49559" w14:textId="6EB07A18" w:rsidR="00325BAA" w:rsidRPr="004607A7" w:rsidRDefault="006F7F48" w:rsidP="00403FCB">
      <w:pPr>
        <w:spacing w:before="240" w:after="120" w:line="360" w:lineRule="auto"/>
        <w:contextualSpacing/>
        <w:mirrorIndents/>
        <w:jc w:val="both"/>
        <w:rPr>
          <w:rFonts w:asciiTheme="minorHAnsi" w:hAnsiTheme="minorHAnsi" w:cstheme="minorHAnsi"/>
          <w:color w:val="222222"/>
          <w:shd w:val="clear" w:color="auto" w:fill="FFFFFF"/>
        </w:rPr>
      </w:pPr>
      <w:r w:rsidRPr="004607A7">
        <w:rPr>
          <w:rFonts w:asciiTheme="minorHAnsi" w:hAnsiTheme="minorHAnsi" w:cstheme="minorHAnsi"/>
          <w:color w:val="222222"/>
          <w:shd w:val="clear" w:color="auto" w:fill="FFFFFF"/>
        </w:rPr>
        <w:t>Charles, C., &amp; DeMaio, S. (1993). Lay participation in health care decision making: a conceptual framework. </w:t>
      </w:r>
      <w:r w:rsidRPr="004607A7">
        <w:rPr>
          <w:rFonts w:asciiTheme="minorHAnsi" w:hAnsiTheme="minorHAnsi" w:cstheme="minorHAnsi"/>
          <w:i/>
          <w:iCs/>
          <w:color w:val="222222"/>
          <w:shd w:val="clear" w:color="auto" w:fill="FFFFFF"/>
        </w:rPr>
        <w:t>Journal of health politics, policy and law</w:t>
      </w:r>
      <w:r w:rsidRPr="004607A7">
        <w:rPr>
          <w:rFonts w:asciiTheme="minorHAnsi" w:hAnsiTheme="minorHAnsi" w:cstheme="minorHAnsi"/>
          <w:color w:val="222222"/>
          <w:shd w:val="clear" w:color="auto" w:fill="FFFFFF"/>
        </w:rPr>
        <w:t>, </w:t>
      </w:r>
      <w:r w:rsidRPr="004607A7">
        <w:rPr>
          <w:rFonts w:asciiTheme="minorHAnsi" w:hAnsiTheme="minorHAnsi" w:cstheme="minorHAnsi"/>
          <w:i/>
          <w:iCs/>
          <w:color w:val="222222"/>
          <w:shd w:val="clear" w:color="auto" w:fill="FFFFFF"/>
        </w:rPr>
        <w:t>18</w:t>
      </w:r>
      <w:r w:rsidRPr="004607A7">
        <w:rPr>
          <w:rFonts w:asciiTheme="minorHAnsi" w:hAnsiTheme="minorHAnsi" w:cstheme="minorHAnsi"/>
          <w:color w:val="222222"/>
          <w:shd w:val="clear" w:color="auto" w:fill="FFFFFF"/>
        </w:rPr>
        <w:t>(4), 881-904.</w:t>
      </w:r>
    </w:p>
    <w:p w14:paraId="3DA76489" w14:textId="77777777" w:rsidR="00325BAA" w:rsidRPr="004607A7" w:rsidRDefault="00325BAA" w:rsidP="00403FCB">
      <w:pPr>
        <w:spacing w:before="240" w:after="120" w:line="360" w:lineRule="auto"/>
        <w:contextualSpacing/>
        <w:mirrorIndents/>
        <w:jc w:val="both"/>
        <w:rPr>
          <w:rFonts w:asciiTheme="minorHAnsi" w:hAnsiTheme="minorHAnsi" w:cstheme="minorHAnsi"/>
        </w:rPr>
      </w:pPr>
    </w:p>
    <w:p w14:paraId="4BFA7102" w14:textId="731A7425" w:rsidR="006E4DAC" w:rsidRPr="004607A7" w:rsidRDefault="006E4DAC" w:rsidP="00403FCB">
      <w:pPr>
        <w:spacing w:before="240" w:after="120" w:line="360" w:lineRule="auto"/>
        <w:contextualSpacing/>
        <w:mirrorIndents/>
        <w:jc w:val="both"/>
        <w:rPr>
          <w:rFonts w:asciiTheme="minorHAnsi" w:hAnsiTheme="minorHAnsi" w:cstheme="minorHAnsi"/>
          <w:shd w:val="clear" w:color="auto" w:fill="FFFFFF"/>
        </w:rPr>
      </w:pPr>
      <w:r w:rsidRPr="004607A7">
        <w:rPr>
          <w:rFonts w:asciiTheme="minorHAnsi" w:hAnsiTheme="minorHAnsi" w:cstheme="minorHAnsi"/>
          <w:shd w:val="clear" w:color="auto" w:fill="FFFFFF"/>
        </w:rPr>
        <w:t>Cummins, I. (2011). ‘The other side of silence’: The role of the appropriate adult post-Bradley. </w:t>
      </w:r>
      <w:r w:rsidRPr="004607A7">
        <w:rPr>
          <w:rFonts w:asciiTheme="minorHAnsi" w:hAnsiTheme="minorHAnsi" w:cstheme="minorHAnsi"/>
          <w:i/>
          <w:iCs/>
          <w:shd w:val="clear" w:color="auto" w:fill="FFFFFF"/>
        </w:rPr>
        <w:t>Ethics and Social Welfare</w:t>
      </w:r>
      <w:r w:rsidRPr="004607A7">
        <w:rPr>
          <w:rFonts w:asciiTheme="minorHAnsi" w:hAnsiTheme="minorHAnsi" w:cstheme="minorHAnsi"/>
          <w:shd w:val="clear" w:color="auto" w:fill="FFFFFF"/>
        </w:rPr>
        <w:t>, </w:t>
      </w:r>
      <w:r w:rsidRPr="004607A7">
        <w:rPr>
          <w:rFonts w:asciiTheme="minorHAnsi" w:hAnsiTheme="minorHAnsi" w:cstheme="minorHAnsi"/>
          <w:i/>
          <w:iCs/>
          <w:shd w:val="clear" w:color="auto" w:fill="FFFFFF"/>
        </w:rPr>
        <w:t>5</w:t>
      </w:r>
      <w:r w:rsidRPr="004607A7">
        <w:rPr>
          <w:rFonts w:asciiTheme="minorHAnsi" w:hAnsiTheme="minorHAnsi" w:cstheme="minorHAnsi"/>
          <w:shd w:val="clear" w:color="auto" w:fill="FFFFFF"/>
        </w:rPr>
        <w:t>(3), 306-312.</w:t>
      </w:r>
    </w:p>
    <w:p w14:paraId="58E694AB" w14:textId="77777777" w:rsidR="006F7F48" w:rsidRPr="004607A7" w:rsidRDefault="006F7F48" w:rsidP="00403FCB">
      <w:pPr>
        <w:spacing w:before="240" w:after="120" w:line="360" w:lineRule="auto"/>
        <w:contextualSpacing/>
        <w:mirrorIndents/>
        <w:jc w:val="both"/>
        <w:rPr>
          <w:rFonts w:asciiTheme="minorHAnsi" w:hAnsiTheme="minorHAnsi" w:cstheme="minorHAnsi"/>
        </w:rPr>
      </w:pPr>
    </w:p>
    <w:p w14:paraId="44C8A396" w14:textId="20E24D3F" w:rsidR="003C5012" w:rsidRPr="004607A7" w:rsidRDefault="003C5012" w:rsidP="00403FCB">
      <w:pPr>
        <w:spacing w:before="240" w:after="120" w:line="360" w:lineRule="auto"/>
        <w:contextualSpacing/>
        <w:mirrorIndents/>
        <w:jc w:val="both"/>
        <w:rPr>
          <w:rFonts w:asciiTheme="minorHAnsi" w:hAnsiTheme="minorHAnsi" w:cstheme="minorHAnsi"/>
          <w:color w:val="222222"/>
          <w:shd w:val="clear" w:color="auto" w:fill="FFFFFF"/>
        </w:rPr>
      </w:pPr>
      <w:proofErr w:type="spellStart"/>
      <w:r w:rsidRPr="004607A7">
        <w:rPr>
          <w:rFonts w:asciiTheme="minorHAnsi" w:hAnsiTheme="minorHAnsi" w:cstheme="minorHAnsi"/>
          <w:color w:val="222222"/>
          <w:shd w:val="clear" w:color="auto" w:fill="FFFFFF"/>
        </w:rPr>
        <w:t>Dehaghani</w:t>
      </w:r>
      <w:proofErr w:type="spellEnd"/>
      <w:r w:rsidRPr="004607A7">
        <w:rPr>
          <w:rFonts w:asciiTheme="minorHAnsi" w:hAnsiTheme="minorHAnsi" w:cstheme="minorHAnsi"/>
          <w:color w:val="222222"/>
          <w:shd w:val="clear" w:color="auto" w:fill="FFFFFF"/>
        </w:rPr>
        <w:t>, R., &amp; Bath, C. (2019). Vulnerability and the appropriate adult safeguard: examining the definitional and threshold changes within PACE Code C. </w:t>
      </w:r>
      <w:r w:rsidRPr="004607A7">
        <w:rPr>
          <w:rFonts w:asciiTheme="minorHAnsi" w:hAnsiTheme="minorHAnsi" w:cstheme="minorHAnsi"/>
          <w:i/>
          <w:iCs/>
          <w:color w:val="222222"/>
          <w:shd w:val="clear" w:color="auto" w:fill="FFFFFF"/>
        </w:rPr>
        <w:t>Criminal Law Review</w:t>
      </w:r>
      <w:r w:rsidRPr="004607A7">
        <w:rPr>
          <w:rFonts w:asciiTheme="minorHAnsi" w:hAnsiTheme="minorHAnsi" w:cstheme="minorHAnsi"/>
          <w:color w:val="222222"/>
          <w:shd w:val="clear" w:color="auto" w:fill="FFFFFF"/>
        </w:rPr>
        <w:t>, </w:t>
      </w:r>
      <w:r w:rsidRPr="004607A7">
        <w:rPr>
          <w:rFonts w:asciiTheme="minorHAnsi" w:hAnsiTheme="minorHAnsi" w:cstheme="minorHAnsi"/>
          <w:i/>
          <w:iCs/>
          <w:color w:val="222222"/>
          <w:shd w:val="clear" w:color="auto" w:fill="FFFFFF"/>
        </w:rPr>
        <w:t>3</w:t>
      </w:r>
      <w:r w:rsidRPr="004607A7">
        <w:rPr>
          <w:rFonts w:asciiTheme="minorHAnsi" w:hAnsiTheme="minorHAnsi" w:cstheme="minorHAnsi"/>
          <w:color w:val="222222"/>
          <w:shd w:val="clear" w:color="auto" w:fill="FFFFFF"/>
        </w:rPr>
        <w:t>, 213-232.</w:t>
      </w:r>
    </w:p>
    <w:p w14:paraId="24BA3DA9" w14:textId="77777777" w:rsidR="006F7F48" w:rsidRPr="004607A7" w:rsidRDefault="006F7F48" w:rsidP="00403FCB">
      <w:pPr>
        <w:spacing w:before="240" w:after="120" w:line="360" w:lineRule="auto"/>
        <w:contextualSpacing/>
        <w:mirrorIndents/>
        <w:jc w:val="both"/>
        <w:rPr>
          <w:rFonts w:asciiTheme="minorHAnsi" w:hAnsiTheme="minorHAnsi" w:cstheme="minorHAnsi"/>
          <w:color w:val="222222"/>
          <w:shd w:val="clear" w:color="auto" w:fill="FFFFFF"/>
        </w:rPr>
      </w:pPr>
    </w:p>
    <w:p w14:paraId="39EF5AB9" w14:textId="17DC32B8" w:rsidR="006F7F48" w:rsidRPr="004607A7" w:rsidRDefault="006F7F48" w:rsidP="00403FCB">
      <w:pPr>
        <w:spacing w:before="240" w:after="120" w:line="360" w:lineRule="auto"/>
        <w:contextualSpacing/>
        <w:mirrorIndents/>
        <w:jc w:val="both"/>
        <w:rPr>
          <w:rFonts w:asciiTheme="minorHAnsi" w:hAnsiTheme="minorHAnsi" w:cstheme="minorHAnsi"/>
          <w:color w:val="222222"/>
          <w:shd w:val="clear" w:color="auto" w:fill="FFFFFF"/>
        </w:rPr>
      </w:pPr>
      <w:r w:rsidRPr="004607A7">
        <w:rPr>
          <w:rFonts w:asciiTheme="minorHAnsi" w:hAnsiTheme="minorHAnsi" w:cstheme="minorHAnsi"/>
          <w:color w:val="222222"/>
          <w:shd w:val="clear" w:color="auto" w:fill="FFFFFF"/>
        </w:rPr>
        <w:t>Durcan, G., Saunders, A., Gadsby, B., &amp; Hazard, A. (2014). The Bradley Report five years on. </w:t>
      </w:r>
      <w:r w:rsidRPr="004607A7">
        <w:rPr>
          <w:rFonts w:asciiTheme="minorHAnsi" w:hAnsiTheme="minorHAnsi" w:cstheme="minorHAnsi"/>
          <w:i/>
          <w:iCs/>
          <w:color w:val="222222"/>
          <w:shd w:val="clear" w:color="auto" w:fill="FFFFFF"/>
        </w:rPr>
        <w:t>London, England: Centre for Mental Health</w:t>
      </w:r>
      <w:r w:rsidRPr="004607A7">
        <w:rPr>
          <w:rFonts w:asciiTheme="minorHAnsi" w:hAnsiTheme="minorHAnsi" w:cstheme="minorHAnsi"/>
          <w:color w:val="222222"/>
          <w:shd w:val="clear" w:color="auto" w:fill="FFFFFF"/>
        </w:rPr>
        <w:t>.</w:t>
      </w:r>
    </w:p>
    <w:p w14:paraId="75928AC4" w14:textId="77777777" w:rsidR="006F7F48" w:rsidRPr="004607A7" w:rsidRDefault="006F7F48" w:rsidP="00403FCB">
      <w:pPr>
        <w:spacing w:before="240" w:after="120" w:line="360" w:lineRule="auto"/>
        <w:contextualSpacing/>
        <w:mirrorIndents/>
        <w:jc w:val="both"/>
        <w:rPr>
          <w:rFonts w:asciiTheme="minorHAnsi" w:hAnsiTheme="minorHAnsi" w:cstheme="minorHAnsi"/>
        </w:rPr>
      </w:pPr>
    </w:p>
    <w:p w14:paraId="2FD1958F" w14:textId="11E27DD0" w:rsidR="003C5012" w:rsidRPr="004607A7" w:rsidRDefault="003C5012" w:rsidP="00403FCB">
      <w:pPr>
        <w:spacing w:before="240" w:after="120" w:line="360" w:lineRule="auto"/>
        <w:contextualSpacing/>
        <w:mirrorIndents/>
        <w:jc w:val="both"/>
        <w:rPr>
          <w:rFonts w:asciiTheme="minorHAnsi" w:hAnsiTheme="minorHAnsi" w:cstheme="minorHAnsi"/>
          <w:color w:val="222222"/>
          <w:shd w:val="clear" w:color="auto" w:fill="FFFFFF"/>
        </w:rPr>
      </w:pPr>
      <w:r w:rsidRPr="004607A7">
        <w:rPr>
          <w:rFonts w:asciiTheme="minorHAnsi" w:hAnsiTheme="minorHAnsi" w:cstheme="minorHAnsi"/>
          <w:color w:val="222222"/>
          <w:shd w:val="clear" w:color="auto" w:fill="FFFFFF"/>
        </w:rPr>
        <w:t>Farrugia, L., &amp; Gabbert, F. (2019). The “appropriate adult”: What they do and what they should do in police interviews with mentally disordered suspects. </w:t>
      </w:r>
      <w:r w:rsidRPr="004607A7">
        <w:rPr>
          <w:rFonts w:asciiTheme="minorHAnsi" w:hAnsiTheme="minorHAnsi" w:cstheme="minorHAnsi"/>
          <w:i/>
          <w:iCs/>
          <w:color w:val="222222"/>
          <w:shd w:val="clear" w:color="auto" w:fill="FFFFFF"/>
        </w:rPr>
        <w:t>Criminal Behaviour and Mental Health</w:t>
      </w:r>
      <w:r w:rsidRPr="004607A7">
        <w:rPr>
          <w:rFonts w:asciiTheme="minorHAnsi" w:hAnsiTheme="minorHAnsi" w:cstheme="minorHAnsi"/>
          <w:color w:val="222222"/>
          <w:shd w:val="clear" w:color="auto" w:fill="FFFFFF"/>
        </w:rPr>
        <w:t>, </w:t>
      </w:r>
      <w:r w:rsidRPr="004607A7">
        <w:rPr>
          <w:rFonts w:asciiTheme="minorHAnsi" w:hAnsiTheme="minorHAnsi" w:cstheme="minorHAnsi"/>
          <w:i/>
          <w:iCs/>
          <w:color w:val="222222"/>
          <w:shd w:val="clear" w:color="auto" w:fill="FFFFFF"/>
        </w:rPr>
        <w:t>29</w:t>
      </w:r>
      <w:r w:rsidRPr="004607A7">
        <w:rPr>
          <w:rFonts w:asciiTheme="minorHAnsi" w:hAnsiTheme="minorHAnsi" w:cstheme="minorHAnsi"/>
          <w:color w:val="222222"/>
          <w:shd w:val="clear" w:color="auto" w:fill="FFFFFF"/>
        </w:rPr>
        <w:t>(3), 134-141.</w:t>
      </w:r>
    </w:p>
    <w:p w14:paraId="39014ABD" w14:textId="77777777" w:rsidR="006F7F48" w:rsidRPr="004607A7" w:rsidRDefault="006F7F48" w:rsidP="00403FCB">
      <w:pPr>
        <w:spacing w:before="240" w:after="120" w:line="360" w:lineRule="auto"/>
        <w:contextualSpacing/>
        <w:mirrorIndents/>
        <w:jc w:val="both"/>
        <w:rPr>
          <w:rFonts w:asciiTheme="minorHAnsi" w:hAnsiTheme="minorHAnsi" w:cstheme="minorHAnsi"/>
          <w:color w:val="222222"/>
          <w:shd w:val="clear" w:color="auto" w:fill="FFFFFF"/>
        </w:rPr>
      </w:pPr>
    </w:p>
    <w:p w14:paraId="7D6262C9" w14:textId="77777777" w:rsidR="006F7F48" w:rsidRPr="004607A7" w:rsidRDefault="006F7F48" w:rsidP="00403FCB">
      <w:pPr>
        <w:spacing w:before="240" w:after="120" w:line="360" w:lineRule="auto"/>
        <w:contextualSpacing/>
        <w:mirrorIndents/>
        <w:jc w:val="both"/>
        <w:rPr>
          <w:rFonts w:asciiTheme="minorHAnsi" w:hAnsiTheme="minorHAnsi" w:cstheme="minorHAnsi"/>
          <w:color w:val="FF0000"/>
          <w:shd w:val="clear" w:color="auto" w:fill="FFFFFF"/>
        </w:rPr>
      </w:pPr>
    </w:p>
    <w:p w14:paraId="49B7A431" w14:textId="77777777" w:rsidR="004607A7" w:rsidRPr="004607A7" w:rsidRDefault="004607A7" w:rsidP="00403FCB">
      <w:pPr>
        <w:widowControl w:val="0"/>
        <w:spacing w:after="240" w:line="360" w:lineRule="auto"/>
        <w:contextualSpacing/>
        <w:mirrorIndents/>
        <w:jc w:val="both"/>
        <w:rPr>
          <w:rFonts w:asciiTheme="minorHAnsi" w:hAnsiTheme="minorHAnsi" w:cstheme="minorHAnsi"/>
        </w:rPr>
      </w:pPr>
      <w:r w:rsidRPr="004607A7">
        <w:rPr>
          <w:rFonts w:asciiTheme="minorHAnsi" w:hAnsiTheme="minorHAnsi" w:cstheme="minorHAnsi"/>
        </w:rPr>
        <w:t xml:space="preserve">Finn, W., </w:t>
      </w:r>
      <w:proofErr w:type="spellStart"/>
      <w:r w:rsidRPr="004607A7">
        <w:rPr>
          <w:rFonts w:asciiTheme="minorHAnsi" w:hAnsiTheme="minorHAnsi" w:cstheme="minorHAnsi"/>
        </w:rPr>
        <w:t>Hyslop</w:t>
      </w:r>
      <w:proofErr w:type="spellEnd"/>
      <w:r w:rsidRPr="004607A7">
        <w:rPr>
          <w:rFonts w:asciiTheme="minorHAnsi" w:hAnsiTheme="minorHAnsi" w:cstheme="minorHAnsi"/>
        </w:rPr>
        <w:t>, J. and Truman, C. (2000) Mental health, multiple needs and the police: Findings from the Link Worker scheme London: Revolving Doors.</w:t>
      </w:r>
    </w:p>
    <w:p w14:paraId="6234218C" w14:textId="77777777" w:rsidR="00B86C87" w:rsidRPr="004607A7" w:rsidRDefault="00B86C87" w:rsidP="00403FCB">
      <w:pPr>
        <w:spacing w:before="240" w:after="120" w:line="360" w:lineRule="auto"/>
        <w:contextualSpacing/>
        <w:mirrorIndents/>
        <w:jc w:val="both"/>
        <w:rPr>
          <w:rFonts w:asciiTheme="minorHAnsi" w:hAnsiTheme="minorHAnsi" w:cstheme="minorHAnsi"/>
          <w:color w:val="222222"/>
          <w:shd w:val="clear" w:color="auto" w:fill="FFFFFF"/>
        </w:rPr>
      </w:pPr>
      <w:r w:rsidRPr="004607A7">
        <w:rPr>
          <w:rFonts w:asciiTheme="minorHAnsi" w:hAnsiTheme="minorHAnsi" w:cstheme="minorHAnsi"/>
          <w:color w:val="222222"/>
          <w:shd w:val="clear" w:color="auto" w:fill="FFFFFF"/>
        </w:rPr>
        <w:t>Edwards, I. (2004). An ambiguous participant: The crime victim and criminal justice decision-making. </w:t>
      </w:r>
      <w:r w:rsidRPr="004607A7">
        <w:rPr>
          <w:rFonts w:asciiTheme="minorHAnsi" w:hAnsiTheme="minorHAnsi" w:cstheme="minorHAnsi"/>
          <w:i/>
          <w:iCs/>
          <w:color w:val="222222"/>
          <w:shd w:val="clear" w:color="auto" w:fill="FFFFFF"/>
        </w:rPr>
        <w:t>British Journal of Criminology</w:t>
      </w:r>
      <w:r w:rsidRPr="004607A7">
        <w:rPr>
          <w:rFonts w:asciiTheme="minorHAnsi" w:hAnsiTheme="minorHAnsi" w:cstheme="minorHAnsi"/>
          <w:color w:val="222222"/>
          <w:shd w:val="clear" w:color="auto" w:fill="FFFFFF"/>
        </w:rPr>
        <w:t>, </w:t>
      </w:r>
      <w:r w:rsidRPr="004607A7">
        <w:rPr>
          <w:rFonts w:asciiTheme="minorHAnsi" w:hAnsiTheme="minorHAnsi" w:cstheme="minorHAnsi"/>
          <w:i/>
          <w:iCs/>
          <w:color w:val="222222"/>
          <w:shd w:val="clear" w:color="auto" w:fill="FFFFFF"/>
        </w:rPr>
        <w:t>44</w:t>
      </w:r>
      <w:r w:rsidRPr="004607A7">
        <w:rPr>
          <w:rFonts w:asciiTheme="minorHAnsi" w:hAnsiTheme="minorHAnsi" w:cstheme="minorHAnsi"/>
          <w:color w:val="222222"/>
          <w:shd w:val="clear" w:color="auto" w:fill="FFFFFF"/>
        </w:rPr>
        <w:t>(6), 967-982.</w:t>
      </w:r>
    </w:p>
    <w:p w14:paraId="35C0E8D5" w14:textId="77777777" w:rsidR="00B86C87" w:rsidRPr="004607A7" w:rsidRDefault="00B86C87" w:rsidP="00403FCB">
      <w:pPr>
        <w:spacing w:before="240" w:after="120" w:line="360" w:lineRule="auto"/>
        <w:contextualSpacing/>
        <w:mirrorIndents/>
        <w:jc w:val="both"/>
        <w:rPr>
          <w:rFonts w:asciiTheme="minorHAnsi" w:hAnsiTheme="minorHAnsi" w:cstheme="minorHAnsi"/>
          <w:color w:val="222222"/>
          <w:shd w:val="clear" w:color="auto" w:fill="FFFFFF"/>
        </w:rPr>
      </w:pPr>
    </w:p>
    <w:p w14:paraId="5E646596" w14:textId="56C76728" w:rsidR="00DF0D5C" w:rsidRPr="004607A7" w:rsidRDefault="00DF0D5C" w:rsidP="00403FCB">
      <w:pPr>
        <w:spacing w:before="240" w:after="120" w:line="360" w:lineRule="auto"/>
        <w:contextualSpacing/>
        <w:mirrorIndents/>
        <w:jc w:val="both"/>
        <w:rPr>
          <w:rFonts w:asciiTheme="minorHAnsi" w:hAnsiTheme="minorHAnsi" w:cstheme="minorHAnsi"/>
          <w:color w:val="222222"/>
          <w:shd w:val="clear" w:color="auto" w:fill="FFFFFF"/>
        </w:rPr>
      </w:pPr>
      <w:proofErr w:type="spellStart"/>
      <w:r w:rsidRPr="004607A7">
        <w:rPr>
          <w:rFonts w:asciiTheme="minorHAnsi" w:hAnsiTheme="minorHAnsi" w:cstheme="minorHAnsi"/>
          <w:color w:val="222222"/>
          <w:shd w:val="clear" w:color="auto" w:fill="FFFFFF"/>
        </w:rPr>
        <w:t>Forbat</w:t>
      </w:r>
      <w:proofErr w:type="spellEnd"/>
      <w:r w:rsidRPr="004607A7">
        <w:rPr>
          <w:rFonts w:asciiTheme="minorHAnsi" w:hAnsiTheme="minorHAnsi" w:cstheme="minorHAnsi"/>
          <w:color w:val="222222"/>
          <w:shd w:val="clear" w:color="auto" w:fill="FFFFFF"/>
        </w:rPr>
        <w:t>, L., Hubbard, G., &amp; Kearney, N. (2009). Patient and public involvement: models and muddles. </w:t>
      </w:r>
      <w:r w:rsidRPr="004607A7">
        <w:rPr>
          <w:rFonts w:asciiTheme="minorHAnsi" w:hAnsiTheme="minorHAnsi" w:cstheme="minorHAnsi"/>
          <w:i/>
          <w:iCs/>
          <w:color w:val="222222"/>
          <w:shd w:val="clear" w:color="auto" w:fill="FFFFFF"/>
        </w:rPr>
        <w:t>Journal of clinical nursing</w:t>
      </w:r>
      <w:r w:rsidRPr="004607A7">
        <w:rPr>
          <w:rFonts w:asciiTheme="minorHAnsi" w:hAnsiTheme="minorHAnsi" w:cstheme="minorHAnsi"/>
          <w:color w:val="222222"/>
          <w:shd w:val="clear" w:color="auto" w:fill="FFFFFF"/>
        </w:rPr>
        <w:t>, </w:t>
      </w:r>
      <w:r w:rsidRPr="004607A7">
        <w:rPr>
          <w:rFonts w:asciiTheme="minorHAnsi" w:hAnsiTheme="minorHAnsi" w:cstheme="minorHAnsi"/>
          <w:i/>
          <w:iCs/>
          <w:color w:val="222222"/>
          <w:shd w:val="clear" w:color="auto" w:fill="FFFFFF"/>
        </w:rPr>
        <w:t>18</w:t>
      </w:r>
      <w:r w:rsidRPr="004607A7">
        <w:rPr>
          <w:rFonts w:asciiTheme="minorHAnsi" w:hAnsiTheme="minorHAnsi" w:cstheme="minorHAnsi"/>
          <w:color w:val="222222"/>
          <w:shd w:val="clear" w:color="auto" w:fill="FFFFFF"/>
        </w:rPr>
        <w:t>(18), 2547-2554.</w:t>
      </w:r>
    </w:p>
    <w:p w14:paraId="037ABC8B" w14:textId="77777777" w:rsidR="006F7F48" w:rsidRPr="004607A7" w:rsidRDefault="006F7F48" w:rsidP="00403FCB">
      <w:pPr>
        <w:spacing w:before="240" w:after="120" w:line="360" w:lineRule="auto"/>
        <w:contextualSpacing/>
        <w:mirrorIndents/>
        <w:jc w:val="both"/>
        <w:rPr>
          <w:rFonts w:asciiTheme="minorHAnsi" w:hAnsiTheme="minorHAnsi" w:cstheme="minorHAnsi"/>
        </w:rPr>
      </w:pPr>
    </w:p>
    <w:p w14:paraId="04BD0916" w14:textId="098618C8" w:rsidR="00EC2C2A" w:rsidRPr="004607A7" w:rsidRDefault="00EC2C2A" w:rsidP="00403FCB">
      <w:pPr>
        <w:spacing w:before="240" w:after="120" w:line="360" w:lineRule="auto"/>
        <w:contextualSpacing/>
        <w:mirrorIndents/>
        <w:jc w:val="both"/>
        <w:rPr>
          <w:rFonts w:asciiTheme="minorHAnsi" w:hAnsiTheme="minorHAnsi" w:cstheme="minorHAnsi"/>
          <w:color w:val="222222"/>
          <w:shd w:val="clear" w:color="auto" w:fill="FFFFFF"/>
        </w:rPr>
      </w:pPr>
      <w:r w:rsidRPr="004607A7">
        <w:rPr>
          <w:rFonts w:asciiTheme="minorHAnsi" w:hAnsiTheme="minorHAnsi" w:cstheme="minorHAnsi"/>
          <w:color w:val="222222"/>
          <w:shd w:val="clear" w:color="auto" w:fill="FFFFFF"/>
        </w:rPr>
        <w:t>Gudjonsson, G. H. (2010). Psychological vulnerabilities during police interviews. Why are they important?. </w:t>
      </w:r>
      <w:r w:rsidRPr="004607A7">
        <w:rPr>
          <w:rFonts w:asciiTheme="minorHAnsi" w:hAnsiTheme="minorHAnsi" w:cstheme="minorHAnsi"/>
          <w:i/>
          <w:iCs/>
          <w:color w:val="222222"/>
          <w:shd w:val="clear" w:color="auto" w:fill="FFFFFF"/>
        </w:rPr>
        <w:t>Legal and criminological Psychology</w:t>
      </w:r>
      <w:r w:rsidRPr="004607A7">
        <w:rPr>
          <w:rFonts w:asciiTheme="minorHAnsi" w:hAnsiTheme="minorHAnsi" w:cstheme="minorHAnsi"/>
          <w:color w:val="222222"/>
          <w:shd w:val="clear" w:color="auto" w:fill="FFFFFF"/>
        </w:rPr>
        <w:t>, </w:t>
      </w:r>
      <w:r w:rsidRPr="004607A7">
        <w:rPr>
          <w:rFonts w:asciiTheme="minorHAnsi" w:hAnsiTheme="minorHAnsi" w:cstheme="minorHAnsi"/>
          <w:i/>
          <w:iCs/>
          <w:color w:val="222222"/>
          <w:shd w:val="clear" w:color="auto" w:fill="FFFFFF"/>
        </w:rPr>
        <w:t>15</w:t>
      </w:r>
      <w:r w:rsidRPr="004607A7">
        <w:rPr>
          <w:rFonts w:asciiTheme="minorHAnsi" w:hAnsiTheme="minorHAnsi" w:cstheme="minorHAnsi"/>
          <w:color w:val="222222"/>
          <w:shd w:val="clear" w:color="auto" w:fill="FFFFFF"/>
        </w:rPr>
        <w:t>(2), 161-175.</w:t>
      </w:r>
    </w:p>
    <w:p w14:paraId="787166AD" w14:textId="77777777" w:rsidR="00EC2C2A" w:rsidRPr="004607A7" w:rsidRDefault="00EC2C2A" w:rsidP="00403FCB">
      <w:pPr>
        <w:spacing w:before="240" w:after="120" w:line="360" w:lineRule="auto"/>
        <w:contextualSpacing/>
        <w:mirrorIndents/>
        <w:jc w:val="both"/>
        <w:rPr>
          <w:rFonts w:asciiTheme="minorHAnsi" w:hAnsiTheme="minorHAnsi" w:cstheme="minorHAnsi"/>
        </w:rPr>
      </w:pPr>
    </w:p>
    <w:p w14:paraId="477DA793" w14:textId="120C80FC" w:rsidR="00EC2C2A" w:rsidRPr="004607A7" w:rsidRDefault="00EC2C2A" w:rsidP="00403FCB">
      <w:pPr>
        <w:spacing w:before="240" w:after="120" w:line="360" w:lineRule="auto"/>
        <w:contextualSpacing/>
        <w:mirrorIndents/>
        <w:jc w:val="both"/>
        <w:rPr>
          <w:rFonts w:asciiTheme="minorHAnsi" w:hAnsiTheme="minorHAnsi" w:cstheme="minorHAnsi"/>
          <w:color w:val="222222"/>
          <w:shd w:val="clear" w:color="auto" w:fill="FFFFFF"/>
        </w:rPr>
      </w:pPr>
      <w:r w:rsidRPr="004607A7">
        <w:rPr>
          <w:rFonts w:asciiTheme="minorHAnsi" w:hAnsiTheme="minorHAnsi" w:cstheme="minorHAnsi"/>
          <w:color w:val="222222"/>
          <w:shd w:val="clear" w:color="auto" w:fill="FFFFFF"/>
        </w:rPr>
        <w:t>Gudjonsson, G., &amp; Joyce, T. (2011). Interviewing adults with intellectual disabilities. </w:t>
      </w:r>
      <w:r w:rsidRPr="004607A7">
        <w:rPr>
          <w:rFonts w:asciiTheme="minorHAnsi" w:hAnsiTheme="minorHAnsi" w:cstheme="minorHAnsi"/>
          <w:i/>
          <w:iCs/>
          <w:color w:val="222222"/>
          <w:shd w:val="clear" w:color="auto" w:fill="FFFFFF"/>
        </w:rPr>
        <w:t>Advances in Mental Health and Intellectual Disabilities</w:t>
      </w:r>
      <w:r w:rsidRPr="004607A7">
        <w:rPr>
          <w:rFonts w:asciiTheme="minorHAnsi" w:hAnsiTheme="minorHAnsi" w:cstheme="minorHAnsi"/>
          <w:color w:val="222222"/>
          <w:shd w:val="clear" w:color="auto" w:fill="FFFFFF"/>
        </w:rPr>
        <w:t>.</w:t>
      </w:r>
    </w:p>
    <w:p w14:paraId="3BF0702F" w14:textId="77777777" w:rsidR="00EC2C2A" w:rsidRPr="004607A7" w:rsidRDefault="00EC2C2A" w:rsidP="00403FCB">
      <w:pPr>
        <w:spacing w:before="240" w:after="120" w:line="360" w:lineRule="auto"/>
        <w:contextualSpacing/>
        <w:mirrorIndents/>
        <w:jc w:val="both"/>
        <w:rPr>
          <w:rFonts w:asciiTheme="minorHAnsi" w:hAnsiTheme="minorHAnsi" w:cstheme="minorHAnsi"/>
        </w:rPr>
      </w:pPr>
    </w:p>
    <w:p w14:paraId="6A347944" w14:textId="28D4E1E5" w:rsidR="009645CC" w:rsidRPr="00A018F8" w:rsidRDefault="00FA60D4" w:rsidP="00403FCB">
      <w:pPr>
        <w:spacing w:before="240" w:after="120" w:line="360" w:lineRule="auto"/>
        <w:contextualSpacing/>
        <w:mirrorIndents/>
        <w:jc w:val="both"/>
        <w:rPr>
          <w:rFonts w:asciiTheme="minorHAnsi" w:hAnsiTheme="minorHAnsi" w:cstheme="minorHAnsi"/>
          <w:shd w:val="clear" w:color="auto" w:fill="FFFFFF"/>
        </w:rPr>
      </w:pPr>
      <w:r w:rsidRPr="00A018F8">
        <w:rPr>
          <w:rFonts w:asciiTheme="minorHAnsi" w:hAnsiTheme="minorHAnsi" w:cstheme="minorHAnsi"/>
          <w:shd w:val="clear" w:color="auto" w:fill="FFFFFF"/>
        </w:rPr>
        <w:t>Hanley, B., Bradburn, J. Barnes, M.</w:t>
      </w:r>
      <w:r w:rsidR="000F05C8" w:rsidRPr="00A018F8">
        <w:rPr>
          <w:rFonts w:asciiTheme="minorHAnsi" w:hAnsiTheme="minorHAnsi" w:cstheme="minorHAnsi"/>
          <w:shd w:val="clear" w:color="auto" w:fill="FFFFFF"/>
        </w:rPr>
        <w:t xml:space="preserve">, </w:t>
      </w:r>
      <w:r w:rsidRPr="00A018F8">
        <w:rPr>
          <w:rFonts w:asciiTheme="minorHAnsi" w:hAnsiTheme="minorHAnsi" w:cstheme="minorHAnsi"/>
          <w:shd w:val="clear" w:color="auto" w:fill="FFFFFF"/>
        </w:rPr>
        <w:t>Evans</w:t>
      </w:r>
      <w:r w:rsidR="000F05C8" w:rsidRPr="00A018F8">
        <w:rPr>
          <w:rFonts w:asciiTheme="minorHAnsi" w:hAnsiTheme="minorHAnsi" w:cstheme="minorHAnsi"/>
          <w:shd w:val="clear" w:color="auto" w:fill="FFFFFF"/>
        </w:rPr>
        <w:t xml:space="preserve">, C., </w:t>
      </w:r>
      <w:proofErr w:type="spellStart"/>
      <w:r w:rsidRPr="00A018F8">
        <w:rPr>
          <w:rFonts w:asciiTheme="minorHAnsi" w:hAnsiTheme="minorHAnsi" w:cstheme="minorHAnsi"/>
          <w:shd w:val="clear" w:color="auto" w:fill="FFFFFF"/>
        </w:rPr>
        <w:t>Goodare</w:t>
      </w:r>
      <w:proofErr w:type="spellEnd"/>
      <w:r w:rsidR="000F05C8" w:rsidRPr="00A018F8">
        <w:rPr>
          <w:rFonts w:asciiTheme="minorHAnsi" w:hAnsiTheme="minorHAnsi" w:cstheme="minorHAnsi"/>
          <w:shd w:val="clear" w:color="auto" w:fill="FFFFFF"/>
        </w:rPr>
        <w:t xml:space="preserve">, H., </w:t>
      </w:r>
      <w:r w:rsidRPr="00A018F8">
        <w:rPr>
          <w:rFonts w:asciiTheme="minorHAnsi" w:hAnsiTheme="minorHAnsi" w:cstheme="minorHAnsi"/>
          <w:shd w:val="clear" w:color="auto" w:fill="FFFFFF"/>
        </w:rPr>
        <w:t>Kelson</w:t>
      </w:r>
      <w:r w:rsidR="000F05C8" w:rsidRPr="00A018F8">
        <w:rPr>
          <w:rFonts w:asciiTheme="minorHAnsi" w:hAnsiTheme="minorHAnsi" w:cstheme="minorHAnsi"/>
          <w:shd w:val="clear" w:color="auto" w:fill="FFFFFF"/>
        </w:rPr>
        <w:t xml:space="preserve">, M., </w:t>
      </w:r>
      <w:r w:rsidRPr="00A018F8">
        <w:rPr>
          <w:rFonts w:asciiTheme="minorHAnsi" w:hAnsiTheme="minorHAnsi" w:cstheme="minorHAnsi"/>
          <w:shd w:val="clear" w:color="auto" w:fill="FFFFFF"/>
        </w:rPr>
        <w:t>Kent</w:t>
      </w:r>
      <w:r w:rsidR="000F05C8" w:rsidRPr="00A018F8">
        <w:rPr>
          <w:rFonts w:asciiTheme="minorHAnsi" w:hAnsiTheme="minorHAnsi" w:cstheme="minorHAnsi"/>
          <w:shd w:val="clear" w:color="auto" w:fill="FFFFFF"/>
        </w:rPr>
        <w:t xml:space="preserve">, A., </w:t>
      </w:r>
      <w:r w:rsidRPr="00A018F8">
        <w:rPr>
          <w:rFonts w:asciiTheme="minorHAnsi" w:hAnsiTheme="minorHAnsi" w:cstheme="minorHAnsi"/>
          <w:shd w:val="clear" w:color="auto" w:fill="FFFFFF"/>
        </w:rPr>
        <w:t>Oliver</w:t>
      </w:r>
      <w:r w:rsidR="000F05C8" w:rsidRPr="00A018F8">
        <w:rPr>
          <w:rFonts w:asciiTheme="minorHAnsi" w:hAnsiTheme="minorHAnsi" w:cstheme="minorHAnsi"/>
          <w:shd w:val="clear" w:color="auto" w:fill="FFFFFF"/>
        </w:rPr>
        <w:t xml:space="preserve">, S., </w:t>
      </w:r>
      <w:r w:rsidRPr="00A018F8">
        <w:rPr>
          <w:rFonts w:asciiTheme="minorHAnsi" w:hAnsiTheme="minorHAnsi" w:cstheme="minorHAnsi"/>
          <w:shd w:val="clear" w:color="auto" w:fill="FFFFFF"/>
        </w:rPr>
        <w:t>Thomas</w:t>
      </w:r>
      <w:r w:rsidR="000F05C8" w:rsidRPr="00A018F8">
        <w:rPr>
          <w:rFonts w:asciiTheme="minorHAnsi" w:hAnsiTheme="minorHAnsi" w:cstheme="minorHAnsi"/>
          <w:shd w:val="clear" w:color="auto" w:fill="FFFFFF"/>
        </w:rPr>
        <w:t xml:space="preserve">, S. </w:t>
      </w:r>
      <w:proofErr w:type="spellStart"/>
      <w:r w:rsidRPr="00A018F8">
        <w:rPr>
          <w:rFonts w:asciiTheme="minorHAnsi" w:hAnsiTheme="minorHAnsi" w:cstheme="minorHAnsi"/>
          <w:shd w:val="clear" w:color="auto" w:fill="FFFFFF"/>
        </w:rPr>
        <w:t>Wallcraft</w:t>
      </w:r>
      <w:proofErr w:type="spellEnd"/>
      <w:r w:rsidR="008A3DB6" w:rsidRPr="00A018F8">
        <w:rPr>
          <w:rFonts w:asciiTheme="minorHAnsi" w:hAnsiTheme="minorHAnsi" w:cstheme="minorHAnsi"/>
          <w:shd w:val="clear" w:color="auto" w:fill="FFFFFF"/>
        </w:rPr>
        <w:t xml:space="preserve">, J. (2004) </w:t>
      </w:r>
      <w:r w:rsidR="009645CC" w:rsidRPr="00A018F8">
        <w:rPr>
          <w:rFonts w:asciiTheme="minorHAnsi" w:hAnsiTheme="minorHAnsi" w:cstheme="minorHAnsi"/>
          <w:shd w:val="clear" w:color="auto" w:fill="FFFFFF"/>
        </w:rPr>
        <w:t>Involving the public in NHS, public health, and social</w:t>
      </w:r>
    </w:p>
    <w:p w14:paraId="7C2A9FD1" w14:textId="00B9DF75" w:rsidR="006F7F48" w:rsidRPr="004607A7" w:rsidRDefault="009645CC" w:rsidP="00403FCB">
      <w:pPr>
        <w:spacing w:before="240" w:after="120" w:line="360" w:lineRule="auto"/>
        <w:contextualSpacing/>
        <w:mirrorIndents/>
        <w:jc w:val="both"/>
        <w:rPr>
          <w:rFonts w:asciiTheme="minorHAnsi" w:hAnsiTheme="minorHAnsi" w:cstheme="minorHAnsi"/>
          <w:color w:val="222222"/>
          <w:shd w:val="clear" w:color="auto" w:fill="FFFFFF"/>
        </w:rPr>
      </w:pPr>
      <w:r w:rsidRPr="00A018F8">
        <w:rPr>
          <w:rFonts w:asciiTheme="minorHAnsi" w:hAnsiTheme="minorHAnsi" w:cstheme="minorHAnsi"/>
          <w:shd w:val="clear" w:color="auto" w:fill="FFFFFF"/>
        </w:rPr>
        <w:t>care research</w:t>
      </w:r>
      <w:r w:rsidR="00BD6CF7" w:rsidRPr="00A018F8">
        <w:rPr>
          <w:rFonts w:asciiTheme="minorHAnsi" w:hAnsiTheme="minorHAnsi" w:cstheme="minorHAnsi"/>
          <w:shd w:val="clear" w:color="auto" w:fill="FFFFFF"/>
        </w:rPr>
        <w:t xml:space="preserve"> (2</w:t>
      </w:r>
      <w:r w:rsidR="00BD6CF7" w:rsidRPr="00A018F8">
        <w:rPr>
          <w:rFonts w:asciiTheme="minorHAnsi" w:hAnsiTheme="minorHAnsi" w:cstheme="minorHAnsi"/>
          <w:shd w:val="clear" w:color="auto" w:fill="FFFFFF"/>
          <w:vertAlign w:val="superscript"/>
        </w:rPr>
        <w:t>nd</w:t>
      </w:r>
      <w:r w:rsidR="00BD6CF7" w:rsidRPr="00A018F8">
        <w:rPr>
          <w:rFonts w:asciiTheme="minorHAnsi" w:hAnsiTheme="minorHAnsi" w:cstheme="minorHAnsi"/>
          <w:shd w:val="clear" w:color="auto" w:fill="FFFFFF"/>
        </w:rPr>
        <w:t xml:space="preserve"> Ed)</w:t>
      </w:r>
      <w:r w:rsidRPr="00A018F8">
        <w:rPr>
          <w:rFonts w:asciiTheme="minorHAnsi" w:hAnsiTheme="minorHAnsi" w:cstheme="minorHAnsi"/>
          <w:shd w:val="clear" w:color="auto" w:fill="FFFFFF"/>
        </w:rPr>
        <w:t>.</w:t>
      </w:r>
      <w:r w:rsidR="00A018F8">
        <w:rPr>
          <w:rFonts w:asciiTheme="minorHAnsi" w:hAnsiTheme="minorHAnsi" w:cstheme="minorHAnsi"/>
          <w:shd w:val="clear" w:color="auto" w:fill="FFFFFF"/>
        </w:rPr>
        <w:t xml:space="preserve"> </w:t>
      </w:r>
      <w:r w:rsidR="00895D0D" w:rsidRPr="00A018F8">
        <w:rPr>
          <w:rFonts w:asciiTheme="minorHAnsi" w:hAnsiTheme="minorHAnsi" w:cstheme="minorHAnsi"/>
          <w:shd w:val="clear" w:color="auto" w:fill="FFFFFF"/>
        </w:rPr>
        <w:t>INVOLVE Support Unit</w:t>
      </w:r>
      <w:r w:rsidR="00A018F8" w:rsidRPr="00A018F8">
        <w:rPr>
          <w:rFonts w:asciiTheme="minorHAnsi" w:hAnsiTheme="minorHAnsi" w:cstheme="minorHAnsi"/>
          <w:shd w:val="clear" w:color="auto" w:fill="FFFFFF"/>
        </w:rPr>
        <w:t>: Hampshire.</w:t>
      </w:r>
    </w:p>
    <w:p w14:paraId="30DD14CA" w14:textId="1A78793C" w:rsidR="006F7F48" w:rsidRPr="004607A7" w:rsidRDefault="00A74DDB" w:rsidP="00403FCB">
      <w:pPr>
        <w:spacing w:before="240" w:after="120" w:line="360" w:lineRule="auto"/>
        <w:contextualSpacing/>
        <w:mirrorIndents/>
        <w:jc w:val="both"/>
        <w:rPr>
          <w:rFonts w:asciiTheme="minorHAnsi" w:hAnsiTheme="minorHAnsi" w:cstheme="minorHAnsi"/>
          <w:color w:val="222222"/>
          <w:shd w:val="clear" w:color="auto" w:fill="FFFFFF"/>
        </w:rPr>
      </w:pPr>
      <w:r w:rsidRPr="004607A7">
        <w:rPr>
          <w:rFonts w:asciiTheme="minorHAnsi" w:hAnsiTheme="minorHAnsi" w:cstheme="minorHAnsi"/>
          <w:color w:val="222222"/>
          <w:shd w:val="clear" w:color="auto" w:fill="FFFFFF"/>
        </w:rPr>
        <w:t>Herrington, V., &amp; Roberts, K. (2012). Addressing psychological vulnerability in the police suspect interview. </w:t>
      </w:r>
      <w:r w:rsidRPr="004607A7">
        <w:rPr>
          <w:rFonts w:asciiTheme="minorHAnsi" w:hAnsiTheme="minorHAnsi" w:cstheme="minorHAnsi"/>
          <w:i/>
          <w:iCs/>
          <w:color w:val="222222"/>
          <w:shd w:val="clear" w:color="auto" w:fill="FFFFFF"/>
        </w:rPr>
        <w:t>Policing: A Journal of Policy and Practice</w:t>
      </w:r>
      <w:r w:rsidRPr="004607A7">
        <w:rPr>
          <w:rFonts w:asciiTheme="minorHAnsi" w:hAnsiTheme="minorHAnsi" w:cstheme="minorHAnsi"/>
          <w:color w:val="222222"/>
          <w:shd w:val="clear" w:color="auto" w:fill="FFFFFF"/>
        </w:rPr>
        <w:t>, </w:t>
      </w:r>
      <w:r w:rsidRPr="004607A7">
        <w:rPr>
          <w:rFonts w:asciiTheme="minorHAnsi" w:hAnsiTheme="minorHAnsi" w:cstheme="minorHAnsi"/>
          <w:i/>
          <w:iCs/>
          <w:color w:val="222222"/>
          <w:shd w:val="clear" w:color="auto" w:fill="FFFFFF"/>
        </w:rPr>
        <w:t>6</w:t>
      </w:r>
      <w:r w:rsidRPr="004607A7">
        <w:rPr>
          <w:rFonts w:asciiTheme="minorHAnsi" w:hAnsiTheme="minorHAnsi" w:cstheme="minorHAnsi"/>
          <w:color w:val="222222"/>
          <w:shd w:val="clear" w:color="auto" w:fill="FFFFFF"/>
        </w:rPr>
        <w:t>(2), 177-186.</w:t>
      </w:r>
    </w:p>
    <w:p w14:paraId="1ACFABE5" w14:textId="77777777" w:rsidR="00A74DDB" w:rsidRPr="004607A7" w:rsidRDefault="00A74DDB" w:rsidP="00403FCB">
      <w:pPr>
        <w:spacing w:before="240" w:after="120" w:line="360" w:lineRule="auto"/>
        <w:contextualSpacing/>
        <w:mirrorIndents/>
        <w:jc w:val="both"/>
        <w:rPr>
          <w:rFonts w:asciiTheme="minorHAnsi" w:hAnsiTheme="minorHAnsi" w:cstheme="minorHAnsi"/>
          <w:color w:val="222222"/>
          <w:shd w:val="clear" w:color="auto" w:fill="FFFFFF"/>
        </w:rPr>
      </w:pPr>
    </w:p>
    <w:p w14:paraId="6A2E1481" w14:textId="7B322452" w:rsidR="006128DD" w:rsidRPr="004607A7" w:rsidRDefault="006128DD" w:rsidP="00403FCB">
      <w:pPr>
        <w:spacing w:before="240" w:after="120" w:line="360" w:lineRule="auto"/>
        <w:contextualSpacing/>
        <w:mirrorIndents/>
        <w:jc w:val="both"/>
        <w:rPr>
          <w:rFonts w:asciiTheme="minorHAnsi" w:hAnsiTheme="minorHAnsi" w:cstheme="minorHAnsi"/>
          <w:color w:val="222222"/>
          <w:shd w:val="clear" w:color="auto" w:fill="FFFFFF"/>
        </w:rPr>
      </w:pPr>
      <w:proofErr w:type="spellStart"/>
      <w:r w:rsidRPr="004607A7">
        <w:rPr>
          <w:rFonts w:asciiTheme="minorHAnsi" w:hAnsiTheme="minorHAnsi" w:cstheme="minorHAnsi"/>
          <w:color w:val="222222"/>
          <w:shd w:val="clear" w:color="auto" w:fill="FFFFFF"/>
        </w:rPr>
        <w:t>Hellenbach</w:t>
      </w:r>
      <w:proofErr w:type="spellEnd"/>
      <w:r w:rsidRPr="004607A7">
        <w:rPr>
          <w:rFonts w:asciiTheme="minorHAnsi" w:hAnsiTheme="minorHAnsi" w:cstheme="minorHAnsi"/>
          <w:color w:val="222222"/>
          <w:shd w:val="clear" w:color="auto" w:fill="FFFFFF"/>
        </w:rPr>
        <w:t>, M. (2012). Learning disabilities and criminal justice: custody sergeants’ perceptions of alleged offenders with learning disabilities. </w:t>
      </w:r>
      <w:r w:rsidRPr="004607A7">
        <w:rPr>
          <w:rFonts w:asciiTheme="minorHAnsi" w:hAnsiTheme="minorHAnsi" w:cstheme="minorHAnsi"/>
          <w:i/>
          <w:iCs/>
          <w:color w:val="222222"/>
          <w:shd w:val="clear" w:color="auto" w:fill="FFFFFF"/>
        </w:rPr>
        <w:t>British journal of learning disabilities</w:t>
      </w:r>
      <w:r w:rsidRPr="004607A7">
        <w:rPr>
          <w:rFonts w:asciiTheme="minorHAnsi" w:hAnsiTheme="minorHAnsi" w:cstheme="minorHAnsi"/>
          <w:color w:val="222222"/>
          <w:shd w:val="clear" w:color="auto" w:fill="FFFFFF"/>
        </w:rPr>
        <w:t>, </w:t>
      </w:r>
      <w:r w:rsidRPr="004607A7">
        <w:rPr>
          <w:rFonts w:asciiTheme="minorHAnsi" w:hAnsiTheme="minorHAnsi" w:cstheme="minorHAnsi"/>
          <w:i/>
          <w:iCs/>
          <w:color w:val="222222"/>
          <w:shd w:val="clear" w:color="auto" w:fill="FFFFFF"/>
        </w:rPr>
        <w:t>40</w:t>
      </w:r>
      <w:r w:rsidRPr="004607A7">
        <w:rPr>
          <w:rFonts w:asciiTheme="minorHAnsi" w:hAnsiTheme="minorHAnsi" w:cstheme="minorHAnsi"/>
          <w:color w:val="222222"/>
          <w:shd w:val="clear" w:color="auto" w:fill="FFFFFF"/>
        </w:rPr>
        <w:t>(1), 15-22.</w:t>
      </w:r>
    </w:p>
    <w:p w14:paraId="4DA8646F" w14:textId="5021DFE6" w:rsidR="00A74DDB" w:rsidRPr="004607A7" w:rsidRDefault="00A74DDB" w:rsidP="00403FCB">
      <w:pPr>
        <w:spacing w:before="240" w:after="120" w:line="360" w:lineRule="auto"/>
        <w:contextualSpacing/>
        <w:mirrorIndents/>
        <w:jc w:val="both"/>
        <w:rPr>
          <w:rFonts w:asciiTheme="minorHAnsi" w:hAnsiTheme="minorHAnsi" w:cstheme="minorHAnsi"/>
          <w:color w:val="222222"/>
          <w:shd w:val="clear" w:color="auto" w:fill="FFFFFF"/>
        </w:rPr>
      </w:pPr>
    </w:p>
    <w:p w14:paraId="71F62CC0" w14:textId="77777777" w:rsidR="00846B1A" w:rsidRDefault="00846B1A" w:rsidP="00403FCB">
      <w:pPr>
        <w:spacing w:before="240" w:after="120" w:line="360" w:lineRule="auto"/>
        <w:contextualSpacing/>
        <w:mirrorIndents/>
        <w:jc w:val="both"/>
        <w:rPr>
          <w:rStyle w:val="Hyperlink"/>
          <w:rFonts w:asciiTheme="minorHAnsi" w:hAnsiTheme="minorHAnsi" w:cstheme="minorHAnsi"/>
          <w:lang w:val="en-US"/>
        </w:rPr>
      </w:pPr>
      <w:r w:rsidRPr="00D6147A">
        <w:rPr>
          <w:rFonts w:asciiTheme="minorHAnsi" w:hAnsiTheme="minorHAnsi" w:cstheme="minorHAnsi"/>
          <w:lang w:val="en-US"/>
        </w:rPr>
        <w:t xml:space="preserve">HMIP (2014) Annual Report 2013-2014: Independent inspection of adult &amp; youth offending work [Online]. Available at </w:t>
      </w:r>
      <w:hyperlink r:id="rId8" w:history="1">
        <w:r w:rsidRPr="00FA490A">
          <w:rPr>
            <w:rStyle w:val="Hyperlink"/>
            <w:rFonts w:asciiTheme="minorHAnsi" w:hAnsiTheme="minorHAnsi" w:cstheme="minorHAnsi"/>
            <w:lang w:val="en-US"/>
          </w:rPr>
          <w:t>https://www.justiceinspectorates.gov.uk/hmiprobation/wp-content/uploads/sites/5/2014/06/HMI-Probation-Annual-Report-2013-2014.pdf</w:t>
        </w:r>
      </w:hyperlink>
    </w:p>
    <w:p w14:paraId="35B1A9CF" w14:textId="77777777" w:rsidR="00846B1A" w:rsidRDefault="00846B1A" w:rsidP="00403FCB">
      <w:pPr>
        <w:spacing w:before="240" w:after="120" w:line="360" w:lineRule="auto"/>
        <w:contextualSpacing/>
        <w:mirrorIndents/>
        <w:jc w:val="both"/>
        <w:rPr>
          <w:rStyle w:val="Hyperlink"/>
          <w:rFonts w:asciiTheme="minorHAnsi" w:hAnsiTheme="minorHAnsi" w:cstheme="minorHAnsi"/>
          <w:lang w:val="en-US"/>
        </w:rPr>
      </w:pPr>
    </w:p>
    <w:p w14:paraId="0AF02783" w14:textId="0C1FA961" w:rsidR="006F7F48" w:rsidRPr="00AC331D" w:rsidRDefault="00AC331D" w:rsidP="00403FCB">
      <w:pPr>
        <w:spacing w:before="240" w:after="120" w:line="360" w:lineRule="auto"/>
        <w:contextualSpacing/>
        <w:mirrorIndents/>
        <w:jc w:val="both"/>
        <w:rPr>
          <w:rFonts w:asciiTheme="minorHAnsi" w:hAnsiTheme="minorHAnsi" w:cstheme="minorHAnsi"/>
          <w:shd w:val="clear" w:color="auto" w:fill="FFFFFF"/>
        </w:rPr>
      </w:pPr>
      <w:r w:rsidRPr="00AC331D">
        <w:rPr>
          <w:rFonts w:asciiTheme="minorHAnsi" w:hAnsiTheme="minorHAnsi" w:cstheme="minorHAnsi"/>
          <w:shd w:val="clear" w:color="auto" w:fill="FFFFFF"/>
        </w:rPr>
        <w:t xml:space="preserve">Honeywell, D. (2020) The research experience from an insider perspective: In </w:t>
      </w:r>
      <w:proofErr w:type="spellStart"/>
      <w:r w:rsidRPr="00AC331D">
        <w:rPr>
          <w:rFonts w:asciiTheme="minorHAnsi" w:hAnsiTheme="minorHAnsi" w:cstheme="minorHAnsi"/>
          <w:shd w:val="clear" w:color="auto" w:fill="FFFFFF"/>
        </w:rPr>
        <w:t>Maycock</w:t>
      </w:r>
      <w:proofErr w:type="spellEnd"/>
      <w:r w:rsidRPr="00AC331D">
        <w:rPr>
          <w:rFonts w:asciiTheme="minorHAnsi" w:hAnsiTheme="minorHAnsi" w:cstheme="minorHAnsi"/>
          <w:shd w:val="clear" w:color="auto" w:fill="FFFFFF"/>
        </w:rPr>
        <w:t>, M., Meek, R., Woodall, J (Eds.) Issues and Innovations in Custodial Settings Health Research. Palgrave Macmillan, pp. 91-111.</w:t>
      </w:r>
    </w:p>
    <w:p w14:paraId="16FEC82E" w14:textId="77777777" w:rsidR="00AC331D" w:rsidRPr="004607A7" w:rsidRDefault="00AC331D" w:rsidP="00403FCB">
      <w:pPr>
        <w:spacing w:before="240" w:after="120" w:line="360" w:lineRule="auto"/>
        <w:contextualSpacing/>
        <w:mirrorIndents/>
        <w:jc w:val="both"/>
        <w:rPr>
          <w:rFonts w:asciiTheme="minorHAnsi" w:hAnsiTheme="minorHAnsi" w:cstheme="minorHAnsi"/>
        </w:rPr>
      </w:pPr>
    </w:p>
    <w:p w14:paraId="622678D8" w14:textId="1685F3B6" w:rsidR="006F7F48" w:rsidRPr="004607A7" w:rsidRDefault="00A74DDB" w:rsidP="00403FCB">
      <w:pPr>
        <w:spacing w:before="240" w:after="120" w:line="360" w:lineRule="auto"/>
        <w:contextualSpacing/>
        <w:mirrorIndents/>
        <w:jc w:val="both"/>
        <w:rPr>
          <w:rFonts w:asciiTheme="minorHAnsi" w:hAnsiTheme="minorHAnsi" w:cstheme="minorHAnsi"/>
        </w:rPr>
      </w:pPr>
      <w:r w:rsidRPr="004607A7">
        <w:rPr>
          <w:rFonts w:asciiTheme="minorHAnsi" w:hAnsiTheme="minorHAnsi" w:cstheme="minorHAnsi"/>
          <w:color w:val="222222"/>
          <w:shd w:val="clear" w:color="auto" w:fill="FFFFFF"/>
        </w:rPr>
        <w:t>Hughes, M. (2017). What difference does it make? Findings of an impact study of service user and carer involvement on social work students’ subsequent practice. </w:t>
      </w:r>
      <w:r w:rsidRPr="004607A7">
        <w:rPr>
          <w:rFonts w:asciiTheme="minorHAnsi" w:hAnsiTheme="minorHAnsi" w:cstheme="minorHAnsi"/>
          <w:i/>
          <w:iCs/>
          <w:color w:val="222222"/>
          <w:shd w:val="clear" w:color="auto" w:fill="FFFFFF"/>
        </w:rPr>
        <w:t>Social Work Education</w:t>
      </w:r>
      <w:r w:rsidRPr="004607A7">
        <w:rPr>
          <w:rFonts w:asciiTheme="minorHAnsi" w:hAnsiTheme="minorHAnsi" w:cstheme="minorHAnsi"/>
          <w:color w:val="222222"/>
          <w:shd w:val="clear" w:color="auto" w:fill="FFFFFF"/>
        </w:rPr>
        <w:t>, </w:t>
      </w:r>
      <w:r w:rsidRPr="004607A7">
        <w:rPr>
          <w:rFonts w:asciiTheme="minorHAnsi" w:hAnsiTheme="minorHAnsi" w:cstheme="minorHAnsi"/>
          <w:i/>
          <w:iCs/>
          <w:color w:val="222222"/>
          <w:shd w:val="clear" w:color="auto" w:fill="FFFFFF"/>
        </w:rPr>
        <w:t>36</w:t>
      </w:r>
      <w:r w:rsidRPr="004607A7">
        <w:rPr>
          <w:rFonts w:asciiTheme="minorHAnsi" w:hAnsiTheme="minorHAnsi" w:cstheme="minorHAnsi"/>
          <w:color w:val="222222"/>
          <w:shd w:val="clear" w:color="auto" w:fill="FFFFFF"/>
        </w:rPr>
        <w:t>(2), 203-216.</w:t>
      </w:r>
    </w:p>
    <w:p w14:paraId="734B848E" w14:textId="77777777" w:rsidR="004607A7" w:rsidRDefault="004607A7" w:rsidP="00403FCB">
      <w:pPr>
        <w:spacing w:before="240" w:after="120" w:line="360" w:lineRule="auto"/>
        <w:contextualSpacing/>
        <w:mirrorIndents/>
        <w:jc w:val="both"/>
        <w:rPr>
          <w:rFonts w:asciiTheme="minorHAnsi" w:hAnsiTheme="minorHAnsi" w:cstheme="minorHAnsi"/>
        </w:rPr>
      </w:pPr>
    </w:p>
    <w:p w14:paraId="591E8AB4" w14:textId="72B07F79" w:rsidR="00D6147A" w:rsidRPr="00D6147A" w:rsidRDefault="00846B1A" w:rsidP="00403FCB">
      <w:pPr>
        <w:spacing w:line="360" w:lineRule="auto"/>
        <w:contextualSpacing/>
        <w:mirrorIndents/>
        <w:jc w:val="both"/>
        <w:rPr>
          <w:rFonts w:asciiTheme="minorHAnsi" w:hAnsiTheme="minorHAnsi" w:cstheme="minorHAnsi"/>
          <w:lang w:val="en-US"/>
        </w:rPr>
      </w:pPr>
      <w:r w:rsidRPr="00846B1A">
        <w:rPr>
          <w:rFonts w:asciiTheme="minorHAnsi" w:hAnsiTheme="minorHAnsi" w:cstheme="minorHAnsi"/>
          <w:lang w:val="en-US"/>
        </w:rPr>
        <w:t>Human Rights Act (1998).  London: The Stationery Office.</w:t>
      </w:r>
    </w:p>
    <w:p w14:paraId="2A5D1D5B" w14:textId="77777777" w:rsidR="004607A7" w:rsidRPr="004607A7" w:rsidRDefault="004607A7" w:rsidP="00403FCB">
      <w:pPr>
        <w:spacing w:before="240" w:after="120" w:line="360" w:lineRule="auto"/>
        <w:contextualSpacing/>
        <w:mirrorIndents/>
        <w:jc w:val="both"/>
        <w:rPr>
          <w:rFonts w:asciiTheme="minorHAnsi" w:hAnsiTheme="minorHAnsi" w:cstheme="minorHAnsi"/>
        </w:rPr>
      </w:pPr>
    </w:p>
    <w:p w14:paraId="1186104F" w14:textId="77777777" w:rsidR="006E4DAC" w:rsidRPr="004607A7" w:rsidRDefault="006E4DAC" w:rsidP="00403FCB">
      <w:pPr>
        <w:spacing w:before="240" w:after="120" w:line="360" w:lineRule="auto"/>
        <w:contextualSpacing/>
        <w:mirrorIndents/>
        <w:jc w:val="both"/>
        <w:rPr>
          <w:rFonts w:asciiTheme="minorHAnsi" w:hAnsiTheme="minorHAnsi" w:cstheme="minorHAnsi"/>
          <w:color w:val="222222"/>
          <w:shd w:val="clear" w:color="auto" w:fill="FFFFFF"/>
        </w:rPr>
      </w:pPr>
      <w:r w:rsidRPr="004607A7">
        <w:rPr>
          <w:rFonts w:asciiTheme="minorHAnsi" w:hAnsiTheme="minorHAnsi" w:cstheme="minorHAnsi"/>
          <w:color w:val="222222"/>
          <w:shd w:val="clear" w:color="auto" w:fill="FFFFFF"/>
        </w:rPr>
        <w:t>Hyun, E., Hahn, L., &amp; McConnell, D. (2014). Experiences of people with learning disabilities in the criminal justice system. </w:t>
      </w:r>
      <w:r w:rsidRPr="004607A7">
        <w:rPr>
          <w:rFonts w:asciiTheme="minorHAnsi" w:hAnsiTheme="minorHAnsi" w:cstheme="minorHAnsi"/>
          <w:i/>
          <w:iCs/>
          <w:color w:val="222222"/>
          <w:shd w:val="clear" w:color="auto" w:fill="FFFFFF"/>
        </w:rPr>
        <w:t>British Journal of Learning Disabilities</w:t>
      </w:r>
      <w:r w:rsidRPr="004607A7">
        <w:rPr>
          <w:rFonts w:asciiTheme="minorHAnsi" w:hAnsiTheme="minorHAnsi" w:cstheme="minorHAnsi"/>
          <w:color w:val="222222"/>
          <w:shd w:val="clear" w:color="auto" w:fill="FFFFFF"/>
        </w:rPr>
        <w:t>, </w:t>
      </w:r>
      <w:r w:rsidRPr="004607A7">
        <w:rPr>
          <w:rFonts w:asciiTheme="minorHAnsi" w:hAnsiTheme="minorHAnsi" w:cstheme="minorHAnsi"/>
          <w:i/>
          <w:iCs/>
          <w:color w:val="222222"/>
          <w:shd w:val="clear" w:color="auto" w:fill="FFFFFF"/>
        </w:rPr>
        <w:t>42</w:t>
      </w:r>
      <w:r w:rsidRPr="004607A7">
        <w:rPr>
          <w:rFonts w:asciiTheme="minorHAnsi" w:hAnsiTheme="minorHAnsi" w:cstheme="minorHAnsi"/>
          <w:color w:val="222222"/>
          <w:shd w:val="clear" w:color="auto" w:fill="FFFFFF"/>
        </w:rPr>
        <w:t>(4), 308-314.</w:t>
      </w:r>
    </w:p>
    <w:p w14:paraId="44DC92E3" w14:textId="77777777" w:rsidR="006E4DAC" w:rsidRPr="004607A7" w:rsidRDefault="006E4DAC" w:rsidP="00403FCB">
      <w:pPr>
        <w:spacing w:before="240" w:after="120" w:line="360" w:lineRule="auto"/>
        <w:contextualSpacing/>
        <w:mirrorIndents/>
        <w:jc w:val="both"/>
        <w:rPr>
          <w:rFonts w:asciiTheme="minorHAnsi" w:hAnsiTheme="minorHAnsi" w:cstheme="minorHAnsi"/>
          <w:color w:val="222222"/>
          <w:shd w:val="clear" w:color="auto" w:fill="FFFFFF"/>
        </w:rPr>
      </w:pPr>
    </w:p>
    <w:p w14:paraId="43D484B9" w14:textId="77777777" w:rsidR="006E4DAC" w:rsidRPr="004607A7" w:rsidRDefault="006E4DAC" w:rsidP="00403FCB">
      <w:pPr>
        <w:spacing w:before="240" w:after="120" w:line="360" w:lineRule="auto"/>
        <w:contextualSpacing/>
        <w:mirrorIndents/>
        <w:jc w:val="both"/>
        <w:rPr>
          <w:rFonts w:asciiTheme="minorHAnsi" w:hAnsiTheme="minorHAnsi" w:cstheme="minorHAnsi"/>
          <w:color w:val="222222"/>
          <w:shd w:val="clear" w:color="auto" w:fill="FFFFFF"/>
        </w:rPr>
      </w:pPr>
      <w:proofErr w:type="spellStart"/>
      <w:r w:rsidRPr="004607A7">
        <w:rPr>
          <w:rFonts w:asciiTheme="minorHAnsi" w:hAnsiTheme="minorHAnsi" w:cstheme="minorHAnsi"/>
          <w:color w:val="222222"/>
          <w:shd w:val="clear" w:color="auto" w:fill="FFFFFF"/>
        </w:rPr>
        <w:t>Jessiman</w:t>
      </w:r>
      <w:proofErr w:type="spellEnd"/>
      <w:r w:rsidRPr="004607A7">
        <w:rPr>
          <w:rFonts w:asciiTheme="minorHAnsi" w:hAnsiTheme="minorHAnsi" w:cstheme="minorHAnsi"/>
          <w:color w:val="222222"/>
          <w:shd w:val="clear" w:color="auto" w:fill="FFFFFF"/>
        </w:rPr>
        <w:t>, T., &amp; Cameron, A. (2017). The role of the appropriate adult in supporting vulnerable adults in custody: Comparing the perspectives of service users and service providers. </w:t>
      </w:r>
      <w:r w:rsidRPr="004607A7">
        <w:rPr>
          <w:rFonts w:asciiTheme="minorHAnsi" w:hAnsiTheme="minorHAnsi" w:cstheme="minorHAnsi"/>
          <w:i/>
          <w:iCs/>
          <w:color w:val="222222"/>
          <w:shd w:val="clear" w:color="auto" w:fill="FFFFFF"/>
        </w:rPr>
        <w:t>British Journal of Learning Disabilities</w:t>
      </w:r>
      <w:r w:rsidRPr="004607A7">
        <w:rPr>
          <w:rFonts w:asciiTheme="minorHAnsi" w:hAnsiTheme="minorHAnsi" w:cstheme="minorHAnsi"/>
          <w:color w:val="222222"/>
          <w:shd w:val="clear" w:color="auto" w:fill="FFFFFF"/>
        </w:rPr>
        <w:t>, </w:t>
      </w:r>
      <w:r w:rsidRPr="004607A7">
        <w:rPr>
          <w:rFonts w:asciiTheme="minorHAnsi" w:hAnsiTheme="minorHAnsi" w:cstheme="minorHAnsi"/>
          <w:i/>
          <w:iCs/>
          <w:color w:val="222222"/>
          <w:shd w:val="clear" w:color="auto" w:fill="FFFFFF"/>
        </w:rPr>
        <w:t>45</w:t>
      </w:r>
      <w:r w:rsidRPr="004607A7">
        <w:rPr>
          <w:rFonts w:asciiTheme="minorHAnsi" w:hAnsiTheme="minorHAnsi" w:cstheme="minorHAnsi"/>
          <w:color w:val="222222"/>
          <w:shd w:val="clear" w:color="auto" w:fill="FFFFFF"/>
        </w:rPr>
        <w:t>(4), 246-252.</w:t>
      </w:r>
    </w:p>
    <w:p w14:paraId="4944B408" w14:textId="6BBB61D5" w:rsidR="007C5E0B" w:rsidRPr="004607A7" w:rsidRDefault="007C5E0B" w:rsidP="00403FCB">
      <w:pPr>
        <w:spacing w:before="240" w:after="120" w:line="360" w:lineRule="auto"/>
        <w:contextualSpacing/>
        <w:mirrorIndents/>
        <w:jc w:val="both"/>
        <w:rPr>
          <w:rFonts w:asciiTheme="minorHAnsi" w:hAnsiTheme="minorHAnsi" w:cstheme="minorHAnsi"/>
        </w:rPr>
      </w:pPr>
    </w:p>
    <w:p w14:paraId="0EA51ACC" w14:textId="09BFA589" w:rsidR="007C5E0B" w:rsidRPr="004607A7" w:rsidRDefault="007C5E0B" w:rsidP="00403FCB">
      <w:pPr>
        <w:spacing w:before="240" w:after="120" w:line="360" w:lineRule="auto"/>
        <w:contextualSpacing/>
        <w:mirrorIndents/>
        <w:jc w:val="both"/>
        <w:rPr>
          <w:rFonts w:asciiTheme="minorHAnsi" w:hAnsiTheme="minorHAnsi" w:cstheme="minorHAnsi"/>
          <w:color w:val="222222"/>
          <w:shd w:val="clear" w:color="auto" w:fill="FFFFFF"/>
        </w:rPr>
      </w:pPr>
      <w:r w:rsidRPr="004607A7">
        <w:rPr>
          <w:rFonts w:asciiTheme="minorHAnsi" w:hAnsiTheme="minorHAnsi" w:cstheme="minorHAnsi"/>
          <w:color w:val="222222"/>
          <w:shd w:val="clear" w:color="auto" w:fill="FFFFFF"/>
        </w:rPr>
        <w:t xml:space="preserve">Little, R. (2015). Participation and practice in youth justice </w:t>
      </w:r>
      <w:r w:rsidR="004607A7" w:rsidRPr="004607A7">
        <w:rPr>
          <w:rFonts w:asciiTheme="minorHAnsi" w:hAnsiTheme="minorHAnsi" w:cstheme="minorHAnsi"/>
        </w:rPr>
        <w:t xml:space="preserve">[Online] Available at  </w:t>
      </w:r>
      <w:hyperlink r:id="rId9" w:anchor="page=16" w:history="1">
        <w:r w:rsidRPr="004607A7">
          <w:rPr>
            <w:rStyle w:val="Hyperlink"/>
            <w:rFonts w:asciiTheme="minorHAnsi" w:hAnsiTheme="minorHAnsi" w:cstheme="minorHAnsi"/>
            <w:shd w:val="clear" w:color="auto" w:fill="FFFFFF"/>
          </w:rPr>
          <w:t>https://howardleague.org/wp-content/uploads/2016/09/ECAN-bulletin-24.pdf#page=16</w:t>
        </w:r>
      </w:hyperlink>
      <w:r w:rsidRPr="004607A7">
        <w:rPr>
          <w:rFonts w:asciiTheme="minorHAnsi" w:hAnsiTheme="minorHAnsi" w:cstheme="minorHAnsi"/>
          <w:color w:val="222222"/>
          <w:shd w:val="clear" w:color="auto" w:fill="FFFFFF"/>
        </w:rPr>
        <w:t xml:space="preserve"> </w:t>
      </w:r>
    </w:p>
    <w:p w14:paraId="3456CC7E" w14:textId="00EFD0E0" w:rsidR="00A74DDB" w:rsidRPr="00202BA1" w:rsidRDefault="00A74DDB" w:rsidP="00403FCB">
      <w:pPr>
        <w:spacing w:before="240" w:after="120" w:line="360" w:lineRule="auto"/>
        <w:contextualSpacing/>
        <w:mirrorIndents/>
        <w:jc w:val="both"/>
        <w:rPr>
          <w:rFonts w:asciiTheme="minorHAnsi" w:hAnsiTheme="minorHAnsi" w:cstheme="minorHAnsi"/>
          <w:shd w:val="clear" w:color="auto" w:fill="FFFFFF"/>
        </w:rPr>
      </w:pPr>
    </w:p>
    <w:p w14:paraId="3522D9E0" w14:textId="04D5A218" w:rsidR="00A74DDB" w:rsidRPr="00202BA1" w:rsidRDefault="00202BA1" w:rsidP="00403FCB">
      <w:pPr>
        <w:spacing w:before="240" w:after="120" w:line="360" w:lineRule="auto"/>
        <w:contextualSpacing/>
        <w:mirrorIndents/>
        <w:jc w:val="both"/>
        <w:rPr>
          <w:rFonts w:asciiTheme="minorHAnsi" w:hAnsiTheme="minorHAnsi" w:cstheme="minorHAnsi"/>
          <w:bCs/>
          <w:lang w:bidi="en-US"/>
        </w:rPr>
      </w:pPr>
      <w:r w:rsidRPr="00202BA1">
        <w:rPr>
          <w:rFonts w:asciiTheme="minorHAnsi" w:hAnsiTheme="minorHAnsi" w:cstheme="minorHAnsi"/>
          <w:bCs/>
          <w:lang w:bidi="en-US"/>
        </w:rPr>
        <w:t>Macdonald, S.J. &amp; Taylor-</w:t>
      </w:r>
      <w:proofErr w:type="spellStart"/>
      <w:r w:rsidRPr="00202BA1">
        <w:rPr>
          <w:rFonts w:asciiTheme="minorHAnsi" w:hAnsiTheme="minorHAnsi" w:cstheme="minorHAnsi"/>
          <w:bCs/>
          <w:lang w:bidi="en-US"/>
        </w:rPr>
        <w:t>Gooby</w:t>
      </w:r>
      <w:proofErr w:type="spellEnd"/>
      <w:r w:rsidRPr="00202BA1">
        <w:rPr>
          <w:rFonts w:asciiTheme="minorHAnsi" w:hAnsiTheme="minorHAnsi" w:cstheme="minorHAnsi"/>
          <w:bCs/>
          <w:lang w:bidi="en-US"/>
        </w:rPr>
        <w:t>, D. (2014) ‘Patient Zero’: A Critical Investigation into the Concept of Public and Patient ‘Involvement’ in the NHS? SOCIAL WORK AND SOCIAL SCIENCES REVIEW. 17 (1), pp. 88–104.</w:t>
      </w:r>
    </w:p>
    <w:p w14:paraId="3CA99DBF" w14:textId="77777777" w:rsidR="00202BA1" w:rsidRPr="004607A7" w:rsidRDefault="00202BA1" w:rsidP="00403FCB">
      <w:pPr>
        <w:spacing w:before="240" w:after="120" w:line="360" w:lineRule="auto"/>
        <w:contextualSpacing/>
        <w:mirrorIndents/>
        <w:jc w:val="both"/>
        <w:rPr>
          <w:rFonts w:asciiTheme="minorHAnsi" w:hAnsiTheme="minorHAnsi" w:cstheme="minorHAnsi"/>
          <w:color w:val="222222"/>
          <w:shd w:val="clear" w:color="auto" w:fill="FFFFFF"/>
        </w:rPr>
      </w:pPr>
    </w:p>
    <w:p w14:paraId="0B2CBF5A" w14:textId="59FC0A45" w:rsidR="00A74DDB" w:rsidRPr="004607A7" w:rsidRDefault="00A74DDB" w:rsidP="00403FCB">
      <w:pPr>
        <w:spacing w:before="240" w:after="120" w:line="360" w:lineRule="auto"/>
        <w:contextualSpacing/>
        <w:mirrorIndents/>
        <w:jc w:val="both"/>
        <w:rPr>
          <w:rFonts w:asciiTheme="minorHAnsi" w:hAnsiTheme="minorHAnsi" w:cstheme="minorHAnsi"/>
          <w:color w:val="222222"/>
          <w:shd w:val="clear" w:color="auto" w:fill="FFFFFF"/>
        </w:rPr>
      </w:pPr>
      <w:proofErr w:type="spellStart"/>
      <w:r w:rsidRPr="004607A7">
        <w:rPr>
          <w:rFonts w:asciiTheme="minorHAnsi" w:hAnsiTheme="minorHAnsi" w:cstheme="minorHAnsi"/>
          <w:color w:val="222222"/>
          <w:shd w:val="clear" w:color="auto" w:fill="FFFFFF"/>
        </w:rPr>
        <w:t>McBarnet</w:t>
      </w:r>
      <w:proofErr w:type="spellEnd"/>
      <w:r w:rsidRPr="004607A7">
        <w:rPr>
          <w:rFonts w:asciiTheme="minorHAnsi" w:hAnsiTheme="minorHAnsi" w:cstheme="minorHAnsi"/>
          <w:color w:val="222222"/>
          <w:shd w:val="clear" w:color="auto" w:fill="FFFFFF"/>
        </w:rPr>
        <w:t xml:space="preserve">, D. (1978). The fisher report on the </w:t>
      </w:r>
      <w:proofErr w:type="spellStart"/>
      <w:r w:rsidRPr="004607A7">
        <w:rPr>
          <w:rFonts w:asciiTheme="minorHAnsi" w:hAnsiTheme="minorHAnsi" w:cstheme="minorHAnsi"/>
          <w:color w:val="222222"/>
          <w:shd w:val="clear" w:color="auto" w:fill="FFFFFF"/>
        </w:rPr>
        <w:t>confait</w:t>
      </w:r>
      <w:proofErr w:type="spellEnd"/>
      <w:r w:rsidRPr="004607A7">
        <w:rPr>
          <w:rFonts w:asciiTheme="minorHAnsi" w:hAnsiTheme="minorHAnsi" w:cstheme="minorHAnsi"/>
          <w:color w:val="222222"/>
          <w:shd w:val="clear" w:color="auto" w:fill="FFFFFF"/>
        </w:rPr>
        <w:t xml:space="preserve"> case: Four issues. </w:t>
      </w:r>
      <w:r w:rsidRPr="004607A7">
        <w:rPr>
          <w:rFonts w:asciiTheme="minorHAnsi" w:hAnsiTheme="minorHAnsi" w:cstheme="minorHAnsi"/>
          <w:i/>
          <w:iCs/>
          <w:color w:val="222222"/>
          <w:shd w:val="clear" w:color="auto" w:fill="FFFFFF"/>
        </w:rPr>
        <w:t>The Modern Law Review</w:t>
      </w:r>
      <w:r w:rsidRPr="004607A7">
        <w:rPr>
          <w:rFonts w:asciiTheme="minorHAnsi" w:hAnsiTheme="minorHAnsi" w:cstheme="minorHAnsi"/>
          <w:color w:val="222222"/>
          <w:shd w:val="clear" w:color="auto" w:fill="FFFFFF"/>
        </w:rPr>
        <w:t>, </w:t>
      </w:r>
      <w:r w:rsidRPr="004607A7">
        <w:rPr>
          <w:rFonts w:asciiTheme="minorHAnsi" w:hAnsiTheme="minorHAnsi" w:cstheme="minorHAnsi"/>
          <w:i/>
          <w:iCs/>
          <w:color w:val="222222"/>
          <w:shd w:val="clear" w:color="auto" w:fill="FFFFFF"/>
        </w:rPr>
        <w:t>41</w:t>
      </w:r>
      <w:r w:rsidRPr="004607A7">
        <w:rPr>
          <w:rFonts w:asciiTheme="minorHAnsi" w:hAnsiTheme="minorHAnsi" w:cstheme="minorHAnsi"/>
          <w:color w:val="222222"/>
          <w:shd w:val="clear" w:color="auto" w:fill="FFFFFF"/>
        </w:rPr>
        <w:t>(4), 455-463.</w:t>
      </w:r>
    </w:p>
    <w:p w14:paraId="397766B1" w14:textId="34AB6E6C" w:rsidR="0021460B" w:rsidRPr="004607A7" w:rsidRDefault="0021460B" w:rsidP="00403FCB">
      <w:pPr>
        <w:spacing w:before="240" w:after="120" w:line="360" w:lineRule="auto"/>
        <w:contextualSpacing/>
        <w:mirrorIndents/>
        <w:jc w:val="both"/>
        <w:rPr>
          <w:rFonts w:asciiTheme="minorHAnsi" w:hAnsiTheme="minorHAnsi" w:cstheme="minorHAnsi"/>
          <w:color w:val="222222"/>
          <w:shd w:val="clear" w:color="auto" w:fill="FFFFFF"/>
        </w:rPr>
      </w:pPr>
    </w:p>
    <w:p w14:paraId="2FB7F449" w14:textId="464D477B" w:rsidR="0021460B" w:rsidRDefault="0021460B" w:rsidP="00403FCB">
      <w:pPr>
        <w:spacing w:before="240" w:after="120" w:line="360" w:lineRule="auto"/>
        <w:contextualSpacing/>
        <w:mirrorIndents/>
        <w:jc w:val="both"/>
        <w:rPr>
          <w:rFonts w:asciiTheme="minorHAnsi" w:hAnsiTheme="minorHAnsi" w:cstheme="minorHAnsi"/>
          <w:color w:val="222222"/>
          <w:shd w:val="clear" w:color="auto" w:fill="FFFFFF"/>
        </w:rPr>
      </w:pPr>
      <w:r w:rsidRPr="004607A7">
        <w:rPr>
          <w:rFonts w:asciiTheme="minorHAnsi" w:hAnsiTheme="minorHAnsi" w:cstheme="minorHAnsi"/>
          <w:color w:val="222222"/>
          <w:shd w:val="clear" w:color="auto" w:fill="FFFFFF"/>
        </w:rPr>
        <w:t>McCartan, K. F., Harris, D. A., &amp; Prescott, D. S. (2019). Seen and not heard: The service user’s experience through the justice system of individuals convicted of sexual offenses. </w:t>
      </w:r>
      <w:r w:rsidRPr="004607A7">
        <w:rPr>
          <w:rFonts w:asciiTheme="minorHAnsi" w:hAnsiTheme="minorHAnsi" w:cstheme="minorHAnsi"/>
          <w:i/>
          <w:iCs/>
          <w:color w:val="222222"/>
          <w:shd w:val="clear" w:color="auto" w:fill="FFFFFF"/>
        </w:rPr>
        <w:t>International journal of offender therapy and comparative criminology</w:t>
      </w:r>
      <w:r w:rsidRPr="004607A7">
        <w:rPr>
          <w:rFonts w:asciiTheme="minorHAnsi" w:hAnsiTheme="minorHAnsi" w:cstheme="minorHAnsi"/>
          <w:color w:val="222222"/>
          <w:shd w:val="clear" w:color="auto" w:fill="FFFFFF"/>
        </w:rPr>
        <w:t>, 0306624X19851671.</w:t>
      </w:r>
    </w:p>
    <w:p w14:paraId="1DBC1672" w14:textId="53B5E84F" w:rsidR="004560B2" w:rsidRDefault="004560B2" w:rsidP="00403FCB">
      <w:pPr>
        <w:spacing w:before="240" w:after="120" w:line="360" w:lineRule="auto"/>
        <w:contextualSpacing/>
        <w:mirrorIndents/>
        <w:jc w:val="both"/>
        <w:rPr>
          <w:rFonts w:asciiTheme="minorHAnsi" w:hAnsiTheme="minorHAnsi" w:cstheme="minorHAnsi"/>
          <w:color w:val="222222"/>
          <w:shd w:val="clear" w:color="auto" w:fill="FFFFFF"/>
        </w:rPr>
      </w:pPr>
    </w:p>
    <w:p w14:paraId="2D390A4A" w14:textId="10168963" w:rsidR="004560B2" w:rsidRDefault="004560B2" w:rsidP="00403FCB">
      <w:pPr>
        <w:spacing w:before="240" w:after="120" w:line="360" w:lineRule="auto"/>
        <w:contextualSpacing/>
        <w:mirrorIndents/>
        <w:jc w:val="both"/>
        <w:rPr>
          <w:rFonts w:asciiTheme="minorHAnsi" w:hAnsiTheme="minorHAnsi" w:cstheme="minorHAnsi"/>
          <w:color w:val="222222"/>
          <w:shd w:val="clear" w:color="auto" w:fill="FFFFFF"/>
        </w:rPr>
      </w:pPr>
      <w:r w:rsidRPr="004560B2">
        <w:rPr>
          <w:rFonts w:asciiTheme="minorHAnsi" w:hAnsiTheme="minorHAnsi" w:cstheme="minorHAnsi"/>
          <w:color w:val="222222"/>
          <w:shd w:val="clear" w:color="auto" w:fill="FFFFFF"/>
        </w:rPr>
        <w:t>Mental Capacity Act (2005) London: The Stationery Office.</w:t>
      </w:r>
    </w:p>
    <w:p w14:paraId="4BA16585" w14:textId="77777777" w:rsidR="004560B2" w:rsidRPr="004560B2" w:rsidRDefault="004560B2" w:rsidP="00403FCB">
      <w:pPr>
        <w:spacing w:before="240" w:after="120" w:line="360" w:lineRule="auto"/>
        <w:contextualSpacing/>
        <w:mirrorIndents/>
        <w:jc w:val="both"/>
        <w:rPr>
          <w:rFonts w:asciiTheme="minorHAnsi" w:hAnsiTheme="minorHAnsi" w:cstheme="minorHAnsi"/>
          <w:color w:val="222222"/>
          <w:shd w:val="clear" w:color="auto" w:fill="FFFFFF"/>
        </w:rPr>
      </w:pPr>
    </w:p>
    <w:p w14:paraId="049DF0D3" w14:textId="004C744E" w:rsidR="004560B2" w:rsidRPr="004607A7" w:rsidRDefault="004560B2" w:rsidP="00403FCB">
      <w:pPr>
        <w:spacing w:before="240" w:after="120" w:line="360" w:lineRule="auto"/>
        <w:contextualSpacing/>
        <w:mirrorIndents/>
        <w:jc w:val="both"/>
        <w:rPr>
          <w:rFonts w:asciiTheme="minorHAnsi" w:hAnsiTheme="minorHAnsi" w:cstheme="minorHAnsi"/>
          <w:color w:val="222222"/>
          <w:shd w:val="clear" w:color="auto" w:fill="FFFFFF"/>
        </w:rPr>
      </w:pPr>
      <w:r w:rsidRPr="004560B2">
        <w:rPr>
          <w:rFonts w:asciiTheme="minorHAnsi" w:hAnsiTheme="minorHAnsi" w:cstheme="minorHAnsi"/>
          <w:color w:val="222222"/>
          <w:shd w:val="clear" w:color="auto" w:fill="FFFFFF"/>
        </w:rPr>
        <w:t>Mental Health Act (1983). London: The Stationery Office.</w:t>
      </w:r>
    </w:p>
    <w:p w14:paraId="6E7B1B2A" w14:textId="77777777" w:rsidR="00EC2C2A" w:rsidRPr="004607A7" w:rsidRDefault="00EC2C2A" w:rsidP="00403FCB">
      <w:pPr>
        <w:spacing w:before="240" w:after="120" w:line="360" w:lineRule="auto"/>
        <w:contextualSpacing/>
        <w:mirrorIndents/>
        <w:jc w:val="both"/>
        <w:rPr>
          <w:rFonts w:asciiTheme="minorHAnsi" w:hAnsiTheme="minorHAnsi" w:cstheme="minorHAnsi"/>
          <w:bCs/>
          <w:lang w:bidi="en-US"/>
        </w:rPr>
      </w:pPr>
    </w:p>
    <w:p w14:paraId="4DE50A14" w14:textId="5595C428" w:rsidR="006668F3" w:rsidRPr="004607A7" w:rsidRDefault="006668F3" w:rsidP="00403FCB">
      <w:pPr>
        <w:spacing w:before="240" w:after="120" w:line="360" w:lineRule="auto"/>
        <w:contextualSpacing/>
        <w:mirrorIndents/>
        <w:jc w:val="both"/>
        <w:rPr>
          <w:rFonts w:asciiTheme="minorHAnsi" w:hAnsiTheme="minorHAnsi" w:cstheme="minorHAnsi"/>
          <w:color w:val="222222"/>
          <w:shd w:val="clear" w:color="auto" w:fill="FFFFFF"/>
        </w:rPr>
      </w:pPr>
      <w:r w:rsidRPr="004607A7">
        <w:rPr>
          <w:rFonts w:asciiTheme="minorHAnsi" w:hAnsiTheme="minorHAnsi" w:cstheme="minorHAnsi"/>
          <w:color w:val="222222"/>
          <w:shd w:val="clear" w:color="auto" w:fill="FFFFFF"/>
        </w:rPr>
        <w:t xml:space="preserve">McKinnon, I. G., Thomas, S. D., </w:t>
      </w:r>
      <w:proofErr w:type="spellStart"/>
      <w:r w:rsidRPr="004607A7">
        <w:rPr>
          <w:rFonts w:asciiTheme="minorHAnsi" w:hAnsiTheme="minorHAnsi" w:cstheme="minorHAnsi"/>
          <w:color w:val="222222"/>
          <w:shd w:val="clear" w:color="auto" w:fill="FFFFFF"/>
        </w:rPr>
        <w:t>Noga</w:t>
      </w:r>
      <w:proofErr w:type="spellEnd"/>
      <w:r w:rsidRPr="004607A7">
        <w:rPr>
          <w:rFonts w:asciiTheme="minorHAnsi" w:hAnsiTheme="minorHAnsi" w:cstheme="minorHAnsi"/>
          <w:color w:val="222222"/>
          <w:shd w:val="clear" w:color="auto" w:fill="FFFFFF"/>
        </w:rPr>
        <w:t>, H. L., &amp; Senior, J. (2016). Police custody health care: a review of health morbidity, models of care and innovations within police custody in the UK, with international comparisons. </w:t>
      </w:r>
      <w:r w:rsidRPr="004607A7">
        <w:rPr>
          <w:rFonts w:asciiTheme="minorHAnsi" w:hAnsiTheme="minorHAnsi" w:cstheme="minorHAnsi"/>
          <w:i/>
          <w:iCs/>
          <w:color w:val="222222"/>
          <w:shd w:val="clear" w:color="auto" w:fill="FFFFFF"/>
        </w:rPr>
        <w:t>Risk management and healthcare policy</w:t>
      </w:r>
      <w:r w:rsidRPr="004607A7">
        <w:rPr>
          <w:rFonts w:asciiTheme="minorHAnsi" w:hAnsiTheme="minorHAnsi" w:cstheme="minorHAnsi"/>
          <w:color w:val="222222"/>
          <w:shd w:val="clear" w:color="auto" w:fill="FFFFFF"/>
        </w:rPr>
        <w:t>, </w:t>
      </w:r>
      <w:r w:rsidRPr="004607A7">
        <w:rPr>
          <w:rFonts w:asciiTheme="minorHAnsi" w:hAnsiTheme="minorHAnsi" w:cstheme="minorHAnsi"/>
          <w:i/>
          <w:iCs/>
          <w:color w:val="222222"/>
          <w:shd w:val="clear" w:color="auto" w:fill="FFFFFF"/>
        </w:rPr>
        <w:t>9</w:t>
      </w:r>
      <w:r w:rsidRPr="004607A7">
        <w:rPr>
          <w:rFonts w:asciiTheme="minorHAnsi" w:hAnsiTheme="minorHAnsi" w:cstheme="minorHAnsi"/>
          <w:color w:val="222222"/>
          <w:shd w:val="clear" w:color="auto" w:fill="FFFFFF"/>
        </w:rPr>
        <w:t>, 213.</w:t>
      </w:r>
    </w:p>
    <w:p w14:paraId="6D930D6B" w14:textId="3D76A860" w:rsidR="00907E0B" w:rsidRPr="00162847" w:rsidRDefault="00907E0B" w:rsidP="00403FCB">
      <w:pPr>
        <w:spacing w:before="240" w:after="120" w:line="360" w:lineRule="auto"/>
        <w:contextualSpacing/>
        <w:mirrorIndents/>
        <w:jc w:val="both"/>
        <w:rPr>
          <w:rFonts w:asciiTheme="minorHAnsi" w:hAnsiTheme="minorHAnsi" w:cstheme="minorHAnsi"/>
          <w:shd w:val="clear" w:color="auto" w:fill="FFFFFF"/>
        </w:rPr>
      </w:pPr>
    </w:p>
    <w:p w14:paraId="0C2630F0" w14:textId="2AF0429A" w:rsidR="00907E0B" w:rsidRPr="00162847" w:rsidRDefault="00907E0B" w:rsidP="00403FCB">
      <w:pPr>
        <w:spacing w:before="240" w:after="120" w:line="360" w:lineRule="auto"/>
        <w:contextualSpacing/>
        <w:mirrorIndents/>
        <w:jc w:val="both"/>
        <w:rPr>
          <w:rFonts w:asciiTheme="minorHAnsi" w:hAnsiTheme="minorHAnsi" w:cstheme="minorHAnsi"/>
          <w:shd w:val="clear" w:color="auto" w:fill="FFFFFF"/>
        </w:rPr>
      </w:pPr>
      <w:r w:rsidRPr="00162847">
        <w:rPr>
          <w:rFonts w:asciiTheme="minorHAnsi" w:hAnsiTheme="minorHAnsi" w:cstheme="minorHAnsi"/>
          <w:shd w:val="clear" w:color="auto" w:fill="FFFFFF"/>
        </w:rPr>
        <w:t>Mclaughlin</w:t>
      </w:r>
      <w:r w:rsidR="0042282B" w:rsidRPr="00162847">
        <w:rPr>
          <w:rFonts w:asciiTheme="minorHAnsi" w:hAnsiTheme="minorHAnsi" w:cstheme="minorHAnsi"/>
          <w:shd w:val="clear" w:color="auto" w:fill="FFFFFF"/>
        </w:rPr>
        <w:t>, H. (</w:t>
      </w:r>
      <w:r w:rsidRPr="00162847">
        <w:rPr>
          <w:rFonts w:asciiTheme="minorHAnsi" w:hAnsiTheme="minorHAnsi" w:cstheme="minorHAnsi"/>
          <w:shd w:val="clear" w:color="auto" w:fill="FFFFFF"/>
        </w:rPr>
        <w:t>2006</w:t>
      </w:r>
      <w:r w:rsidR="0042282B" w:rsidRPr="00162847">
        <w:rPr>
          <w:rFonts w:asciiTheme="minorHAnsi" w:hAnsiTheme="minorHAnsi" w:cstheme="minorHAnsi"/>
          <w:shd w:val="clear" w:color="auto" w:fill="FFFFFF"/>
        </w:rPr>
        <w:t xml:space="preserve">) </w:t>
      </w:r>
      <w:r w:rsidR="00162847" w:rsidRPr="00162847">
        <w:rPr>
          <w:rFonts w:asciiTheme="minorHAnsi" w:hAnsiTheme="minorHAnsi" w:cstheme="minorHAnsi"/>
          <w:shd w:val="clear" w:color="auto" w:fill="FFFFFF"/>
        </w:rPr>
        <w:t xml:space="preserve">Involving Young Service Users as Co-Researchers: Possibilities, Benefits and Costs. </w:t>
      </w:r>
      <w:r w:rsidR="00F87AEC" w:rsidRPr="00162847">
        <w:rPr>
          <w:rFonts w:asciiTheme="minorHAnsi" w:hAnsiTheme="minorHAnsi" w:cstheme="minorHAnsi"/>
          <w:shd w:val="clear" w:color="auto" w:fill="FFFFFF"/>
        </w:rPr>
        <w:t>British Journal of Social Work. 36, 1395–1410</w:t>
      </w:r>
      <w:r w:rsidR="00162847" w:rsidRPr="00162847">
        <w:rPr>
          <w:rFonts w:asciiTheme="minorHAnsi" w:hAnsiTheme="minorHAnsi" w:cstheme="minorHAnsi"/>
          <w:shd w:val="clear" w:color="auto" w:fill="FFFFFF"/>
        </w:rPr>
        <w:t xml:space="preserve">. </w:t>
      </w:r>
    </w:p>
    <w:p w14:paraId="5B5CDC8C" w14:textId="77777777" w:rsidR="007C5E0B" w:rsidRPr="004607A7" w:rsidRDefault="007C5E0B" w:rsidP="00403FCB">
      <w:pPr>
        <w:spacing w:before="240" w:after="120" w:line="360" w:lineRule="auto"/>
        <w:contextualSpacing/>
        <w:mirrorIndents/>
        <w:jc w:val="both"/>
        <w:rPr>
          <w:rFonts w:asciiTheme="minorHAnsi" w:hAnsiTheme="minorHAnsi" w:cstheme="minorHAnsi"/>
        </w:rPr>
      </w:pPr>
    </w:p>
    <w:p w14:paraId="5A55BC0B" w14:textId="2C38A25B" w:rsidR="003C5012" w:rsidRPr="004607A7" w:rsidRDefault="003C5012" w:rsidP="00403FCB">
      <w:pPr>
        <w:spacing w:before="240" w:after="120" w:line="360" w:lineRule="auto"/>
        <w:contextualSpacing/>
        <w:mirrorIndents/>
        <w:jc w:val="both"/>
        <w:rPr>
          <w:rFonts w:asciiTheme="minorHAnsi" w:hAnsiTheme="minorHAnsi" w:cstheme="minorHAnsi"/>
          <w:color w:val="222222"/>
          <w:shd w:val="clear" w:color="auto" w:fill="FFFFFF"/>
        </w:rPr>
      </w:pPr>
      <w:r w:rsidRPr="004607A7">
        <w:rPr>
          <w:rFonts w:asciiTheme="minorHAnsi" w:hAnsiTheme="minorHAnsi" w:cstheme="minorHAnsi"/>
          <w:color w:val="222222"/>
          <w:shd w:val="clear" w:color="auto" w:fill="FFFFFF"/>
        </w:rPr>
        <w:t>Medford, S., Gudjonsson, G. H., &amp; Pearse, J. (2003). The efficacy of the appropriate adult safeguard during police interviewing. </w:t>
      </w:r>
      <w:r w:rsidRPr="004607A7">
        <w:rPr>
          <w:rFonts w:asciiTheme="minorHAnsi" w:hAnsiTheme="minorHAnsi" w:cstheme="minorHAnsi"/>
          <w:i/>
          <w:iCs/>
          <w:color w:val="222222"/>
          <w:shd w:val="clear" w:color="auto" w:fill="FFFFFF"/>
        </w:rPr>
        <w:t>Legal and Criminological Psychology</w:t>
      </w:r>
      <w:r w:rsidRPr="004607A7">
        <w:rPr>
          <w:rFonts w:asciiTheme="minorHAnsi" w:hAnsiTheme="minorHAnsi" w:cstheme="minorHAnsi"/>
          <w:color w:val="222222"/>
          <w:shd w:val="clear" w:color="auto" w:fill="FFFFFF"/>
        </w:rPr>
        <w:t>, </w:t>
      </w:r>
      <w:r w:rsidRPr="004607A7">
        <w:rPr>
          <w:rFonts w:asciiTheme="minorHAnsi" w:hAnsiTheme="minorHAnsi" w:cstheme="minorHAnsi"/>
          <w:i/>
          <w:iCs/>
          <w:color w:val="222222"/>
          <w:shd w:val="clear" w:color="auto" w:fill="FFFFFF"/>
        </w:rPr>
        <w:t>8</w:t>
      </w:r>
      <w:r w:rsidRPr="004607A7">
        <w:rPr>
          <w:rFonts w:asciiTheme="minorHAnsi" w:hAnsiTheme="minorHAnsi" w:cstheme="minorHAnsi"/>
          <w:color w:val="222222"/>
          <w:shd w:val="clear" w:color="auto" w:fill="FFFFFF"/>
        </w:rPr>
        <w:t>(2), 253-266.</w:t>
      </w:r>
    </w:p>
    <w:p w14:paraId="114DA362" w14:textId="6A81AAC9" w:rsidR="003C5012" w:rsidRPr="004607A7" w:rsidRDefault="003C5012" w:rsidP="00403FCB">
      <w:pPr>
        <w:spacing w:before="240" w:after="120" w:line="360" w:lineRule="auto"/>
        <w:contextualSpacing/>
        <w:mirrorIndents/>
        <w:jc w:val="both"/>
        <w:rPr>
          <w:rFonts w:asciiTheme="minorHAnsi" w:hAnsiTheme="minorHAnsi" w:cstheme="minorHAnsi"/>
        </w:rPr>
      </w:pPr>
    </w:p>
    <w:p w14:paraId="3FD08D7F" w14:textId="25CF4C11" w:rsidR="00907E0B" w:rsidRPr="004607A7" w:rsidRDefault="00005127" w:rsidP="00403FCB">
      <w:pPr>
        <w:spacing w:before="240" w:after="120" w:line="360" w:lineRule="auto"/>
        <w:contextualSpacing/>
        <w:mirrorIndents/>
        <w:jc w:val="both"/>
        <w:rPr>
          <w:rFonts w:asciiTheme="minorHAnsi" w:hAnsiTheme="minorHAnsi" w:cstheme="minorHAnsi"/>
        </w:rPr>
      </w:pPr>
      <w:r w:rsidRPr="004607A7">
        <w:rPr>
          <w:rFonts w:asciiTheme="minorHAnsi" w:hAnsiTheme="minorHAnsi" w:cstheme="minorHAnsi"/>
        </w:rPr>
        <w:t xml:space="preserve">NAAN </w:t>
      </w:r>
      <w:r w:rsidR="009E081D" w:rsidRPr="004607A7">
        <w:rPr>
          <w:rFonts w:asciiTheme="minorHAnsi" w:hAnsiTheme="minorHAnsi" w:cstheme="minorHAnsi"/>
        </w:rPr>
        <w:t>(</w:t>
      </w:r>
      <w:r w:rsidR="003C5012" w:rsidRPr="004607A7">
        <w:rPr>
          <w:rFonts w:asciiTheme="minorHAnsi" w:hAnsiTheme="minorHAnsi" w:cstheme="minorHAnsi"/>
        </w:rPr>
        <w:t>2015</w:t>
      </w:r>
      <w:r w:rsidR="009E081D" w:rsidRPr="004607A7">
        <w:rPr>
          <w:rFonts w:asciiTheme="minorHAnsi" w:hAnsiTheme="minorHAnsi" w:cstheme="minorHAnsi"/>
        </w:rPr>
        <w:t>)</w:t>
      </w:r>
      <w:r w:rsidRPr="004607A7">
        <w:rPr>
          <w:rFonts w:asciiTheme="minorHAnsi" w:hAnsiTheme="minorHAnsi" w:cstheme="minorHAnsi"/>
        </w:rPr>
        <w:t>.</w:t>
      </w:r>
      <w:r w:rsidR="009E081D" w:rsidRPr="004607A7">
        <w:rPr>
          <w:rFonts w:asciiTheme="minorHAnsi" w:hAnsiTheme="minorHAnsi" w:cstheme="minorHAnsi"/>
        </w:rPr>
        <w:t xml:space="preserve"> </w:t>
      </w:r>
      <w:r w:rsidR="003C5012" w:rsidRPr="004607A7">
        <w:rPr>
          <w:rFonts w:asciiTheme="minorHAnsi" w:hAnsiTheme="minorHAnsi" w:cstheme="minorHAnsi"/>
        </w:rPr>
        <w:t xml:space="preserve">The Home Secretary’s Commission on Appropriate Adults: There to help: Ensuring provision of appropriate adults for mentally vulnerable adults detained or interviewed by police. </w:t>
      </w:r>
      <w:r w:rsidRPr="004607A7">
        <w:rPr>
          <w:rFonts w:asciiTheme="minorHAnsi" w:hAnsiTheme="minorHAnsi" w:cstheme="minorHAnsi"/>
        </w:rPr>
        <w:t xml:space="preserve">NAAN. [Online] Available at  </w:t>
      </w:r>
      <w:hyperlink r:id="rId10" w:history="1">
        <w:r w:rsidRPr="004607A7">
          <w:rPr>
            <w:rStyle w:val="Hyperlink"/>
            <w:rFonts w:asciiTheme="minorHAnsi" w:hAnsiTheme="minorHAnsi" w:cstheme="minorHAnsi"/>
          </w:rPr>
          <w:t>https://www.appropriateadult.org.uk/index.php/news/9-public-articles/154-theretohelp</w:t>
        </w:r>
      </w:hyperlink>
      <w:r w:rsidRPr="004607A7">
        <w:rPr>
          <w:rFonts w:asciiTheme="minorHAnsi" w:hAnsiTheme="minorHAnsi" w:cstheme="minorHAnsi"/>
        </w:rPr>
        <w:t xml:space="preserve"> </w:t>
      </w:r>
    </w:p>
    <w:p w14:paraId="7638A3AC" w14:textId="77777777" w:rsidR="00907E0B" w:rsidRPr="004607A7" w:rsidRDefault="00907E0B" w:rsidP="00403FCB">
      <w:pPr>
        <w:spacing w:before="240" w:after="120" w:line="360" w:lineRule="auto"/>
        <w:contextualSpacing/>
        <w:mirrorIndents/>
        <w:jc w:val="both"/>
        <w:rPr>
          <w:rFonts w:asciiTheme="minorHAnsi" w:hAnsiTheme="minorHAnsi" w:cstheme="minorHAnsi"/>
        </w:rPr>
      </w:pPr>
    </w:p>
    <w:p w14:paraId="6E8C9609" w14:textId="486C044A" w:rsidR="00005127" w:rsidRPr="004607A7" w:rsidRDefault="00005127" w:rsidP="00403FCB">
      <w:pPr>
        <w:spacing w:before="240" w:after="120" w:line="360" w:lineRule="auto"/>
        <w:contextualSpacing/>
        <w:mirrorIndents/>
        <w:jc w:val="both"/>
        <w:rPr>
          <w:rFonts w:asciiTheme="minorHAnsi" w:hAnsiTheme="minorHAnsi" w:cstheme="minorHAnsi"/>
          <w:shd w:val="clear" w:color="auto" w:fill="FEFEFE"/>
        </w:rPr>
      </w:pPr>
      <w:r w:rsidRPr="004607A7">
        <w:rPr>
          <w:rFonts w:asciiTheme="minorHAnsi" w:hAnsiTheme="minorHAnsi" w:cstheme="minorHAnsi"/>
          <w:shd w:val="clear" w:color="auto" w:fill="FEFEFE"/>
        </w:rPr>
        <w:t>NAAN (2017). Professional Development Day. Manchester 17.04.2017</w:t>
      </w:r>
    </w:p>
    <w:p w14:paraId="0CB2C90B" w14:textId="77777777" w:rsidR="003C5012" w:rsidRPr="004607A7" w:rsidRDefault="003C5012" w:rsidP="00403FCB">
      <w:pPr>
        <w:spacing w:before="240" w:after="120" w:line="360" w:lineRule="auto"/>
        <w:contextualSpacing/>
        <w:mirrorIndents/>
        <w:jc w:val="both"/>
        <w:rPr>
          <w:rFonts w:asciiTheme="minorHAnsi" w:hAnsiTheme="minorHAnsi" w:cstheme="minorHAnsi"/>
        </w:rPr>
      </w:pPr>
    </w:p>
    <w:p w14:paraId="1A42B4AA" w14:textId="1CA5F3B5" w:rsidR="00005127" w:rsidRPr="004607A7" w:rsidRDefault="00005127" w:rsidP="00403FCB">
      <w:pPr>
        <w:spacing w:before="240" w:after="120" w:line="360" w:lineRule="auto"/>
        <w:contextualSpacing/>
        <w:mirrorIndents/>
        <w:jc w:val="both"/>
        <w:rPr>
          <w:rFonts w:asciiTheme="minorHAnsi" w:hAnsiTheme="minorHAnsi" w:cstheme="minorHAnsi"/>
        </w:rPr>
      </w:pPr>
      <w:r w:rsidRPr="004607A7">
        <w:rPr>
          <w:rFonts w:asciiTheme="minorHAnsi" w:hAnsiTheme="minorHAnsi" w:cstheme="minorHAnsi"/>
        </w:rPr>
        <w:t xml:space="preserve">NAAN (2018). National Standards. [Online] Available at  </w:t>
      </w:r>
      <w:hyperlink r:id="rId11" w:history="1">
        <w:r w:rsidRPr="004607A7">
          <w:rPr>
            <w:rStyle w:val="Hyperlink"/>
            <w:rFonts w:asciiTheme="minorHAnsi" w:hAnsiTheme="minorHAnsi" w:cstheme="minorHAnsi"/>
          </w:rPr>
          <w:t>https://www.appropriateadult.org.uk/national-standards</w:t>
        </w:r>
      </w:hyperlink>
      <w:r w:rsidRPr="004607A7">
        <w:rPr>
          <w:rFonts w:asciiTheme="minorHAnsi" w:hAnsiTheme="minorHAnsi" w:cstheme="minorHAnsi"/>
        </w:rPr>
        <w:t xml:space="preserve"> </w:t>
      </w:r>
    </w:p>
    <w:p w14:paraId="4C2D593C" w14:textId="77777777" w:rsidR="00005127" w:rsidRPr="004607A7" w:rsidRDefault="00005127" w:rsidP="00403FCB">
      <w:pPr>
        <w:spacing w:before="240" w:after="120" w:line="360" w:lineRule="auto"/>
        <w:contextualSpacing/>
        <w:mirrorIndents/>
        <w:jc w:val="both"/>
        <w:rPr>
          <w:rFonts w:asciiTheme="minorHAnsi" w:hAnsiTheme="minorHAnsi" w:cstheme="minorHAnsi"/>
        </w:rPr>
      </w:pPr>
    </w:p>
    <w:p w14:paraId="0B81C61A" w14:textId="321C14E6" w:rsidR="003C5012" w:rsidRPr="004607A7" w:rsidRDefault="00005127" w:rsidP="00403FCB">
      <w:pPr>
        <w:spacing w:before="240" w:after="120" w:line="360" w:lineRule="auto"/>
        <w:contextualSpacing/>
        <w:mirrorIndents/>
        <w:jc w:val="both"/>
        <w:rPr>
          <w:rFonts w:asciiTheme="minorHAnsi" w:hAnsiTheme="minorHAnsi" w:cstheme="minorHAnsi"/>
        </w:rPr>
      </w:pPr>
      <w:r w:rsidRPr="004607A7">
        <w:rPr>
          <w:rFonts w:asciiTheme="minorHAnsi" w:hAnsiTheme="minorHAnsi" w:cstheme="minorHAnsi"/>
        </w:rPr>
        <w:t>NAAN (</w:t>
      </w:r>
      <w:r w:rsidR="003C5012" w:rsidRPr="004607A7">
        <w:rPr>
          <w:rFonts w:asciiTheme="minorHAnsi" w:hAnsiTheme="minorHAnsi" w:cstheme="minorHAnsi"/>
        </w:rPr>
        <w:t>2019</w:t>
      </w:r>
      <w:r w:rsidRPr="004607A7">
        <w:rPr>
          <w:rFonts w:asciiTheme="minorHAnsi" w:hAnsiTheme="minorHAnsi" w:cstheme="minorHAnsi"/>
        </w:rPr>
        <w:t xml:space="preserve">). </w:t>
      </w:r>
      <w:r w:rsidR="003C5012" w:rsidRPr="004607A7">
        <w:rPr>
          <w:rFonts w:asciiTheme="minorHAnsi" w:hAnsiTheme="minorHAnsi" w:cstheme="minorHAnsi"/>
        </w:rPr>
        <w:t xml:space="preserve">There to Help 2: Ensuring provision of appropriate adults for vulnerable adults detained or interviewed by police: An update on progress 2013/14 to 2017/18. NAAN. </w:t>
      </w:r>
      <w:r w:rsidRPr="004607A7">
        <w:rPr>
          <w:rFonts w:asciiTheme="minorHAnsi" w:hAnsiTheme="minorHAnsi" w:cstheme="minorHAnsi"/>
        </w:rPr>
        <w:t xml:space="preserve">[Online] Available at  </w:t>
      </w:r>
      <w:hyperlink r:id="rId12" w:history="1">
        <w:r w:rsidRPr="004607A7">
          <w:rPr>
            <w:rStyle w:val="Hyperlink"/>
            <w:rFonts w:asciiTheme="minorHAnsi" w:hAnsiTheme="minorHAnsi" w:cstheme="minorHAnsi"/>
          </w:rPr>
          <w:t>https://www.appropriateadult.org.uk/policy/research/there-to-help-2</w:t>
        </w:r>
      </w:hyperlink>
    </w:p>
    <w:p w14:paraId="2AC59AFE" w14:textId="79D7D78A" w:rsidR="009E081D" w:rsidRPr="004607A7" w:rsidRDefault="009E081D" w:rsidP="00403FCB">
      <w:pPr>
        <w:spacing w:before="240" w:after="120" w:line="360" w:lineRule="auto"/>
        <w:contextualSpacing/>
        <w:mirrorIndents/>
        <w:jc w:val="both"/>
        <w:rPr>
          <w:rFonts w:asciiTheme="minorHAnsi" w:hAnsiTheme="minorHAnsi" w:cstheme="minorHAnsi"/>
          <w:shd w:val="clear" w:color="auto" w:fill="FEFEFE"/>
        </w:rPr>
      </w:pPr>
    </w:p>
    <w:p w14:paraId="6874BE18" w14:textId="01412F59" w:rsidR="009E081D" w:rsidRPr="004607A7" w:rsidRDefault="009E081D" w:rsidP="00403FCB">
      <w:pPr>
        <w:spacing w:before="240" w:after="120" w:line="360" w:lineRule="auto"/>
        <w:contextualSpacing/>
        <w:mirrorIndents/>
        <w:jc w:val="both"/>
        <w:rPr>
          <w:rFonts w:asciiTheme="minorHAnsi" w:hAnsiTheme="minorHAnsi" w:cstheme="minorHAnsi"/>
          <w:shd w:val="clear" w:color="auto" w:fill="FEFEFE"/>
        </w:rPr>
      </w:pPr>
      <w:r w:rsidRPr="004607A7">
        <w:rPr>
          <w:rFonts w:asciiTheme="minorHAnsi" w:hAnsiTheme="minorHAnsi" w:cstheme="minorHAnsi"/>
          <w:shd w:val="clear" w:color="auto" w:fill="FEFEFE"/>
        </w:rPr>
        <w:t>NAAN (2019)</w:t>
      </w:r>
      <w:r w:rsidR="00005127" w:rsidRPr="004607A7">
        <w:rPr>
          <w:rFonts w:asciiTheme="minorHAnsi" w:hAnsiTheme="minorHAnsi" w:cstheme="minorHAnsi"/>
          <w:shd w:val="clear" w:color="auto" w:fill="FEFEFE"/>
        </w:rPr>
        <w:t>.</w:t>
      </w:r>
      <w:r w:rsidRPr="004607A7">
        <w:rPr>
          <w:rFonts w:asciiTheme="minorHAnsi" w:hAnsiTheme="minorHAnsi" w:cstheme="minorHAnsi"/>
          <w:shd w:val="clear" w:color="auto" w:fill="FEFEFE"/>
        </w:rPr>
        <w:t xml:space="preserve"> Professional Development Day and Annual General Meeting. London 18.09.2019</w:t>
      </w:r>
    </w:p>
    <w:p w14:paraId="3F12D017" w14:textId="77777777" w:rsidR="009E081D" w:rsidRPr="004607A7" w:rsidRDefault="009E081D" w:rsidP="00403FCB">
      <w:pPr>
        <w:spacing w:before="240" w:after="120" w:line="360" w:lineRule="auto"/>
        <w:contextualSpacing/>
        <w:mirrorIndents/>
        <w:jc w:val="both"/>
        <w:rPr>
          <w:rFonts w:asciiTheme="minorHAnsi" w:hAnsiTheme="minorHAnsi" w:cstheme="minorHAnsi"/>
          <w:color w:val="444446"/>
          <w:shd w:val="clear" w:color="auto" w:fill="FEFEFE"/>
        </w:rPr>
      </w:pPr>
    </w:p>
    <w:p w14:paraId="1F779FA8" w14:textId="2AF2D794" w:rsidR="00005127" w:rsidRPr="004607A7" w:rsidRDefault="00005127" w:rsidP="00403FCB">
      <w:pPr>
        <w:spacing w:before="240" w:after="120" w:line="360" w:lineRule="auto"/>
        <w:contextualSpacing/>
        <w:mirrorIndents/>
        <w:jc w:val="both"/>
        <w:rPr>
          <w:rFonts w:asciiTheme="minorHAnsi" w:hAnsiTheme="minorHAnsi" w:cstheme="minorHAnsi"/>
          <w:shd w:val="clear" w:color="auto" w:fill="FFFFFF"/>
        </w:rPr>
      </w:pPr>
      <w:r w:rsidRPr="004607A7">
        <w:rPr>
          <w:rFonts w:asciiTheme="minorHAnsi" w:hAnsiTheme="minorHAnsi" w:cstheme="minorHAnsi"/>
          <w:shd w:val="clear" w:color="auto" w:fill="FFFFFF"/>
        </w:rPr>
        <w:t xml:space="preserve">NAAN (2020). There to Help 3: </w:t>
      </w:r>
      <w:r w:rsidRPr="004607A7">
        <w:rPr>
          <w:rFonts w:asciiTheme="minorHAnsi" w:hAnsiTheme="minorHAnsi" w:cstheme="minorHAnsi"/>
        </w:rPr>
        <w:t xml:space="preserve">The identification of vulnerable adult suspects and application of the appropriate adult safeguard in police investigations in 2018/19. [Online] Available at  </w:t>
      </w:r>
      <w:hyperlink r:id="rId13" w:history="1">
        <w:r w:rsidRPr="004607A7">
          <w:rPr>
            <w:rStyle w:val="Hyperlink"/>
            <w:rFonts w:asciiTheme="minorHAnsi" w:hAnsiTheme="minorHAnsi" w:cstheme="minorHAnsi"/>
          </w:rPr>
          <w:t>https://appropriateadult.org.uk/policy/research/theretohelp3</w:t>
        </w:r>
      </w:hyperlink>
      <w:r w:rsidR="00C36A0E">
        <w:rPr>
          <w:rFonts w:asciiTheme="minorHAnsi" w:hAnsiTheme="minorHAnsi" w:cstheme="minorHAnsi"/>
        </w:rPr>
        <w:t>.</w:t>
      </w:r>
    </w:p>
    <w:p w14:paraId="41C711FB" w14:textId="77777777" w:rsidR="00005127" w:rsidRPr="004607A7" w:rsidRDefault="00005127" w:rsidP="00403FCB">
      <w:pPr>
        <w:spacing w:before="240" w:after="120" w:line="360" w:lineRule="auto"/>
        <w:contextualSpacing/>
        <w:mirrorIndents/>
        <w:jc w:val="both"/>
        <w:rPr>
          <w:rFonts w:asciiTheme="minorHAnsi" w:hAnsiTheme="minorHAnsi" w:cstheme="minorHAnsi"/>
          <w:shd w:val="clear" w:color="auto" w:fill="FFFFFF"/>
        </w:rPr>
      </w:pPr>
    </w:p>
    <w:p w14:paraId="786C2D0B" w14:textId="560B93B5" w:rsidR="00005127" w:rsidRPr="00D6147A" w:rsidRDefault="00907E0B" w:rsidP="00403FCB">
      <w:pPr>
        <w:spacing w:before="240" w:after="120" w:line="360" w:lineRule="auto"/>
        <w:contextualSpacing/>
        <w:mirrorIndents/>
        <w:jc w:val="both"/>
        <w:rPr>
          <w:rFonts w:asciiTheme="minorHAnsi" w:hAnsiTheme="minorHAnsi" w:cstheme="minorHAnsi"/>
          <w:shd w:val="clear" w:color="auto" w:fill="FFFFFF"/>
        </w:rPr>
      </w:pPr>
      <w:r w:rsidRPr="004607A7">
        <w:rPr>
          <w:rFonts w:asciiTheme="minorHAnsi" w:hAnsiTheme="minorHAnsi" w:cstheme="minorHAnsi"/>
          <w:shd w:val="clear" w:color="auto" w:fill="FFFFFF"/>
        </w:rPr>
        <w:t>Oliver, M. (1996). The social model in context. In </w:t>
      </w:r>
      <w:r w:rsidRPr="004607A7">
        <w:rPr>
          <w:rFonts w:asciiTheme="minorHAnsi" w:hAnsiTheme="minorHAnsi" w:cstheme="minorHAnsi"/>
          <w:i/>
          <w:iCs/>
          <w:shd w:val="clear" w:color="auto" w:fill="FFFFFF"/>
        </w:rPr>
        <w:t>Understanding disability</w:t>
      </w:r>
      <w:r w:rsidRPr="004607A7">
        <w:rPr>
          <w:rFonts w:asciiTheme="minorHAnsi" w:hAnsiTheme="minorHAnsi" w:cstheme="minorHAnsi"/>
          <w:shd w:val="clear" w:color="auto" w:fill="FFFFFF"/>
        </w:rPr>
        <w:t xml:space="preserve"> (pp. 30-42). Palgrave, London. </w:t>
      </w:r>
    </w:p>
    <w:p w14:paraId="10D0937C" w14:textId="77777777" w:rsidR="003C5012" w:rsidRPr="004607A7" w:rsidRDefault="003C5012" w:rsidP="00403FCB">
      <w:pPr>
        <w:spacing w:before="240" w:after="120" w:line="360" w:lineRule="auto"/>
        <w:contextualSpacing/>
        <w:mirrorIndents/>
        <w:jc w:val="both"/>
        <w:rPr>
          <w:rFonts w:asciiTheme="minorHAnsi" w:hAnsiTheme="minorHAnsi" w:cstheme="minorHAnsi"/>
        </w:rPr>
      </w:pPr>
    </w:p>
    <w:p w14:paraId="41FD1E96" w14:textId="7A24717E" w:rsidR="00DF35AA" w:rsidRDefault="00DF35AA" w:rsidP="00403FCB">
      <w:pPr>
        <w:spacing w:before="240" w:after="120" w:line="360" w:lineRule="auto"/>
        <w:contextualSpacing/>
        <w:mirrorIndents/>
        <w:jc w:val="both"/>
        <w:rPr>
          <w:rFonts w:asciiTheme="minorHAnsi" w:hAnsiTheme="minorHAnsi" w:cstheme="minorHAnsi"/>
          <w:color w:val="222222"/>
          <w:shd w:val="clear" w:color="auto" w:fill="FFFFFF"/>
        </w:rPr>
      </w:pPr>
      <w:r w:rsidRPr="004607A7">
        <w:rPr>
          <w:rFonts w:asciiTheme="minorHAnsi" w:hAnsiTheme="minorHAnsi" w:cstheme="minorHAnsi"/>
          <w:color w:val="222222"/>
          <w:shd w:val="clear" w:color="auto" w:fill="FFFFFF"/>
        </w:rPr>
        <w:t>Peacock, D., &amp; Cosgrove, F. (2018). The ‘New Normal’: Framing Vulnerability, Entitlement and Responsibility in Police Custody in Austere Times. In </w:t>
      </w:r>
      <w:r w:rsidRPr="004607A7">
        <w:rPr>
          <w:rFonts w:asciiTheme="minorHAnsi" w:hAnsiTheme="minorHAnsi" w:cstheme="minorHAnsi"/>
          <w:i/>
          <w:iCs/>
          <w:color w:val="222222"/>
          <w:shd w:val="clear" w:color="auto" w:fill="FFFFFF"/>
        </w:rPr>
        <w:t>Austerity Policies</w:t>
      </w:r>
      <w:r w:rsidRPr="004607A7">
        <w:rPr>
          <w:rFonts w:asciiTheme="minorHAnsi" w:hAnsiTheme="minorHAnsi" w:cstheme="minorHAnsi"/>
          <w:color w:val="222222"/>
          <w:shd w:val="clear" w:color="auto" w:fill="FFFFFF"/>
        </w:rPr>
        <w:t> (pp. 241-265). Palgrave Macmillan, Cham.</w:t>
      </w:r>
    </w:p>
    <w:p w14:paraId="6322F664" w14:textId="77777777" w:rsidR="00D64F7C" w:rsidRPr="004607A7" w:rsidRDefault="00D64F7C" w:rsidP="00403FCB">
      <w:pPr>
        <w:spacing w:before="240" w:after="120" w:line="360" w:lineRule="auto"/>
        <w:contextualSpacing/>
        <w:mirrorIndents/>
        <w:jc w:val="both"/>
        <w:rPr>
          <w:rFonts w:asciiTheme="minorHAnsi" w:hAnsiTheme="minorHAnsi" w:cstheme="minorHAnsi"/>
          <w:color w:val="222222"/>
          <w:shd w:val="clear" w:color="auto" w:fill="FFFFFF"/>
        </w:rPr>
      </w:pPr>
    </w:p>
    <w:p w14:paraId="307E920E" w14:textId="4A777414" w:rsidR="001458DE" w:rsidRDefault="001458DE" w:rsidP="00403FCB">
      <w:pPr>
        <w:widowControl w:val="0"/>
        <w:autoSpaceDE w:val="0"/>
        <w:autoSpaceDN w:val="0"/>
        <w:adjustRightInd w:val="0"/>
        <w:spacing w:before="240" w:after="120" w:line="360" w:lineRule="auto"/>
        <w:contextualSpacing/>
        <w:mirrorIndents/>
        <w:jc w:val="both"/>
        <w:rPr>
          <w:rFonts w:asciiTheme="minorHAnsi" w:hAnsiTheme="minorHAnsi" w:cstheme="minorHAnsi"/>
          <w:color w:val="3A3A3A"/>
          <w:shd w:val="clear" w:color="auto" w:fill="FFFFFF"/>
        </w:rPr>
      </w:pPr>
      <w:r w:rsidRPr="004607A7">
        <w:rPr>
          <w:rFonts w:asciiTheme="minorHAnsi" w:hAnsiTheme="minorHAnsi" w:cstheme="minorHAnsi"/>
          <w:color w:val="000000"/>
          <w:shd w:val="clear" w:color="auto" w:fill="FFFFFF"/>
        </w:rPr>
        <w:t>Peacock, D. and Cosgrove, F. (2019) ‘</w:t>
      </w:r>
      <w:r w:rsidRPr="004607A7">
        <w:rPr>
          <w:rFonts w:asciiTheme="minorHAnsi" w:hAnsiTheme="minorHAnsi" w:cstheme="minorHAnsi"/>
          <w:color w:val="212121"/>
          <w:shd w:val="clear" w:color="auto" w:fill="FFFFFF"/>
        </w:rPr>
        <w:t xml:space="preserve">Identifying ‘vulnerability’ in police custody: The impact of the 2018 revisions to PACE code C for police officer decision </w:t>
      </w:r>
      <w:r w:rsidRPr="00D64F7C">
        <w:rPr>
          <w:rFonts w:asciiTheme="minorHAnsi" w:hAnsiTheme="minorHAnsi" w:cstheme="minorHAnsi"/>
          <w:shd w:val="clear" w:color="auto" w:fill="FFFFFF"/>
        </w:rPr>
        <w:t>making’</w:t>
      </w:r>
      <w:r w:rsidRPr="00D64F7C">
        <w:rPr>
          <w:rFonts w:asciiTheme="minorHAnsi" w:hAnsiTheme="minorHAnsi" w:cstheme="minorHAnsi"/>
          <w:lang w:val="en-US"/>
        </w:rPr>
        <w:t xml:space="preserve"> at </w:t>
      </w:r>
      <w:r w:rsidRPr="004607A7">
        <w:rPr>
          <w:rFonts w:asciiTheme="minorHAnsi" w:hAnsiTheme="minorHAnsi" w:cstheme="minorHAnsi"/>
          <w:color w:val="3A3A3A"/>
          <w:shd w:val="clear" w:color="auto" w:fill="FFFFFF"/>
        </w:rPr>
        <w:t>Socio-Legal Studies Association (SLSA) Annual Conference 2019: Leeds 05.04.2019</w:t>
      </w:r>
      <w:r w:rsidR="00D64F7C">
        <w:rPr>
          <w:rFonts w:asciiTheme="minorHAnsi" w:hAnsiTheme="minorHAnsi" w:cstheme="minorHAnsi"/>
          <w:color w:val="3A3A3A"/>
          <w:shd w:val="clear" w:color="auto" w:fill="FFFFFF"/>
        </w:rPr>
        <w:t>.</w:t>
      </w:r>
    </w:p>
    <w:p w14:paraId="63AD0E56" w14:textId="77777777" w:rsidR="00D64F7C" w:rsidRPr="004607A7" w:rsidRDefault="00D64F7C" w:rsidP="00403FCB">
      <w:pPr>
        <w:widowControl w:val="0"/>
        <w:autoSpaceDE w:val="0"/>
        <w:autoSpaceDN w:val="0"/>
        <w:adjustRightInd w:val="0"/>
        <w:spacing w:before="240" w:after="120" w:line="360" w:lineRule="auto"/>
        <w:contextualSpacing/>
        <w:mirrorIndents/>
        <w:jc w:val="both"/>
        <w:rPr>
          <w:rFonts w:asciiTheme="minorHAnsi" w:hAnsiTheme="minorHAnsi" w:cstheme="minorHAnsi"/>
          <w:color w:val="FF0000"/>
          <w:lang w:val="en-US"/>
        </w:rPr>
      </w:pPr>
    </w:p>
    <w:p w14:paraId="05660400" w14:textId="010BE8BD" w:rsidR="00403FCB" w:rsidRDefault="00403FCB" w:rsidP="00403FCB">
      <w:pPr>
        <w:spacing w:before="240" w:line="360" w:lineRule="auto"/>
        <w:contextualSpacing/>
        <w:mirrorIndents/>
        <w:jc w:val="both"/>
        <w:rPr>
          <w:rFonts w:asciiTheme="minorHAnsi" w:hAnsiTheme="minorHAnsi" w:cstheme="minorHAnsi"/>
          <w:iCs/>
          <w:lang w:val="en-US"/>
        </w:rPr>
      </w:pPr>
      <w:r w:rsidRPr="006776D6">
        <w:rPr>
          <w:rFonts w:asciiTheme="minorHAnsi" w:hAnsiTheme="minorHAnsi" w:cstheme="minorHAnsi"/>
          <w:i/>
          <w:lang w:val="en-US"/>
        </w:rPr>
        <w:t>Police and Criminal Evidence Act (1984).</w:t>
      </w:r>
      <w:r w:rsidRPr="006776D6">
        <w:rPr>
          <w:rFonts w:asciiTheme="minorHAnsi" w:hAnsiTheme="minorHAnsi" w:cstheme="minorHAnsi"/>
          <w:iCs/>
          <w:lang w:val="en-US"/>
        </w:rPr>
        <w:t xml:space="preserve"> London: The Stationery Office.</w:t>
      </w:r>
    </w:p>
    <w:p w14:paraId="40EC58ED" w14:textId="77777777" w:rsidR="00D64F7C" w:rsidRPr="006776D6" w:rsidRDefault="00D64F7C" w:rsidP="00403FCB">
      <w:pPr>
        <w:spacing w:before="240" w:line="360" w:lineRule="auto"/>
        <w:contextualSpacing/>
        <w:mirrorIndents/>
        <w:jc w:val="both"/>
        <w:rPr>
          <w:rFonts w:asciiTheme="minorHAnsi" w:hAnsiTheme="minorHAnsi" w:cstheme="minorHAnsi"/>
          <w:iCs/>
          <w:lang w:val="en-US"/>
        </w:rPr>
      </w:pPr>
    </w:p>
    <w:p w14:paraId="35B41C50" w14:textId="461C53C4" w:rsidR="00403FCB" w:rsidRDefault="00403FCB" w:rsidP="00403FCB">
      <w:pPr>
        <w:spacing w:before="240" w:line="360" w:lineRule="auto"/>
        <w:contextualSpacing/>
        <w:mirrorIndents/>
        <w:jc w:val="both"/>
        <w:rPr>
          <w:rFonts w:asciiTheme="minorHAnsi" w:hAnsiTheme="minorHAnsi" w:cstheme="minorHAnsi"/>
          <w:iCs/>
          <w:lang w:val="en-US"/>
        </w:rPr>
      </w:pPr>
      <w:r w:rsidRPr="006776D6">
        <w:rPr>
          <w:rFonts w:asciiTheme="minorHAnsi" w:hAnsiTheme="minorHAnsi" w:cstheme="minorHAnsi"/>
          <w:i/>
          <w:lang w:val="en-US"/>
        </w:rPr>
        <w:t>Police and Criminal Evidence Act (1984). Code C</w:t>
      </w:r>
      <w:r w:rsidRPr="006776D6">
        <w:rPr>
          <w:rFonts w:asciiTheme="minorHAnsi" w:hAnsiTheme="minorHAnsi" w:cstheme="minorHAnsi"/>
          <w:iCs/>
          <w:lang w:val="en-US"/>
        </w:rPr>
        <w:t xml:space="preserve"> (Updated 2019) London: The Stationery Office.</w:t>
      </w:r>
    </w:p>
    <w:p w14:paraId="47C65913" w14:textId="77777777" w:rsidR="00D64F7C" w:rsidRPr="006776D6" w:rsidRDefault="00D64F7C" w:rsidP="00403FCB">
      <w:pPr>
        <w:spacing w:before="240" w:line="360" w:lineRule="auto"/>
        <w:contextualSpacing/>
        <w:mirrorIndents/>
        <w:jc w:val="both"/>
        <w:rPr>
          <w:rFonts w:asciiTheme="minorHAnsi" w:hAnsiTheme="minorHAnsi" w:cstheme="minorHAnsi"/>
          <w:iCs/>
          <w:color w:val="FF0000"/>
          <w:lang w:val="en-US"/>
        </w:rPr>
      </w:pPr>
    </w:p>
    <w:p w14:paraId="59AEF843" w14:textId="77777777" w:rsidR="00403FCB" w:rsidRPr="006776D6" w:rsidRDefault="00403FCB" w:rsidP="00403FCB">
      <w:pPr>
        <w:spacing w:before="240" w:line="360" w:lineRule="auto"/>
        <w:contextualSpacing/>
        <w:mirrorIndents/>
        <w:jc w:val="both"/>
        <w:rPr>
          <w:rFonts w:asciiTheme="minorHAnsi" w:hAnsiTheme="minorHAnsi" w:cstheme="minorHAnsi"/>
          <w:iCs/>
          <w:color w:val="FF0000"/>
          <w:lang w:val="en-US"/>
        </w:rPr>
      </w:pPr>
      <w:r w:rsidRPr="006776D6">
        <w:rPr>
          <w:rFonts w:asciiTheme="minorHAnsi" w:hAnsiTheme="minorHAnsi" w:cstheme="minorHAnsi"/>
          <w:i/>
          <w:lang w:val="en-US"/>
        </w:rPr>
        <w:t xml:space="preserve">Police and Criminal Evidence Act </w:t>
      </w:r>
      <w:r>
        <w:rPr>
          <w:rFonts w:asciiTheme="minorHAnsi" w:hAnsiTheme="minorHAnsi" w:cstheme="minorHAnsi"/>
          <w:i/>
          <w:lang w:val="en-US"/>
        </w:rPr>
        <w:t>(</w:t>
      </w:r>
      <w:r w:rsidRPr="006776D6">
        <w:rPr>
          <w:rFonts w:asciiTheme="minorHAnsi" w:hAnsiTheme="minorHAnsi" w:cstheme="minorHAnsi"/>
          <w:i/>
          <w:lang w:val="en-US"/>
        </w:rPr>
        <w:t>1984</w:t>
      </w:r>
      <w:r>
        <w:rPr>
          <w:rFonts w:asciiTheme="minorHAnsi" w:hAnsiTheme="minorHAnsi" w:cstheme="minorHAnsi"/>
          <w:i/>
          <w:lang w:val="en-US"/>
        </w:rPr>
        <w:t>)</w:t>
      </w:r>
      <w:r w:rsidRPr="006776D6">
        <w:rPr>
          <w:rFonts w:asciiTheme="minorHAnsi" w:hAnsiTheme="minorHAnsi" w:cstheme="minorHAnsi"/>
          <w:i/>
          <w:lang w:val="en-US"/>
        </w:rPr>
        <w:t>.</w:t>
      </w:r>
      <w:r w:rsidRPr="006776D6">
        <w:rPr>
          <w:rFonts w:asciiTheme="minorHAnsi" w:hAnsiTheme="minorHAnsi" w:cstheme="minorHAnsi"/>
          <w:iCs/>
          <w:lang w:val="en-US"/>
        </w:rPr>
        <w:t xml:space="preserve"> (Updated 2018) London: The Stationery Office.</w:t>
      </w:r>
    </w:p>
    <w:p w14:paraId="0D89280B" w14:textId="77777777" w:rsidR="00403FCB" w:rsidRDefault="00403FCB" w:rsidP="00403FCB">
      <w:pPr>
        <w:spacing w:line="360" w:lineRule="auto"/>
        <w:contextualSpacing/>
        <w:mirrorIndents/>
        <w:jc w:val="both"/>
        <w:rPr>
          <w:rFonts w:asciiTheme="minorHAnsi" w:hAnsiTheme="minorHAnsi" w:cstheme="minorHAnsi"/>
        </w:rPr>
      </w:pPr>
    </w:p>
    <w:p w14:paraId="487187B8" w14:textId="34ED4552" w:rsidR="00DF35AA" w:rsidRPr="007175AA" w:rsidRDefault="007175AA" w:rsidP="00403FCB">
      <w:pPr>
        <w:spacing w:line="360" w:lineRule="auto"/>
        <w:contextualSpacing/>
        <w:mirrorIndents/>
        <w:jc w:val="both"/>
        <w:rPr>
          <w:rFonts w:asciiTheme="minorHAnsi" w:hAnsiTheme="minorHAnsi" w:cstheme="minorHAnsi"/>
        </w:rPr>
      </w:pPr>
      <w:r w:rsidRPr="007175AA">
        <w:rPr>
          <w:rFonts w:asciiTheme="minorHAnsi" w:hAnsiTheme="minorHAnsi" w:cstheme="minorHAnsi"/>
        </w:rPr>
        <w:t xml:space="preserve">Price, C. and Caplan. J (1977) The </w:t>
      </w:r>
      <w:proofErr w:type="spellStart"/>
      <w:r w:rsidRPr="007175AA">
        <w:rPr>
          <w:rFonts w:asciiTheme="minorHAnsi" w:hAnsiTheme="minorHAnsi" w:cstheme="minorHAnsi"/>
        </w:rPr>
        <w:t>Confait</w:t>
      </w:r>
      <w:proofErr w:type="spellEnd"/>
      <w:r w:rsidRPr="007175AA">
        <w:rPr>
          <w:rFonts w:asciiTheme="minorHAnsi" w:hAnsiTheme="minorHAnsi" w:cstheme="minorHAnsi"/>
        </w:rPr>
        <w:t xml:space="preserve"> Confessions London: Marion Boyers.</w:t>
      </w:r>
    </w:p>
    <w:p w14:paraId="3CE608B5" w14:textId="730ABCD8" w:rsidR="00907E0B" w:rsidRPr="00901ACB" w:rsidRDefault="00901ACB" w:rsidP="00403FCB">
      <w:pPr>
        <w:spacing w:before="240" w:after="120" w:line="360" w:lineRule="auto"/>
        <w:contextualSpacing/>
        <w:mirrorIndents/>
        <w:jc w:val="both"/>
        <w:rPr>
          <w:rFonts w:asciiTheme="minorHAnsi" w:hAnsiTheme="minorHAnsi" w:cstheme="minorHAnsi"/>
        </w:rPr>
      </w:pPr>
      <w:r w:rsidRPr="00901ACB">
        <w:rPr>
          <w:rFonts w:asciiTheme="minorHAnsi" w:hAnsiTheme="minorHAnsi" w:cstheme="minorHAnsi"/>
        </w:rPr>
        <w:t>Taylor-</w:t>
      </w:r>
      <w:proofErr w:type="spellStart"/>
      <w:r w:rsidRPr="00901ACB">
        <w:rPr>
          <w:rFonts w:asciiTheme="minorHAnsi" w:hAnsiTheme="minorHAnsi" w:cstheme="minorHAnsi"/>
        </w:rPr>
        <w:t>Gooby</w:t>
      </w:r>
      <w:proofErr w:type="spellEnd"/>
      <w:r w:rsidRPr="00901ACB">
        <w:rPr>
          <w:rFonts w:asciiTheme="minorHAnsi" w:hAnsiTheme="minorHAnsi" w:cstheme="minorHAnsi"/>
        </w:rPr>
        <w:t>, D. (2012) What Sort of NHS Do We Want?, Cambridge: Searching Finance.</w:t>
      </w:r>
    </w:p>
    <w:p w14:paraId="7DFB9204" w14:textId="77777777" w:rsidR="00901ACB" w:rsidRPr="004607A7" w:rsidRDefault="00901ACB" w:rsidP="00403FCB">
      <w:pPr>
        <w:spacing w:before="240" w:after="120" w:line="360" w:lineRule="auto"/>
        <w:contextualSpacing/>
        <w:mirrorIndents/>
        <w:jc w:val="both"/>
        <w:rPr>
          <w:rFonts w:asciiTheme="minorHAnsi" w:hAnsiTheme="minorHAnsi" w:cstheme="minorHAnsi"/>
        </w:rPr>
      </w:pPr>
    </w:p>
    <w:p w14:paraId="2BBF11A6" w14:textId="77777777" w:rsidR="00907E0B" w:rsidRPr="004607A7" w:rsidRDefault="00907E0B" w:rsidP="00403FCB">
      <w:pPr>
        <w:spacing w:before="240" w:after="120" w:line="360" w:lineRule="auto"/>
        <w:contextualSpacing/>
        <w:mirrorIndents/>
        <w:jc w:val="both"/>
        <w:rPr>
          <w:rFonts w:asciiTheme="minorHAnsi" w:hAnsiTheme="minorHAnsi" w:cstheme="minorHAnsi"/>
          <w:color w:val="222222"/>
          <w:shd w:val="clear" w:color="auto" w:fill="FFFFFF"/>
        </w:rPr>
      </w:pPr>
      <w:r w:rsidRPr="004607A7">
        <w:rPr>
          <w:rFonts w:asciiTheme="minorHAnsi" w:hAnsiTheme="minorHAnsi" w:cstheme="minorHAnsi"/>
          <w:color w:val="222222"/>
          <w:shd w:val="clear" w:color="auto" w:fill="FFFFFF"/>
        </w:rPr>
        <w:t>Webber, M., &amp; Robinson, K. (2012). The meaningful involvement of service users and carers in advanced-level post-qualifying social work education: A qualitative study. </w:t>
      </w:r>
      <w:r w:rsidRPr="004607A7">
        <w:rPr>
          <w:rFonts w:asciiTheme="minorHAnsi" w:hAnsiTheme="minorHAnsi" w:cstheme="minorHAnsi"/>
          <w:i/>
          <w:iCs/>
          <w:color w:val="222222"/>
          <w:shd w:val="clear" w:color="auto" w:fill="FFFFFF"/>
        </w:rPr>
        <w:t>British Journal of Social Work</w:t>
      </w:r>
      <w:r w:rsidRPr="004607A7">
        <w:rPr>
          <w:rFonts w:asciiTheme="minorHAnsi" w:hAnsiTheme="minorHAnsi" w:cstheme="minorHAnsi"/>
          <w:color w:val="222222"/>
          <w:shd w:val="clear" w:color="auto" w:fill="FFFFFF"/>
        </w:rPr>
        <w:t>, </w:t>
      </w:r>
      <w:r w:rsidRPr="004607A7">
        <w:rPr>
          <w:rFonts w:asciiTheme="minorHAnsi" w:hAnsiTheme="minorHAnsi" w:cstheme="minorHAnsi"/>
          <w:i/>
          <w:iCs/>
          <w:color w:val="222222"/>
          <w:shd w:val="clear" w:color="auto" w:fill="FFFFFF"/>
        </w:rPr>
        <w:t>42</w:t>
      </w:r>
      <w:r w:rsidRPr="004607A7">
        <w:rPr>
          <w:rFonts w:asciiTheme="minorHAnsi" w:hAnsiTheme="minorHAnsi" w:cstheme="minorHAnsi"/>
          <w:color w:val="222222"/>
          <w:shd w:val="clear" w:color="auto" w:fill="FFFFFF"/>
        </w:rPr>
        <w:t>(7), 1256-1274.</w:t>
      </w:r>
    </w:p>
    <w:p w14:paraId="2667C579" w14:textId="77777777" w:rsidR="00907E0B" w:rsidRPr="004607A7" w:rsidRDefault="00907E0B" w:rsidP="00403FCB">
      <w:pPr>
        <w:spacing w:before="240" w:after="120" w:line="360" w:lineRule="auto"/>
        <w:contextualSpacing/>
        <w:mirrorIndents/>
        <w:jc w:val="both"/>
        <w:rPr>
          <w:rFonts w:asciiTheme="minorHAnsi" w:hAnsiTheme="minorHAnsi" w:cstheme="minorHAnsi"/>
          <w:color w:val="222222"/>
          <w:sz w:val="20"/>
          <w:szCs w:val="20"/>
          <w:shd w:val="clear" w:color="auto" w:fill="FFFFFF"/>
        </w:rPr>
      </w:pPr>
    </w:p>
    <w:p w14:paraId="623886A5" w14:textId="7AEE585B" w:rsidR="008621BB" w:rsidRPr="00D96131" w:rsidRDefault="00EC2C2A" w:rsidP="00403FCB">
      <w:pPr>
        <w:spacing w:before="240" w:after="120" w:line="360" w:lineRule="auto"/>
        <w:contextualSpacing/>
        <w:mirrorIndents/>
        <w:jc w:val="both"/>
        <w:rPr>
          <w:rFonts w:asciiTheme="minorHAnsi" w:hAnsiTheme="minorHAnsi" w:cstheme="minorHAnsi"/>
        </w:rPr>
      </w:pPr>
      <w:r w:rsidRPr="00D96131">
        <w:rPr>
          <w:rFonts w:asciiTheme="minorHAnsi" w:hAnsiTheme="minorHAnsi" w:cstheme="minorHAnsi"/>
          <w:bCs/>
          <w:lang w:bidi="en-US"/>
        </w:rPr>
        <w:t>Weaver</w:t>
      </w:r>
      <w:r w:rsidR="005D7BDF" w:rsidRPr="00D96131">
        <w:rPr>
          <w:rFonts w:asciiTheme="minorHAnsi" w:hAnsiTheme="minorHAnsi" w:cstheme="minorHAnsi"/>
          <w:bCs/>
          <w:lang w:bidi="en-US"/>
        </w:rPr>
        <w:t>, B.</w:t>
      </w:r>
      <w:r w:rsidRPr="00D96131">
        <w:rPr>
          <w:rFonts w:asciiTheme="minorHAnsi" w:hAnsiTheme="minorHAnsi" w:cstheme="minorHAnsi"/>
          <w:bCs/>
          <w:lang w:bidi="en-US"/>
        </w:rPr>
        <w:t xml:space="preserve"> </w:t>
      </w:r>
      <w:r w:rsidR="005D7BDF" w:rsidRPr="00D96131">
        <w:rPr>
          <w:rFonts w:asciiTheme="minorHAnsi" w:hAnsiTheme="minorHAnsi" w:cstheme="minorHAnsi"/>
          <w:bCs/>
          <w:lang w:bidi="en-US"/>
        </w:rPr>
        <w:t>(</w:t>
      </w:r>
      <w:r w:rsidRPr="00D96131">
        <w:rPr>
          <w:rFonts w:asciiTheme="minorHAnsi" w:hAnsiTheme="minorHAnsi" w:cstheme="minorHAnsi"/>
          <w:bCs/>
          <w:lang w:bidi="en-US"/>
        </w:rPr>
        <w:t>2011</w:t>
      </w:r>
      <w:r w:rsidR="005D7BDF" w:rsidRPr="00D96131">
        <w:rPr>
          <w:rFonts w:asciiTheme="minorHAnsi" w:hAnsiTheme="minorHAnsi" w:cstheme="minorHAnsi"/>
          <w:bCs/>
          <w:lang w:bidi="en-US"/>
        </w:rPr>
        <w:t>)</w:t>
      </w:r>
      <w:r w:rsidR="009E081D" w:rsidRPr="00D96131">
        <w:rPr>
          <w:rFonts w:asciiTheme="minorHAnsi" w:hAnsiTheme="minorHAnsi" w:cstheme="minorHAnsi"/>
          <w:bCs/>
          <w:lang w:bidi="en-US"/>
        </w:rPr>
        <w:t xml:space="preserve"> </w:t>
      </w:r>
      <w:r w:rsidR="0077006E" w:rsidRPr="00D96131">
        <w:rPr>
          <w:rFonts w:asciiTheme="minorHAnsi" w:hAnsiTheme="minorHAnsi" w:cstheme="minorHAnsi"/>
          <w:bCs/>
          <w:lang w:bidi="en-US"/>
        </w:rPr>
        <w:t>Co-Producing Community Justice: The</w:t>
      </w:r>
      <w:r w:rsidR="005D7BDF" w:rsidRPr="00D96131">
        <w:rPr>
          <w:rFonts w:asciiTheme="minorHAnsi" w:hAnsiTheme="minorHAnsi" w:cstheme="minorHAnsi"/>
          <w:bCs/>
          <w:lang w:bidi="en-US"/>
        </w:rPr>
        <w:t xml:space="preserve"> </w:t>
      </w:r>
      <w:r w:rsidR="0077006E" w:rsidRPr="00D96131">
        <w:rPr>
          <w:rFonts w:asciiTheme="minorHAnsi" w:hAnsiTheme="minorHAnsi" w:cstheme="minorHAnsi"/>
          <w:bCs/>
          <w:lang w:bidi="en-US"/>
        </w:rPr>
        <w:t>Transformative Potential of</w:t>
      </w:r>
      <w:r w:rsidR="005D7BDF" w:rsidRPr="00D96131">
        <w:rPr>
          <w:rFonts w:asciiTheme="minorHAnsi" w:hAnsiTheme="minorHAnsi" w:cstheme="minorHAnsi"/>
          <w:bCs/>
          <w:lang w:bidi="en-US"/>
        </w:rPr>
        <w:t xml:space="preserve"> </w:t>
      </w:r>
      <w:r w:rsidR="0077006E" w:rsidRPr="00D96131">
        <w:rPr>
          <w:rFonts w:asciiTheme="minorHAnsi" w:hAnsiTheme="minorHAnsi" w:cstheme="minorHAnsi"/>
          <w:bCs/>
          <w:lang w:bidi="en-US"/>
        </w:rPr>
        <w:t>Personalisation for Penal Sanctions</w:t>
      </w:r>
      <w:r w:rsidR="005D7BDF" w:rsidRPr="00D96131">
        <w:rPr>
          <w:rFonts w:asciiTheme="minorHAnsi" w:hAnsiTheme="minorHAnsi" w:cstheme="minorHAnsi"/>
          <w:bCs/>
          <w:lang w:bidi="en-US"/>
        </w:rPr>
        <w:t xml:space="preserve">. </w:t>
      </w:r>
      <w:r w:rsidR="00D96131" w:rsidRPr="00D96131">
        <w:rPr>
          <w:rFonts w:asciiTheme="minorHAnsi" w:hAnsiTheme="minorHAnsi" w:cstheme="minorHAnsi"/>
          <w:bCs/>
          <w:lang w:bidi="en-US"/>
        </w:rPr>
        <w:t>British Journal of Social Work. 41, 1038–1057</w:t>
      </w:r>
    </w:p>
    <w:p w14:paraId="2D924AD9" w14:textId="77777777" w:rsidR="008621BB" w:rsidRPr="00D96131" w:rsidRDefault="008621BB" w:rsidP="00403FCB">
      <w:pPr>
        <w:spacing w:before="240" w:after="120" w:line="360" w:lineRule="auto"/>
        <w:contextualSpacing/>
        <w:mirrorIndents/>
        <w:jc w:val="both"/>
        <w:rPr>
          <w:rFonts w:asciiTheme="minorHAnsi" w:hAnsiTheme="minorHAnsi" w:cstheme="minorHAnsi"/>
        </w:rPr>
      </w:pPr>
    </w:p>
    <w:p w14:paraId="046DCBEA" w14:textId="0265D4D9" w:rsidR="00D6147A" w:rsidRPr="00D6147A" w:rsidRDefault="00D6147A" w:rsidP="00403FCB">
      <w:pPr>
        <w:widowControl w:val="0"/>
        <w:spacing w:line="360" w:lineRule="auto"/>
        <w:contextualSpacing/>
        <w:mirrorIndents/>
        <w:jc w:val="both"/>
        <w:rPr>
          <w:rFonts w:asciiTheme="minorHAnsi" w:hAnsiTheme="minorHAnsi" w:cstheme="minorHAnsi"/>
          <w:iCs/>
          <w:lang w:val="en-US"/>
        </w:rPr>
      </w:pPr>
      <w:r w:rsidRPr="00D6147A">
        <w:rPr>
          <w:rFonts w:asciiTheme="minorHAnsi" w:hAnsiTheme="minorHAnsi" w:cstheme="minorHAnsi"/>
          <w:iCs/>
          <w:lang w:val="en-US"/>
        </w:rPr>
        <w:t>Cases</w:t>
      </w:r>
    </w:p>
    <w:p w14:paraId="3994CD3B" w14:textId="72905B7A" w:rsidR="00D6147A" w:rsidRPr="004560B2" w:rsidRDefault="009E081D" w:rsidP="00403FCB">
      <w:pPr>
        <w:widowControl w:val="0"/>
        <w:spacing w:line="360" w:lineRule="auto"/>
        <w:contextualSpacing/>
        <w:mirrorIndents/>
        <w:jc w:val="both"/>
        <w:rPr>
          <w:rFonts w:asciiTheme="minorHAnsi" w:hAnsiTheme="minorHAnsi" w:cstheme="minorHAnsi"/>
        </w:rPr>
      </w:pPr>
      <w:r w:rsidRPr="004607A7">
        <w:rPr>
          <w:rFonts w:asciiTheme="minorHAnsi" w:hAnsiTheme="minorHAnsi" w:cstheme="minorHAnsi"/>
          <w:i/>
          <w:lang w:val="en-US"/>
        </w:rPr>
        <w:t>R v Lattimore, Salih and Leighton</w:t>
      </w:r>
      <w:r w:rsidRPr="004607A7">
        <w:rPr>
          <w:rFonts w:asciiTheme="minorHAnsi" w:hAnsiTheme="minorHAnsi" w:cstheme="minorHAnsi"/>
          <w:lang w:val="en-US"/>
        </w:rPr>
        <w:t xml:space="preserve"> (1975) 62 CR App R 53</w:t>
      </w:r>
    </w:p>
    <w:p w14:paraId="7BFE7971" w14:textId="77777777" w:rsidR="00D6147A" w:rsidRPr="004607A7" w:rsidRDefault="00D6147A" w:rsidP="006F7F48">
      <w:pPr>
        <w:spacing w:before="240" w:after="120"/>
        <w:contextualSpacing/>
        <w:mirrorIndents/>
        <w:jc w:val="both"/>
        <w:rPr>
          <w:rFonts w:asciiTheme="minorHAnsi" w:hAnsiTheme="minorHAnsi" w:cstheme="minorHAnsi"/>
        </w:rPr>
      </w:pPr>
    </w:p>
    <w:sectPr w:rsidR="00D6147A" w:rsidRPr="004607A7" w:rsidSect="00BB6A8A">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E8B59" w14:textId="77777777" w:rsidR="00275173" w:rsidRDefault="00275173" w:rsidP="007162B3">
      <w:r>
        <w:separator/>
      </w:r>
    </w:p>
  </w:endnote>
  <w:endnote w:type="continuationSeparator" w:id="0">
    <w:p w14:paraId="0D7E0C3C" w14:textId="77777777" w:rsidR="00275173" w:rsidRDefault="00275173" w:rsidP="0071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EC38" w14:textId="77777777" w:rsidR="001C23B8" w:rsidRDefault="001C23B8">
    <w:pPr>
      <w:pStyle w:val="Footer"/>
      <w:jc w:val="right"/>
    </w:pPr>
    <w:r>
      <w:fldChar w:fldCharType="begin"/>
    </w:r>
    <w:r>
      <w:instrText xml:space="preserve"> PAGE   \* MERGEFORMAT </w:instrText>
    </w:r>
    <w:r>
      <w:fldChar w:fldCharType="separate"/>
    </w:r>
    <w:r>
      <w:rPr>
        <w:noProof/>
      </w:rPr>
      <w:t>1</w:t>
    </w:r>
    <w:r>
      <w:rPr>
        <w:noProof/>
      </w:rPr>
      <w:fldChar w:fldCharType="end"/>
    </w:r>
  </w:p>
  <w:p w14:paraId="408908A5" w14:textId="77777777" w:rsidR="001C23B8" w:rsidRDefault="001C2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C3650" w14:textId="77777777" w:rsidR="00275173" w:rsidRDefault="00275173" w:rsidP="007162B3">
      <w:r>
        <w:separator/>
      </w:r>
    </w:p>
  </w:footnote>
  <w:footnote w:type="continuationSeparator" w:id="0">
    <w:p w14:paraId="4844A76F" w14:textId="77777777" w:rsidR="00275173" w:rsidRDefault="00275173" w:rsidP="00716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9CE8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B75D4F"/>
    <w:multiLevelType w:val="multilevel"/>
    <w:tmpl w:val="DC4024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15812"/>
    <w:multiLevelType w:val="multilevel"/>
    <w:tmpl w:val="E2E05E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D21AEB"/>
    <w:multiLevelType w:val="hybridMultilevel"/>
    <w:tmpl w:val="B26C739C"/>
    <w:lvl w:ilvl="0" w:tplc="C61A7BEE">
      <w:start w:val="1"/>
      <w:numFmt w:val="bullet"/>
      <w:lvlText w:val="•"/>
      <w:lvlJc w:val="left"/>
      <w:pPr>
        <w:tabs>
          <w:tab w:val="num" w:pos="720"/>
        </w:tabs>
        <w:ind w:left="720" w:hanging="360"/>
      </w:pPr>
      <w:rPr>
        <w:rFonts w:ascii="Times" w:hAnsi="Times" w:hint="default"/>
      </w:rPr>
    </w:lvl>
    <w:lvl w:ilvl="1" w:tplc="BD74AD42">
      <w:numFmt w:val="bullet"/>
      <w:lvlText w:val="–"/>
      <w:lvlJc w:val="left"/>
      <w:pPr>
        <w:tabs>
          <w:tab w:val="num" w:pos="1440"/>
        </w:tabs>
        <w:ind w:left="1440" w:hanging="360"/>
      </w:pPr>
      <w:rPr>
        <w:rFonts w:ascii="Times" w:hAnsi="Times" w:hint="default"/>
      </w:rPr>
    </w:lvl>
    <w:lvl w:ilvl="2" w:tplc="3AECB9D0" w:tentative="1">
      <w:start w:val="1"/>
      <w:numFmt w:val="bullet"/>
      <w:lvlText w:val="•"/>
      <w:lvlJc w:val="left"/>
      <w:pPr>
        <w:tabs>
          <w:tab w:val="num" w:pos="2160"/>
        </w:tabs>
        <w:ind w:left="2160" w:hanging="360"/>
      </w:pPr>
      <w:rPr>
        <w:rFonts w:ascii="Times" w:hAnsi="Times" w:hint="default"/>
      </w:rPr>
    </w:lvl>
    <w:lvl w:ilvl="3" w:tplc="DC8200CC" w:tentative="1">
      <w:start w:val="1"/>
      <w:numFmt w:val="bullet"/>
      <w:lvlText w:val="•"/>
      <w:lvlJc w:val="left"/>
      <w:pPr>
        <w:tabs>
          <w:tab w:val="num" w:pos="2880"/>
        </w:tabs>
        <w:ind w:left="2880" w:hanging="360"/>
      </w:pPr>
      <w:rPr>
        <w:rFonts w:ascii="Times" w:hAnsi="Times" w:hint="default"/>
      </w:rPr>
    </w:lvl>
    <w:lvl w:ilvl="4" w:tplc="FFFC050A" w:tentative="1">
      <w:start w:val="1"/>
      <w:numFmt w:val="bullet"/>
      <w:lvlText w:val="•"/>
      <w:lvlJc w:val="left"/>
      <w:pPr>
        <w:tabs>
          <w:tab w:val="num" w:pos="3600"/>
        </w:tabs>
        <w:ind w:left="3600" w:hanging="360"/>
      </w:pPr>
      <w:rPr>
        <w:rFonts w:ascii="Times" w:hAnsi="Times" w:hint="default"/>
      </w:rPr>
    </w:lvl>
    <w:lvl w:ilvl="5" w:tplc="CA8ABAC8" w:tentative="1">
      <w:start w:val="1"/>
      <w:numFmt w:val="bullet"/>
      <w:lvlText w:val="•"/>
      <w:lvlJc w:val="left"/>
      <w:pPr>
        <w:tabs>
          <w:tab w:val="num" w:pos="4320"/>
        </w:tabs>
        <w:ind w:left="4320" w:hanging="360"/>
      </w:pPr>
      <w:rPr>
        <w:rFonts w:ascii="Times" w:hAnsi="Times" w:hint="default"/>
      </w:rPr>
    </w:lvl>
    <w:lvl w:ilvl="6" w:tplc="269CA8EC" w:tentative="1">
      <w:start w:val="1"/>
      <w:numFmt w:val="bullet"/>
      <w:lvlText w:val="•"/>
      <w:lvlJc w:val="left"/>
      <w:pPr>
        <w:tabs>
          <w:tab w:val="num" w:pos="5040"/>
        </w:tabs>
        <w:ind w:left="5040" w:hanging="360"/>
      </w:pPr>
      <w:rPr>
        <w:rFonts w:ascii="Times" w:hAnsi="Times" w:hint="default"/>
      </w:rPr>
    </w:lvl>
    <w:lvl w:ilvl="7" w:tplc="E12CD3A6" w:tentative="1">
      <w:start w:val="1"/>
      <w:numFmt w:val="bullet"/>
      <w:lvlText w:val="•"/>
      <w:lvlJc w:val="left"/>
      <w:pPr>
        <w:tabs>
          <w:tab w:val="num" w:pos="5760"/>
        </w:tabs>
        <w:ind w:left="5760" w:hanging="360"/>
      </w:pPr>
      <w:rPr>
        <w:rFonts w:ascii="Times" w:hAnsi="Times" w:hint="default"/>
      </w:rPr>
    </w:lvl>
    <w:lvl w:ilvl="8" w:tplc="156873B6"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472E735D"/>
    <w:multiLevelType w:val="hybridMultilevel"/>
    <w:tmpl w:val="0142BB24"/>
    <w:lvl w:ilvl="0" w:tplc="CE006962">
      <w:start w:val="1"/>
      <w:numFmt w:val="bullet"/>
      <w:lvlText w:val="•"/>
      <w:lvlJc w:val="left"/>
      <w:pPr>
        <w:tabs>
          <w:tab w:val="num" w:pos="720"/>
        </w:tabs>
        <w:ind w:left="720" w:hanging="360"/>
      </w:pPr>
      <w:rPr>
        <w:rFonts w:ascii="Times" w:hAnsi="Times" w:hint="default"/>
      </w:rPr>
    </w:lvl>
    <w:lvl w:ilvl="1" w:tplc="4986F192">
      <w:numFmt w:val="bullet"/>
      <w:lvlText w:val="–"/>
      <w:lvlJc w:val="left"/>
      <w:pPr>
        <w:tabs>
          <w:tab w:val="num" w:pos="1440"/>
        </w:tabs>
        <w:ind w:left="1440" w:hanging="360"/>
      </w:pPr>
      <w:rPr>
        <w:rFonts w:ascii="Times" w:hAnsi="Times" w:hint="default"/>
      </w:rPr>
    </w:lvl>
    <w:lvl w:ilvl="2" w:tplc="33EEA6BC" w:tentative="1">
      <w:start w:val="1"/>
      <w:numFmt w:val="bullet"/>
      <w:lvlText w:val="•"/>
      <w:lvlJc w:val="left"/>
      <w:pPr>
        <w:tabs>
          <w:tab w:val="num" w:pos="2160"/>
        </w:tabs>
        <w:ind w:left="2160" w:hanging="360"/>
      </w:pPr>
      <w:rPr>
        <w:rFonts w:ascii="Times" w:hAnsi="Times" w:hint="default"/>
      </w:rPr>
    </w:lvl>
    <w:lvl w:ilvl="3" w:tplc="E9CCB40E" w:tentative="1">
      <w:start w:val="1"/>
      <w:numFmt w:val="bullet"/>
      <w:lvlText w:val="•"/>
      <w:lvlJc w:val="left"/>
      <w:pPr>
        <w:tabs>
          <w:tab w:val="num" w:pos="2880"/>
        </w:tabs>
        <w:ind w:left="2880" w:hanging="360"/>
      </w:pPr>
      <w:rPr>
        <w:rFonts w:ascii="Times" w:hAnsi="Times" w:hint="default"/>
      </w:rPr>
    </w:lvl>
    <w:lvl w:ilvl="4" w:tplc="ED383852" w:tentative="1">
      <w:start w:val="1"/>
      <w:numFmt w:val="bullet"/>
      <w:lvlText w:val="•"/>
      <w:lvlJc w:val="left"/>
      <w:pPr>
        <w:tabs>
          <w:tab w:val="num" w:pos="3600"/>
        </w:tabs>
        <w:ind w:left="3600" w:hanging="360"/>
      </w:pPr>
      <w:rPr>
        <w:rFonts w:ascii="Times" w:hAnsi="Times" w:hint="default"/>
      </w:rPr>
    </w:lvl>
    <w:lvl w:ilvl="5" w:tplc="3274F9A4" w:tentative="1">
      <w:start w:val="1"/>
      <w:numFmt w:val="bullet"/>
      <w:lvlText w:val="•"/>
      <w:lvlJc w:val="left"/>
      <w:pPr>
        <w:tabs>
          <w:tab w:val="num" w:pos="4320"/>
        </w:tabs>
        <w:ind w:left="4320" w:hanging="360"/>
      </w:pPr>
      <w:rPr>
        <w:rFonts w:ascii="Times" w:hAnsi="Times" w:hint="default"/>
      </w:rPr>
    </w:lvl>
    <w:lvl w:ilvl="6" w:tplc="BBA2D6E6" w:tentative="1">
      <w:start w:val="1"/>
      <w:numFmt w:val="bullet"/>
      <w:lvlText w:val="•"/>
      <w:lvlJc w:val="left"/>
      <w:pPr>
        <w:tabs>
          <w:tab w:val="num" w:pos="5040"/>
        </w:tabs>
        <w:ind w:left="5040" w:hanging="360"/>
      </w:pPr>
      <w:rPr>
        <w:rFonts w:ascii="Times" w:hAnsi="Times" w:hint="default"/>
      </w:rPr>
    </w:lvl>
    <w:lvl w:ilvl="7" w:tplc="D6260AF8" w:tentative="1">
      <w:start w:val="1"/>
      <w:numFmt w:val="bullet"/>
      <w:lvlText w:val="•"/>
      <w:lvlJc w:val="left"/>
      <w:pPr>
        <w:tabs>
          <w:tab w:val="num" w:pos="5760"/>
        </w:tabs>
        <w:ind w:left="5760" w:hanging="360"/>
      </w:pPr>
      <w:rPr>
        <w:rFonts w:ascii="Times" w:hAnsi="Times" w:hint="default"/>
      </w:rPr>
    </w:lvl>
    <w:lvl w:ilvl="8" w:tplc="0F687F5C"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C150927"/>
    <w:multiLevelType w:val="multilevel"/>
    <w:tmpl w:val="A43AF724"/>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61EF66C7"/>
    <w:multiLevelType w:val="hybridMultilevel"/>
    <w:tmpl w:val="588C70F8"/>
    <w:lvl w:ilvl="0" w:tplc="4406229A">
      <w:start w:val="1"/>
      <w:numFmt w:val="bullet"/>
      <w:lvlText w:val="•"/>
      <w:lvlJc w:val="left"/>
      <w:pPr>
        <w:tabs>
          <w:tab w:val="num" w:pos="720"/>
        </w:tabs>
        <w:ind w:left="720" w:hanging="360"/>
      </w:pPr>
      <w:rPr>
        <w:rFonts w:ascii="Times" w:hAnsi="Times" w:hint="default"/>
      </w:rPr>
    </w:lvl>
    <w:lvl w:ilvl="1" w:tplc="DE32C322">
      <w:numFmt w:val="bullet"/>
      <w:lvlText w:val="–"/>
      <w:lvlJc w:val="left"/>
      <w:pPr>
        <w:tabs>
          <w:tab w:val="num" w:pos="1440"/>
        </w:tabs>
        <w:ind w:left="1440" w:hanging="360"/>
      </w:pPr>
      <w:rPr>
        <w:rFonts w:ascii="Times" w:hAnsi="Times" w:hint="default"/>
      </w:rPr>
    </w:lvl>
    <w:lvl w:ilvl="2" w:tplc="A59CED0E" w:tentative="1">
      <w:start w:val="1"/>
      <w:numFmt w:val="bullet"/>
      <w:lvlText w:val="•"/>
      <w:lvlJc w:val="left"/>
      <w:pPr>
        <w:tabs>
          <w:tab w:val="num" w:pos="2160"/>
        </w:tabs>
        <w:ind w:left="2160" w:hanging="360"/>
      </w:pPr>
      <w:rPr>
        <w:rFonts w:ascii="Times" w:hAnsi="Times" w:hint="default"/>
      </w:rPr>
    </w:lvl>
    <w:lvl w:ilvl="3" w:tplc="E37C9B34" w:tentative="1">
      <w:start w:val="1"/>
      <w:numFmt w:val="bullet"/>
      <w:lvlText w:val="•"/>
      <w:lvlJc w:val="left"/>
      <w:pPr>
        <w:tabs>
          <w:tab w:val="num" w:pos="2880"/>
        </w:tabs>
        <w:ind w:left="2880" w:hanging="360"/>
      </w:pPr>
      <w:rPr>
        <w:rFonts w:ascii="Times" w:hAnsi="Times" w:hint="default"/>
      </w:rPr>
    </w:lvl>
    <w:lvl w:ilvl="4" w:tplc="AC2CCA1C" w:tentative="1">
      <w:start w:val="1"/>
      <w:numFmt w:val="bullet"/>
      <w:lvlText w:val="•"/>
      <w:lvlJc w:val="left"/>
      <w:pPr>
        <w:tabs>
          <w:tab w:val="num" w:pos="3600"/>
        </w:tabs>
        <w:ind w:left="3600" w:hanging="360"/>
      </w:pPr>
      <w:rPr>
        <w:rFonts w:ascii="Times" w:hAnsi="Times" w:hint="default"/>
      </w:rPr>
    </w:lvl>
    <w:lvl w:ilvl="5" w:tplc="143CBFEA" w:tentative="1">
      <w:start w:val="1"/>
      <w:numFmt w:val="bullet"/>
      <w:lvlText w:val="•"/>
      <w:lvlJc w:val="left"/>
      <w:pPr>
        <w:tabs>
          <w:tab w:val="num" w:pos="4320"/>
        </w:tabs>
        <w:ind w:left="4320" w:hanging="360"/>
      </w:pPr>
      <w:rPr>
        <w:rFonts w:ascii="Times" w:hAnsi="Times" w:hint="default"/>
      </w:rPr>
    </w:lvl>
    <w:lvl w:ilvl="6" w:tplc="F6720CEC" w:tentative="1">
      <w:start w:val="1"/>
      <w:numFmt w:val="bullet"/>
      <w:lvlText w:val="•"/>
      <w:lvlJc w:val="left"/>
      <w:pPr>
        <w:tabs>
          <w:tab w:val="num" w:pos="5040"/>
        </w:tabs>
        <w:ind w:left="5040" w:hanging="360"/>
      </w:pPr>
      <w:rPr>
        <w:rFonts w:ascii="Times" w:hAnsi="Times" w:hint="default"/>
      </w:rPr>
    </w:lvl>
    <w:lvl w:ilvl="7" w:tplc="108C35B4" w:tentative="1">
      <w:start w:val="1"/>
      <w:numFmt w:val="bullet"/>
      <w:lvlText w:val="•"/>
      <w:lvlJc w:val="left"/>
      <w:pPr>
        <w:tabs>
          <w:tab w:val="num" w:pos="5760"/>
        </w:tabs>
        <w:ind w:left="5760" w:hanging="360"/>
      </w:pPr>
      <w:rPr>
        <w:rFonts w:ascii="Times" w:hAnsi="Times" w:hint="default"/>
      </w:rPr>
    </w:lvl>
    <w:lvl w:ilvl="8" w:tplc="CB506544"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sDSwsLA0Mzc1NTRV0lEKTi0uzszPAykwqwUAHxCWdSwAAAA="/>
  </w:docVars>
  <w:rsids>
    <w:rsidRoot w:val="002A11CF"/>
    <w:rsid w:val="00001AF0"/>
    <w:rsid w:val="00001C8C"/>
    <w:rsid w:val="000025EE"/>
    <w:rsid w:val="00005127"/>
    <w:rsid w:val="00011F27"/>
    <w:rsid w:val="00013F67"/>
    <w:rsid w:val="00015593"/>
    <w:rsid w:val="00015BEC"/>
    <w:rsid w:val="00015F57"/>
    <w:rsid w:val="00015F5E"/>
    <w:rsid w:val="00020853"/>
    <w:rsid w:val="00025698"/>
    <w:rsid w:val="00025CC2"/>
    <w:rsid w:val="0002692A"/>
    <w:rsid w:val="000276FD"/>
    <w:rsid w:val="00027AFA"/>
    <w:rsid w:val="00034E13"/>
    <w:rsid w:val="00036D48"/>
    <w:rsid w:val="000405FF"/>
    <w:rsid w:val="0004070A"/>
    <w:rsid w:val="0005012B"/>
    <w:rsid w:val="000526C0"/>
    <w:rsid w:val="0005291E"/>
    <w:rsid w:val="0005308F"/>
    <w:rsid w:val="0005723C"/>
    <w:rsid w:val="000573BA"/>
    <w:rsid w:val="00057595"/>
    <w:rsid w:val="00057667"/>
    <w:rsid w:val="00057F15"/>
    <w:rsid w:val="000606ED"/>
    <w:rsid w:val="00063400"/>
    <w:rsid w:val="0006381C"/>
    <w:rsid w:val="00063CEE"/>
    <w:rsid w:val="000658EC"/>
    <w:rsid w:val="00067689"/>
    <w:rsid w:val="00067CAE"/>
    <w:rsid w:val="00070B61"/>
    <w:rsid w:val="000727CE"/>
    <w:rsid w:val="00076D1B"/>
    <w:rsid w:val="00086BE6"/>
    <w:rsid w:val="00092BD2"/>
    <w:rsid w:val="00094709"/>
    <w:rsid w:val="000A0538"/>
    <w:rsid w:val="000A2366"/>
    <w:rsid w:val="000B06EC"/>
    <w:rsid w:val="000B43BB"/>
    <w:rsid w:val="000B4F8B"/>
    <w:rsid w:val="000B76F4"/>
    <w:rsid w:val="000C029F"/>
    <w:rsid w:val="000C084C"/>
    <w:rsid w:val="000C2839"/>
    <w:rsid w:val="000C2E46"/>
    <w:rsid w:val="000C3076"/>
    <w:rsid w:val="000C4706"/>
    <w:rsid w:val="000C5633"/>
    <w:rsid w:val="000D137A"/>
    <w:rsid w:val="000D4AC0"/>
    <w:rsid w:val="000D4E08"/>
    <w:rsid w:val="000E04E0"/>
    <w:rsid w:val="000E218E"/>
    <w:rsid w:val="000E2396"/>
    <w:rsid w:val="000E31E7"/>
    <w:rsid w:val="000E4AD8"/>
    <w:rsid w:val="000E4BF4"/>
    <w:rsid w:val="000E4FD0"/>
    <w:rsid w:val="000E5A60"/>
    <w:rsid w:val="000E65F5"/>
    <w:rsid w:val="000F05C8"/>
    <w:rsid w:val="000F4AAD"/>
    <w:rsid w:val="000F5C18"/>
    <w:rsid w:val="000F63F0"/>
    <w:rsid w:val="000F696B"/>
    <w:rsid w:val="000F6D1E"/>
    <w:rsid w:val="000F75CB"/>
    <w:rsid w:val="00100F1D"/>
    <w:rsid w:val="00102196"/>
    <w:rsid w:val="00103338"/>
    <w:rsid w:val="00104BF7"/>
    <w:rsid w:val="00112546"/>
    <w:rsid w:val="00113AD9"/>
    <w:rsid w:val="00121C8B"/>
    <w:rsid w:val="00121DBC"/>
    <w:rsid w:val="001228D7"/>
    <w:rsid w:val="00123BFB"/>
    <w:rsid w:val="00126555"/>
    <w:rsid w:val="00133C95"/>
    <w:rsid w:val="00134CC2"/>
    <w:rsid w:val="00134D48"/>
    <w:rsid w:val="00136C49"/>
    <w:rsid w:val="00137392"/>
    <w:rsid w:val="00137616"/>
    <w:rsid w:val="00140DE4"/>
    <w:rsid w:val="00141370"/>
    <w:rsid w:val="00141F3B"/>
    <w:rsid w:val="00143192"/>
    <w:rsid w:val="00143B6D"/>
    <w:rsid w:val="001458DE"/>
    <w:rsid w:val="00146F2B"/>
    <w:rsid w:val="00160EA8"/>
    <w:rsid w:val="00162847"/>
    <w:rsid w:val="00166543"/>
    <w:rsid w:val="001665DB"/>
    <w:rsid w:val="00166E9C"/>
    <w:rsid w:val="001713DA"/>
    <w:rsid w:val="00171589"/>
    <w:rsid w:val="0017186A"/>
    <w:rsid w:val="001744E9"/>
    <w:rsid w:val="00174C25"/>
    <w:rsid w:val="00175C76"/>
    <w:rsid w:val="00182550"/>
    <w:rsid w:val="0018481F"/>
    <w:rsid w:val="00192382"/>
    <w:rsid w:val="001925EB"/>
    <w:rsid w:val="0019361D"/>
    <w:rsid w:val="0019624B"/>
    <w:rsid w:val="001A6D48"/>
    <w:rsid w:val="001B5649"/>
    <w:rsid w:val="001C23B8"/>
    <w:rsid w:val="001C4595"/>
    <w:rsid w:val="001C4A56"/>
    <w:rsid w:val="001D0ADC"/>
    <w:rsid w:val="001D1FFE"/>
    <w:rsid w:val="001D34C0"/>
    <w:rsid w:val="001D3831"/>
    <w:rsid w:val="001D47DE"/>
    <w:rsid w:val="001D52CE"/>
    <w:rsid w:val="001D569C"/>
    <w:rsid w:val="001E3F29"/>
    <w:rsid w:val="001E5E10"/>
    <w:rsid w:val="001E6FB4"/>
    <w:rsid w:val="001F0EA9"/>
    <w:rsid w:val="001F429F"/>
    <w:rsid w:val="00202BA1"/>
    <w:rsid w:val="00207694"/>
    <w:rsid w:val="0020798E"/>
    <w:rsid w:val="0021098E"/>
    <w:rsid w:val="0021460B"/>
    <w:rsid w:val="00214FB9"/>
    <w:rsid w:val="0021584B"/>
    <w:rsid w:val="002170C0"/>
    <w:rsid w:val="002222DB"/>
    <w:rsid w:val="00222589"/>
    <w:rsid w:val="00223A2A"/>
    <w:rsid w:val="00224719"/>
    <w:rsid w:val="00226551"/>
    <w:rsid w:val="00230988"/>
    <w:rsid w:val="00231783"/>
    <w:rsid w:val="00232B1C"/>
    <w:rsid w:val="00233326"/>
    <w:rsid w:val="00233629"/>
    <w:rsid w:val="002358DD"/>
    <w:rsid w:val="00235BF9"/>
    <w:rsid w:val="002368E1"/>
    <w:rsid w:val="002370A9"/>
    <w:rsid w:val="002405E2"/>
    <w:rsid w:val="002409AC"/>
    <w:rsid w:val="002445F8"/>
    <w:rsid w:val="00246042"/>
    <w:rsid w:val="0024742A"/>
    <w:rsid w:val="002516DD"/>
    <w:rsid w:val="00253B98"/>
    <w:rsid w:val="00254CF4"/>
    <w:rsid w:val="00255C53"/>
    <w:rsid w:val="002565FB"/>
    <w:rsid w:val="00256F19"/>
    <w:rsid w:val="00260033"/>
    <w:rsid w:val="002619E4"/>
    <w:rsid w:val="00262F5E"/>
    <w:rsid w:val="00263E4F"/>
    <w:rsid w:val="00264E48"/>
    <w:rsid w:val="0026789A"/>
    <w:rsid w:val="00267E38"/>
    <w:rsid w:val="00275173"/>
    <w:rsid w:val="00275775"/>
    <w:rsid w:val="002805F5"/>
    <w:rsid w:val="00281BA2"/>
    <w:rsid w:val="00286694"/>
    <w:rsid w:val="00286D5B"/>
    <w:rsid w:val="002901A7"/>
    <w:rsid w:val="002961DE"/>
    <w:rsid w:val="002962AF"/>
    <w:rsid w:val="002A11CF"/>
    <w:rsid w:val="002A28E2"/>
    <w:rsid w:val="002A7157"/>
    <w:rsid w:val="002B4D5F"/>
    <w:rsid w:val="002B5A33"/>
    <w:rsid w:val="002B6B4E"/>
    <w:rsid w:val="002C1CF0"/>
    <w:rsid w:val="002C77E6"/>
    <w:rsid w:val="002D4956"/>
    <w:rsid w:val="002D502A"/>
    <w:rsid w:val="002D50F6"/>
    <w:rsid w:val="002E51CE"/>
    <w:rsid w:val="002E52A1"/>
    <w:rsid w:val="002E54C1"/>
    <w:rsid w:val="002E5B5C"/>
    <w:rsid w:val="002F0DF2"/>
    <w:rsid w:val="002F172A"/>
    <w:rsid w:val="002F31C5"/>
    <w:rsid w:val="003012A6"/>
    <w:rsid w:val="00306FC7"/>
    <w:rsid w:val="003104AC"/>
    <w:rsid w:val="00311767"/>
    <w:rsid w:val="00312D4A"/>
    <w:rsid w:val="00312EAF"/>
    <w:rsid w:val="0031612F"/>
    <w:rsid w:val="00316419"/>
    <w:rsid w:val="003169DD"/>
    <w:rsid w:val="00323158"/>
    <w:rsid w:val="0032477C"/>
    <w:rsid w:val="00325BAA"/>
    <w:rsid w:val="00341C16"/>
    <w:rsid w:val="003448F2"/>
    <w:rsid w:val="00344E76"/>
    <w:rsid w:val="00347E6F"/>
    <w:rsid w:val="00352D9B"/>
    <w:rsid w:val="00353312"/>
    <w:rsid w:val="0035368B"/>
    <w:rsid w:val="00354778"/>
    <w:rsid w:val="00361202"/>
    <w:rsid w:val="00363142"/>
    <w:rsid w:val="00363C0D"/>
    <w:rsid w:val="0036480F"/>
    <w:rsid w:val="00364977"/>
    <w:rsid w:val="00366E43"/>
    <w:rsid w:val="00367139"/>
    <w:rsid w:val="003737B0"/>
    <w:rsid w:val="003802EC"/>
    <w:rsid w:val="003809B3"/>
    <w:rsid w:val="00380ACE"/>
    <w:rsid w:val="0038197E"/>
    <w:rsid w:val="003869B9"/>
    <w:rsid w:val="00391C26"/>
    <w:rsid w:val="00392945"/>
    <w:rsid w:val="00396768"/>
    <w:rsid w:val="00397320"/>
    <w:rsid w:val="00397BA4"/>
    <w:rsid w:val="003A1981"/>
    <w:rsid w:val="003B0FC4"/>
    <w:rsid w:val="003B3AD4"/>
    <w:rsid w:val="003B3DC0"/>
    <w:rsid w:val="003B7F54"/>
    <w:rsid w:val="003C1C04"/>
    <w:rsid w:val="003C2A6F"/>
    <w:rsid w:val="003C4FAF"/>
    <w:rsid w:val="003C5012"/>
    <w:rsid w:val="003D0150"/>
    <w:rsid w:val="003D1AF4"/>
    <w:rsid w:val="003D1F0D"/>
    <w:rsid w:val="003D3620"/>
    <w:rsid w:val="003D4375"/>
    <w:rsid w:val="003E6180"/>
    <w:rsid w:val="003E6EEE"/>
    <w:rsid w:val="003F21F3"/>
    <w:rsid w:val="003F3224"/>
    <w:rsid w:val="003F5331"/>
    <w:rsid w:val="003F5561"/>
    <w:rsid w:val="004015E5"/>
    <w:rsid w:val="00403FCB"/>
    <w:rsid w:val="004047CE"/>
    <w:rsid w:val="00406AAF"/>
    <w:rsid w:val="00410169"/>
    <w:rsid w:val="00410224"/>
    <w:rsid w:val="00413A55"/>
    <w:rsid w:val="00414C77"/>
    <w:rsid w:val="00415D28"/>
    <w:rsid w:val="00420599"/>
    <w:rsid w:val="00421366"/>
    <w:rsid w:val="00421F20"/>
    <w:rsid w:val="0042282B"/>
    <w:rsid w:val="00422ACF"/>
    <w:rsid w:val="00424BE3"/>
    <w:rsid w:val="00430BC6"/>
    <w:rsid w:val="00432DBB"/>
    <w:rsid w:val="00433E41"/>
    <w:rsid w:val="00437891"/>
    <w:rsid w:val="00441B98"/>
    <w:rsid w:val="00441F9B"/>
    <w:rsid w:val="004447A9"/>
    <w:rsid w:val="0045511E"/>
    <w:rsid w:val="004560B2"/>
    <w:rsid w:val="00457CD8"/>
    <w:rsid w:val="004607A7"/>
    <w:rsid w:val="004642FE"/>
    <w:rsid w:val="004655F9"/>
    <w:rsid w:val="004671CE"/>
    <w:rsid w:val="0047179D"/>
    <w:rsid w:val="0047182D"/>
    <w:rsid w:val="00473858"/>
    <w:rsid w:val="0047412D"/>
    <w:rsid w:val="00474958"/>
    <w:rsid w:val="00475EA4"/>
    <w:rsid w:val="004768E4"/>
    <w:rsid w:val="00476DB9"/>
    <w:rsid w:val="0048025E"/>
    <w:rsid w:val="00480740"/>
    <w:rsid w:val="004813C9"/>
    <w:rsid w:val="00482963"/>
    <w:rsid w:val="004873AD"/>
    <w:rsid w:val="004A0288"/>
    <w:rsid w:val="004A02FB"/>
    <w:rsid w:val="004A0366"/>
    <w:rsid w:val="004A1F56"/>
    <w:rsid w:val="004A7266"/>
    <w:rsid w:val="004B1B18"/>
    <w:rsid w:val="004B3AD1"/>
    <w:rsid w:val="004B7B2C"/>
    <w:rsid w:val="004C0C3F"/>
    <w:rsid w:val="004C2AF0"/>
    <w:rsid w:val="004C3A9D"/>
    <w:rsid w:val="004C6719"/>
    <w:rsid w:val="004C76F4"/>
    <w:rsid w:val="004D1BCF"/>
    <w:rsid w:val="004D1CD2"/>
    <w:rsid w:val="004D1CF7"/>
    <w:rsid w:val="004D3BF5"/>
    <w:rsid w:val="004D42E1"/>
    <w:rsid w:val="004D5879"/>
    <w:rsid w:val="004D6B16"/>
    <w:rsid w:val="004E3284"/>
    <w:rsid w:val="004E5DDB"/>
    <w:rsid w:val="004E6703"/>
    <w:rsid w:val="004F11C9"/>
    <w:rsid w:val="004F2A75"/>
    <w:rsid w:val="004F3EE9"/>
    <w:rsid w:val="004F4FCF"/>
    <w:rsid w:val="004F4FF4"/>
    <w:rsid w:val="004F6213"/>
    <w:rsid w:val="00503725"/>
    <w:rsid w:val="0050727A"/>
    <w:rsid w:val="00515041"/>
    <w:rsid w:val="00516C12"/>
    <w:rsid w:val="00520E36"/>
    <w:rsid w:val="00521388"/>
    <w:rsid w:val="005222D6"/>
    <w:rsid w:val="0052434F"/>
    <w:rsid w:val="00526884"/>
    <w:rsid w:val="00527AFD"/>
    <w:rsid w:val="0053007F"/>
    <w:rsid w:val="00532194"/>
    <w:rsid w:val="00535447"/>
    <w:rsid w:val="0054159A"/>
    <w:rsid w:val="00541CD0"/>
    <w:rsid w:val="005444B9"/>
    <w:rsid w:val="0055064E"/>
    <w:rsid w:val="00550DBE"/>
    <w:rsid w:val="00553442"/>
    <w:rsid w:val="00556D8D"/>
    <w:rsid w:val="00557790"/>
    <w:rsid w:val="00560DC0"/>
    <w:rsid w:val="00561A52"/>
    <w:rsid w:val="00561BE2"/>
    <w:rsid w:val="0056474F"/>
    <w:rsid w:val="00564FAA"/>
    <w:rsid w:val="00565F25"/>
    <w:rsid w:val="005663A7"/>
    <w:rsid w:val="00570745"/>
    <w:rsid w:val="00574A0A"/>
    <w:rsid w:val="00576425"/>
    <w:rsid w:val="005834FF"/>
    <w:rsid w:val="005878FC"/>
    <w:rsid w:val="00587BF8"/>
    <w:rsid w:val="00595B8D"/>
    <w:rsid w:val="00597121"/>
    <w:rsid w:val="00597796"/>
    <w:rsid w:val="005A1E9A"/>
    <w:rsid w:val="005A22D0"/>
    <w:rsid w:val="005A2B8B"/>
    <w:rsid w:val="005B1A94"/>
    <w:rsid w:val="005B5087"/>
    <w:rsid w:val="005B6C78"/>
    <w:rsid w:val="005C560D"/>
    <w:rsid w:val="005C56C5"/>
    <w:rsid w:val="005D374F"/>
    <w:rsid w:val="005D4FA8"/>
    <w:rsid w:val="005D5A71"/>
    <w:rsid w:val="005D7BDF"/>
    <w:rsid w:val="005E1A4E"/>
    <w:rsid w:val="005E2F06"/>
    <w:rsid w:val="005E348E"/>
    <w:rsid w:val="005E4C74"/>
    <w:rsid w:val="005E553D"/>
    <w:rsid w:val="005F3B35"/>
    <w:rsid w:val="005F6522"/>
    <w:rsid w:val="006003F2"/>
    <w:rsid w:val="00601FC5"/>
    <w:rsid w:val="00604C50"/>
    <w:rsid w:val="006076B9"/>
    <w:rsid w:val="00607A24"/>
    <w:rsid w:val="00607EF8"/>
    <w:rsid w:val="0061199F"/>
    <w:rsid w:val="006122C7"/>
    <w:rsid w:val="006122CB"/>
    <w:rsid w:val="006128DD"/>
    <w:rsid w:val="0061325A"/>
    <w:rsid w:val="00615393"/>
    <w:rsid w:val="00615BE4"/>
    <w:rsid w:val="00617DA5"/>
    <w:rsid w:val="00617FFE"/>
    <w:rsid w:val="00621359"/>
    <w:rsid w:val="006227FB"/>
    <w:rsid w:val="006277B5"/>
    <w:rsid w:val="00627FF9"/>
    <w:rsid w:val="00633250"/>
    <w:rsid w:val="00634713"/>
    <w:rsid w:val="00634797"/>
    <w:rsid w:val="00637609"/>
    <w:rsid w:val="00637691"/>
    <w:rsid w:val="00642CB1"/>
    <w:rsid w:val="0064339B"/>
    <w:rsid w:val="006442B9"/>
    <w:rsid w:val="00644BE1"/>
    <w:rsid w:val="00644D5E"/>
    <w:rsid w:val="0064578A"/>
    <w:rsid w:val="00645891"/>
    <w:rsid w:val="00646ED9"/>
    <w:rsid w:val="00656513"/>
    <w:rsid w:val="0065719B"/>
    <w:rsid w:val="00657A66"/>
    <w:rsid w:val="00657ECE"/>
    <w:rsid w:val="00661296"/>
    <w:rsid w:val="00661FAB"/>
    <w:rsid w:val="0066276E"/>
    <w:rsid w:val="00663239"/>
    <w:rsid w:val="006668F3"/>
    <w:rsid w:val="00670A1D"/>
    <w:rsid w:val="0067313A"/>
    <w:rsid w:val="00675C97"/>
    <w:rsid w:val="006776D6"/>
    <w:rsid w:val="006865C4"/>
    <w:rsid w:val="006876DD"/>
    <w:rsid w:val="00687C5D"/>
    <w:rsid w:val="00692E65"/>
    <w:rsid w:val="006930F9"/>
    <w:rsid w:val="006931D5"/>
    <w:rsid w:val="0069622C"/>
    <w:rsid w:val="006A4D90"/>
    <w:rsid w:val="006A64F5"/>
    <w:rsid w:val="006B3204"/>
    <w:rsid w:val="006B4A64"/>
    <w:rsid w:val="006B64B1"/>
    <w:rsid w:val="006B674F"/>
    <w:rsid w:val="006B7C92"/>
    <w:rsid w:val="006C45B2"/>
    <w:rsid w:val="006D0062"/>
    <w:rsid w:val="006D6009"/>
    <w:rsid w:val="006E2C8A"/>
    <w:rsid w:val="006E3F9A"/>
    <w:rsid w:val="006E4DAC"/>
    <w:rsid w:val="006E52F3"/>
    <w:rsid w:val="006E716B"/>
    <w:rsid w:val="006F11A3"/>
    <w:rsid w:val="006F1E12"/>
    <w:rsid w:val="006F53F0"/>
    <w:rsid w:val="006F7F48"/>
    <w:rsid w:val="00700AC4"/>
    <w:rsid w:val="00705A73"/>
    <w:rsid w:val="007067DA"/>
    <w:rsid w:val="00710F65"/>
    <w:rsid w:val="00712783"/>
    <w:rsid w:val="00715EA3"/>
    <w:rsid w:val="007162B3"/>
    <w:rsid w:val="007175AA"/>
    <w:rsid w:val="007206D3"/>
    <w:rsid w:val="00722214"/>
    <w:rsid w:val="00723D40"/>
    <w:rsid w:val="007254A5"/>
    <w:rsid w:val="00725741"/>
    <w:rsid w:val="00726378"/>
    <w:rsid w:val="00727485"/>
    <w:rsid w:val="00730E83"/>
    <w:rsid w:val="007324B3"/>
    <w:rsid w:val="007325C2"/>
    <w:rsid w:val="0073357E"/>
    <w:rsid w:val="00740C5D"/>
    <w:rsid w:val="00743C8C"/>
    <w:rsid w:val="00752447"/>
    <w:rsid w:val="00754E8F"/>
    <w:rsid w:val="00756B09"/>
    <w:rsid w:val="00757CAB"/>
    <w:rsid w:val="0076082E"/>
    <w:rsid w:val="007609F9"/>
    <w:rsid w:val="00763200"/>
    <w:rsid w:val="007639A4"/>
    <w:rsid w:val="00764132"/>
    <w:rsid w:val="0076457C"/>
    <w:rsid w:val="007659CB"/>
    <w:rsid w:val="00766B65"/>
    <w:rsid w:val="0076701D"/>
    <w:rsid w:val="0077006E"/>
    <w:rsid w:val="00771050"/>
    <w:rsid w:val="00773B63"/>
    <w:rsid w:val="00774D3B"/>
    <w:rsid w:val="0077722A"/>
    <w:rsid w:val="00781F27"/>
    <w:rsid w:val="00783766"/>
    <w:rsid w:val="00783896"/>
    <w:rsid w:val="00783927"/>
    <w:rsid w:val="00783F5C"/>
    <w:rsid w:val="00786071"/>
    <w:rsid w:val="00787120"/>
    <w:rsid w:val="00790FEC"/>
    <w:rsid w:val="007940AD"/>
    <w:rsid w:val="007970B1"/>
    <w:rsid w:val="007A045A"/>
    <w:rsid w:val="007A2C2F"/>
    <w:rsid w:val="007A2CBF"/>
    <w:rsid w:val="007A2E28"/>
    <w:rsid w:val="007A73CB"/>
    <w:rsid w:val="007B3D95"/>
    <w:rsid w:val="007B6024"/>
    <w:rsid w:val="007B766E"/>
    <w:rsid w:val="007C2AD5"/>
    <w:rsid w:val="007C2F6F"/>
    <w:rsid w:val="007C2FDB"/>
    <w:rsid w:val="007C3CC4"/>
    <w:rsid w:val="007C5B47"/>
    <w:rsid w:val="007C5E0B"/>
    <w:rsid w:val="007C6870"/>
    <w:rsid w:val="007D20A2"/>
    <w:rsid w:val="007D35F9"/>
    <w:rsid w:val="007D3B64"/>
    <w:rsid w:val="007D5A32"/>
    <w:rsid w:val="007D7955"/>
    <w:rsid w:val="007D7A3D"/>
    <w:rsid w:val="007E02C4"/>
    <w:rsid w:val="007E3BBF"/>
    <w:rsid w:val="007E441B"/>
    <w:rsid w:val="007E4F8B"/>
    <w:rsid w:val="007E6778"/>
    <w:rsid w:val="007F5533"/>
    <w:rsid w:val="007F63DB"/>
    <w:rsid w:val="007F6BE3"/>
    <w:rsid w:val="007F6CAF"/>
    <w:rsid w:val="008008FC"/>
    <w:rsid w:val="0080237C"/>
    <w:rsid w:val="00804DEB"/>
    <w:rsid w:val="00812A50"/>
    <w:rsid w:val="0081352E"/>
    <w:rsid w:val="008150E1"/>
    <w:rsid w:val="00815E0B"/>
    <w:rsid w:val="008175CB"/>
    <w:rsid w:val="00820CF9"/>
    <w:rsid w:val="00822037"/>
    <w:rsid w:val="00822418"/>
    <w:rsid w:val="00825570"/>
    <w:rsid w:val="0082589F"/>
    <w:rsid w:val="008265AE"/>
    <w:rsid w:val="008271B1"/>
    <w:rsid w:val="00830BA5"/>
    <w:rsid w:val="00830C38"/>
    <w:rsid w:val="00835FD0"/>
    <w:rsid w:val="00836E3F"/>
    <w:rsid w:val="008376F0"/>
    <w:rsid w:val="008411F2"/>
    <w:rsid w:val="008459E6"/>
    <w:rsid w:val="00846B1A"/>
    <w:rsid w:val="0084756C"/>
    <w:rsid w:val="0085008D"/>
    <w:rsid w:val="00850680"/>
    <w:rsid w:val="00851CBC"/>
    <w:rsid w:val="008621BB"/>
    <w:rsid w:val="0086349D"/>
    <w:rsid w:val="00866122"/>
    <w:rsid w:val="008667DB"/>
    <w:rsid w:val="00873F51"/>
    <w:rsid w:val="0088062F"/>
    <w:rsid w:val="0088068F"/>
    <w:rsid w:val="0088465B"/>
    <w:rsid w:val="0088474B"/>
    <w:rsid w:val="008850A8"/>
    <w:rsid w:val="00887881"/>
    <w:rsid w:val="00891B5A"/>
    <w:rsid w:val="008931C9"/>
    <w:rsid w:val="008956AD"/>
    <w:rsid w:val="00895D0D"/>
    <w:rsid w:val="008A1200"/>
    <w:rsid w:val="008A3DB6"/>
    <w:rsid w:val="008A409A"/>
    <w:rsid w:val="008A4F61"/>
    <w:rsid w:val="008A7B1E"/>
    <w:rsid w:val="008B0039"/>
    <w:rsid w:val="008B0E87"/>
    <w:rsid w:val="008B3C0C"/>
    <w:rsid w:val="008B42A1"/>
    <w:rsid w:val="008B585F"/>
    <w:rsid w:val="008B7145"/>
    <w:rsid w:val="008B7620"/>
    <w:rsid w:val="008C00F7"/>
    <w:rsid w:val="008C5F2A"/>
    <w:rsid w:val="008D1EBC"/>
    <w:rsid w:val="008D5A98"/>
    <w:rsid w:val="008D7523"/>
    <w:rsid w:val="008D7F78"/>
    <w:rsid w:val="008E18A5"/>
    <w:rsid w:val="008E2B42"/>
    <w:rsid w:val="008E67E8"/>
    <w:rsid w:val="008E7B77"/>
    <w:rsid w:val="008F3019"/>
    <w:rsid w:val="008F4386"/>
    <w:rsid w:val="008F4FF1"/>
    <w:rsid w:val="008F556E"/>
    <w:rsid w:val="00900399"/>
    <w:rsid w:val="00901ACB"/>
    <w:rsid w:val="00903325"/>
    <w:rsid w:val="00903F8F"/>
    <w:rsid w:val="0090555C"/>
    <w:rsid w:val="00907E0B"/>
    <w:rsid w:val="00913D01"/>
    <w:rsid w:val="00914315"/>
    <w:rsid w:val="00920C13"/>
    <w:rsid w:val="009254F5"/>
    <w:rsid w:val="00930DAC"/>
    <w:rsid w:val="0093689D"/>
    <w:rsid w:val="00936B1F"/>
    <w:rsid w:val="00936FA5"/>
    <w:rsid w:val="00942C3C"/>
    <w:rsid w:val="00942CC8"/>
    <w:rsid w:val="009437D8"/>
    <w:rsid w:val="00950578"/>
    <w:rsid w:val="00952A0A"/>
    <w:rsid w:val="00952A97"/>
    <w:rsid w:val="00954ACB"/>
    <w:rsid w:val="0095739D"/>
    <w:rsid w:val="0096417B"/>
    <w:rsid w:val="009645CC"/>
    <w:rsid w:val="00966389"/>
    <w:rsid w:val="0097020E"/>
    <w:rsid w:val="00972354"/>
    <w:rsid w:val="009727EB"/>
    <w:rsid w:val="0097302A"/>
    <w:rsid w:val="009737A0"/>
    <w:rsid w:val="00974401"/>
    <w:rsid w:val="00974498"/>
    <w:rsid w:val="009750FE"/>
    <w:rsid w:val="009813C0"/>
    <w:rsid w:val="00982D10"/>
    <w:rsid w:val="00985D3B"/>
    <w:rsid w:val="00985F6B"/>
    <w:rsid w:val="00986DEC"/>
    <w:rsid w:val="0099532B"/>
    <w:rsid w:val="009979D5"/>
    <w:rsid w:val="009A0A62"/>
    <w:rsid w:val="009A12B8"/>
    <w:rsid w:val="009A26E7"/>
    <w:rsid w:val="009A33A3"/>
    <w:rsid w:val="009A4B72"/>
    <w:rsid w:val="009B053C"/>
    <w:rsid w:val="009B363F"/>
    <w:rsid w:val="009B381B"/>
    <w:rsid w:val="009B41FB"/>
    <w:rsid w:val="009B4968"/>
    <w:rsid w:val="009B61B6"/>
    <w:rsid w:val="009C041C"/>
    <w:rsid w:val="009C3300"/>
    <w:rsid w:val="009C623A"/>
    <w:rsid w:val="009C65D0"/>
    <w:rsid w:val="009C6A23"/>
    <w:rsid w:val="009D0317"/>
    <w:rsid w:val="009D0FF5"/>
    <w:rsid w:val="009D272A"/>
    <w:rsid w:val="009D3178"/>
    <w:rsid w:val="009D4093"/>
    <w:rsid w:val="009D4D0F"/>
    <w:rsid w:val="009D5768"/>
    <w:rsid w:val="009D7743"/>
    <w:rsid w:val="009E0608"/>
    <w:rsid w:val="009E070A"/>
    <w:rsid w:val="009E081D"/>
    <w:rsid w:val="009E2C9E"/>
    <w:rsid w:val="009F2FC5"/>
    <w:rsid w:val="009F5233"/>
    <w:rsid w:val="009F6073"/>
    <w:rsid w:val="009F7261"/>
    <w:rsid w:val="00A018F8"/>
    <w:rsid w:val="00A01E1A"/>
    <w:rsid w:val="00A1158C"/>
    <w:rsid w:val="00A22718"/>
    <w:rsid w:val="00A23521"/>
    <w:rsid w:val="00A253BA"/>
    <w:rsid w:val="00A337A5"/>
    <w:rsid w:val="00A35D3A"/>
    <w:rsid w:val="00A429E7"/>
    <w:rsid w:val="00A42A35"/>
    <w:rsid w:val="00A4524E"/>
    <w:rsid w:val="00A45825"/>
    <w:rsid w:val="00A4766C"/>
    <w:rsid w:val="00A47CCF"/>
    <w:rsid w:val="00A47D53"/>
    <w:rsid w:val="00A50441"/>
    <w:rsid w:val="00A50D56"/>
    <w:rsid w:val="00A52DE3"/>
    <w:rsid w:val="00A53187"/>
    <w:rsid w:val="00A53D8A"/>
    <w:rsid w:val="00A556E8"/>
    <w:rsid w:val="00A561B5"/>
    <w:rsid w:val="00A61891"/>
    <w:rsid w:val="00A67672"/>
    <w:rsid w:val="00A67DB8"/>
    <w:rsid w:val="00A724B7"/>
    <w:rsid w:val="00A73EA4"/>
    <w:rsid w:val="00A7407E"/>
    <w:rsid w:val="00A74C1C"/>
    <w:rsid w:val="00A74C42"/>
    <w:rsid w:val="00A74DDB"/>
    <w:rsid w:val="00A7533D"/>
    <w:rsid w:val="00A77B73"/>
    <w:rsid w:val="00A82FD9"/>
    <w:rsid w:val="00A83243"/>
    <w:rsid w:val="00A838CD"/>
    <w:rsid w:val="00A83F25"/>
    <w:rsid w:val="00A84FFA"/>
    <w:rsid w:val="00A924D3"/>
    <w:rsid w:val="00A9711C"/>
    <w:rsid w:val="00AA0166"/>
    <w:rsid w:val="00AA2A93"/>
    <w:rsid w:val="00AA35DE"/>
    <w:rsid w:val="00AA51B8"/>
    <w:rsid w:val="00AA5C7B"/>
    <w:rsid w:val="00AA6C2D"/>
    <w:rsid w:val="00AA7442"/>
    <w:rsid w:val="00AB2010"/>
    <w:rsid w:val="00AB3D97"/>
    <w:rsid w:val="00AB6D31"/>
    <w:rsid w:val="00AB770E"/>
    <w:rsid w:val="00AC2024"/>
    <w:rsid w:val="00AC331D"/>
    <w:rsid w:val="00AC3331"/>
    <w:rsid w:val="00AC3418"/>
    <w:rsid w:val="00AC5270"/>
    <w:rsid w:val="00AC652C"/>
    <w:rsid w:val="00AD0F72"/>
    <w:rsid w:val="00AD4670"/>
    <w:rsid w:val="00AD4BA0"/>
    <w:rsid w:val="00AE3DCF"/>
    <w:rsid w:val="00AE5696"/>
    <w:rsid w:val="00AF2AE1"/>
    <w:rsid w:val="00AF2BED"/>
    <w:rsid w:val="00AF3934"/>
    <w:rsid w:val="00AF46EB"/>
    <w:rsid w:val="00AF5076"/>
    <w:rsid w:val="00B0285A"/>
    <w:rsid w:val="00B049ED"/>
    <w:rsid w:val="00B1236A"/>
    <w:rsid w:val="00B12729"/>
    <w:rsid w:val="00B12912"/>
    <w:rsid w:val="00B15BF7"/>
    <w:rsid w:val="00B215F2"/>
    <w:rsid w:val="00B238F9"/>
    <w:rsid w:val="00B2769C"/>
    <w:rsid w:val="00B32CDF"/>
    <w:rsid w:val="00B34083"/>
    <w:rsid w:val="00B34AF2"/>
    <w:rsid w:val="00B352BE"/>
    <w:rsid w:val="00B3553B"/>
    <w:rsid w:val="00B355D3"/>
    <w:rsid w:val="00B36056"/>
    <w:rsid w:val="00B40912"/>
    <w:rsid w:val="00B423D2"/>
    <w:rsid w:val="00B42C90"/>
    <w:rsid w:val="00B46E7C"/>
    <w:rsid w:val="00B47B4C"/>
    <w:rsid w:val="00B550DB"/>
    <w:rsid w:val="00B708CF"/>
    <w:rsid w:val="00B75D00"/>
    <w:rsid w:val="00B76CCC"/>
    <w:rsid w:val="00B81248"/>
    <w:rsid w:val="00B8327B"/>
    <w:rsid w:val="00B8428A"/>
    <w:rsid w:val="00B86C87"/>
    <w:rsid w:val="00B86EBA"/>
    <w:rsid w:val="00B908DE"/>
    <w:rsid w:val="00B91B7B"/>
    <w:rsid w:val="00B9225B"/>
    <w:rsid w:val="00B93B57"/>
    <w:rsid w:val="00B959EA"/>
    <w:rsid w:val="00B97057"/>
    <w:rsid w:val="00B97E82"/>
    <w:rsid w:val="00BA14B4"/>
    <w:rsid w:val="00BA152F"/>
    <w:rsid w:val="00BA261C"/>
    <w:rsid w:val="00BA509F"/>
    <w:rsid w:val="00BB026C"/>
    <w:rsid w:val="00BB23D9"/>
    <w:rsid w:val="00BB6A8A"/>
    <w:rsid w:val="00BB6FCA"/>
    <w:rsid w:val="00BC1269"/>
    <w:rsid w:val="00BC2322"/>
    <w:rsid w:val="00BC7977"/>
    <w:rsid w:val="00BD283E"/>
    <w:rsid w:val="00BD293D"/>
    <w:rsid w:val="00BD301F"/>
    <w:rsid w:val="00BD3194"/>
    <w:rsid w:val="00BD6CF7"/>
    <w:rsid w:val="00BD719C"/>
    <w:rsid w:val="00BD7EA1"/>
    <w:rsid w:val="00BE2461"/>
    <w:rsid w:val="00BE2ED7"/>
    <w:rsid w:val="00BE6ADC"/>
    <w:rsid w:val="00BE7061"/>
    <w:rsid w:val="00BF017E"/>
    <w:rsid w:val="00BF2CFB"/>
    <w:rsid w:val="00BF45E7"/>
    <w:rsid w:val="00BF656D"/>
    <w:rsid w:val="00BF6787"/>
    <w:rsid w:val="00BF7F17"/>
    <w:rsid w:val="00C162F3"/>
    <w:rsid w:val="00C2130B"/>
    <w:rsid w:val="00C21960"/>
    <w:rsid w:val="00C24DE2"/>
    <w:rsid w:val="00C2521D"/>
    <w:rsid w:val="00C25529"/>
    <w:rsid w:val="00C26750"/>
    <w:rsid w:val="00C2680F"/>
    <w:rsid w:val="00C2783F"/>
    <w:rsid w:val="00C328FF"/>
    <w:rsid w:val="00C35A2D"/>
    <w:rsid w:val="00C36A0E"/>
    <w:rsid w:val="00C412FD"/>
    <w:rsid w:val="00C41C48"/>
    <w:rsid w:val="00C426C0"/>
    <w:rsid w:val="00C428E7"/>
    <w:rsid w:val="00C42B11"/>
    <w:rsid w:val="00C44E3C"/>
    <w:rsid w:val="00C454CE"/>
    <w:rsid w:val="00C46472"/>
    <w:rsid w:val="00C4699A"/>
    <w:rsid w:val="00C534F7"/>
    <w:rsid w:val="00C57069"/>
    <w:rsid w:val="00C576CE"/>
    <w:rsid w:val="00C57E65"/>
    <w:rsid w:val="00C60090"/>
    <w:rsid w:val="00C6027C"/>
    <w:rsid w:val="00C62249"/>
    <w:rsid w:val="00C64963"/>
    <w:rsid w:val="00C67856"/>
    <w:rsid w:val="00C733D0"/>
    <w:rsid w:val="00C77354"/>
    <w:rsid w:val="00C80FD9"/>
    <w:rsid w:val="00C8285E"/>
    <w:rsid w:val="00C83B22"/>
    <w:rsid w:val="00C84420"/>
    <w:rsid w:val="00C84BF9"/>
    <w:rsid w:val="00C85B52"/>
    <w:rsid w:val="00C92FAB"/>
    <w:rsid w:val="00CA7958"/>
    <w:rsid w:val="00CB2DEB"/>
    <w:rsid w:val="00CB3EAF"/>
    <w:rsid w:val="00CB4122"/>
    <w:rsid w:val="00CB436B"/>
    <w:rsid w:val="00CB6BB0"/>
    <w:rsid w:val="00CC023F"/>
    <w:rsid w:val="00CC189F"/>
    <w:rsid w:val="00CC26FD"/>
    <w:rsid w:val="00CC6631"/>
    <w:rsid w:val="00CD0690"/>
    <w:rsid w:val="00CD130E"/>
    <w:rsid w:val="00CE3EDD"/>
    <w:rsid w:val="00CE6E41"/>
    <w:rsid w:val="00CE7CC0"/>
    <w:rsid w:val="00CF0723"/>
    <w:rsid w:val="00CF0DC7"/>
    <w:rsid w:val="00CF392A"/>
    <w:rsid w:val="00CF3B5F"/>
    <w:rsid w:val="00CF7A26"/>
    <w:rsid w:val="00CF7E2B"/>
    <w:rsid w:val="00D00B16"/>
    <w:rsid w:val="00D00F46"/>
    <w:rsid w:val="00D030D0"/>
    <w:rsid w:val="00D06499"/>
    <w:rsid w:val="00D06D70"/>
    <w:rsid w:val="00D07D33"/>
    <w:rsid w:val="00D1154B"/>
    <w:rsid w:val="00D1275C"/>
    <w:rsid w:val="00D12770"/>
    <w:rsid w:val="00D1285A"/>
    <w:rsid w:val="00D14ECD"/>
    <w:rsid w:val="00D17D98"/>
    <w:rsid w:val="00D21F26"/>
    <w:rsid w:val="00D222D1"/>
    <w:rsid w:val="00D23078"/>
    <w:rsid w:val="00D23A6A"/>
    <w:rsid w:val="00D243BC"/>
    <w:rsid w:val="00D249EE"/>
    <w:rsid w:val="00D26CE7"/>
    <w:rsid w:val="00D3264D"/>
    <w:rsid w:val="00D3353A"/>
    <w:rsid w:val="00D3359C"/>
    <w:rsid w:val="00D33B20"/>
    <w:rsid w:val="00D33BB1"/>
    <w:rsid w:val="00D34E42"/>
    <w:rsid w:val="00D3558F"/>
    <w:rsid w:val="00D36F22"/>
    <w:rsid w:val="00D379F6"/>
    <w:rsid w:val="00D4093F"/>
    <w:rsid w:val="00D42B64"/>
    <w:rsid w:val="00D4367D"/>
    <w:rsid w:val="00D47C47"/>
    <w:rsid w:val="00D5117B"/>
    <w:rsid w:val="00D548DD"/>
    <w:rsid w:val="00D6147A"/>
    <w:rsid w:val="00D64F7C"/>
    <w:rsid w:val="00D661A0"/>
    <w:rsid w:val="00D66448"/>
    <w:rsid w:val="00D67DB7"/>
    <w:rsid w:val="00D71275"/>
    <w:rsid w:val="00D71BFA"/>
    <w:rsid w:val="00D73910"/>
    <w:rsid w:val="00D74ED9"/>
    <w:rsid w:val="00D8086C"/>
    <w:rsid w:val="00D83C64"/>
    <w:rsid w:val="00D85719"/>
    <w:rsid w:val="00D85835"/>
    <w:rsid w:val="00D86020"/>
    <w:rsid w:val="00D87C4C"/>
    <w:rsid w:val="00D93A0A"/>
    <w:rsid w:val="00D93B7B"/>
    <w:rsid w:val="00D96131"/>
    <w:rsid w:val="00D96255"/>
    <w:rsid w:val="00D96978"/>
    <w:rsid w:val="00D97758"/>
    <w:rsid w:val="00DA0487"/>
    <w:rsid w:val="00DA2453"/>
    <w:rsid w:val="00DA4113"/>
    <w:rsid w:val="00DA6E12"/>
    <w:rsid w:val="00DA7B5D"/>
    <w:rsid w:val="00DB1573"/>
    <w:rsid w:val="00DB3AB0"/>
    <w:rsid w:val="00DB6ADC"/>
    <w:rsid w:val="00DC23D1"/>
    <w:rsid w:val="00DC41DA"/>
    <w:rsid w:val="00DC7A68"/>
    <w:rsid w:val="00DE1DD8"/>
    <w:rsid w:val="00DE1F43"/>
    <w:rsid w:val="00DE2039"/>
    <w:rsid w:val="00DE2C35"/>
    <w:rsid w:val="00DE3DD2"/>
    <w:rsid w:val="00DE6786"/>
    <w:rsid w:val="00DE6E95"/>
    <w:rsid w:val="00DF0D5C"/>
    <w:rsid w:val="00DF1292"/>
    <w:rsid w:val="00DF1723"/>
    <w:rsid w:val="00DF19B4"/>
    <w:rsid w:val="00DF35AA"/>
    <w:rsid w:val="00DF38DF"/>
    <w:rsid w:val="00DF46FB"/>
    <w:rsid w:val="00DF727C"/>
    <w:rsid w:val="00DF7352"/>
    <w:rsid w:val="00E01676"/>
    <w:rsid w:val="00E02D34"/>
    <w:rsid w:val="00E04190"/>
    <w:rsid w:val="00E100C4"/>
    <w:rsid w:val="00E11BEB"/>
    <w:rsid w:val="00E1519F"/>
    <w:rsid w:val="00E22195"/>
    <w:rsid w:val="00E2374F"/>
    <w:rsid w:val="00E2388D"/>
    <w:rsid w:val="00E2540D"/>
    <w:rsid w:val="00E25611"/>
    <w:rsid w:val="00E25E87"/>
    <w:rsid w:val="00E3064F"/>
    <w:rsid w:val="00E30B21"/>
    <w:rsid w:val="00E36404"/>
    <w:rsid w:val="00E3674F"/>
    <w:rsid w:val="00E369B4"/>
    <w:rsid w:val="00E401AC"/>
    <w:rsid w:val="00E40768"/>
    <w:rsid w:val="00E40AD0"/>
    <w:rsid w:val="00E41FE1"/>
    <w:rsid w:val="00E42821"/>
    <w:rsid w:val="00E47ADD"/>
    <w:rsid w:val="00E50993"/>
    <w:rsid w:val="00E50FF7"/>
    <w:rsid w:val="00E52DC6"/>
    <w:rsid w:val="00E5382A"/>
    <w:rsid w:val="00E56B17"/>
    <w:rsid w:val="00E611EE"/>
    <w:rsid w:val="00E6486F"/>
    <w:rsid w:val="00E656DD"/>
    <w:rsid w:val="00E66215"/>
    <w:rsid w:val="00E664CA"/>
    <w:rsid w:val="00E6730E"/>
    <w:rsid w:val="00E72CD8"/>
    <w:rsid w:val="00E736D0"/>
    <w:rsid w:val="00E74660"/>
    <w:rsid w:val="00E753B3"/>
    <w:rsid w:val="00E7600B"/>
    <w:rsid w:val="00E76BC6"/>
    <w:rsid w:val="00E778C7"/>
    <w:rsid w:val="00E77AD4"/>
    <w:rsid w:val="00E77DC0"/>
    <w:rsid w:val="00E9104F"/>
    <w:rsid w:val="00E91119"/>
    <w:rsid w:val="00E92184"/>
    <w:rsid w:val="00E934E5"/>
    <w:rsid w:val="00E94B7E"/>
    <w:rsid w:val="00E955B2"/>
    <w:rsid w:val="00EA5650"/>
    <w:rsid w:val="00EA7814"/>
    <w:rsid w:val="00EB043C"/>
    <w:rsid w:val="00EB1BDD"/>
    <w:rsid w:val="00EB238B"/>
    <w:rsid w:val="00EB5880"/>
    <w:rsid w:val="00EB62AB"/>
    <w:rsid w:val="00EC0822"/>
    <w:rsid w:val="00EC2C2A"/>
    <w:rsid w:val="00EC4774"/>
    <w:rsid w:val="00EC5A25"/>
    <w:rsid w:val="00EC6290"/>
    <w:rsid w:val="00ED03E5"/>
    <w:rsid w:val="00ED1F5F"/>
    <w:rsid w:val="00ED3B93"/>
    <w:rsid w:val="00ED54C4"/>
    <w:rsid w:val="00ED76EE"/>
    <w:rsid w:val="00ED7928"/>
    <w:rsid w:val="00EE3039"/>
    <w:rsid w:val="00EE4168"/>
    <w:rsid w:val="00EE5802"/>
    <w:rsid w:val="00EE657D"/>
    <w:rsid w:val="00EF1D48"/>
    <w:rsid w:val="00EF2343"/>
    <w:rsid w:val="00EF5535"/>
    <w:rsid w:val="00EF6FE7"/>
    <w:rsid w:val="00F0144F"/>
    <w:rsid w:val="00F01450"/>
    <w:rsid w:val="00F024BC"/>
    <w:rsid w:val="00F0580E"/>
    <w:rsid w:val="00F059E7"/>
    <w:rsid w:val="00F1052E"/>
    <w:rsid w:val="00F114A8"/>
    <w:rsid w:val="00F131EB"/>
    <w:rsid w:val="00F13652"/>
    <w:rsid w:val="00F14D4B"/>
    <w:rsid w:val="00F15FE8"/>
    <w:rsid w:val="00F17CB1"/>
    <w:rsid w:val="00F20BF4"/>
    <w:rsid w:val="00F24336"/>
    <w:rsid w:val="00F27292"/>
    <w:rsid w:val="00F3485D"/>
    <w:rsid w:val="00F37AC4"/>
    <w:rsid w:val="00F42B27"/>
    <w:rsid w:val="00F43EDD"/>
    <w:rsid w:val="00F4433C"/>
    <w:rsid w:val="00F44543"/>
    <w:rsid w:val="00F4620F"/>
    <w:rsid w:val="00F4664B"/>
    <w:rsid w:val="00F4699D"/>
    <w:rsid w:val="00F46DF9"/>
    <w:rsid w:val="00F4719D"/>
    <w:rsid w:val="00F5581F"/>
    <w:rsid w:val="00F562B3"/>
    <w:rsid w:val="00F5733A"/>
    <w:rsid w:val="00F57436"/>
    <w:rsid w:val="00F57C5A"/>
    <w:rsid w:val="00F61EFB"/>
    <w:rsid w:val="00F62A7E"/>
    <w:rsid w:val="00F64BAE"/>
    <w:rsid w:val="00F74778"/>
    <w:rsid w:val="00F74D29"/>
    <w:rsid w:val="00F77906"/>
    <w:rsid w:val="00F82188"/>
    <w:rsid w:val="00F846B2"/>
    <w:rsid w:val="00F856BC"/>
    <w:rsid w:val="00F85FC8"/>
    <w:rsid w:val="00F87AEC"/>
    <w:rsid w:val="00F926C6"/>
    <w:rsid w:val="00F93F4F"/>
    <w:rsid w:val="00F94AB4"/>
    <w:rsid w:val="00F9548C"/>
    <w:rsid w:val="00FA2C01"/>
    <w:rsid w:val="00FA390F"/>
    <w:rsid w:val="00FA60D4"/>
    <w:rsid w:val="00FA6FF0"/>
    <w:rsid w:val="00FB3ECA"/>
    <w:rsid w:val="00FB4345"/>
    <w:rsid w:val="00FB67E8"/>
    <w:rsid w:val="00FB6CF8"/>
    <w:rsid w:val="00FB73F3"/>
    <w:rsid w:val="00FB74C7"/>
    <w:rsid w:val="00FC2C6D"/>
    <w:rsid w:val="00FC3A4F"/>
    <w:rsid w:val="00FC6AFF"/>
    <w:rsid w:val="00FD0A02"/>
    <w:rsid w:val="00FD2CFC"/>
    <w:rsid w:val="00FD4C83"/>
    <w:rsid w:val="00FE083F"/>
    <w:rsid w:val="00FE08C0"/>
    <w:rsid w:val="00FE1F9A"/>
    <w:rsid w:val="00FE4D1C"/>
    <w:rsid w:val="00FE58F7"/>
    <w:rsid w:val="00FE6E97"/>
    <w:rsid w:val="00FE7CD2"/>
    <w:rsid w:val="00FF096E"/>
    <w:rsid w:val="00FF46C2"/>
    <w:rsid w:val="00FF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73D649"/>
  <w14:defaultImageDpi w14:val="300"/>
  <w15:chartTrackingRefBased/>
  <w15:docId w15:val="{86B3705C-8683-4F61-AA15-31C1B875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162B3"/>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7162B3"/>
    <w:pPr>
      <w:keepNext/>
      <w:spacing w:before="240" w:after="60"/>
      <w:outlineLvl w:val="1"/>
    </w:pPr>
    <w:rPr>
      <w:rFonts w:ascii="Calibri Light" w:eastAsia="Times New Roman"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1CF"/>
    <w:pPr>
      <w:spacing w:before="100" w:beforeAutospacing="1" w:after="100" w:afterAutospacing="1"/>
    </w:pPr>
    <w:rPr>
      <w:rFonts w:ascii="Times" w:hAnsi="Times"/>
      <w:sz w:val="20"/>
      <w:szCs w:val="20"/>
    </w:rPr>
  </w:style>
  <w:style w:type="character" w:styleId="CommentReference">
    <w:name w:val="annotation reference"/>
    <w:uiPriority w:val="99"/>
    <w:semiHidden/>
    <w:unhideWhenUsed/>
    <w:rsid w:val="00475EA4"/>
    <w:rPr>
      <w:sz w:val="16"/>
      <w:szCs w:val="16"/>
    </w:rPr>
  </w:style>
  <w:style w:type="paragraph" w:styleId="CommentText">
    <w:name w:val="annotation text"/>
    <w:basedOn w:val="Normal"/>
    <w:link w:val="CommentTextChar"/>
    <w:uiPriority w:val="99"/>
    <w:semiHidden/>
    <w:unhideWhenUsed/>
    <w:rsid w:val="00475EA4"/>
    <w:rPr>
      <w:sz w:val="20"/>
      <w:szCs w:val="20"/>
    </w:rPr>
  </w:style>
  <w:style w:type="character" w:customStyle="1" w:styleId="CommentTextChar">
    <w:name w:val="Comment Text Char"/>
    <w:link w:val="CommentText"/>
    <w:uiPriority w:val="99"/>
    <w:semiHidden/>
    <w:rsid w:val="00475EA4"/>
    <w:rPr>
      <w:lang w:eastAsia="en-US"/>
    </w:rPr>
  </w:style>
  <w:style w:type="paragraph" w:styleId="CommentSubject">
    <w:name w:val="annotation subject"/>
    <w:basedOn w:val="CommentText"/>
    <w:next w:val="CommentText"/>
    <w:link w:val="CommentSubjectChar"/>
    <w:uiPriority w:val="99"/>
    <w:semiHidden/>
    <w:unhideWhenUsed/>
    <w:rsid w:val="00475EA4"/>
    <w:rPr>
      <w:b/>
      <w:bCs/>
    </w:rPr>
  </w:style>
  <w:style w:type="character" w:customStyle="1" w:styleId="CommentSubjectChar">
    <w:name w:val="Comment Subject Char"/>
    <w:link w:val="CommentSubject"/>
    <w:uiPriority w:val="99"/>
    <w:semiHidden/>
    <w:rsid w:val="00475EA4"/>
    <w:rPr>
      <w:b/>
      <w:bCs/>
      <w:lang w:eastAsia="en-US"/>
    </w:rPr>
  </w:style>
  <w:style w:type="paragraph" w:styleId="BalloonText">
    <w:name w:val="Balloon Text"/>
    <w:basedOn w:val="Normal"/>
    <w:link w:val="BalloonTextChar"/>
    <w:uiPriority w:val="99"/>
    <w:semiHidden/>
    <w:unhideWhenUsed/>
    <w:rsid w:val="00475EA4"/>
    <w:rPr>
      <w:rFonts w:ascii="Segoe UI" w:hAnsi="Segoe UI" w:cs="Segoe UI"/>
      <w:sz w:val="18"/>
      <w:szCs w:val="18"/>
    </w:rPr>
  </w:style>
  <w:style w:type="character" w:customStyle="1" w:styleId="BalloonTextChar">
    <w:name w:val="Balloon Text Char"/>
    <w:link w:val="BalloonText"/>
    <w:uiPriority w:val="99"/>
    <w:semiHidden/>
    <w:rsid w:val="00475EA4"/>
    <w:rPr>
      <w:rFonts w:ascii="Segoe UI" w:hAnsi="Segoe UI" w:cs="Segoe UI"/>
      <w:sz w:val="18"/>
      <w:szCs w:val="18"/>
      <w:lang w:eastAsia="en-US"/>
    </w:rPr>
  </w:style>
  <w:style w:type="character" w:styleId="Hyperlink">
    <w:name w:val="Hyperlink"/>
    <w:uiPriority w:val="99"/>
    <w:unhideWhenUsed/>
    <w:rsid w:val="00475EA4"/>
    <w:rPr>
      <w:color w:val="0563C1"/>
      <w:u w:val="single"/>
    </w:rPr>
  </w:style>
  <w:style w:type="character" w:customStyle="1" w:styleId="Heading1Char">
    <w:name w:val="Heading 1 Char"/>
    <w:link w:val="Heading1"/>
    <w:uiPriority w:val="9"/>
    <w:rsid w:val="007162B3"/>
    <w:rPr>
      <w:rFonts w:ascii="Calibri Light" w:eastAsia="Times New Roman" w:hAnsi="Calibri Light" w:cs="Times New Roman"/>
      <w:b/>
      <w:bCs/>
      <w:kern w:val="32"/>
      <w:sz w:val="32"/>
      <w:szCs w:val="32"/>
      <w:lang w:eastAsia="en-US"/>
    </w:rPr>
  </w:style>
  <w:style w:type="character" w:customStyle="1" w:styleId="GridTable1Light1">
    <w:name w:val="Grid Table 1 Light1"/>
    <w:uiPriority w:val="69"/>
    <w:qFormat/>
    <w:rsid w:val="007162B3"/>
    <w:rPr>
      <w:b/>
      <w:bCs/>
      <w:i/>
      <w:iCs/>
      <w:spacing w:val="5"/>
    </w:rPr>
  </w:style>
  <w:style w:type="paragraph" w:styleId="Title">
    <w:name w:val="Title"/>
    <w:basedOn w:val="Normal"/>
    <w:next w:val="Normal"/>
    <w:link w:val="TitleChar"/>
    <w:uiPriority w:val="10"/>
    <w:qFormat/>
    <w:rsid w:val="007162B3"/>
    <w:pPr>
      <w:spacing w:before="240" w:after="60"/>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7162B3"/>
    <w:rPr>
      <w:rFonts w:ascii="Calibri Light" w:eastAsia="Times New Roman" w:hAnsi="Calibri Light" w:cs="Times New Roman"/>
      <w:b/>
      <w:bCs/>
      <w:kern w:val="28"/>
      <w:sz w:val="32"/>
      <w:szCs w:val="32"/>
      <w:lang w:eastAsia="en-US"/>
    </w:rPr>
  </w:style>
  <w:style w:type="paragraph" w:customStyle="1" w:styleId="GridTable31">
    <w:name w:val="Grid Table 31"/>
    <w:basedOn w:val="Heading1"/>
    <w:next w:val="Normal"/>
    <w:uiPriority w:val="39"/>
    <w:unhideWhenUsed/>
    <w:qFormat/>
    <w:rsid w:val="007162B3"/>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7162B3"/>
  </w:style>
  <w:style w:type="paragraph" w:styleId="Header">
    <w:name w:val="header"/>
    <w:basedOn w:val="Normal"/>
    <w:link w:val="HeaderChar"/>
    <w:uiPriority w:val="99"/>
    <w:unhideWhenUsed/>
    <w:rsid w:val="007162B3"/>
    <w:pPr>
      <w:tabs>
        <w:tab w:val="center" w:pos="4513"/>
        <w:tab w:val="right" w:pos="9026"/>
      </w:tabs>
    </w:pPr>
  </w:style>
  <w:style w:type="character" w:customStyle="1" w:styleId="HeaderChar">
    <w:name w:val="Header Char"/>
    <w:link w:val="Header"/>
    <w:uiPriority w:val="99"/>
    <w:rsid w:val="007162B3"/>
    <w:rPr>
      <w:sz w:val="24"/>
      <w:szCs w:val="24"/>
      <w:lang w:eastAsia="en-US"/>
    </w:rPr>
  </w:style>
  <w:style w:type="paragraph" w:styleId="Footer">
    <w:name w:val="footer"/>
    <w:basedOn w:val="Normal"/>
    <w:link w:val="FooterChar"/>
    <w:uiPriority w:val="99"/>
    <w:unhideWhenUsed/>
    <w:rsid w:val="007162B3"/>
    <w:pPr>
      <w:tabs>
        <w:tab w:val="center" w:pos="4513"/>
        <w:tab w:val="right" w:pos="9026"/>
      </w:tabs>
    </w:pPr>
  </w:style>
  <w:style w:type="character" w:customStyle="1" w:styleId="FooterChar">
    <w:name w:val="Footer Char"/>
    <w:link w:val="Footer"/>
    <w:uiPriority w:val="99"/>
    <w:rsid w:val="007162B3"/>
    <w:rPr>
      <w:sz w:val="24"/>
      <w:szCs w:val="24"/>
      <w:lang w:eastAsia="en-US"/>
    </w:rPr>
  </w:style>
  <w:style w:type="character" w:customStyle="1" w:styleId="Heading2Char">
    <w:name w:val="Heading 2 Char"/>
    <w:link w:val="Heading2"/>
    <w:uiPriority w:val="9"/>
    <w:rsid w:val="007162B3"/>
    <w:rPr>
      <w:rFonts w:ascii="Calibri Light" w:eastAsia="Times New Roman" w:hAnsi="Calibri Light" w:cs="Times New Roman"/>
      <w:b/>
      <w:bCs/>
      <w:iCs/>
      <w:sz w:val="28"/>
      <w:szCs w:val="28"/>
      <w:lang w:eastAsia="en-US"/>
    </w:rPr>
  </w:style>
  <w:style w:type="paragraph" w:styleId="TOC2">
    <w:name w:val="toc 2"/>
    <w:basedOn w:val="Normal"/>
    <w:next w:val="Normal"/>
    <w:autoRedefine/>
    <w:uiPriority w:val="39"/>
    <w:unhideWhenUsed/>
    <w:rsid w:val="007162B3"/>
    <w:pPr>
      <w:ind w:left="240"/>
    </w:pPr>
  </w:style>
  <w:style w:type="table" w:customStyle="1" w:styleId="TableGrid1">
    <w:name w:val="Table Grid1"/>
    <w:basedOn w:val="TableNormal"/>
    <w:next w:val="TableGrid"/>
    <w:uiPriority w:val="59"/>
    <w:rsid w:val="00E151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5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5E0B"/>
    <w:rPr>
      <w:color w:val="605E5C"/>
      <w:shd w:val="clear" w:color="auto" w:fill="E1DFDD"/>
    </w:rPr>
  </w:style>
  <w:style w:type="character" w:customStyle="1" w:styleId="InternetLink">
    <w:name w:val="Internet Link"/>
    <w:rsid w:val="00005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35866">
      <w:bodyDiv w:val="1"/>
      <w:marLeft w:val="0"/>
      <w:marRight w:val="0"/>
      <w:marTop w:val="0"/>
      <w:marBottom w:val="0"/>
      <w:divBdr>
        <w:top w:val="none" w:sz="0" w:space="0" w:color="auto"/>
        <w:left w:val="none" w:sz="0" w:space="0" w:color="auto"/>
        <w:bottom w:val="none" w:sz="0" w:space="0" w:color="auto"/>
        <w:right w:val="none" w:sz="0" w:space="0" w:color="auto"/>
      </w:divBdr>
      <w:divsChild>
        <w:div w:id="752895695">
          <w:marLeft w:val="0"/>
          <w:marRight w:val="0"/>
          <w:marTop w:val="0"/>
          <w:marBottom w:val="0"/>
          <w:divBdr>
            <w:top w:val="none" w:sz="0" w:space="0" w:color="auto"/>
            <w:left w:val="none" w:sz="0" w:space="0" w:color="auto"/>
            <w:bottom w:val="none" w:sz="0" w:space="0" w:color="auto"/>
            <w:right w:val="none" w:sz="0" w:space="0" w:color="auto"/>
          </w:divBdr>
          <w:divsChild>
            <w:div w:id="365643242">
              <w:marLeft w:val="0"/>
              <w:marRight w:val="0"/>
              <w:marTop w:val="0"/>
              <w:marBottom w:val="0"/>
              <w:divBdr>
                <w:top w:val="none" w:sz="0" w:space="0" w:color="auto"/>
                <w:left w:val="none" w:sz="0" w:space="0" w:color="auto"/>
                <w:bottom w:val="none" w:sz="0" w:space="0" w:color="auto"/>
                <w:right w:val="none" w:sz="0" w:space="0" w:color="auto"/>
              </w:divBdr>
              <w:divsChild>
                <w:div w:id="1240093636">
                  <w:marLeft w:val="0"/>
                  <w:marRight w:val="0"/>
                  <w:marTop w:val="0"/>
                  <w:marBottom w:val="0"/>
                  <w:divBdr>
                    <w:top w:val="none" w:sz="0" w:space="0" w:color="auto"/>
                    <w:left w:val="none" w:sz="0" w:space="0" w:color="auto"/>
                    <w:bottom w:val="none" w:sz="0" w:space="0" w:color="auto"/>
                    <w:right w:val="none" w:sz="0" w:space="0" w:color="auto"/>
                  </w:divBdr>
                  <w:divsChild>
                    <w:div w:id="840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51319">
      <w:bodyDiv w:val="1"/>
      <w:marLeft w:val="0"/>
      <w:marRight w:val="0"/>
      <w:marTop w:val="0"/>
      <w:marBottom w:val="0"/>
      <w:divBdr>
        <w:top w:val="none" w:sz="0" w:space="0" w:color="auto"/>
        <w:left w:val="none" w:sz="0" w:space="0" w:color="auto"/>
        <w:bottom w:val="none" w:sz="0" w:space="0" w:color="auto"/>
        <w:right w:val="none" w:sz="0" w:space="0" w:color="auto"/>
      </w:divBdr>
      <w:divsChild>
        <w:div w:id="1911454446">
          <w:marLeft w:val="0"/>
          <w:marRight w:val="0"/>
          <w:marTop w:val="0"/>
          <w:marBottom w:val="0"/>
          <w:divBdr>
            <w:top w:val="none" w:sz="0" w:space="0" w:color="auto"/>
            <w:left w:val="none" w:sz="0" w:space="0" w:color="auto"/>
            <w:bottom w:val="none" w:sz="0" w:space="0" w:color="auto"/>
            <w:right w:val="none" w:sz="0" w:space="0" w:color="auto"/>
          </w:divBdr>
          <w:divsChild>
            <w:div w:id="117841431">
              <w:marLeft w:val="0"/>
              <w:marRight w:val="0"/>
              <w:marTop w:val="0"/>
              <w:marBottom w:val="0"/>
              <w:divBdr>
                <w:top w:val="none" w:sz="0" w:space="0" w:color="auto"/>
                <w:left w:val="none" w:sz="0" w:space="0" w:color="auto"/>
                <w:bottom w:val="none" w:sz="0" w:space="0" w:color="auto"/>
                <w:right w:val="none" w:sz="0" w:space="0" w:color="auto"/>
              </w:divBdr>
              <w:divsChild>
                <w:div w:id="759831467">
                  <w:marLeft w:val="0"/>
                  <w:marRight w:val="0"/>
                  <w:marTop w:val="0"/>
                  <w:marBottom w:val="0"/>
                  <w:divBdr>
                    <w:top w:val="none" w:sz="0" w:space="0" w:color="auto"/>
                    <w:left w:val="none" w:sz="0" w:space="0" w:color="auto"/>
                    <w:bottom w:val="none" w:sz="0" w:space="0" w:color="auto"/>
                    <w:right w:val="none" w:sz="0" w:space="0" w:color="auto"/>
                  </w:divBdr>
                  <w:divsChild>
                    <w:div w:id="13693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7697">
      <w:bodyDiv w:val="1"/>
      <w:marLeft w:val="0"/>
      <w:marRight w:val="0"/>
      <w:marTop w:val="0"/>
      <w:marBottom w:val="0"/>
      <w:divBdr>
        <w:top w:val="none" w:sz="0" w:space="0" w:color="auto"/>
        <w:left w:val="none" w:sz="0" w:space="0" w:color="auto"/>
        <w:bottom w:val="none" w:sz="0" w:space="0" w:color="auto"/>
        <w:right w:val="none" w:sz="0" w:space="0" w:color="auto"/>
      </w:divBdr>
      <w:divsChild>
        <w:div w:id="596405506">
          <w:marLeft w:val="1166"/>
          <w:marRight w:val="0"/>
          <w:marTop w:val="125"/>
          <w:marBottom w:val="0"/>
          <w:divBdr>
            <w:top w:val="none" w:sz="0" w:space="0" w:color="auto"/>
            <w:left w:val="none" w:sz="0" w:space="0" w:color="auto"/>
            <w:bottom w:val="none" w:sz="0" w:space="0" w:color="auto"/>
            <w:right w:val="none" w:sz="0" w:space="0" w:color="auto"/>
          </w:divBdr>
        </w:div>
        <w:div w:id="907767760">
          <w:marLeft w:val="1166"/>
          <w:marRight w:val="0"/>
          <w:marTop w:val="125"/>
          <w:marBottom w:val="0"/>
          <w:divBdr>
            <w:top w:val="none" w:sz="0" w:space="0" w:color="auto"/>
            <w:left w:val="none" w:sz="0" w:space="0" w:color="auto"/>
            <w:bottom w:val="none" w:sz="0" w:space="0" w:color="auto"/>
            <w:right w:val="none" w:sz="0" w:space="0" w:color="auto"/>
          </w:divBdr>
        </w:div>
        <w:div w:id="1077634539">
          <w:marLeft w:val="547"/>
          <w:marRight w:val="0"/>
          <w:marTop w:val="134"/>
          <w:marBottom w:val="0"/>
          <w:divBdr>
            <w:top w:val="none" w:sz="0" w:space="0" w:color="auto"/>
            <w:left w:val="none" w:sz="0" w:space="0" w:color="auto"/>
            <w:bottom w:val="none" w:sz="0" w:space="0" w:color="auto"/>
            <w:right w:val="none" w:sz="0" w:space="0" w:color="auto"/>
          </w:divBdr>
        </w:div>
        <w:div w:id="1114445753">
          <w:marLeft w:val="547"/>
          <w:marRight w:val="0"/>
          <w:marTop w:val="134"/>
          <w:marBottom w:val="0"/>
          <w:divBdr>
            <w:top w:val="none" w:sz="0" w:space="0" w:color="auto"/>
            <w:left w:val="none" w:sz="0" w:space="0" w:color="auto"/>
            <w:bottom w:val="none" w:sz="0" w:space="0" w:color="auto"/>
            <w:right w:val="none" w:sz="0" w:space="0" w:color="auto"/>
          </w:divBdr>
        </w:div>
        <w:div w:id="1132603150">
          <w:marLeft w:val="1166"/>
          <w:marRight w:val="0"/>
          <w:marTop w:val="125"/>
          <w:marBottom w:val="0"/>
          <w:divBdr>
            <w:top w:val="none" w:sz="0" w:space="0" w:color="auto"/>
            <w:left w:val="none" w:sz="0" w:space="0" w:color="auto"/>
            <w:bottom w:val="none" w:sz="0" w:space="0" w:color="auto"/>
            <w:right w:val="none" w:sz="0" w:space="0" w:color="auto"/>
          </w:divBdr>
        </w:div>
        <w:div w:id="1623534811">
          <w:marLeft w:val="547"/>
          <w:marRight w:val="0"/>
          <w:marTop w:val="134"/>
          <w:marBottom w:val="0"/>
          <w:divBdr>
            <w:top w:val="none" w:sz="0" w:space="0" w:color="auto"/>
            <w:left w:val="none" w:sz="0" w:space="0" w:color="auto"/>
            <w:bottom w:val="none" w:sz="0" w:space="0" w:color="auto"/>
            <w:right w:val="none" w:sz="0" w:space="0" w:color="auto"/>
          </w:divBdr>
        </w:div>
        <w:div w:id="1820228484">
          <w:marLeft w:val="547"/>
          <w:marRight w:val="0"/>
          <w:marTop w:val="134"/>
          <w:marBottom w:val="0"/>
          <w:divBdr>
            <w:top w:val="none" w:sz="0" w:space="0" w:color="auto"/>
            <w:left w:val="none" w:sz="0" w:space="0" w:color="auto"/>
            <w:bottom w:val="none" w:sz="0" w:space="0" w:color="auto"/>
            <w:right w:val="none" w:sz="0" w:space="0" w:color="auto"/>
          </w:divBdr>
        </w:div>
        <w:div w:id="1824348485">
          <w:marLeft w:val="1166"/>
          <w:marRight w:val="0"/>
          <w:marTop w:val="125"/>
          <w:marBottom w:val="0"/>
          <w:divBdr>
            <w:top w:val="none" w:sz="0" w:space="0" w:color="auto"/>
            <w:left w:val="none" w:sz="0" w:space="0" w:color="auto"/>
            <w:bottom w:val="none" w:sz="0" w:space="0" w:color="auto"/>
            <w:right w:val="none" w:sz="0" w:space="0" w:color="auto"/>
          </w:divBdr>
        </w:div>
      </w:divsChild>
    </w:div>
    <w:div w:id="1603293278">
      <w:bodyDiv w:val="1"/>
      <w:marLeft w:val="0"/>
      <w:marRight w:val="0"/>
      <w:marTop w:val="0"/>
      <w:marBottom w:val="0"/>
      <w:divBdr>
        <w:top w:val="none" w:sz="0" w:space="0" w:color="auto"/>
        <w:left w:val="none" w:sz="0" w:space="0" w:color="auto"/>
        <w:bottom w:val="none" w:sz="0" w:space="0" w:color="auto"/>
        <w:right w:val="none" w:sz="0" w:space="0" w:color="auto"/>
      </w:divBdr>
      <w:divsChild>
        <w:div w:id="162934235">
          <w:marLeft w:val="547"/>
          <w:marRight w:val="0"/>
          <w:marTop w:val="110"/>
          <w:marBottom w:val="0"/>
          <w:divBdr>
            <w:top w:val="none" w:sz="0" w:space="0" w:color="auto"/>
            <w:left w:val="none" w:sz="0" w:space="0" w:color="auto"/>
            <w:bottom w:val="none" w:sz="0" w:space="0" w:color="auto"/>
            <w:right w:val="none" w:sz="0" w:space="0" w:color="auto"/>
          </w:divBdr>
        </w:div>
        <w:div w:id="237179120">
          <w:marLeft w:val="1166"/>
          <w:marRight w:val="0"/>
          <w:marTop w:val="106"/>
          <w:marBottom w:val="0"/>
          <w:divBdr>
            <w:top w:val="none" w:sz="0" w:space="0" w:color="auto"/>
            <w:left w:val="none" w:sz="0" w:space="0" w:color="auto"/>
            <w:bottom w:val="none" w:sz="0" w:space="0" w:color="auto"/>
            <w:right w:val="none" w:sz="0" w:space="0" w:color="auto"/>
          </w:divBdr>
        </w:div>
        <w:div w:id="287853723">
          <w:marLeft w:val="1166"/>
          <w:marRight w:val="0"/>
          <w:marTop w:val="106"/>
          <w:marBottom w:val="0"/>
          <w:divBdr>
            <w:top w:val="none" w:sz="0" w:space="0" w:color="auto"/>
            <w:left w:val="none" w:sz="0" w:space="0" w:color="auto"/>
            <w:bottom w:val="none" w:sz="0" w:space="0" w:color="auto"/>
            <w:right w:val="none" w:sz="0" w:space="0" w:color="auto"/>
          </w:divBdr>
        </w:div>
        <w:div w:id="418916056">
          <w:marLeft w:val="1166"/>
          <w:marRight w:val="0"/>
          <w:marTop w:val="106"/>
          <w:marBottom w:val="0"/>
          <w:divBdr>
            <w:top w:val="none" w:sz="0" w:space="0" w:color="auto"/>
            <w:left w:val="none" w:sz="0" w:space="0" w:color="auto"/>
            <w:bottom w:val="none" w:sz="0" w:space="0" w:color="auto"/>
            <w:right w:val="none" w:sz="0" w:space="0" w:color="auto"/>
          </w:divBdr>
        </w:div>
        <w:div w:id="592475153">
          <w:marLeft w:val="1166"/>
          <w:marRight w:val="0"/>
          <w:marTop w:val="106"/>
          <w:marBottom w:val="0"/>
          <w:divBdr>
            <w:top w:val="none" w:sz="0" w:space="0" w:color="auto"/>
            <w:left w:val="none" w:sz="0" w:space="0" w:color="auto"/>
            <w:bottom w:val="none" w:sz="0" w:space="0" w:color="auto"/>
            <w:right w:val="none" w:sz="0" w:space="0" w:color="auto"/>
          </w:divBdr>
        </w:div>
        <w:div w:id="696782506">
          <w:marLeft w:val="547"/>
          <w:marRight w:val="0"/>
          <w:marTop w:val="110"/>
          <w:marBottom w:val="0"/>
          <w:divBdr>
            <w:top w:val="none" w:sz="0" w:space="0" w:color="auto"/>
            <w:left w:val="none" w:sz="0" w:space="0" w:color="auto"/>
            <w:bottom w:val="none" w:sz="0" w:space="0" w:color="auto"/>
            <w:right w:val="none" w:sz="0" w:space="0" w:color="auto"/>
          </w:divBdr>
        </w:div>
        <w:div w:id="834108742">
          <w:marLeft w:val="547"/>
          <w:marRight w:val="0"/>
          <w:marTop w:val="110"/>
          <w:marBottom w:val="0"/>
          <w:divBdr>
            <w:top w:val="none" w:sz="0" w:space="0" w:color="auto"/>
            <w:left w:val="none" w:sz="0" w:space="0" w:color="auto"/>
            <w:bottom w:val="none" w:sz="0" w:space="0" w:color="auto"/>
            <w:right w:val="none" w:sz="0" w:space="0" w:color="auto"/>
          </w:divBdr>
        </w:div>
        <w:div w:id="1023433892">
          <w:marLeft w:val="1166"/>
          <w:marRight w:val="0"/>
          <w:marTop w:val="106"/>
          <w:marBottom w:val="0"/>
          <w:divBdr>
            <w:top w:val="none" w:sz="0" w:space="0" w:color="auto"/>
            <w:left w:val="none" w:sz="0" w:space="0" w:color="auto"/>
            <w:bottom w:val="none" w:sz="0" w:space="0" w:color="auto"/>
            <w:right w:val="none" w:sz="0" w:space="0" w:color="auto"/>
          </w:divBdr>
        </w:div>
        <w:div w:id="1481850712">
          <w:marLeft w:val="1166"/>
          <w:marRight w:val="0"/>
          <w:marTop w:val="106"/>
          <w:marBottom w:val="0"/>
          <w:divBdr>
            <w:top w:val="none" w:sz="0" w:space="0" w:color="auto"/>
            <w:left w:val="none" w:sz="0" w:space="0" w:color="auto"/>
            <w:bottom w:val="none" w:sz="0" w:space="0" w:color="auto"/>
            <w:right w:val="none" w:sz="0" w:space="0" w:color="auto"/>
          </w:divBdr>
        </w:div>
        <w:div w:id="1501770486">
          <w:marLeft w:val="1166"/>
          <w:marRight w:val="0"/>
          <w:marTop w:val="106"/>
          <w:marBottom w:val="0"/>
          <w:divBdr>
            <w:top w:val="none" w:sz="0" w:space="0" w:color="auto"/>
            <w:left w:val="none" w:sz="0" w:space="0" w:color="auto"/>
            <w:bottom w:val="none" w:sz="0" w:space="0" w:color="auto"/>
            <w:right w:val="none" w:sz="0" w:space="0" w:color="auto"/>
          </w:divBdr>
        </w:div>
        <w:div w:id="1796220034">
          <w:marLeft w:val="1166"/>
          <w:marRight w:val="0"/>
          <w:marTop w:val="106"/>
          <w:marBottom w:val="0"/>
          <w:divBdr>
            <w:top w:val="none" w:sz="0" w:space="0" w:color="auto"/>
            <w:left w:val="none" w:sz="0" w:space="0" w:color="auto"/>
            <w:bottom w:val="none" w:sz="0" w:space="0" w:color="auto"/>
            <w:right w:val="none" w:sz="0" w:space="0" w:color="auto"/>
          </w:divBdr>
        </w:div>
        <w:div w:id="1834056180">
          <w:marLeft w:val="1166"/>
          <w:marRight w:val="0"/>
          <w:marTop w:val="106"/>
          <w:marBottom w:val="0"/>
          <w:divBdr>
            <w:top w:val="none" w:sz="0" w:space="0" w:color="auto"/>
            <w:left w:val="none" w:sz="0" w:space="0" w:color="auto"/>
            <w:bottom w:val="none" w:sz="0" w:space="0" w:color="auto"/>
            <w:right w:val="none" w:sz="0" w:space="0" w:color="auto"/>
          </w:divBdr>
        </w:div>
        <w:div w:id="1873419365">
          <w:marLeft w:val="1166"/>
          <w:marRight w:val="0"/>
          <w:marTop w:val="106"/>
          <w:marBottom w:val="0"/>
          <w:divBdr>
            <w:top w:val="none" w:sz="0" w:space="0" w:color="auto"/>
            <w:left w:val="none" w:sz="0" w:space="0" w:color="auto"/>
            <w:bottom w:val="none" w:sz="0" w:space="0" w:color="auto"/>
            <w:right w:val="none" w:sz="0" w:space="0" w:color="auto"/>
          </w:divBdr>
        </w:div>
        <w:div w:id="1933732675">
          <w:marLeft w:val="1166"/>
          <w:marRight w:val="0"/>
          <w:marTop w:val="106"/>
          <w:marBottom w:val="0"/>
          <w:divBdr>
            <w:top w:val="none" w:sz="0" w:space="0" w:color="auto"/>
            <w:left w:val="none" w:sz="0" w:space="0" w:color="auto"/>
            <w:bottom w:val="none" w:sz="0" w:space="0" w:color="auto"/>
            <w:right w:val="none" w:sz="0" w:space="0" w:color="auto"/>
          </w:divBdr>
        </w:div>
        <w:div w:id="2125420298">
          <w:marLeft w:val="547"/>
          <w:marRight w:val="0"/>
          <w:marTop w:val="110"/>
          <w:marBottom w:val="0"/>
          <w:divBdr>
            <w:top w:val="none" w:sz="0" w:space="0" w:color="auto"/>
            <w:left w:val="none" w:sz="0" w:space="0" w:color="auto"/>
            <w:bottom w:val="none" w:sz="0" w:space="0" w:color="auto"/>
            <w:right w:val="none" w:sz="0" w:space="0" w:color="auto"/>
          </w:divBdr>
        </w:div>
      </w:divsChild>
    </w:div>
    <w:div w:id="1654680190">
      <w:bodyDiv w:val="1"/>
      <w:marLeft w:val="0"/>
      <w:marRight w:val="0"/>
      <w:marTop w:val="0"/>
      <w:marBottom w:val="0"/>
      <w:divBdr>
        <w:top w:val="none" w:sz="0" w:space="0" w:color="auto"/>
        <w:left w:val="none" w:sz="0" w:space="0" w:color="auto"/>
        <w:bottom w:val="none" w:sz="0" w:space="0" w:color="auto"/>
        <w:right w:val="none" w:sz="0" w:space="0" w:color="auto"/>
      </w:divBdr>
      <w:divsChild>
        <w:div w:id="1564482237">
          <w:marLeft w:val="0"/>
          <w:marRight w:val="0"/>
          <w:marTop w:val="0"/>
          <w:marBottom w:val="0"/>
          <w:divBdr>
            <w:top w:val="none" w:sz="0" w:space="0" w:color="auto"/>
            <w:left w:val="none" w:sz="0" w:space="0" w:color="auto"/>
            <w:bottom w:val="none" w:sz="0" w:space="0" w:color="auto"/>
            <w:right w:val="none" w:sz="0" w:space="0" w:color="auto"/>
          </w:divBdr>
          <w:divsChild>
            <w:div w:id="964114972">
              <w:marLeft w:val="0"/>
              <w:marRight w:val="0"/>
              <w:marTop w:val="0"/>
              <w:marBottom w:val="0"/>
              <w:divBdr>
                <w:top w:val="none" w:sz="0" w:space="0" w:color="auto"/>
                <w:left w:val="none" w:sz="0" w:space="0" w:color="auto"/>
                <w:bottom w:val="none" w:sz="0" w:space="0" w:color="auto"/>
                <w:right w:val="none" w:sz="0" w:space="0" w:color="auto"/>
              </w:divBdr>
              <w:divsChild>
                <w:div w:id="6135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83061">
      <w:bodyDiv w:val="1"/>
      <w:marLeft w:val="0"/>
      <w:marRight w:val="0"/>
      <w:marTop w:val="0"/>
      <w:marBottom w:val="0"/>
      <w:divBdr>
        <w:top w:val="none" w:sz="0" w:space="0" w:color="auto"/>
        <w:left w:val="none" w:sz="0" w:space="0" w:color="auto"/>
        <w:bottom w:val="none" w:sz="0" w:space="0" w:color="auto"/>
        <w:right w:val="none" w:sz="0" w:space="0" w:color="auto"/>
      </w:divBdr>
      <w:divsChild>
        <w:div w:id="138347400">
          <w:marLeft w:val="1166"/>
          <w:marRight w:val="0"/>
          <w:marTop w:val="125"/>
          <w:marBottom w:val="0"/>
          <w:divBdr>
            <w:top w:val="none" w:sz="0" w:space="0" w:color="auto"/>
            <w:left w:val="none" w:sz="0" w:space="0" w:color="auto"/>
            <w:bottom w:val="none" w:sz="0" w:space="0" w:color="auto"/>
            <w:right w:val="none" w:sz="0" w:space="0" w:color="auto"/>
          </w:divBdr>
        </w:div>
        <w:div w:id="400445722">
          <w:marLeft w:val="1166"/>
          <w:marRight w:val="0"/>
          <w:marTop w:val="125"/>
          <w:marBottom w:val="0"/>
          <w:divBdr>
            <w:top w:val="none" w:sz="0" w:space="0" w:color="auto"/>
            <w:left w:val="none" w:sz="0" w:space="0" w:color="auto"/>
            <w:bottom w:val="none" w:sz="0" w:space="0" w:color="auto"/>
            <w:right w:val="none" w:sz="0" w:space="0" w:color="auto"/>
          </w:divBdr>
        </w:div>
        <w:div w:id="438525219">
          <w:marLeft w:val="547"/>
          <w:marRight w:val="0"/>
          <w:marTop w:val="134"/>
          <w:marBottom w:val="0"/>
          <w:divBdr>
            <w:top w:val="none" w:sz="0" w:space="0" w:color="auto"/>
            <w:left w:val="none" w:sz="0" w:space="0" w:color="auto"/>
            <w:bottom w:val="none" w:sz="0" w:space="0" w:color="auto"/>
            <w:right w:val="none" w:sz="0" w:space="0" w:color="auto"/>
          </w:divBdr>
        </w:div>
        <w:div w:id="456413592">
          <w:marLeft w:val="1166"/>
          <w:marRight w:val="0"/>
          <w:marTop w:val="125"/>
          <w:marBottom w:val="0"/>
          <w:divBdr>
            <w:top w:val="none" w:sz="0" w:space="0" w:color="auto"/>
            <w:left w:val="none" w:sz="0" w:space="0" w:color="auto"/>
            <w:bottom w:val="none" w:sz="0" w:space="0" w:color="auto"/>
            <w:right w:val="none" w:sz="0" w:space="0" w:color="auto"/>
          </w:divBdr>
        </w:div>
        <w:div w:id="951086874">
          <w:marLeft w:val="1166"/>
          <w:marRight w:val="0"/>
          <w:marTop w:val="125"/>
          <w:marBottom w:val="0"/>
          <w:divBdr>
            <w:top w:val="none" w:sz="0" w:space="0" w:color="auto"/>
            <w:left w:val="none" w:sz="0" w:space="0" w:color="auto"/>
            <w:bottom w:val="none" w:sz="0" w:space="0" w:color="auto"/>
            <w:right w:val="none" w:sz="0" w:space="0" w:color="auto"/>
          </w:divBdr>
        </w:div>
        <w:div w:id="1248005222">
          <w:marLeft w:val="547"/>
          <w:marRight w:val="0"/>
          <w:marTop w:val="134"/>
          <w:marBottom w:val="0"/>
          <w:divBdr>
            <w:top w:val="none" w:sz="0" w:space="0" w:color="auto"/>
            <w:left w:val="none" w:sz="0" w:space="0" w:color="auto"/>
            <w:bottom w:val="none" w:sz="0" w:space="0" w:color="auto"/>
            <w:right w:val="none" w:sz="0" w:space="0" w:color="auto"/>
          </w:divBdr>
        </w:div>
        <w:div w:id="1635061761">
          <w:marLeft w:val="547"/>
          <w:marRight w:val="0"/>
          <w:marTop w:val="134"/>
          <w:marBottom w:val="0"/>
          <w:divBdr>
            <w:top w:val="none" w:sz="0" w:space="0" w:color="auto"/>
            <w:left w:val="none" w:sz="0" w:space="0" w:color="auto"/>
            <w:bottom w:val="none" w:sz="0" w:space="0" w:color="auto"/>
            <w:right w:val="none" w:sz="0" w:space="0" w:color="auto"/>
          </w:divBdr>
        </w:div>
        <w:div w:id="1893735985">
          <w:marLeft w:val="547"/>
          <w:marRight w:val="0"/>
          <w:marTop w:val="134"/>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justiceinspectorates.gov.uk/hmiprobation/wp-content/uploads/sites/5/2014/06/HMI-Probation-Annual-Report-2013-2014.pdf" TargetMode="External"/><Relationship Id="rId13" Type="http://schemas.openxmlformats.org/officeDocument/2006/relationships/hyperlink" Target="https://appropriateadult.org.uk/policy/research/theretohel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ropriateadult.org.uk/policy/research/there-to-help-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ropriateadult.org.uk/national-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propriateadult.org.uk/index.php/news/9-public-articles/154-theretohelp" TargetMode="External"/><Relationship Id="rId4" Type="http://schemas.openxmlformats.org/officeDocument/2006/relationships/settings" Target="settings.xml"/><Relationship Id="rId9" Type="http://schemas.openxmlformats.org/officeDocument/2006/relationships/hyperlink" Target="https://howardleague.org/wp-content/uploads/2016/09/ECAN-bulletin-2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9DAC-187C-4B87-8EF9-455AED0D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8849</Words>
  <Characters>50441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Newcastle College</Company>
  <LinksUpToDate>false</LinksUpToDate>
  <CharactersWithSpaces>59172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Hutchinson</dc:creator>
  <cp:keywords/>
  <dc:description/>
  <cp:lastModifiedBy>Donna Peacock (Staff)</cp:lastModifiedBy>
  <cp:revision>2</cp:revision>
  <dcterms:created xsi:type="dcterms:W3CDTF">2021-08-25T16:18:00Z</dcterms:created>
  <dcterms:modified xsi:type="dcterms:W3CDTF">2021-08-25T16:18:00Z</dcterms:modified>
</cp:coreProperties>
</file>