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3053" w14:textId="4578D50D" w:rsidR="00730C40" w:rsidRPr="00660ECD" w:rsidRDefault="00730C40" w:rsidP="00660ECD">
      <w:pPr>
        <w:spacing w:after="100" w:afterAutospacing="1" w:line="360" w:lineRule="auto"/>
        <w:rPr>
          <w:rFonts w:cstheme="minorHAnsi"/>
          <w:b/>
          <w:bCs/>
          <w:sz w:val="24"/>
          <w:szCs w:val="24"/>
        </w:rPr>
      </w:pPr>
      <w:r w:rsidRPr="00660ECD">
        <w:rPr>
          <w:rFonts w:cstheme="minorHAnsi"/>
          <w:b/>
          <w:bCs/>
          <w:sz w:val="24"/>
          <w:szCs w:val="24"/>
        </w:rPr>
        <w:t>High</w:t>
      </w:r>
      <w:r w:rsidR="008C0A07">
        <w:rPr>
          <w:rFonts w:cstheme="minorHAnsi"/>
          <w:b/>
          <w:bCs/>
          <w:sz w:val="24"/>
          <w:szCs w:val="24"/>
        </w:rPr>
        <w:t>-</w:t>
      </w:r>
      <w:r w:rsidR="00660ECD">
        <w:rPr>
          <w:rFonts w:cstheme="minorHAnsi"/>
          <w:b/>
          <w:bCs/>
          <w:sz w:val="24"/>
          <w:szCs w:val="24"/>
        </w:rPr>
        <w:t>r</w:t>
      </w:r>
      <w:r w:rsidRPr="00660ECD">
        <w:rPr>
          <w:rFonts w:cstheme="minorHAnsi"/>
          <w:b/>
          <w:bCs/>
          <w:sz w:val="24"/>
          <w:szCs w:val="24"/>
        </w:rPr>
        <w:t xml:space="preserve">isk </w:t>
      </w:r>
      <w:r w:rsidR="00660ECD">
        <w:rPr>
          <w:rFonts w:cstheme="minorHAnsi"/>
          <w:b/>
          <w:bCs/>
          <w:sz w:val="24"/>
          <w:szCs w:val="24"/>
        </w:rPr>
        <w:t>m</w:t>
      </w:r>
      <w:r w:rsidRPr="00660ECD">
        <w:rPr>
          <w:rFonts w:cstheme="minorHAnsi"/>
          <w:b/>
          <w:bCs/>
          <w:sz w:val="24"/>
          <w:szCs w:val="24"/>
        </w:rPr>
        <w:t xml:space="preserve">edications: </w:t>
      </w:r>
      <w:r w:rsidR="00660ECD">
        <w:rPr>
          <w:rFonts w:cstheme="minorHAnsi"/>
          <w:b/>
          <w:bCs/>
          <w:sz w:val="24"/>
          <w:szCs w:val="24"/>
        </w:rPr>
        <w:t>a</w:t>
      </w:r>
      <w:r w:rsidRPr="00660ECD">
        <w:rPr>
          <w:rFonts w:cstheme="minorHAnsi"/>
          <w:b/>
          <w:bCs/>
          <w:sz w:val="24"/>
          <w:szCs w:val="24"/>
        </w:rPr>
        <w:t xml:space="preserve"> </w:t>
      </w:r>
      <w:r w:rsidR="00660ECD">
        <w:rPr>
          <w:rFonts w:cstheme="minorHAnsi"/>
          <w:b/>
          <w:bCs/>
          <w:sz w:val="24"/>
          <w:szCs w:val="24"/>
        </w:rPr>
        <w:t>g</w:t>
      </w:r>
      <w:r w:rsidRPr="00660ECD">
        <w:rPr>
          <w:rFonts w:cstheme="minorHAnsi"/>
          <w:b/>
          <w:bCs/>
          <w:sz w:val="24"/>
          <w:szCs w:val="24"/>
        </w:rPr>
        <w:t xml:space="preserve">uide for </w:t>
      </w:r>
      <w:r w:rsidR="00660ECD">
        <w:rPr>
          <w:rFonts w:cstheme="minorHAnsi"/>
          <w:b/>
          <w:bCs/>
          <w:sz w:val="24"/>
          <w:szCs w:val="24"/>
        </w:rPr>
        <w:t>pharmacy p</w:t>
      </w:r>
      <w:r w:rsidRPr="00660ECD">
        <w:rPr>
          <w:rFonts w:cstheme="minorHAnsi"/>
          <w:b/>
          <w:bCs/>
          <w:sz w:val="24"/>
          <w:szCs w:val="24"/>
        </w:rPr>
        <w:t>rofessionals</w:t>
      </w:r>
    </w:p>
    <w:p w14:paraId="08599B2D" w14:textId="70A2C0D2" w:rsidR="00730C40" w:rsidRDefault="00730C40" w:rsidP="00660ECD">
      <w:pPr>
        <w:spacing w:after="100" w:afterAutospacing="1" w:line="360" w:lineRule="auto"/>
        <w:rPr>
          <w:rFonts w:cstheme="minorHAnsi"/>
          <w:sz w:val="24"/>
          <w:szCs w:val="24"/>
        </w:rPr>
      </w:pPr>
      <w:r w:rsidRPr="00660ECD">
        <w:rPr>
          <w:rFonts w:cstheme="minorHAnsi"/>
          <w:sz w:val="24"/>
          <w:szCs w:val="24"/>
        </w:rPr>
        <w:t>Rebecca Coon, Senior Lecturer, University of Sunderland</w:t>
      </w:r>
    </w:p>
    <w:p w14:paraId="5C1C0FAD" w14:textId="4CEC3119" w:rsidR="00660ECD" w:rsidRDefault="00660ECD" w:rsidP="00660ECD">
      <w:pPr>
        <w:spacing w:after="100" w:afterAutospacing="1" w:line="360" w:lineRule="auto"/>
        <w:rPr>
          <w:rFonts w:cstheme="minorHAnsi"/>
          <w:sz w:val="24"/>
          <w:szCs w:val="24"/>
        </w:rPr>
      </w:pPr>
      <w:r>
        <w:rPr>
          <w:rFonts w:cstheme="minorHAnsi"/>
          <w:sz w:val="24"/>
          <w:szCs w:val="24"/>
        </w:rPr>
        <w:t>After reading this article, you should be able to:</w:t>
      </w:r>
    </w:p>
    <w:p w14:paraId="3AEE25D7" w14:textId="1AAB75D7" w:rsidR="00660ECD" w:rsidRDefault="00884B59" w:rsidP="00660ECD">
      <w:pPr>
        <w:pStyle w:val="ListParagraph"/>
        <w:numPr>
          <w:ilvl w:val="0"/>
          <w:numId w:val="9"/>
        </w:numPr>
        <w:spacing w:after="100" w:afterAutospacing="1" w:line="360" w:lineRule="auto"/>
        <w:rPr>
          <w:rFonts w:cstheme="minorHAnsi"/>
          <w:sz w:val="24"/>
          <w:szCs w:val="24"/>
        </w:rPr>
      </w:pPr>
      <w:r w:rsidRPr="00884B59">
        <w:rPr>
          <w:rFonts w:cstheme="minorHAnsi"/>
          <w:sz w:val="24"/>
          <w:szCs w:val="24"/>
        </w:rPr>
        <w:t>Understand which medications are considered high-risk and why, including their potential for causing significant harm if used incorrectly</w:t>
      </w:r>
      <w:r>
        <w:rPr>
          <w:rFonts w:cstheme="minorHAnsi"/>
          <w:sz w:val="24"/>
          <w:szCs w:val="24"/>
        </w:rPr>
        <w:t>.</w:t>
      </w:r>
    </w:p>
    <w:p w14:paraId="35BAB426" w14:textId="7A14A9D8" w:rsidR="00C23551" w:rsidRDefault="00C23551" w:rsidP="00C23551">
      <w:pPr>
        <w:pStyle w:val="ListParagraph"/>
        <w:numPr>
          <w:ilvl w:val="0"/>
          <w:numId w:val="9"/>
        </w:numPr>
        <w:spacing w:after="100" w:afterAutospacing="1" w:line="360" w:lineRule="auto"/>
        <w:rPr>
          <w:rFonts w:cstheme="minorHAnsi"/>
          <w:sz w:val="24"/>
          <w:szCs w:val="24"/>
        </w:rPr>
      </w:pPr>
      <w:r>
        <w:rPr>
          <w:rFonts w:cstheme="minorHAnsi"/>
          <w:sz w:val="24"/>
          <w:szCs w:val="24"/>
        </w:rPr>
        <w:t>I</w:t>
      </w:r>
      <w:r w:rsidRPr="00C23551">
        <w:rPr>
          <w:rFonts w:cstheme="minorHAnsi"/>
          <w:sz w:val="24"/>
          <w:szCs w:val="24"/>
        </w:rPr>
        <w:t>mplement safety measures to reduce the risk associated with high-risk medications.</w:t>
      </w:r>
    </w:p>
    <w:p w14:paraId="6913A249" w14:textId="1C638E12" w:rsidR="00C23551" w:rsidRPr="00C23551" w:rsidRDefault="00766FD9" w:rsidP="00C23551">
      <w:pPr>
        <w:pStyle w:val="ListParagraph"/>
        <w:numPr>
          <w:ilvl w:val="0"/>
          <w:numId w:val="9"/>
        </w:numPr>
        <w:spacing w:after="100" w:afterAutospacing="1" w:line="360" w:lineRule="auto"/>
        <w:rPr>
          <w:rFonts w:cstheme="minorHAnsi"/>
          <w:sz w:val="24"/>
          <w:szCs w:val="24"/>
        </w:rPr>
      </w:pPr>
      <w:r>
        <w:rPr>
          <w:rFonts w:cstheme="minorHAnsi"/>
          <w:sz w:val="24"/>
          <w:szCs w:val="24"/>
        </w:rPr>
        <w:t xml:space="preserve">Recognise </w:t>
      </w:r>
      <w:r w:rsidRPr="00766FD9">
        <w:rPr>
          <w:rFonts w:cstheme="minorHAnsi"/>
          <w:sz w:val="24"/>
          <w:szCs w:val="24"/>
        </w:rPr>
        <w:t xml:space="preserve">how </w:t>
      </w:r>
      <w:r w:rsidR="00E42DB8">
        <w:rPr>
          <w:rFonts w:cstheme="minorHAnsi"/>
          <w:sz w:val="24"/>
          <w:szCs w:val="24"/>
        </w:rPr>
        <w:t>pharmacists</w:t>
      </w:r>
      <w:r w:rsidRPr="00766FD9">
        <w:rPr>
          <w:rFonts w:cstheme="minorHAnsi"/>
          <w:sz w:val="24"/>
          <w:szCs w:val="24"/>
        </w:rPr>
        <w:t xml:space="preserve"> contribute to safer </w:t>
      </w:r>
      <w:r>
        <w:rPr>
          <w:rFonts w:cstheme="minorHAnsi"/>
          <w:sz w:val="24"/>
          <w:szCs w:val="24"/>
        </w:rPr>
        <w:t>use of high-risk medications.</w:t>
      </w:r>
    </w:p>
    <w:p w14:paraId="5093A680" w14:textId="32DB8814" w:rsidR="00B5414D" w:rsidRPr="00660ECD" w:rsidRDefault="004802E5" w:rsidP="00660ECD">
      <w:pPr>
        <w:spacing w:after="100" w:afterAutospacing="1" w:line="360" w:lineRule="auto"/>
        <w:rPr>
          <w:rFonts w:cstheme="minorHAnsi"/>
          <w:sz w:val="24"/>
          <w:szCs w:val="24"/>
        </w:rPr>
      </w:pPr>
      <w:r>
        <w:rPr>
          <w:rFonts w:cstheme="minorHAnsi"/>
          <w:sz w:val="24"/>
          <w:szCs w:val="24"/>
        </w:rPr>
        <w:t>M</w:t>
      </w:r>
      <w:r w:rsidR="00EF756A" w:rsidRPr="00660ECD">
        <w:rPr>
          <w:rFonts w:cstheme="minorHAnsi"/>
          <w:sz w:val="24"/>
          <w:szCs w:val="24"/>
        </w:rPr>
        <w:t>edications are the mainstay of treatment for a range of conditions</w:t>
      </w:r>
      <w:r w:rsidR="007B7AB1" w:rsidRPr="00660ECD">
        <w:rPr>
          <w:rFonts w:cstheme="minorHAnsi"/>
          <w:sz w:val="24"/>
          <w:szCs w:val="24"/>
        </w:rPr>
        <w:t>, yet</w:t>
      </w:r>
      <w:r w:rsidR="00004C95" w:rsidRPr="00660ECD">
        <w:rPr>
          <w:rFonts w:cstheme="minorHAnsi"/>
          <w:sz w:val="24"/>
          <w:szCs w:val="24"/>
        </w:rPr>
        <w:t xml:space="preserve"> it is widely </w:t>
      </w:r>
      <w:r w:rsidR="00572FB5" w:rsidRPr="00660ECD">
        <w:rPr>
          <w:rFonts w:cstheme="minorHAnsi"/>
          <w:sz w:val="24"/>
          <w:szCs w:val="24"/>
        </w:rPr>
        <w:t>recognised</w:t>
      </w:r>
      <w:r w:rsidR="00004C95" w:rsidRPr="00660ECD">
        <w:rPr>
          <w:rFonts w:cstheme="minorHAnsi"/>
          <w:sz w:val="24"/>
          <w:szCs w:val="24"/>
        </w:rPr>
        <w:t xml:space="preserve"> that </w:t>
      </w:r>
      <w:r w:rsidR="00D86B46" w:rsidRPr="00660ECD">
        <w:rPr>
          <w:rFonts w:cstheme="minorHAnsi"/>
          <w:sz w:val="24"/>
          <w:szCs w:val="24"/>
        </w:rPr>
        <w:t>medication errors are one of the leading causes of patient harm</w:t>
      </w:r>
      <w:r w:rsidR="00C77943" w:rsidRPr="00660ECD">
        <w:rPr>
          <w:rFonts w:cstheme="minorHAnsi"/>
          <w:sz w:val="24"/>
          <w:szCs w:val="24"/>
        </w:rPr>
        <w:t>, with 1 in 20 p</w:t>
      </w:r>
      <w:r w:rsidR="009C6F64" w:rsidRPr="00660ECD">
        <w:rPr>
          <w:rFonts w:cstheme="minorHAnsi"/>
          <w:sz w:val="24"/>
          <w:szCs w:val="24"/>
        </w:rPr>
        <w:t>atients exposed to preventable harm</w:t>
      </w:r>
      <w:r w:rsidR="007C1263" w:rsidRPr="00660ECD">
        <w:rPr>
          <w:rFonts w:cstheme="minorHAnsi"/>
          <w:sz w:val="24"/>
          <w:szCs w:val="24"/>
        </w:rPr>
        <w:t xml:space="preserve"> </w:t>
      </w:r>
      <w:r w:rsidR="007B7AB1" w:rsidRPr="00660ECD">
        <w:rPr>
          <w:rFonts w:cstheme="minorHAnsi"/>
          <w:sz w:val="24"/>
          <w:szCs w:val="24"/>
        </w:rPr>
        <w:fldChar w:fldCharType="begin"/>
      </w:r>
      <w:r w:rsidR="007B7AB1" w:rsidRPr="00660ECD">
        <w:rPr>
          <w:rFonts w:cstheme="minorHAnsi"/>
          <w:sz w:val="24"/>
          <w:szCs w:val="24"/>
        </w:rPr>
        <w:instrText xml:space="preserve"> ADDIN ZOTERO_ITEM CSL_CITATION {"citationID":"ysFRZEW6","properties":{"formattedCitation":"(1)","plainCitation":"(1)","noteIndex":0},"citationItems":[{"id":1,"uris":["http://zotero.org/users/local/3eWb7dOa/items/2AYVYM6N"],"itemData":{"id":1,"type":"article-journal","abstract":"OBJECTIVE: To systematically quantify the prevalence, severity, and nature of preventable patient harm across a range of medical settings globally.\nDESIGN: Systematic review and meta-analysis.\nDATA SOURCES: Medline, PubMed, PsycINFO, Cinahl and Embase, WHOLIS, Google Scholar, and SIGLE from January 2000 to January 2019. The reference lists of eligible studies and other relevant systematic reviews were also searched.\nREVIEW METHODS: Observational studies reporting preventable patient harm in medical care. The core outcomes were the prevalence, severity, and types of preventable patient harm reported as percentages and their 95% confidence intervals. Data extraction and critical appraisal were undertaken by two reviewers working independently. Random effects meta-analysis was employed followed by univariable and multivariable meta regression. Heterogeneity was quantified by using the I2 statistic, and publication bias was evaluated.\nRESULTS: Of the 7313 records identified, 70 studies involving 337 025 patients were included in the meta-analysis. The pooled prevalence for preventable patient harm was 6% (95% confidence interval 5% to 7%). A pooled proportion of 12% (9% to 15%) of preventable patient harm was severe or led to death. Incidents related to drugs (25%, 95% confidence interval 16% to 34%) and other treatments (24%, 21% to 30%) accounted for the largest proportion of preventable patient harm. Compared with general hospitals (where most evidence originated), preventable patient harm was more prevalent in advanced specialties (intensive care or surgery; regression coefficient b=0.07, 95% confidence interval 0.04 to 0.10).\nCONCLUSIONS: Around one in 20 patients are exposed to preventable harm in medical care. Although a focus on preventable patient harm has been encouraged by the international patient safety policy agenda, there are limited quality improvement practices specifically targeting incidents of preventable patient harm rather than overall patient harm (preventable and non-preventable). Developing and implementing evidence-based mitigation strategies specifically targeting preventable patient harm could lead to major service quality improvements in medical care which could also be more cost effective.","container-title":"BMJ (Clinical research ed.)","DOI":"10.1136/bmj.l4185","ISSN":"1756-1833","journalAbbreviation":"BMJ","language":"eng","note":"PMID: 31315828\nPMCID: PMC6939648","page":"l4185","source":"PubMed","title":"Prevalence, severity, and nature of preventable patient harm across medical care settings: systematic review and meta-analysis","title-short":"Prevalence, severity, and nature of preventable patient harm across medical care settings","volume":"366","author":[{"family":"Panagioti","given":"Maria"},{"family":"Khan","given":"Kanza"},{"family":"Keers","given":"Richard N."},{"family":"Abuzour","given":"Aseel"},{"family":"Phipps","given":"Denham"},{"family":"Kontopantelis","given":"Evangelos"},{"family":"Bower","given":"Peter"},{"family":"Campbell","given":"Stephen"},{"family":"Haneef","given":"Razaan"},{"family":"Avery","given":"Anthony J."},{"family":"Ashcroft","given":"Darren M."}],"issued":{"date-parts":[["2019",7,17]]}}}],"schema":"https://github.com/citation-style-language/schema/raw/master/csl-citation.json"} </w:instrText>
      </w:r>
      <w:r w:rsidR="007B7AB1" w:rsidRPr="00660ECD">
        <w:rPr>
          <w:rFonts w:cstheme="minorHAnsi"/>
          <w:sz w:val="24"/>
          <w:szCs w:val="24"/>
        </w:rPr>
        <w:fldChar w:fldCharType="separate"/>
      </w:r>
      <w:r w:rsidR="007B7AB1" w:rsidRPr="00660ECD">
        <w:rPr>
          <w:rFonts w:cstheme="minorHAnsi"/>
          <w:sz w:val="24"/>
          <w:szCs w:val="24"/>
        </w:rPr>
        <w:t>(1)</w:t>
      </w:r>
      <w:r w:rsidR="007B7AB1" w:rsidRPr="00660ECD">
        <w:rPr>
          <w:rFonts w:cstheme="minorHAnsi"/>
          <w:sz w:val="24"/>
          <w:szCs w:val="24"/>
        </w:rPr>
        <w:fldChar w:fldCharType="end"/>
      </w:r>
      <w:r w:rsidR="00D86B46" w:rsidRPr="00660ECD">
        <w:rPr>
          <w:rFonts w:cstheme="minorHAnsi"/>
          <w:sz w:val="24"/>
          <w:szCs w:val="24"/>
        </w:rPr>
        <w:t>.</w:t>
      </w:r>
      <w:r w:rsidR="00EF756A" w:rsidRPr="00660ECD">
        <w:rPr>
          <w:rFonts w:cstheme="minorHAnsi"/>
          <w:sz w:val="24"/>
          <w:szCs w:val="24"/>
        </w:rPr>
        <w:t xml:space="preserve"> </w:t>
      </w:r>
      <w:r w:rsidR="00E60E17" w:rsidRPr="00660ECD">
        <w:rPr>
          <w:rFonts w:cstheme="minorHAnsi"/>
          <w:sz w:val="24"/>
          <w:szCs w:val="24"/>
        </w:rPr>
        <w:t>It could be argued that a</w:t>
      </w:r>
      <w:r w:rsidR="007C400E" w:rsidRPr="00660ECD">
        <w:rPr>
          <w:rFonts w:cstheme="minorHAnsi"/>
          <w:sz w:val="24"/>
          <w:szCs w:val="24"/>
        </w:rPr>
        <w:t>ll</w:t>
      </w:r>
      <w:r w:rsidR="00E60E17" w:rsidRPr="00660ECD">
        <w:rPr>
          <w:rFonts w:cstheme="minorHAnsi"/>
          <w:sz w:val="24"/>
          <w:szCs w:val="24"/>
        </w:rPr>
        <w:t xml:space="preserve"> medication is high-risk</w:t>
      </w:r>
      <w:r>
        <w:rPr>
          <w:rFonts w:cstheme="minorHAnsi"/>
          <w:sz w:val="24"/>
          <w:szCs w:val="24"/>
        </w:rPr>
        <w:t>,</w:t>
      </w:r>
      <w:r w:rsidR="00E60E17" w:rsidRPr="00660ECD">
        <w:rPr>
          <w:rFonts w:cstheme="minorHAnsi"/>
          <w:sz w:val="24"/>
          <w:szCs w:val="24"/>
        </w:rPr>
        <w:t xml:space="preserve"> given the</w:t>
      </w:r>
      <w:r w:rsidR="00B52D3A" w:rsidRPr="00660ECD">
        <w:rPr>
          <w:rFonts w:cstheme="minorHAnsi"/>
          <w:sz w:val="24"/>
          <w:szCs w:val="24"/>
        </w:rPr>
        <w:t xml:space="preserve"> correct conditions</w:t>
      </w:r>
      <w:r w:rsidR="004A5F39">
        <w:rPr>
          <w:rFonts w:cstheme="minorHAnsi"/>
          <w:sz w:val="24"/>
          <w:szCs w:val="24"/>
        </w:rPr>
        <w:t>;</w:t>
      </w:r>
      <w:r w:rsidR="00C01659" w:rsidRPr="00660ECD">
        <w:rPr>
          <w:rFonts w:cstheme="minorHAnsi"/>
          <w:sz w:val="24"/>
          <w:szCs w:val="24"/>
        </w:rPr>
        <w:t xml:space="preserve"> research has identified </w:t>
      </w:r>
      <w:r w:rsidR="0052568B" w:rsidRPr="00660ECD">
        <w:rPr>
          <w:rFonts w:cstheme="minorHAnsi"/>
          <w:sz w:val="24"/>
          <w:szCs w:val="24"/>
        </w:rPr>
        <w:t xml:space="preserve">that </w:t>
      </w:r>
      <w:r w:rsidR="008429C4" w:rsidRPr="00660ECD">
        <w:rPr>
          <w:rFonts w:cstheme="minorHAnsi"/>
          <w:sz w:val="24"/>
          <w:szCs w:val="24"/>
        </w:rPr>
        <w:t xml:space="preserve">particularly </w:t>
      </w:r>
      <w:r w:rsidR="00330B2D" w:rsidRPr="00660ECD">
        <w:rPr>
          <w:rFonts w:cstheme="minorHAnsi"/>
          <w:sz w:val="24"/>
          <w:szCs w:val="24"/>
        </w:rPr>
        <w:t>within acute hospitals</w:t>
      </w:r>
      <w:r w:rsidR="007E240E" w:rsidRPr="00660ECD">
        <w:rPr>
          <w:rFonts w:cstheme="minorHAnsi"/>
          <w:sz w:val="24"/>
          <w:szCs w:val="24"/>
        </w:rPr>
        <w:t>, it is</w:t>
      </w:r>
      <w:r w:rsidR="005C44F3" w:rsidRPr="00660ECD">
        <w:rPr>
          <w:rFonts w:cstheme="minorHAnsi"/>
          <w:sz w:val="24"/>
          <w:szCs w:val="24"/>
        </w:rPr>
        <w:t xml:space="preserve"> </w:t>
      </w:r>
      <w:r w:rsidR="007E240E" w:rsidRPr="00660ECD">
        <w:rPr>
          <w:rFonts w:cstheme="minorHAnsi"/>
          <w:sz w:val="24"/>
          <w:szCs w:val="24"/>
        </w:rPr>
        <w:t>the cumulative effect of moderate</w:t>
      </w:r>
      <w:r>
        <w:rPr>
          <w:rFonts w:cstheme="minorHAnsi"/>
          <w:sz w:val="24"/>
          <w:szCs w:val="24"/>
        </w:rPr>
        <w:t>-</w:t>
      </w:r>
      <w:r w:rsidR="007E240E" w:rsidRPr="00660ECD">
        <w:rPr>
          <w:rFonts w:cstheme="minorHAnsi"/>
          <w:sz w:val="24"/>
          <w:szCs w:val="24"/>
        </w:rPr>
        <w:t xml:space="preserve">harm </w:t>
      </w:r>
      <w:r>
        <w:rPr>
          <w:rFonts w:cstheme="minorHAnsi"/>
          <w:sz w:val="24"/>
          <w:szCs w:val="24"/>
        </w:rPr>
        <w:t xml:space="preserve">medication </w:t>
      </w:r>
      <w:r w:rsidR="007E240E" w:rsidRPr="00660ECD">
        <w:rPr>
          <w:rFonts w:cstheme="minorHAnsi"/>
          <w:sz w:val="24"/>
          <w:szCs w:val="24"/>
        </w:rPr>
        <w:t>incidents</w:t>
      </w:r>
      <w:r w:rsidR="005B6FE1" w:rsidRPr="00660ECD">
        <w:rPr>
          <w:rFonts w:cstheme="minorHAnsi"/>
          <w:sz w:val="24"/>
          <w:szCs w:val="24"/>
        </w:rPr>
        <w:t>, rather than single catastrophic errors</w:t>
      </w:r>
      <w:r w:rsidR="008228E6" w:rsidRPr="00660ECD">
        <w:rPr>
          <w:rFonts w:cstheme="minorHAnsi"/>
          <w:sz w:val="24"/>
          <w:szCs w:val="24"/>
        </w:rPr>
        <w:t xml:space="preserve">, that </w:t>
      </w:r>
      <w:r w:rsidR="005C44F3" w:rsidRPr="00660ECD">
        <w:rPr>
          <w:rFonts w:cstheme="minorHAnsi"/>
          <w:sz w:val="24"/>
          <w:szCs w:val="24"/>
        </w:rPr>
        <w:t xml:space="preserve">usually </w:t>
      </w:r>
      <w:r w:rsidR="008228E6" w:rsidRPr="00660ECD">
        <w:rPr>
          <w:rFonts w:cstheme="minorHAnsi"/>
          <w:sz w:val="24"/>
          <w:szCs w:val="24"/>
        </w:rPr>
        <w:t>result in preventable deaths</w:t>
      </w:r>
      <w:r w:rsidR="00B5414D" w:rsidRPr="00660ECD">
        <w:rPr>
          <w:rFonts w:cstheme="minorHAnsi"/>
          <w:sz w:val="24"/>
          <w:szCs w:val="24"/>
        </w:rPr>
        <w:t xml:space="preserve"> </w:t>
      </w:r>
      <w:r w:rsidR="00B5414D" w:rsidRPr="00660ECD">
        <w:rPr>
          <w:rFonts w:cstheme="minorHAnsi"/>
          <w:sz w:val="24"/>
          <w:szCs w:val="24"/>
        </w:rPr>
        <w:fldChar w:fldCharType="begin"/>
      </w:r>
      <w:r w:rsidR="00B5414D" w:rsidRPr="00660ECD">
        <w:rPr>
          <w:rFonts w:cstheme="minorHAnsi"/>
          <w:sz w:val="24"/>
          <w:szCs w:val="24"/>
        </w:rPr>
        <w:instrText xml:space="preserve"> ADDIN ZOTERO_ITEM CSL_CITATION {"citationID":"JSw7unU3","properties":{"formattedCitation":"(2)","plainCitation":"(2)","noteIndex":0},"citationItems":[{"id":66,"uris":["http://zotero.org/users/local/3eWb7dOa/items/9I4W856I"],"itemData":{"id":66,"type":"post-weblog","abstract":"This page is part of the wider ‘Aspects of previous patient safety alerts that should inform broader local safety initiatives’ set of webpages. Prioritising local safety improvement work for medication Prioritising the allocation of resources is a critical element of any organisation’s planning for patient safety improvement. Resources are most commonly spread across activities intended […]","language":"en-US","title":"NHS England » Priority setting","URL":"https://www.england.nhs.uk/patient-safety/patient-safety-insight/patient-safety-alerts/enduring-standards/informing-broader-local-safety-initiatives/priority-setting/","author":[{"family":"England","given":"N. H. S."}],"accessed":{"date-parts":[["2025",5,14]]}}}],"schema":"https://github.com/citation-style-language/schema/raw/master/csl-citation.json"} </w:instrText>
      </w:r>
      <w:r w:rsidR="00B5414D" w:rsidRPr="00660ECD">
        <w:rPr>
          <w:rFonts w:cstheme="minorHAnsi"/>
          <w:sz w:val="24"/>
          <w:szCs w:val="24"/>
        </w:rPr>
        <w:fldChar w:fldCharType="separate"/>
      </w:r>
      <w:r w:rsidR="00B5414D" w:rsidRPr="00660ECD">
        <w:rPr>
          <w:rFonts w:cstheme="minorHAnsi"/>
          <w:sz w:val="24"/>
          <w:szCs w:val="24"/>
        </w:rPr>
        <w:t>(2)</w:t>
      </w:r>
      <w:r w:rsidR="00B5414D" w:rsidRPr="00660ECD">
        <w:rPr>
          <w:rFonts w:cstheme="minorHAnsi"/>
          <w:sz w:val="24"/>
          <w:szCs w:val="24"/>
        </w:rPr>
        <w:fldChar w:fldCharType="end"/>
      </w:r>
      <w:r w:rsidR="00B5414D" w:rsidRPr="00660ECD">
        <w:rPr>
          <w:rFonts w:cstheme="minorHAnsi"/>
          <w:sz w:val="24"/>
          <w:szCs w:val="24"/>
        </w:rPr>
        <w:t xml:space="preserve">. </w:t>
      </w:r>
    </w:p>
    <w:p w14:paraId="1CB1C4B0" w14:textId="388DC5F5" w:rsidR="00572522" w:rsidRPr="00660ECD" w:rsidRDefault="00ED1380" w:rsidP="00660ECD">
      <w:pPr>
        <w:spacing w:after="100" w:afterAutospacing="1" w:line="360" w:lineRule="auto"/>
        <w:rPr>
          <w:rFonts w:cstheme="minorHAnsi"/>
          <w:sz w:val="24"/>
          <w:szCs w:val="24"/>
        </w:rPr>
      </w:pPr>
      <w:r w:rsidRPr="00660ECD">
        <w:rPr>
          <w:rFonts w:cstheme="minorHAnsi"/>
          <w:sz w:val="24"/>
          <w:szCs w:val="24"/>
        </w:rPr>
        <w:t>H</w:t>
      </w:r>
      <w:r w:rsidR="00023B11" w:rsidRPr="00660ECD">
        <w:rPr>
          <w:rFonts w:cstheme="minorHAnsi"/>
          <w:sz w:val="24"/>
          <w:szCs w:val="24"/>
        </w:rPr>
        <w:t>owever, t</w:t>
      </w:r>
      <w:r w:rsidR="00F40D5A" w:rsidRPr="00660ECD">
        <w:rPr>
          <w:rFonts w:cstheme="minorHAnsi"/>
          <w:sz w:val="24"/>
          <w:szCs w:val="24"/>
        </w:rPr>
        <w:t>he potential for significant harm</w:t>
      </w:r>
      <w:r w:rsidR="003221FC" w:rsidRPr="00660ECD">
        <w:rPr>
          <w:rFonts w:cstheme="minorHAnsi"/>
          <w:sz w:val="24"/>
          <w:szCs w:val="24"/>
        </w:rPr>
        <w:t xml:space="preserve"> or death</w:t>
      </w:r>
      <w:r w:rsidR="00F40D5A" w:rsidRPr="00660ECD">
        <w:rPr>
          <w:rFonts w:cstheme="minorHAnsi"/>
          <w:sz w:val="24"/>
          <w:szCs w:val="24"/>
        </w:rPr>
        <w:t xml:space="preserve"> from medication errors is greatly increased when </w:t>
      </w:r>
      <w:r w:rsidR="006D13D3" w:rsidRPr="00660ECD">
        <w:rPr>
          <w:rFonts w:cstheme="minorHAnsi"/>
          <w:sz w:val="24"/>
          <w:szCs w:val="24"/>
        </w:rPr>
        <w:t xml:space="preserve">certain </w:t>
      </w:r>
      <w:r w:rsidR="004802E5">
        <w:rPr>
          <w:rFonts w:cstheme="minorHAnsi"/>
          <w:sz w:val="24"/>
          <w:szCs w:val="24"/>
        </w:rPr>
        <w:t>‘</w:t>
      </w:r>
      <w:r w:rsidR="00F40D5A" w:rsidRPr="00660ECD">
        <w:rPr>
          <w:rFonts w:cstheme="minorHAnsi"/>
          <w:sz w:val="24"/>
          <w:szCs w:val="24"/>
        </w:rPr>
        <w:t>high-risk</w:t>
      </w:r>
      <w:r w:rsidR="004802E5">
        <w:rPr>
          <w:rFonts w:cstheme="minorHAnsi"/>
          <w:sz w:val="24"/>
          <w:szCs w:val="24"/>
        </w:rPr>
        <w:t>’</w:t>
      </w:r>
      <w:r w:rsidR="00F40D5A" w:rsidRPr="00660ECD">
        <w:rPr>
          <w:rFonts w:cstheme="minorHAnsi"/>
          <w:sz w:val="24"/>
          <w:szCs w:val="24"/>
        </w:rPr>
        <w:t xml:space="preserve"> medications are involved </w:t>
      </w:r>
      <w:r w:rsidR="0084259D" w:rsidRPr="00660ECD">
        <w:rPr>
          <w:rFonts w:cstheme="minorHAnsi"/>
          <w:sz w:val="24"/>
          <w:szCs w:val="24"/>
        </w:rPr>
        <w:fldChar w:fldCharType="begin"/>
      </w:r>
      <w:r w:rsidR="001B55C5" w:rsidRPr="00660ECD">
        <w:rPr>
          <w:rFonts w:cstheme="minorHAnsi"/>
          <w:sz w:val="24"/>
          <w:szCs w:val="24"/>
        </w:rPr>
        <w:instrText xml:space="preserve"> ADDIN ZOTERO_ITEM CSL_CITATION {"citationID":"EZW3sO8C","properties":{"formattedCitation":"(3,4)","plainCitation":"(3,4)","noteIndex":0},"citationItems":[{"id":5,"uris":["http://zotero.org/users/local/3eWb7dOa/items/EVQ4BYL2"],"itemData":{"id":5,"type":"chapter","abstract":"Pharmacotherapy is the most common therapeutic intervention in healthcare to improve health outcomes of patients. However, there are many instances where prescribed medications resulted in patient morbidity and mortality instead. Medication errors can happen at any step of the medication use process, but a substantial burden of medication-related harm is focused primarily on three priority areas of healthcare delivery: transitions of care, polypharmacy and high-risk situations. This chapter highlights prevalence of issues concerning these three core areas and describes common medication errors as well as risk mitigation strategies to improve service delivery. An appreciation of these inherent risks will enable healthcare providers to navigate the pitfalls better and make efforts to ensure medication safety while providing health services.","call-number":"NBK585602","container-title":"Textbook of Patient Safety and Clinical Risk Management","event-place":"Cham (CH)","ISBN":"978-3-030-59402-2","language":"eng","license":"Copyright 2021, The Author(s).","note":"PMID: 36315745","publisher":"Springer","publisher-place":"Cham (CH)","source":"PubMed","title":"Medication Safety","URL":"http://www.ncbi.nlm.nih.gov/books/NBK585602/","author":[{"family":"Soon","given":"Hooi Cheng"},{"family":"Geppetti","given":"Pierangelo"},{"family":"Lupi","given":"Chiara"},{"family":"Kho","given":"Boon Phiaw"}],"editor":[{"family":"Donaldson","given":"Liam"},{"family":"Ricciardi","given":"Walter"},{"family":"Sheridan","given":"Susan"},{"family":"Tartaglia","given":"Riccardo"}],"accessed":{"date-parts":[["2025",4,9]]},"issued":{"date-parts":[["2021"]]}}},{"id":10,"uris":["http://zotero.org/users/local/3eWb7dOa/items/YJWNA797"],"itemData":{"id":10,"type":"document","title":"WHO-UHC-SDS-2019.10-eng.pdf","URL":"https://iris.who.int/bitstream/handle/10665/325131/WHO-UHC-SDS-2019.10-eng.pdf?sequence=1","accessed":{"date-parts":[["2025",4,9]]}}}],"schema":"https://github.com/citation-style-language/schema/raw/master/csl-citation.json"} </w:instrText>
      </w:r>
      <w:r w:rsidR="0084259D" w:rsidRPr="00660ECD">
        <w:rPr>
          <w:rFonts w:cstheme="minorHAnsi"/>
          <w:sz w:val="24"/>
          <w:szCs w:val="24"/>
        </w:rPr>
        <w:fldChar w:fldCharType="separate"/>
      </w:r>
      <w:r w:rsidR="001B55C5" w:rsidRPr="00660ECD">
        <w:rPr>
          <w:rFonts w:cstheme="minorHAnsi"/>
          <w:sz w:val="24"/>
          <w:szCs w:val="24"/>
        </w:rPr>
        <w:t>(3,4)</w:t>
      </w:r>
      <w:r w:rsidR="0084259D" w:rsidRPr="00660ECD">
        <w:rPr>
          <w:rFonts w:cstheme="minorHAnsi"/>
          <w:sz w:val="24"/>
          <w:szCs w:val="24"/>
        </w:rPr>
        <w:fldChar w:fldCharType="end"/>
      </w:r>
      <w:r w:rsidR="0084259D" w:rsidRPr="00660ECD">
        <w:rPr>
          <w:rFonts w:cstheme="minorHAnsi"/>
          <w:sz w:val="24"/>
          <w:szCs w:val="24"/>
        </w:rPr>
        <w:t>.</w:t>
      </w:r>
      <w:r w:rsidR="009A692F" w:rsidRPr="00660ECD">
        <w:rPr>
          <w:rFonts w:cstheme="minorHAnsi"/>
          <w:sz w:val="24"/>
          <w:szCs w:val="24"/>
        </w:rPr>
        <w:t xml:space="preserve"> </w:t>
      </w:r>
      <w:r w:rsidR="004802E5">
        <w:rPr>
          <w:rFonts w:cstheme="minorHAnsi"/>
          <w:sz w:val="24"/>
          <w:szCs w:val="24"/>
        </w:rPr>
        <w:t>H</w:t>
      </w:r>
      <w:r w:rsidR="0022498C" w:rsidRPr="00660ECD">
        <w:rPr>
          <w:rFonts w:cstheme="minorHAnsi"/>
          <w:sz w:val="24"/>
          <w:szCs w:val="24"/>
        </w:rPr>
        <w:t>igh-risk medications</w:t>
      </w:r>
      <w:r w:rsidR="00916FFF" w:rsidRPr="00660ECD">
        <w:rPr>
          <w:rFonts w:cstheme="minorHAnsi"/>
          <w:sz w:val="24"/>
          <w:szCs w:val="24"/>
        </w:rPr>
        <w:t xml:space="preserve"> </w:t>
      </w:r>
      <w:r w:rsidR="0029640D" w:rsidRPr="00660ECD">
        <w:rPr>
          <w:rFonts w:cstheme="minorHAnsi"/>
          <w:sz w:val="24"/>
          <w:szCs w:val="24"/>
        </w:rPr>
        <w:t>have the potential to cause significant patient harm</w:t>
      </w:r>
      <w:r w:rsidR="007E344A" w:rsidRPr="00660ECD">
        <w:rPr>
          <w:rFonts w:cstheme="minorHAnsi"/>
          <w:sz w:val="24"/>
          <w:szCs w:val="24"/>
        </w:rPr>
        <w:t xml:space="preserve"> </w:t>
      </w:r>
      <w:r w:rsidR="003716AB" w:rsidRPr="00660ECD">
        <w:rPr>
          <w:rFonts w:cstheme="minorHAnsi"/>
          <w:sz w:val="24"/>
          <w:szCs w:val="24"/>
        </w:rPr>
        <w:t xml:space="preserve">even </w:t>
      </w:r>
      <w:r w:rsidR="00CA2F1F" w:rsidRPr="00660ECD">
        <w:rPr>
          <w:rFonts w:cstheme="minorHAnsi"/>
          <w:sz w:val="24"/>
          <w:szCs w:val="24"/>
        </w:rPr>
        <w:t>when used as intended</w:t>
      </w:r>
      <w:r w:rsidR="007A293E" w:rsidRPr="00660ECD">
        <w:rPr>
          <w:rFonts w:cstheme="minorHAnsi"/>
          <w:sz w:val="24"/>
          <w:szCs w:val="24"/>
        </w:rPr>
        <w:t xml:space="preserve">, posing challenges </w:t>
      </w:r>
      <w:r w:rsidR="004802E5">
        <w:rPr>
          <w:rFonts w:cstheme="minorHAnsi"/>
          <w:sz w:val="24"/>
          <w:szCs w:val="24"/>
        </w:rPr>
        <w:t xml:space="preserve">for pharmacists and other </w:t>
      </w:r>
      <w:r w:rsidR="007A293E" w:rsidRPr="00660ECD">
        <w:rPr>
          <w:rFonts w:cstheme="minorHAnsi"/>
          <w:sz w:val="24"/>
          <w:szCs w:val="24"/>
        </w:rPr>
        <w:t xml:space="preserve">healthcare professionals </w:t>
      </w:r>
      <w:r w:rsidR="00D64E39" w:rsidRPr="00660ECD">
        <w:rPr>
          <w:rFonts w:cstheme="minorHAnsi"/>
          <w:sz w:val="24"/>
          <w:szCs w:val="24"/>
        </w:rPr>
        <w:fldChar w:fldCharType="begin"/>
      </w:r>
      <w:r w:rsidR="00B5414D" w:rsidRPr="00660ECD">
        <w:rPr>
          <w:rFonts w:cstheme="minorHAnsi"/>
          <w:sz w:val="24"/>
          <w:szCs w:val="24"/>
        </w:rPr>
        <w:instrText xml:space="preserve"> ADDIN ZOTERO_ITEM CSL_CITATION {"citationID":"nMtsHDwh","properties":{"formattedCitation":"(2,5)","plainCitation":"(2,5)","noteIndex":0},"citationItems":[{"id":4,"uris":["http://zotero.org/users/local/3eWb7dOa/items/ZUVQEB35"],"itemData":{"id":4,"type":"document","title":"City and Hackney CCG","URL":"https://gps.cityandhackneyccg.nhs.uk/cdn/serve/medicines-management-general/1547206152-86f46e2aa51ec4cabf28fb890f291d58.pdf","accessed":{"date-parts":[["2025",4,9]]}}},{"id":66,"uris":["http://zotero.org/users/local/3eWb7dOa/items/9I4W856I"],"itemData":{"id":66,"type":"post-weblog","abstract":"This page is part of the wider ‘Aspects of previous patient safety alerts that should inform broader local safety initiatives’ set of webpages. Prioritising local safety improvement work for medication Prioritising the allocation of resources is a critical element of any organisation’s planning for patient safety improvement. Resources are most commonly spread across activities intended […]","language":"en-US","title":"NHS England » Priority setting","URL":"https://www.england.nhs.uk/patient-safety/patient-safety-insight/patient-safety-alerts/enduring-standards/informing-broader-local-safety-initiatives/priority-setting/","author":[{"family":"England","given":"N. H. S."}],"accessed":{"date-parts":[["2025",5,14]]}}}],"schema":"https://github.com/citation-style-language/schema/raw/master/csl-citation.json"} </w:instrText>
      </w:r>
      <w:r w:rsidR="00D64E39" w:rsidRPr="00660ECD">
        <w:rPr>
          <w:rFonts w:cstheme="minorHAnsi"/>
          <w:sz w:val="24"/>
          <w:szCs w:val="24"/>
        </w:rPr>
        <w:fldChar w:fldCharType="separate"/>
      </w:r>
      <w:r w:rsidR="00B5414D" w:rsidRPr="00660ECD">
        <w:rPr>
          <w:rFonts w:cstheme="minorHAnsi"/>
          <w:sz w:val="24"/>
          <w:szCs w:val="24"/>
        </w:rPr>
        <w:t>(2,5)</w:t>
      </w:r>
      <w:r w:rsidR="00D64E39" w:rsidRPr="00660ECD">
        <w:rPr>
          <w:rFonts w:cstheme="minorHAnsi"/>
          <w:sz w:val="24"/>
          <w:szCs w:val="24"/>
        </w:rPr>
        <w:fldChar w:fldCharType="end"/>
      </w:r>
      <w:r w:rsidR="00934EA1" w:rsidRPr="00660ECD">
        <w:rPr>
          <w:rFonts w:cstheme="minorHAnsi"/>
          <w:sz w:val="24"/>
          <w:szCs w:val="24"/>
        </w:rPr>
        <w:t xml:space="preserve">. </w:t>
      </w:r>
    </w:p>
    <w:p w14:paraId="18A5631A" w14:textId="538FAC28" w:rsidR="00730C40" w:rsidRDefault="009D0C60" w:rsidP="00660ECD">
      <w:pPr>
        <w:spacing w:after="100" w:afterAutospacing="1" w:line="360" w:lineRule="auto"/>
        <w:rPr>
          <w:rFonts w:cstheme="minorHAnsi"/>
          <w:sz w:val="24"/>
          <w:szCs w:val="24"/>
        </w:rPr>
      </w:pPr>
      <w:r w:rsidRPr="00660ECD">
        <w:rPr>
          <w:rFonts w:cstheme="minorHAnsi"/>
          <w:sz w:val="24"/>
          <w:szCs w:val="24"/>
        </w:rPr>
        <w:t xml:space="preserve">Researchers have </w:t>
      </w:r>
      <w:r w:rsidR="00572522" w:rsidRPr="00660ECD">
        <w:rPr>
          <w:rFonts w:cstheme="minorHAnsi"/>
          <w:sz w:val="24"/>
          <w:szCs w:val="24"/>
        </w:rPr>
        <w:t>struggled to establish</w:t>
      </w:r>
      <w:r w:rsidRPr="00660ECD">
        <w:rPr>
          <w:rFonts w:cstheme="minorHAnsi"/>
          <w:sz w:val="24"/>
          <w:szCs w:val="24"/>
        </w:rPr>
        <w:t xml:space="preserve"> the prevalence of prescribing errors of high-risk medications</w:t>
      </w:r>
      <w:r w:rsidR="004802E5">
        <w:rPr>
          <w:rFonts w:cstheme="minorHAnsi"/>
          <w:sz w:val="24"/>
          <w:szCs w:val="24"/>
        </w:rPr>
        <w:t>.</w:t>
      </w:r>
      <w:r w:rsidR="00572522" w:rsidRPr="00660ECD">
        <w:rPr>
          <w:rFonts w:cstheme="minorHAnsi"/>
          <w:sz w:val="24"/>
          <w:szCs w:val="24"/>
        </w:rPr>
        <w:t xml:space="preserve"> </w:t>
      </w:r>
      <w:r w:rsidR="004802E5">
        <w:rPr>
          <w:rFonts w:cstheme="minorHAnsi"/>
          <w:sz w:val="24"/>
          <w:szCs w:val="24"/>
        </w:rPr>
        <w:t>O</w:t>
      </w:r>
      <w:r w:rsidR="00572522" w:rsidRPr="00660ECD">
        <w:rPr>
          <w:rFonts w:cstheme="minorHAnsi"/>
          <w:sz w:val="24"/>
          <w:szCs w:val="24"/>
        </w:rPr>
        <w:t>ne</w:t>
      </w:r>
      <w:r w:rsidRPr="00660ECD">
        <w:rPr>
          <w:rFonts w:cstheme="minorHAnsi"/>
          <w:sz w:val="24"/>
          <w:szCs w:val="24"/>
        </w:rPr>
        <w:t xml:space="preserve"> systematic review report</w:t>
      </w:r>
      <w:r w:rsidR="004802E5">
        <w:rPr>
          <w:rFonts w:cstheme="minorHAnsi"/>
          <w:sz w:val="24"/>
          <w:szCs w:val="24"/>
        </w:rPr>
        <w:t>ed</w:t>
      </w:r>
      <w:r w:rsidRPr="00660ECD">
        <w:rPr>
          <w:rFonts w:cstheme="minorHAnsi"/>
          <w:sz w:val="24"/>
          <w:szCs w:val="24"/>
        </w:rPr>
        <w:t xml:space="preserve"> error rates ranging from 0</w:t>
      </w:r>
      <w:r w:rsidR="004802E5">
        <w:rPr>
          <w:rFonts w:cstheme="minorHAnsi"/>
          <w:sz w:val="24"/>
          <w:szCs w:val="24"/>
        </w:rPr>
        <w:t>.</w:t>
      </w:r>
      <w:r w:rsidRPr="00660ECD">
        <w:rPr>
          <w:rFonts w:cstheme="minorHAnsi"/>
          <w:sz w:val="24"/>
          <w:szCs w:val="24"/>
        </w:rPr>
        <w:t>24 to 89</w:t>
      </w:r>
      <w:r w:rsidR="004802E5">
        <w:rPr>
          <w:rFonts w:cstheme="minorHAnsi"/>
          <w:sz w:val="24"/>
          <w:szCs w:val="24"/>
        </w:rPr>
        <w:t>.</w:t>
      </w:r>
      <w:r w:rsidRPr="00660ECD">
        <w:rPr>
          <w:rFonts w:cstheme="minorHAnsi"/>
          <w:sz w:val="24"/>
          <w:szCs w:val="24"/>
        </w:rPr>
        <w:t>6 per 100 medication order</w:t>
      </w:r>
      <w:r w:rsidR="00572522" w:rsidRPr="00660ECD">
        <w:rPr>
          <w:rFonts w:cstheme="minorHAnsi"/>
          <w:sz w:val="24"/>
          <w:szCs w:val="24"/>
        </w:rPr>
        <w:t>s</w:t>
      </w:r>
      <w:r w:rsidRPr="00660ECD">
        <w:rPr>
          <w:rFonts w:cstheme="minorHAnsi"/>
          <w:sz w:val="24"/>
          <w:szCs w:val="24"/>
        </w:rPr>
        <w:t xml:space="preserve"> </w:t>
      </w:r>
      <w:r w:rsidRPr="00660ECD">
        <w:rPr>
          <w:rFonts w:cstheme="minorHAnsi"/>
          <w:sz w:val="24"/>
          <w:szCs w:val="24"/>
        </w:rPr>
        <w:fldChar w:fldCharType="begin"/>
      </w:r>
      <w:r w:rsidR="00B5414D" w:rsidRPr="00660ECD">
        <w:rPr>
          <w:rFonts w:cstheme="minorHAnsi"/>
          <w:sz w:val="24"/>
          <w:szCs w:val="24"/>
        </w:rPr>
        <w:instrText xml:space="preserve"> ADDIN ZOTERO_ITEM CSL_CITATION {"citationID":"JhIQaT87","properties":{"formattedCitation":"(6)","plainCitation":"(6)","noteIndex":0},"citationItems":[{"id":11,"uris":["http://zotero.org/users/local/3eWb7dOa/items/3QEH88DW"],"itemData":{"id":11,"type":"article-journal","abstract":"What is known Prescribing errors are the most common type of error in the medication use process. However, there is a paucity of literature regarding the prevalence or incidence of prescribing errors in high-risk medicines (HRMs). HRMs bear a heightened risk of causing significant patient harm when they are used in error. Objective The aim of this research was to systematically investigate the literature regarding the prevalence and incidence of prescribing errors in HRMs in inpatient settings. Methods A search strategy was developed based on four categories of keywords: prescribing errors, HRMs, hospital inpatients, and prevalence or incidence. All keywords were searched for in Medline, Embase, Cochrane and the International Pharmaceutical Abstracts. The search was limited to English quantitative studies that reported the incidence or prevalence of prescribing errors by medical prescribers, whether they were seniors or juniors, since 1985. Results Of the 3507 records identified, nine studies met the review criteria. The most frequent denominator in the included studies was medication orders, in eight studies, ranged from 0·24 to 89·6 errors per 100 orders of HRMs. Two studies reported 107 and 218 errors per 100 admissions prescribed HRMs, and one study reported 27·2 errors per 100 prescriptions with a HRM. The incidence of prescribing errors could not be calculated. What is new and conclusion The prevalence of prescribing errors in HRMs in the inpatient setting has a very wide range that reflects the different data collection methods used within the included studies. Future studies in prescribing errors should use standardized approaches to enable comparison.","container-title":"Journal of Clinical Pharmacy and Therapeutics","DOI":"10.1111/jcpt.12389","ISSN":"1365-2710","issue":"3","language":"en","license":"© 2016 The Authors. Journal of Clinical Pharmacy and Therapeutics Published by John Wiley &amp; Sons Ltd.","note":"_eprint: https://onlinelibrary.wiley.com/doi/pdf/10.1111/jcpt.12389","page":"239-245","source":"Wiley Online Library","title":"A systematic review of the prevalence and incidence of prescribing errors with high-risk medicines in hospitals","volume":"41","author":[{"family":"Alanazi","given":"M. A."},{"family":"Tully","given":"M. P."},{"family":"Lewis","given":"P. J."}],"issued":{"date-parts":[["2016"]]}}}],"schema":"https://github.com/citation-style-language/schema/raw/master/csl-citation.json"} </w:instrText>
      </w:r>
      <w:r w:rsidRPr="00660ECD">
        <w:rPr>
          <w:rFonts w:cstheme="minorHAnsi"/>
          <w:sz w:val="24"/>
          <w:szCs w:val="24"/>
        </w:rPr>
        <w:fldChar w:fldCharType="separate"/>
      </w:r>
      <w:r w:rsidR="00B5414D" w:rsidRPr="00660ECD">
        <w:rPr>
          <w:rFonts w:cstheme="minorHAnsi"/>
          <w:sz w:val="24"/>
          <w:szCs w:val="24"/>
        </w:rPr>
        <w:t>(6)</w:t>
      </w:r>
      <w:r w:rsidRPr="00660ECD">
        <w:rPr>
          <w:rFonts w:cstheme="minorHAnsi"/>
          <w:sz w:val="24"/>
          <w:szCs w:val="24"/>
        </w:rPr>
        <w:fldChar w:fldCharType="end"/>
      </w:r>
      <w:r w:rsidRPr="00660ECD">
        <w:rPr>
          <w:rFonts w:cstheme="minorHAnsi"/>
          <w:sz w:val="24"/>
          <w:szCs w:val="24"/>
        </w:rPr>
        <w:t xml:space="preserve">. </w:t>
      </w:r>
      <w:r w:rsidR="00040EFB" w:rsidRPr="00660ECD">
        <w:rPr>
          <w:rFonts w:cstheme="minorHAnsi"/>
          <w:sz w:val="24"/>
          <w:szCs w:val="24"/>
        </w:rPr>
        <w:t xml:space="preserve">The Institute for Safe Medication Practices </w:t>
      </w:r>
      <w:r w:rsidR="001962FC" w:rsidRPr="00660ECD">
        <w:rPr>
          <w:rFonts w:cstheme="minorHAnsi"/>
          <w:sz w:val="24"/>
          <w:szCs w:val="24"/>
        </w:rPr>
        <w:t xml:space="preserve">(ISMP) </w:t>
      </w:r>
      <w:r w:rsidR="001B7181">
        <w:rPr>
          <w:rFonts w:cstheme="minorHAnsi"/>
          <w:sz w:val="24"/>
          <w:szCs w:val="24"/>
        </w:rPr>
        <w:t xml:space="preserve">has said </w:t>
      </w:r>
      <w:r w:rsidR="000E5CE0" w:rsidRPr="00660ECD">
        <w:rPr>
          <w:rFonts w:cstheme="minorHAnsi"/>
          <w:sz w:val="24"/>
          <w:szCs w:val="24"/>
        </w:rPr>
        <w:t>that</w:t>
      </w:r>
      <w:r w:rsidR="001B7181">
        <w:rPr>
          <w:rFonts w:cstheme="minorHAnsi"/>
          <w:sz w:val="24"/>
          <w:szCs w:val="24"/>
        </w:rPr>
        <w:t>,</w:t>
      </w:r>
      <w:r w:rsidR="000E5CE0" w:rsidRPr="00660ECD">
        <w:rPr>
          <w:rFonts w:cstheme="minorHAnsi"/>
          <w:sz w:val="24"/>
          <w:szCs w:val="24"/>
        </w:rPr>
        <w:t xml:space="preserve"> </w:t>
      </w:r>
      <w:r w:rsidR="00A76C71" w:rsidRPr="00660ECD">
        <w:rPr>
          <w:rFonts w:cstheme="minorHAnsi"/>
          <w:sz w:val="24"/>
          <w:szCs w:val="24"/>
        </w:rPr>
        <w:t xml:space="preserve">although </w:t>
      </w:r>
      <w:r w:rsidR="000E5CE0" w:rsidRPr="00660ECD">
        <w:rPr>
          <w:rFonts w:cstheme="minorHAnsi"/>
          <w:sz w:val="24"/>
          <w:szCs w:val="24"/>
        </w:rPr>
        <w:t xml:space="preserve">incident rates </w:t>
      </w:r>
      <w:r w:rsidR="00A028EF" w:rsidRPr="00660ECD">
        <w:rPr>
          <w:rFonts w:cstheme="minorHAnsi"/>
          <w:sz w:val="24"/>
          <w:szCs w:val="24"/>
        </w:rPr>
        <w:t>for</w:t>
      </w:r>
      <w:r w:rsidR="000E5CE0" w:rsidRPr="00660ECD">
        <w:rPr>
          <w:rFonts w:cstheme="minorHAnsi"/>
          <w:sz w:val="24"/>
          <w:szCs w:val="24"/>
        </w:rPr>
        <w:t xml:space="preserve"> high-risk medicines </w:t>
      </w:r>
      <w:r w:rsidR="00A028EF" w:rsidRPr="00660ECD">
        <w:rPr>
          <w:rFonts w:cstheme="minorHAnsi"/>
          <w:sz w:val="24"/>
          <w:szCs w:val="24"/>
        </w:rPr>
        <w:t>are</w:t>
      </w:r>
      <w:r w:rsidR="000E5CE0" w:rsidRPr="00660ECD">
        <w:rPr>
          <w:rFonts w:cstheme="minorHAnsi"/>
          <w:sz w:val="24"/>
          <w:szCs w:val="24"/>
        </w:rPr>
        <w:t xml:space="preserve"> not necessarily higher than with other medicines, </w:t>
      </w:r>
      <w:r w:rsidR="00EB4156" w:rsidRPr="00660ECD">
        <w:rPr>
          <w:rFonts w:cstheme="minorHAnsi"/>
          <w:sz w:val="24"/>
          <w:szCs w:val="24"/>
        </w:rPr>
        <w:t>the</w:t>
      </w:r>
      <w:r w:rsidR="00015AA6" w:rsidRPr="00660ECD">
        <w:rPr>
          <w:rFonts w:cstheme="minorHAnsi"/>
          <w:sz w:val="24"/>
          <w:szCs w:val="24"/>
        </w:rPr>
        <w:t xml:space="preserve"> consequence</w:t>
      </w:r>
      <w:r w:rsidR="00823655" w:rsidRPr="00660ECD">
        <w:rPr>
          <w:rFonts w:cstheme="minorHAnsi"/>
          <w:sz w:val="24"/>
          <w:szCs w:val="24"/>
        </w:rPr>
        <w:t>s ar</w:t>
      </w:r>
      <w:r w:rsidR="0030513B" w:rsidRPr="00660ECD">
        <w:rPr>
          <w:rFonts w:cstheme="minorHAnsi"/>
          <w:sz w:val="24"/>
          <w:szCs w:val="24"/>
        </w:rPr>
        <w:t>e</w:t>
      </w:r>
      <w:r w:rsidR="001B7181">
        <w:rPr>
          <w:rFonts w:cstheme="minorHAnsi"/>
          <w:sz w:val="24"/>
          <w:szCs w:val="24"/>
        </w:rPr>
        <w:t xml:space="preserve"> more</w:t>
      </w:r>
      <w:r w:rsidR="00EB4156" w:rsidRPr="00660ECD">
        <w:rPr>
          <w:rFonts w:cstheme="minorHAnsi"/>
          <w:sz w:val="24"/>
          <w:szCs w:val="24"/>
        </w:rPr>
        <w:t xml:space="preserve"> likely to be significant when incidents do occur</w:t>
      </w:r>
      <w:r w:rsidR="00015AA6" w:rsidRPr="00660ECD">
        <w:rPr>
          <w:rFonts w:cstheme="minorHAnsi"/>
          <w:sz w:val="24"/>
          <w:szCs w:val="24"/>
        </w:rPr>
        <w:t xml:space="preserve"> </w:t>
      </w:r>
      <w:r w:rsidR="00823655" w:rsidRPr="00660ECD">
        <w:rPr>
          <w:rFonts w:cstheme="minorHAnsi"/>
          <w:sz w:val="24"/>
          <w:szCs w:val="24"/>
        </w:rPr>
        <w:fldChar w:fldCharType="begin"/>
      </w:r>
      <w:r w:rsidR="00B5414D" w:rsidRPr="00660ECD">
        <w:rPr>
          <w:rFonts w:cstheme="minorHAnsi"/>
          <w:sz w:val="24"/>
          <w:szCs w:val="24"/>
        </w:rPr>
        <w:instrText xml:space="preserve"> ADDIN ZOTERO_ITEM CSL_CITATION {"citationID":"oULywt7d","properties":{"formattedCitation":"(7)","plainCitation":"(7)","noteIndex":0},"citationItems":[{"id":13,"uris":["http://zotero.org/users/local/3eWb7dOa/items/72DHREIP"],"itemData":{"id":13,"type":"webpage","abstract":"High-alert medications are drugs that bear a heightened risk of causing significant patient harm when they are used in error. Although mistakes may or may not be more common with these drugs, the consequences of an error are clearly more devastating to patients. Use ISMP's List of High-Alert Medications in Acute Care S","container-title":"ECRI and ISMP","language":"en","title":"High-Alert Medications in Acute Care Settings","URL":"https://home.ecri.org/blogs/ismp-resources/high-alert-medications-in-acute-care-settings","accessed":{"date-parts":[["2025",4,9]]}}}],"schema":"https://github.com/citation-style-language/schema/raw/master/csl-citation.json"} </w:instrText>
      </w:r>
      <w:r w:rsidR="00823655" w:rsidRPr="00660ECD">
        <w:rPr>
          <w:rFonts w:cstheme="minorHAnsi"/>
          <w:sz w:val="24"/>
          <w:szCs w:val="24"/>
        </w:rPr>
        <w:fldChar w:fldCharType="separate"/>
      </w:r>
      <w:r w:rsidR="00B5414D" w:rsidRPr="00660ECD">
        <w:rPr>
          <w:rFonts w:cstheme="minorHAnsi"/>
          <w:sz w:val="24"/>
          <w:szCs w:val="24"/>
        </w:rPr>
        <w:t>(7)</w:t>
      </w:r>
      <w:r w:rsidR="00823655" w:rsidRPr="00660ECD">
        <w:rPr>
          <w:rFonts w:cstheme="minorHAnsi"/>
          <w:sz w:val="24"/>
          <w:szCs w:val="24"/>
        </w:rPr>
        <w:fldChar w:fldCharType="end"/>
      </w:r>
      <w:r w:rsidR="00823655" w:rsidRPr="00660ECD">
        <w:rPr>
          <w:rFonts w:cstheme="minorHAnsi"/>
          <w:sz w:val="24"/>
          <w:szCs w:val="24"/>
        </w:rPr>
        <w:t>.</w:t>
      </w:r>
      <w:r w:rsidR="00EB4156" w:rsidRPr="00660ECD">
        <w:rPr>
          <w:rFonts w:cstheme="minorHAnsi"/>
          <w:sz w:val="24"/>
          <w:szCs w:val="24"/>
        </w:rPr>
        <w:t xml:space="preserve"> </w:t>
      </w:r>
      <w:r w:rsidR="00934EA1" w:rsidRPr="00660ECD">
        <w:rPr>
          <w:rFonts w:cstheme="minorHAnsi"/>
          <w:sz w:val="24"/>
          <w:szCs w:val="24"/>
        </w:rPr>
        <w:t xml:space="preserve">This article </w:t>
      </w:r>
      <w:r w:rsidR="00BD2772" w:rsidRPr="00660ECD">
        <w:rPr>
          <w:rFonts w:cstheme="minorHAnsi"/>
          <w:sz w:val="24"/>
          <w:szCs w:val="24"/>
        </w:rPr>
        <w:t>explore</w:t>
      </w:r>
      <w:r w:rsidR="001B7181">
        <w:rPr>
          <w:rFonts w:cstheme="minorHAnsi"/>
          <w:sz w:val="24"/>
          <w:szCs w:val="24"/>
        </w:rPr>
        <w:t>s</w:t>
      </w:r>
      <w:r w:rsidR="00CA79D4" w:rsidRPr="00660ECD">
        <w:rPr>
          <w:rFonts w:cstheme="minorHAnsi"/>
          <w:sz w:val="24"/>
          <w:szCs w:val="24"/>
        </w:rPr>
        <w:t xml:space="preserve"> the factors that </w:t>
      </w:r>
      <w:r w:rsidR="001D21B4" w:rsidRPr="00660ECD">
        <w:rPr>
          <w:rFonts w:cstheme="minorHAnsi"/>
          <w:sz w:val="24"/>
          <w:szCs w:val="24"/>
        </w:rPr>
        <w:t>classify a</w:t>
      </w:r>
      <w:r w:rsidR="00CA79D4" w:rsidRPr="00660ECD">
        <w:rPr>
          <w:rFonts w:cstheme="minorHAnsi"/>
          <w:sz w:val="24"/>
          <w:szCs w:val="24"/>
        </w:rPr>
        <w:t xml:space="preserve"> medication</w:t>
      </w:r>
      <w:r w:rsidR="0084259D" w:rsidRPr="00660ECD">
        <w:rPr>
          <w:rFonts w:cstheme="minorHAnsi"/>
          <w:sz w:val="24"/>
          <w:szCs w:val="24"/>
        </w:rPr>
        <w:t xml:space="preserve"> as</w:t>
      </w:r>
      <w:r w:rsidR="00CA79D4" w:rsidRPr="00660ECD">
        <w:rPr>
          <w:rFonts w:cstheme="minorHAnsi"/>
          <w:sz w:val="24"/>
          <w:szCs w:val="24"/>
        </w:rPr>
        <w:t xml:space="preserve"> ‘high</w:t>
      </w:r>
      <w:r w:rsidR="008C0A07">
        <w:rPr>
          <w:rFonts w:cstheme="minorHAnsi"/>
          <w:sz w:val="24"/>
          <w:szCs w:val="24"/>
        </w:rPr>
        <w:t>-</w:t>
      </w:r>
      <w:r w:rsidR="00CA79D4" w:rsidRPr="00660ECD">
        <w:rPr>
          <w:rFonts w:cstheme="minorHAnsi"/>
          <w:sz w:val="24"/>
          <w:szCs w:val="24"/>
        </w:rPr>
        <w:t xml:space="preserve">risk’ </w:t>
      </w:r>
      <w:r w:rsidR="00C06B50" w:rsidRPr="00660ECD">
        <w:rPr>
          <w:rFonts w:cstheme="minorHAnsi"/>
          <w:sz w:val="24"/>
          <w:szCs w:val="24"/>
        </w:rPr>
        <w:t xml:space="preserve">and some of the </w:t>
      </w:r>
      <w:r w:rsidR="001D21B4" w:rsidRPr="00660ECD">
        <w:rPr>
          <w:rFonts w:cstheme="minorHAnsi"/>
          <w:sz w:val="24"/>
          <w:szCs w:val="24"/>
        </w:rPr>
        <w:t xml:space="preserve">key considerations </w:t>
      </w:r>
      <w:r w:rsidR="0095096C" w:rsidRPr="00660ECD">
        <w:rPr>
          <w:rFonts w:cstheme="minorHAnsi"/>
          <w:sz w:val="24"/>
          <w:szCs w:val="24"/>
        </w:rPr>
        <w:t xml:space="preserve">surrounding </w:t>
      </w:r>
      <w:r w:rsidR="001B7181">
        <w:rPr>
          <w:rFonts w:cstheme="minorHAnsi"/>
          <w:sz w:val="24"/>
          <w:szCs w:val="24"/>
        </w:rPr>
        <w:t>these</w:t>
      </w:r>
      <w:r w:rsidR="0095096C" w:rsidRPr="00660ECD">
        <w:rPr>
          <w:rFonts w:cstheme="minorHAnsi"/>
          <w:sz w:val="24"/>
          <w:szCs w:val="24"/>
        </w:rPr>
        <w:t xml:space="preserve"> medications, providing insights into their use, monitoring, and prevention of potential complications.</w:t>
      </w:r>
    </w:p>
    <w:p w14:paraId="76CC350A" w14:textId="77777777" w:rsidR="006A717D" w:rsidRPr="00660ECD" w:rsidRDefault="006A717D" w:rsidP="00660ECD">
      <w:pPr>
        <w:spacing w:after="100" w:afterAutospacing="1" w:line="360" w:lineRule="auto"/>
        <w:rPr>
          <w:rFonts w:cstheme="minorHAnsi"/>
          <w:sz w:val="24"/>
          <w:szCs w:val="24"/>
        </w:rPr>
      </w:pPr>
    </w:p>
    <w:p w14:paraId="63822D6A" w14:textId="26486326" w:rsidR="007B7AB1" w:rsidRPr="00660ECD" w:rsidRDefault="000144F1" w:rsidP="00660ECD">
      <w:pPr>
        <w:spacing w:after="100" w:afterAutospacing="1" w:line="360" w:lineRule="auto"/>
        <w:rPr>
          <w:rFonts w:cstheme="minorHAnsi"/>
          <w:b/>
          <w:bCs/>
          <w:sz w:val="24"/>
          <w:szCs w:val="24"/>
        </w:rPr>
      </w:pPr>
      <w:r w:rsidRPr="00660ECD">
        <w:rPr>
          <w:rFonts w:cstheme="minorHAnsi"/>
          <w:b/>
          <w:bCs/>
          <w:sz w:val="24"/>
          <w:szCs w:val="24"/>
        </w:rPr>
        <w:lastRenderedPageBreak/>
        <w:t>What makes</w:t>
      </w:r>
      <w:r w:rsidR="00BA6F54" w:rsidRPr="00660ECD">
        <w:rPr>
          <w:rFonts w:cstheme="minorHAnsi"/>
          <w:b/>
          <w:bCs/>
          <w:sz w:val="24"/>
          <w:szCs w:val="24"/>
        </w:rPr>
        <w:t xml:space="preserve"> a medication high</w:t>
      </w:r>
      <w:r w:rsidR="00660ECD">
        <w:rPr>
          <w:rFonts w:cstheme="minorHAnsi"/>
          <w:b/>
          <w:bCs/>
          <w:sz w:val="24"/>
          <w:szCs w:val="24"/>
        </w:rPr>
        <w:t xml:space="preserve"> </w:t>
      </w:r>
      <w:r w:rsidR="00BA6F54" w:rsidRPr="00660ECD">
        <w:rPr>
          <w:rFonts w:cstheme="minorHAnsi"/>
          <w:b/>
          <w:bCs/>
          <w:sz w:val="24"/>
          <w:szCs w:val="24"/>
        </w:rPr>
        <w:t>risk?</w:t>
      </w:r>
    </w:p>
    <w:p w14:paraId="2048153A" w14:textId="35CD3BC9" w:rsidR="00935690" w:rsidRPr="00660ECD" w:rsidRDefault="00804550" w:rsidP="00660ECD">
      <w:pPr>
        <w:spacing w:after="100" w:afterAutospacing="1" w:line="360" w:lineRule="auto"/>
        <w:rPr>
          <w:rFonts w:cstheme="minorHAnsi"/>
          <w:sz w:val="24"/>
          <w:szCs w:val="24"/>
        </w:rPr>
      </w:pPr>
      <w:r w:rsidRPr="00660ECD">
        <w:rPr>
          <w:rFonts w:cstheme="minorHAnsi"/>
          <w:sz w:val="24"/>
          <w:szCs w:val="24"/>
        </w:rPr>
        <w:t>The World Health Organi</w:t>
      </w:r>
      <w:r w:rsidR="001B7181">
        <w:rPr>
          <w:rFonts w:cstheme="minorHAnsi"/>
          <w:sz w:val="24"/>
          <w:szCs w:val="24"/>
        </w:rPr>
        <w:t>z</w:t>
      </w:r>
      <w:r w:rsidRPr="00660ECD">
        <w:rPr>
          <w:rFonts w:cstheme="minorHAnsi"/>
          <w:sz w:val="24"/>
          <w:szCs w:val="24"/>
        </w:rPr>
        <w:t xml:space="preserve">ation (WHO) </w:t>
      </w:r>
      <w:r w:rsidR="00C828EC" w:rsidRPr="00660ECD">
        <w:rPr>
          <w:rFonts w:cstheme="minorHAnsi"/>
          <w:sz w:val="24"/>
          <w:szCs w:val="24"/>
        </w:rPr>
        <w:t>cites high-</w:t>
      </w:r>
      <w:r w:rsidR="003D0A2C" w:rsidRPr="00660ECD">
        <w:rPr>
          <w:rFonts w:cstheme="minorHAnsi"/>
          <w:sz w:val="24"/>
          <w:szCs w:val="24"/>
        </w:rPr>
        <w:t xml:space="preserve">risk </w:t>
      </w:r>
      <w:r w:rsidR="00C828EC" w:rsidRPr="00660ECD">
        <w:rPr>
          <w:rFonts w:cstheme="minorHAnsi"/>
          <w:sz w:val="24"/>
          <w:szCs w:val="24"/>
        </w:rPr>
        <w:t>medications</w:t>
      </w:r>
      <w:r w:rsidR="00B455E7" w:rsidRPr="00660ECD">
        <w:rPr>
          <w:rFonts w:cstheme="minorHAnsi"/>
          <w:sz w:val="24"/>
          <w:szCs w:val="24"/>
        </w:rPr>
        <w:t xml:space="preserve"> as one of the key factors </w:t>
      </w:r>
      <w:r w:rsidR="003D0A2C" w:rsidRPr="00660ECD">
        <w:rPr>
          <w:rFonts w:cstheme="minorHAnsi"/>
          <w:sz w:val="24"/>
          <w:szCs w:val="24"/>
        </w:rPr>
        <w:t>associated with significant patient harm</w:t>
      </w:r>
      <w:r w:rsidR="00360D75" w:rsidRPr="00660ECD">
        <w:rPr>
          <w:rFonts w:cstheme="minorHAnsi"/>
          <w:sz w:val="24"/>
          <w:szCs w:val="24"/>
        </w:rPr>
        <w:t>, alongside</w:t>
      </w:r>
      <w:r w:rsidR="000E271B" w:rsidRPr="00660ECD">
        <w:rPr>
          <w:rFonts w:cstheme="minorHAnsi"/>
          <w:sz w:val="24"/>
          <w:szCs w:val="24"/>
        </w:rPr>
        <w:t>:</w:t>
      </w:r>
    </w:p>
    <w:p w14:paraId="219DF37C" w14:textId="79A32E8F" w:rsidR="00935690" w:rsidRPr="00660ECD" w:rsidRDefault="00935690" w:rsidP="00660ECD">
      <w:pPr>
        <w:pStyle w:val="ListParagraph"/>
        <w:numPr>
          <w:ilvl w:val="0"/>
          <w:numId w:val="1"/>
        </w:numPr>
        <w:spacing w:after="100" w:afterAutospacing="1" w:line="360" w:lineRule="auto"/>
        <w:contextualSpacing w:val="0"/>
        <w:rPr>
          <w:rFonts w:cstheme="minorHAnsi"/>
          <w:sz w:val="24"/>
          <w:szCs w:val="24"/>
        </w:rPr>
      </w:pPr>
      <w:r w:rsidRPr="00660ECD">
        <w:rPr>
          <w:rFonts w:cstheme="minorHAnsi"/>
          <w:sz w:val="24"/>
          <w:szCs w:val="24"/>
        </w:rPr>
        <w:t>He</w:t>
      </w:r>
      <w:r w:rsidR="006004AB" w:rsidRPr="00660ECD">
        <w:rPr>
          <w:rFonts w:cstheme="minorHAnsi"/>
          <w:sz w:val="24"/>
          <w:szCs w:val="24"/>
        </w:rPr>
        <w:t>althcare professional</w:t>
      </w:r>
      <w:r w:rsidRPr="00660ECD">
        <w:rPr>
          <w:rFonts w:cstheme="minorHAnsi"/>
          <w:sz w:val="24"/>
          <w:szCs w:val="24"/>
        </w:rPr>
        <w:t>s</w:t>
      </w:r>
      <w:r w:rsidR="006004AB" w:rsidRPr="00660ECD">
        <w:rPr>
          <w:rFonts w:cstheme="minorHAnsi"/>
          <w:sz w:val="24"/>
          <w:szCs w:val="24"/>
        </w:rPr>
        <w:t xml:space="preserve"> </w:t>
      </w:r>
      <w:r w:rsidR="00BA35EC" w:rsidRPr="00660ECD">
        <w:rPr>
          <w:rFonts w:cstheme="minorHAnsi"/>
          <w:sz w:val="24"/>
          <w:szCs w:val="24"/>
        </w:rPr>
        <w:t>(</w:t>
      </w:r>
      <w:r w:rsidR="0040081D" w:rsidRPr="00660ECD">
        <w:rPr>
          <w:rFonts w:cstheme="minorHAnsi"/>
          <w:sz w:val="24"/>
          <w:szCs w:val="24"/>
        </w:rPr>
        <w:t xml:space="preserve">poor </w:t>
      </w:r>
      <w:r w:rsidR="006004AB" w:rsidRPr="00660ECD">
        <w:rPr>
          <w:rFonts w:cstheme="minorHAnsi"/>
          <w:sz w:val="24"/>
          <w:szCs w:val="24"/>
        </w:rPr>
        <w:t>prescribing practices</w:t>
      </w:r>
      <w:r w:rsidR="0058688E" w:rsidRPr="00660ECD">
        <w:rPr>
          <w:rFonts w:cstheme="minorHAnsi"/>
          <w:sz w:val="24"/>
          <w:szCs w:val="24"/>
        </w:rPr>
        <w:t>,</w:t>
      </w:r>
      <w:r w:rsidR="006C2C04" w:rsidRPr="00660ECD">
        <w:rPr>
          <w:rFonts w:cstheme="minorHAnsi"/>
          <w:sz w:val="24"/>
          <w:szCs w:val="24"/>
        </w:rPr>
        <w:t xml:space="preserve"> human factors</w:t>
      </w:r>
      <w:proofErr w:type="gramStart"/>
      <w:r w:rsidR="00BA35EC" w:rsidRPr="00660ECD">
        <w:rPr>
          <w:rFonts w:cstheme="minorHAnsi"/>
          <w:sz w:val="24"/>
          <w:szCs w:val="24"/>
        </w:rPr>
        <w:t>)</w:t>
      </w:r>
      <w:r w:rsidR="002F0C2B">
        <w:rPr>
          <w:rFonts w:cstheme="minorHAnsi"/>
          <w:sz w:val="24"/>
          <w:szCs w:val="24"/>
        </w:rPr>
        <w:t>;</w:t>
      </w:r>
      <w:proofErr w:type="gramEnd"/>
    </w:p>
    <w:p w14:paraId="0C1F581F" w14:textId="7460160B" w:rsidR="007B7AB1" w:rsidRPr="00660ECD" w:rsidRDefault="0058688E" w:rsidP="00660ECD">
      <w:pPr>
        <w:pStyle w:val="ListParagraph"/>
        <w:numPr>
          <w:ilvl w:val="0"/>
          <w:numId w:val="1"/>
        </w:numPr>
        <w:spacing w:after="100" w:afterAutospacing="1" w:line="360" w:lineRule="auto"/>
        <w:contextualSpacing w:val="0"/>
        <w:rPr>
          <w:rFonts w:cstheme="minorHAnsi"/>
          <w:sz w:val="24"/>
          <w:szCs w:val="24"/>
        </w:rPr>
      </w:pPr>
      <w:r w:rsidRPr="00660ECD">
        <w:rPr>
          <w:rFonts w:cstheme="minorHAnsi"/>
          <w:sz w:val="24"/>
          <w:szCs w:val="24"/>
        </w:rPr>
        <w:t>Complex p</w:t>
      </w:r>
      <w:r w:rsidR="006004AB" w:rsidRPr="00660ECD">
        <w:rPr>
          <w:rFonts w:cstheme="minorHAnsi"/>
          <w:sz w:val="24"/>
          <w:szCs w:val="24"/>
        </w:rPr>
        <w:t>atient</w:t>
      </w:r>
      <w:r w:rsidR="00824941" w:rsidRPr="00660ECD">
        <w:rPr>
          <w:rFonts w:cstheme="minorHAnsi"/>
          <w:sz w:val="24"/>
          <w:szCs w:val="24"/>
        </w:rPr>
        <w:t>s</w:t>
      </w:r>
      <w:r w:rsidR="00935690" w:rsidRPr="00660ECD">
        <w:rPr>
          <w:rFonts w:cstheme="minorHAnsi"/>
          <w:sz w:val="24"/>
          <w:szCs w:val="24"/>
        </w:rPr>
        <w:t xml:space="preserve"> (renal/liver impairment, allergies</w:t>
      </w:r>
      <w:r w:rsidR="009F01BF" w:rsidRPr="00660ECD">
        <w:rPr>
          <w:rFonts w:cstheme="minorHAnsi"/>
          <w:sz w:val="24"/>
          <w:szCs w:val="24"/>
        </w:rPr>
        <w:t>, extreme body weight</w:t>
      </w:r>
      <w:r w:rsidR="00935690" w:rsidRPr="00660ECD">
        <w:rPr>
          <w:rFonts w:cstheme="minorHAnsi"/>
          <w:sz w:val="24"/>
          <w:szCs w:val="24"/>
        </w:rPr>
        <w:t>)</w:t>
      </w:r>
      <w:r w:rsidR="006004AB" w:rsidRPr="00660ECD">
        <w:rPr>
          <w:rFonts w:cstheme="minorHAnsi"/>
          <w:sz w:val="24"/>
          <w:szCs w:val="24"/>
        </w:rPr>
        <w:t xml:space="preserve"> </w:t>
      </w:r>
      <w:r w:rsidR="002F0C2B">
        <w:rPr>
          <w:rFonts w:cstheme="minorHAnsi"/>
          <w:sz w:val="24"/>
          <w:szCs w:val="24"/>
        </w:rPr>
        <w:t xml:space="preserve">and </w:t>
      </w:r>
      <w:r w:rsidR="005C7B2F" w:rsidRPr="00660ECD">
        <w:rPr>
          <w:rFonts w:cstheme="minorHAnsi"/>
          <w:sz w:val="24"/>
          <w:szCs w:val="24"/>
        </w:rPr>
        <w:t xml:space="preserve">vulnerable </w:t>
      </w:r>
      <w:r w:rsidRPr="00660ECD">
        <w:rPr>
          <w:rFonts w:cstheme="minorHAnsi"/>
          <w:sz w:val="24"/>
          <w:szCs w:val="24"/>
        </w:rPr>
        <w:t xml:space="preserve">patients </w:t>
      </w:r>
      <w:r w:rsidR="00F80C61" w:rsidRPr="00660ECD">
        <w:rPr>
          <w:rFonts w:cstheme="minorHAnsi"/>
          <w:sz w:val="24"/>
          <w:szCs w:val="24"/>
        </w:rPr>
        <w:t>(</w:t>
      </w:r>
      <w:r w:rsidR="007470B7" w:rsidRPr="00660ECD">
        <w:rPr>
          <w:rFonts w:cstheme="minorHAnsi"/>
          <w:sz w:val="24"/>
          <w:szCs w:val="24"/>
        </w:rPr>
        <w:t>children</w:t>
      </w:r>
      <w:r w:rsidR="00F80C61" w:rsidRPr="00660ECD">
        <w:rPr>
          <w:rFonts w:cstheme="minorHAnsi"/>
          <w:sz w:val="24"/>
          <w:szCs w:val="24"/>
        </w:rPr>
        <w:t xml:space="preserve">, </w:t>
      </w:r>
      <w:r w:rsidR="00881D99">
        <w:rPr>
          <w:rFonts w:cstheme="minorHAnsi"/>
          <w:sz w:val="24"/>
          <w:szCs w:val="24"/>
        </w:rPr>
        <w:t xml:space="preserve">older people, people with </w:t>
      </w:r>
      <w:r w:rsidR="009F01BF" w:rsidRPr="00660ECD">
        <w:rPr>
          <w:rFonts w:cstheme="minorHAnsi"/>
          <w:sz w:val="24"/>
          <w:szCs w:val="24"/>
        </w:rPr>
        <w:t>learning disabilities</w:t>
      </w:r>
      <w:proofErr w:type="gramStart"/>
      <w:r w:rsidR="00F80C61" w:rsidRPr="00660ECD">
        <w:rPr>
          <w:rFonts w:cstheme="minorHAnsi"/>
          <w:sz w:val="24"/>
          <w:szCs w:val="24"/>
        </w:rPr>
        <w:t>)</w:t>
      </w:r>
      <w:r w:rsidR="002F0C2B">
        <w:rPr>
          <w:rFonts w:cstheme="minorHAnsi"/>
          <w:sz w:val="24"/>
          <w:szCs w:val="24"/>
        </w:rPr>
        <w:t>;</w:t>
      </w:r>
      <w:proofErr w:type="gramEnd"/>
    </w:p>
    <w:p w14:paraId="41B2448A" w14:textId="7317E369" w:rsidR="00F80C61" w:rsidRPr="00660ECD" w:rsidRDefault="00F80C61" w:rsidP="00660ECD">
      <w:pPr>
        <w:pStyle w:val="ListParagraph"/>
        <w:numPr>
          <w:ilvl w:val="0"/>
          <w:numId w:val="1"/>
        </w:numPr>
        <w:spacing w:after="100" w:afterAutospacing="1" w:line="360" w:lineRule="auto"/>
        <w:contextualSpacing w:val="0"/>
        <w:rPr>
          <w:rFonts w:cstheme="minorHAnsi"/>
          <w:sz w:val="24"/>
          <w:szCs w:val="24"/>
        </w:rPr>
      </w:pPr>
      <w:r w:rsidRPr="00660ECD">
        <w:rPr>
          <w:rFonts w:cstheme="minorHAnsi"/>
          <w:sz w:val="24"/>
          <w:szCs w:val="24"/>
        </w:rPr>
        <w:t xml:space="preserve">Work environment </w:t>
      </w:r>
      <w:r w:rsidR="004D40B2" w:rsidRPr="00660ECD">
        <w:rPr>
          <w:rFonts w:cstheme="minorHAnsi"/>
          <w:sz w:val="24"/>
          <w:szCs w:val="24"/>
        </w:rPr>
        <w:t>(</w:t>
      </w:r>
      <w:r w:rsidR="0040081D" w:rsidRPr="00660ECD">
        <w:rPr>
          <w:rFonts w:cstheme="minorHAnsi"/>
          <w:sz w:val="24"/>
          <w:szCs w:val="24"/>
        </w:rPr>
        <w:t>high-risk settings</w:t>
      </w:r>
      <w:r w:rsidR="001076EF" w:rsidRPr="00660ECD">
        <w:rPr>
          <w:rFonts w:cstheme="minorHAnsi"/>
          <w:sz w:val="24"/>
          <w:szCs w:val="24"/>
        </w:rPr>
        <w:t xml:space="preserve">: </w:t>
      </w:r>
      <w:r w:rsidR="00103B16" w:rsidRPr="00660ECD">
        <w:rPr>
          <w:rFonts w:cstheme="minorHAnsi"/>
          <w:sz w:val="24"/>
          <w:szCs w:val="24"/>
        </w:rPr>
        <w:t xml:space="preserve">perioperative, neonatal, </w:t>
      </w:r>
      <w:r w:rsidR="00BF0B3C" w:rsidRPr="00660ECD">
        <w:rPr>
          <w:rFonts w:cstheme="minorHAnsi"/>
          <w:sz w:val="24"/>
          <w:szCs w:val="24"/>
        </w:rPr>
        <w:t>emergency</w:t>
      </w:r>
      <w:r w:rsidR="00103B16" w:rsidRPr="00660ECD">
        <w:rPr>
          <w:rFonts w:cstheme="minorHAnsi"/>
          <w:sz w:val="24"/>
          <w:szCs w:val="24"/>
        </w:rPr>
        <w:t xml:space="preserve"> care</w:t>
      </w:r>
      <w:r w:rsidR="00CB5188" w:rsidRPr="00660ECD">
        <w:rPr>
          <w:rFonts w:cstheme="minorHAnsi"/>
          <w:sz w:val="24"/>
          <w:szCs w:val="24"/>
        </w:rPr>
        <w:t>)</w:t>
      </w:r>
      <w:r w:rsidR="00A54D09" w:rsidRPr="00660ECD">
        <w:rPr>
          <w:rFonts w:cstheme="minorHAnsi"/>
          <w:sz w:val="24"/>
          <w:szCs w:val="24"/>
        </w:rPr>
        <w:t xml:space="preserve"> </w:t>
      </w:r>
      <w:r w:rsidR="002F0C2B">
        <w:rPr>
          <w:rFonts w:cstheme="minorHAnsi"/>
          <w:sz w:val="24"/>
          <w:szCs w:val="24"/>
        </w:rPr>
        <w:t xml:space="preserve">and </w:t>
      </w:r>
      <w:r w:rsidR="00A54D09" w:rsidRPr="00660ECD">
        <w:rPr>
          <w:rFonts w:cstheme="minorHAnsi"/>
          <w:sz w:val="24"/>
          <w:szCs w:val="24"/>
        </w:rPr>
        <w:t>transitions between care settings</w:t>
      </w:r>
      <w:r w:rsidR="0040039B" w:rsidRPr="00660ECD">
        <w:rPr>
          <w:rFonts w:cstheme="minorHAnsi"/>
          <w:sz w:val="24"/>
          <w:szCs w:val="24"/>
        </w:rPr>
        <w:t xml:space="preserve"> </w:t>
      </w:r>
      <w:r w:rsidR="0040039B" w:rsidRPr="00660ECD">
        <w:rPr>
          <w:rFonts w:cstheme="minorHAnsi"/>
          <w:sz w:val="24"/>
          <w:szCs w:val="24"/>
        </w:rPr>
        <w:fldChar w:fldCharType="begin"/>
      </w:r>
      <w:r w:rsidR="00B5414D" w:rsidRPr="00660ECD">
        <w:rPr>
          <w:rFonts w:cstheme="minorHAnsi"/>
          <w:sz w:val="24"/>
          <w:szCs w:val="24"/>
        </w:rPr>
        <w:instrText xml:space="preserve"> ADDIN ZOTERO_ITEM CSL_CITATION {"citationID":"B0e3tPrq","properties":{"formattedCitation":"(2,4)","plainCitation":"(2,4)","noteIndex":0},"citationItems":[{"id":10,"uris":["http://zotero.org/users/local/3eWb7dOa/items/YJWNA797"],"itemData":{"id":10,"type":"document","title":"WHO-UHC-SDS-2019.10-eng.pdf","URL":"https://iris.who.int/bitstream/handle/10665/325131/WHO-UHC-SDS-2019.10-eng.pdf?sequence=1","accessed":{"date-parts":[["2025",4,9]]}}},{"id":66,"uris":["http://zotero.org/users/local/3eWb7dOa/items/9I4W856I"],"itemData":{"id":66,"type":"post-weblog","abstract":"This page is part of the wider ‘Aspects of previous patient safety alerts that should inform broader local safety initiatives’ set of webpages. Prioritising local safety improvement work for medication Prioritising the allocation of resources is a critical element of any organisation’s planning for patient safety improvement. Resources are most commonly spread across activities intended […]","language":"en-US","title":"NHS England » Priority setting","URL":"https://www.england.nhs.uk/patient-safety/patient-safety-insight/patient-safety-alerts/enduring-standards/informing-broader-local-safety-initiatives/priority-setting/","author":[{"family":"England","given":"N. H. S."}],"accessed":{"date-parts":[["2025",5,14]]}}}],"schema":"https://github.com/citation-style-language/schema/raw/master/csl-citation.json"} </w:instrText>
      </w:r>
      <w:r w:rsidR="0040039B" w:rsidRPr="00660ECD">
        <w:rPr>
          <w:rFonts w:cstheme="minorHAnsi"/>
          <w:sz w:val="24"/>
          <w:szCs w:val="24"/>
        </w:rPr>
        <w:fldChar w:fldCharType="separate"/>
      </w:r>
      <w:r w:rsidR="00B5414D" w:rsidRPr="00660ECD">
        <w:rPr>
          <w:rFonts w:cstheme="minorHAnsi"/>
          <w:sz w:val="24"/>
          <w:szCs w:val="24"/>
        </w:rPr>
        <w:t>(2,4)</w:t>
      </w:r>
      <w:r w:rsidR="0040039B" w:rsidRPr="00660ECD">
        <w:rPr>
          <w:rFonts w:cstheme="minorHAnsi"/>
          <w:sz w:val="24"/>
          <w:szCs w:val="24"/>
        </w:rPr>
        <w:fldChar w:fldCharType="end"/>
      </w:r>
      <w:r w:rsidR="002F0C2B">
        <w:rPr>
          <w:rFonts w:cstheme="minorHAnsi"/>
          <w:sz w:val="24"/>
          <w:szCs w:val="24"/>
        </w:rPr>
        <w:t>.</w:t>
      </w:r>
    </w:p>
    <w:p w14:paraId="7C98FD98" w14:textId="01C78560" w:rsidR="00FE63BB" w:rsidRPr="00660ECD" w:rsidRDefault="00D8023A" w:rsidP="00660ECD">
      <w:pPr>
        <w:spacing w:after="100" w:afterAutospacing="1" w:line="360" w:lineRule="auto"/>
        <w:rPr>
          <w:rFonts w:cstheme="minorHAnsi"/>
          <w:sz w:val="24"/>
          <w:szCs w:val="24"/>
        </w:rPr>
      </w:pPr>
      <w:r w:rsidRPr="00660ECD">
        <w:rPr>
          <w:rFonts w:cstheme="minorHAnsi"/>
          <w:sz w:val="24"/>
          <w:szCs w:val="24"/>
        </w:rPr>
        <w:t xml:space="preserve">Medications can be deemed high-risk for </w:t>
      </w:r>
      <w:r w:rsidR="002F0C2B">
        <w:rPr>
          <w:rFonts w:cstheme="minorHAnsi"/>
          <w:sz w:val="24"/>
          <w:szCs w:val="24"/>
        </w:rPr>
        <w:t>various</w:t>
      </w:r>
      <w:r w:rsidRPr="00660ECD">
        <w:rPr>
          <w:rFonts w:cstheme="minorHAnsi"/>
          <w:sz w:val="24"/>
          <w:szCs w:val="24"/>
        </w:rPr>
        <w:t xml:space="preserve"> reasons, </w:t>
      </w:r>
      <w:r w:rsidR="007A6FB7" w:rsidRPr="00660ECD">
        <w:rPr>
          <w:rFonts w:cstheme="minorHAnsi"/>
          <w:sz w:val="24"/>
          <w:szCs w:val="24"/>
        </w:rPr>
        <w:t xml:space="preserve">and specific medications may differ </w:t>
      </w:r>
      <w:r w:rsidR="002F0C2B">
        <w:rPr>
          <w:rFonts w:cstheme="minorHAnsi"/>
          <w:sz w:val="24"/>
          <w:szCs w:val="24"/>
        </w:rPr>
        <w:t xml:space="preserve">in risk </w:t>
      </w:r>
      <w:r w:rsidR="007A6FB7" w:rsidRPr="00660ECD">
        <w:rPr>
          <w:rFonts w:cstheme="minorHAnsi"/>
          <w:sz w:val="24"/>
          <w:szCs w:val="24"/>
        </w:rPr>
        <w:t xml:space="preserve">between </w:t>
      </w:r>
      <w:r w:rsidR="00C12E2E" w:rsidRPr="00660ECD">
        <w:rPr>
          <w:rFonts w:cstheme="minorHAnsi"/>
          <w:sz w:val="24"/>
          <w:szCs w:val="24"/>
        </w:rPr>
        <w:t xml:space="preserve">different healthcare sectors and </w:t>
      </w:r>
      <w:r w:rsidR="007A6FB7" w:rsidRPr="00660ECD">
        <w:rPr>
          <w:rFonts w:cstheme="minorHAnsi"/>
          <w:sz w:val="24"/>
          <w:szCs w:val="24"/>
        </w:rPr>
        <w:t xml:space="preserve">countries </w:t>
      </w:r>
      <w:r w:rsidR="007A6FB7" w:rsidRPr="00660ECD">
        <w:rPr>
          <w:rFonts w:cstheme="minorHAnsi"/>
          <w:sz w:val="24"/>
          <w:szCs w:val="24"/>
        </w:rPr>
        <w:fldChar w:fldCharType="begin"/>
      </w:r>
      <w:r w:rsidR="00B5414D" w:rsidRPr="00660ECD">
        <w:rPr>
          <w:rFonts w:cstheme="minorHAnsi"/>
          <w:sz w:val="24"/>
          <w:szCs w:val="24"/>
        </w:rPr>
        <w:instrText xml:space="preserve"> ADDIN ZOTERO_ITEM CSL_CITATION {"citationID":"vEwtl1sV","properties":{"formattedCitation":"(8)","plainCitation":"(8)","noteIndex":0},"citationItems":[{"id":9,"uris":["http://zotero.org/users/local/3eWb7dOa/items/JFDFICEV"],"itemData":{"id":9,"type":"book","edition":"1st ed","event-place":"Geneva","ISBN":"978-92-4-006276-4","language":"en","number-of-pages":"1","publisher":"World Health Organization","publisher-place":"Geneva","source":"K10plus ISBN","title":"Medication Without Harm: Policy Brief","title-short":"Medication Without Harm","issued":{"date-parts":[["2024"]]}}}],"schema":"https://github.com/citation-style-language/schema/raw/master/csl-citation.json"} </w:instrText>
      </w:r>
      <w:r w:rsidR="007A6FB7" w:rsidRPr="00660ECD">
        <w:rPr>
          <w:rFonts w:cstheme="minorHAnsi"/>
          <w:sz w:val="24"/>
          <w:szCs w:val="24"/>
        </w:rPr>
        <w:fldChar w:fldCharType="separate"/>
      </w:r>
      <w:r w:rsidR="00B5414D" w:rsidRPr="00660ECD">
        <w:rPr>
          <w:rFonts w:cstheme="minorHAnsi"/>
          <w:sz w:val="24"/>
          <w:szCs w:val="24"/>
        </w:rPr>
        <w:t>(8)</w:t>
      </w:r>
      <w:r w:rsidR="007A6FB7" w:rsidRPr="00660ECD">
        <w:rPr>
          <w:rFonts w:cstheme="minorHAnsi"/>
          <w:sz w:val="24"/>
          <w:szCs w:val="24"/>
        </w:rPr>
        <w:fldChar w:fldCharType="end"/>
      </w:r>
      <w:r w:rsidR="007A6FB7" w:rsidRPr="00660ECD">
        <w:rPr>
          <w:rFonts w:cstheme="minorHAnsi"/>
          <w:sz w:val="24"/>
          <w:szCs w:val="24"/>
        </w:rPr>
        <w:t xml:space="preserve">. </w:t>
      </w:r>
      <w:r w:rsidR="002F0C2B">
        <w:rPr>
          <w:rFonts w:cstheme="minorHAnsi"/>
          <w:sz w:val="24"/>
          <w:szCs w:val="24"/>
        </w:rPr>
        <w:t>Because of</w:t>
      </w:r>
      <w:r w:rsidR="009C2251" w:rsidRPr="00660ECD">
        <w:rPr>
          <w:rFonts w:cstheme="minorHAnsi"/>
          <w:sz w:val="24"/>
          <w:szCs w:val="24"/>
        </w:rPr>
        <w:t xml:space="preserve"> the high costs and increased mortality associated with high-risk medications, </w:t>
      </w:r>
      <w:r w:rsidR="009847C0" w:rsidRPr="00660ECD">
        <w:rPr>
          <w:rFonts w:cstheme="minorHAnsi"/>
          <w:sz w:val="24"/>
          <w:szCs w:val="24"/>
        </w:rPr>
        <w:t xml:space="preserve">medication safety organisations have </w:t>
      </w:r>
      <w:r w:rsidR="000D5D7B" w:rsidRPr="00660ECD">
        <w:rPr>
          <w:rFonts w:cstheme="minorHAnsi"/>
          <w:sz w:val="24"/>
          <w:szCs w:val="24"/>
        </w:rPr>
        <w:t>attempted to establish definitions and lists</w:t>
      </w:r>
      <w:r w:rsidR="00747431" w:rsidRPr="00660ECD">
        <w:rPr>
          <w:rFonts w:cstheme="minorHAnsi"/>
          <w:sz w:val="24"/>
          <w:szCs w:val="24"/>
        </w:rPr>
        <w:t xml:space="preserve"> to raise awareness for healthcare professionals</w:t>
      </w:r>
      <w:r w:rsidR="000D5D7B" w:rsidRPr="00660ECD">
        <w:rPr>
          <w:rFonts w:cstheme="minorHAnsi"/>
          <w:sz w:val="24"/>
          <w:szCs w:val="24"/>
        </w:rPr>
        <w:t xml:space="preserve"> </w:t>
      </w:r>
      <w:r w:rsidR="000D5D7B" w:rsidRPr="00660ECD">
        <w:rPr>
          <w:rFonts w:cstheme="minorHAnsi"/>
          <w:sz w:val="24"/>
          <w:szCs w:val="24"/>
        </w:rPr>
        <w:fldChar w:fldCharType="begin"/>
      </w:r>
      <w:r w:rsidR="00B5414D" w:rsidRPr="00660ECD">
        <w:rPr>
          <w:rFonts w:cstheme="minorHAnsi"/>
          <w:sz w:val="24"/>
          <w:szCs w:val="24"/>
        </w:rPr>
        <w:instrText xml:space="preserve"> ADDIN ZOTERO_ITEM CSL_CITATION {"citationID":"uCtB4aBc","properties":{"formattedCitation":"(6)","plainCitation":"(6)","noteIndex":0},"citationItems":[{"id":11,"uris":["http://zotero.org/users/local/3eWb7dOa/items/3QEH88DW"],"itemData":{"id":11,"type":"article-journal","abstract":"What is known Prescribing errors are the most common type of error in the medication use process. However, there is a paucity of literature regarding the prevalence or incidence of prescribing errors in high-risk medicines (HRMs). HRMs bear a heightened risk of causing significant patient harm when they are used in error. Objective The aim of this research was to systematically investigate the literature regarding the prevalence and incidence of prescribing errors in HRMs in inpatient settings. Methods A search strategy was developed based on four categories of keywords: prescribing errors, HRMs, hospital inpatients, and prevalence or incidence. All keywords were searched for in Medline, Embase, Cochrane and the International Pharmaceutical Abstracts. The search was limited to English quantitative studies that reported the incidence or prevalence of prescribing errors by medical prescribers, whether they were seniors or juniors, since 1985. Results Of the 3507 records identified, nine studies met the review criteria. The most frequent denominator in the included studies was medication orders, in eight studies, ranged from 0·24 to 89·6 errors per 100 orders of HRMs. Two studies reported 107 and 218 errors per 100 admissions prescribed HRMs, and one study reported 27·2 errors per 100 prescriptions with a HRM. The incidence of prescribing errors could not be calculated. What is new and conclusion The prevalence of prescribing errors in HRMs in the inpatient setting has a very wide range that reflects the different data collection methods used within the included studies. Future studies in prescribing errors should use standardized approaches to enable comparison.","container-title":"Journal of Clinical Pharmacy and Therapeutics","DOI":"10.1111/jcpt.12389","ISSN":"1365-2710","issue":"3","language":"en","license":"© 2016 The Authors. Journal of Clinical Pharmacy and Therapeutics Published by John Wiley &amp; Sons Ltd.","note":"_eprint: https://onlinelibrary.wiley.com/doi/pdf/10.1111/jcpt.12389","page":"239-245","source":"Wiley Online Library","title":"A systematic review of the prevalence and incidence of prescribing errors with high-risk medicines in hospitals","volume":"41","author":[{"family":"Alanazi","given":"M. A."},{"family":"Tully","given":"M. P."},{"family":"Lewis","given":"P. J."}],"issued":{"date-parts":[["2016"]]}}}],"schema":"https://github.com/citation-style-language/schema/raw/master/csl-citation.json"} </w:instrText>
      </w:r>
      <w:r w:rsidR="000D5D7B" w:rsidRPr="00660ECD">
        <w:rPr>
          <w:rFonts w:cstheme="minorHAnsi"/>
          <w:sz w:val="24"/>
          <w:szCs w:val="24"/>
        </w:rPr>
        <w:fldChar w:fldCharType="separate"/>
      </w:r>
      <w:r w:rsidR="00B5414D" w:rsidRPr="00660ECD">
        <w:rPr>
          <w:rFonts w:cstheme="minorHAnsi"/>
          <w:sz w:val="24"/>
          <w:szCs w:val="24"/>
        </w:rPr>
        <w:t>(6)</w:t>
      </w:r>
      <w:r w:rsidR="000D5D7B" w:rsidRPr="00660ECD">
        <w:rPr>
          <w:rFonts w:cstheme="minorHAnsi"/>
          <w:sz w:val="24"/>
          <w:szCs w:val="24"/>
        </w:rPr>
        <w:fldChar w:fldCharType="end"/>
      </w:r>
      <w:r w:rsidR="000D5D7B" w:rsidRPr="00660ECD">
        <w:rPr>
          <w:rFonts w:cstheme="minorHAnsi"/>
          <w:sz w:val="24"/>
          <w:szCs w:val="24"/>
        </w:rPr>
        <w:t>.</w:t>
      </w:r>
      <w:r w:rsidR="00801B66" w:rsidRPr="00660ECD">
        <w:rPr>
          <w:rFonts w:cstheme="minorHAnsi"/>
          <w:sz w:val="24"/>
          <w:szCs w:val="24"/>
        </w:rPr>
        <w:t xml:space="preserve"> For example, </w:t>
      </w:r>
      <w:r w:rsidR="0097135A" w:rsidRPr="00660ECD">
        <w:rPr>
          <w:rFonts w:cstheme="minorHAnsi"/>
          <w:sz w:val="24"/>
          <w:szCs w:val="24"/>
        </w:rPr>
        <w:t>t</w:t>
      </w:r>
      <w:r w:rsidR="00626855" w:rsidRPr="00660ECD">
        <w:rPr>
          <w:rFonts w:cstheme="minorHAnsi"/>
          <w:sz w:val="24"/>
          <w:szCs w:val="24"/>
        </w:rPr>
        <w:t xml:space="preserve">he ISMP </w:t>
      </w:r>
      <w:r w:rsidR="007B37CB" w:rsidRPr="00660ECD">
        <w:rPr>
          <w:rFonts w:cstheme="minorHAnsi"/>
          <w:sz w:val="24"/>
          <w:szCs w:val="24"/>
        </w:rPr>
        <w:t xml:space="preserve">published </w:t>
      </w:r>
      <w:r w:rsidR="00A25260" w:rsidRPr="00660ECD">
        <w:rPr>
          <w:rFonts w:cstheme="minorHAnsi"/>
          <w:sz w:val="24"/>
          <w:szCs w:val="24"/>
        </w:rPr>
        <w:t>a</w:t>
      </w:r>
      <w:r w:rsidR="007B37CB" w:rsidRPr="00660ECD">
        <w:rPr>
          <w:rFonts w:cstheme="minorHAnsi"/>
          <w:sz w:val="24"/>
          <w:szCs w:val="24"/>
        </w:rPr>
        <w:t xml:space="preserve"> ‘List of High-Alert Medications in Acute Care Settings’</w:t>
      </w:r>
      <w:r w:rsidR="00687BFB" w:rsidRPr="00660ECD">
        <w:rPr>
          <w:rFonts w:cstheme="minorHAnsi"/>
          <w:sz w:val="24"/>
          <w:szCs w:val="24"/>
        </w:rPr>
        <w:t xml:space="preserve">, </w:t>
      </w:r>
      <w:r w:rsidR="00A25260" w:rsidRPr="00660ECD">
        <w:rPr>
          <w:rFonts w:cstheme="minorHAnsi"/>
          <w:sz w:val="24"/>
          <w:szCs w:val="24"/>
        </w:rPr>
        <w:t>containing</w:t>
      </w:r>
      <w:r w:rsidR="00263A8A" w:rsidRPr="00660ECD">
        <w:rPr>
          <w:rFonts w:cstheme="minorHAnsi"/>
          <w:sz w:val="24"/>
          <w:szCs w:val="24"/>
        </w:rPr>
        <w:t xml:space="preserve"> 13 specific medications</w:t>
      </w:r>
      <w:r w:rsidR="00C1703E" w:rsidRPr="00660ECD">
        <w:rPr>
          <w:rFonts w:cstheme="minorHAnsi"/>
          <w:sz w:val="24"/>
          <w:szCs w:val="24"/>
        </w:rPr>
        <w:t xml:space="preserve"> (</w:t>
      </w:r>
      <w:r w:rsidR="00B96847" w:rsidRPr="00660ECD">
        <w:rPr>
          <w:rFonts w:cstheme="minorHAnsi"/>
          <w:sz w:val="24"/>
          <w:szCs w:val="24"/>
        </w:rPr>
        <w:t>including</w:t>
      </w:r>
      <w:r w:rsidR="00C1703E" w:rsidRPr="00660ECD">
        <w:rPr>
          <w:rFonts w:cstheme="minorHAnsi"/>
          <w:sz w:val="24"/>
          <w:szCs w:val="24"/>
        </w:rPr>
        <w:t xml:space="preserve"> insulin U-500</w:t>
      </w:r>
      <w:r w:rsidR="00EC3946">
        <w:rPr>
          <w:rFonts w:cstheme="minorHAnsi"/>
          <w:sz w:val="24"/>
          <w:szCs w:val="24"/>
        </w:rPr>
        <w:t xml:space="preserve"> and</w:t>
      </w:r>
      <w:r w:rsidR="00D57B75" w:rsidRPr="00660ECD">
        <w:rPr>
          <w:rFonts w:cstheme="minorHAnsi"/>
          <w:sz w:val="24"/>
          <w:szCs w:val="24"/>
        </w:rPr>
        <w:t xml:space="preserve"> </w:t>
      </w:r>
      <w:r w:rsidR="00BB1308" w:rsidRPr="00660ECD">
        <w:rPr>
          <w:rFonts w:cstheme="minorHAnsi"/>
          <w:sz w:val="24"/>
          <w:szCs w:val="24"/>
        </w:rPr>
        <w:t xml:space="preserve">oral methotrexate), and </w:t>
      </w:r>
      <w:r w:rsidR="00F71E95" w:rsidRPr="00660ECD">
        <w:rPr>
          <w:rFonts w:cstheme="minorHAnsi"/>
          <w:sz w:val="24"/>
          <w:szCs w:val="24"/>
        </w:rPr>
        <w:t xml:space="preserve">21 </w:t>
      </w:r>
      <w:r w:rsidR="00FE17C6" w:rsidRPr="00660ECD">
        <w:rPr>
          <w:rFonts w:cstheme="minorHAnsi"/>
          <w:sz w:val="24"/>
          <w:szCs w:val="24"/>
        </w:rPr>
        <w:t>medication classes (</w:t>
      </w:r>
      <w:r w:rsidR="00B96847" w:rsidRPr="00660ECD">
        <w:rPr>
          <w:rFonts w:cstheme="minorHAnsi"/>
          <w:sz w:val="24"/>
          <w:szCs w:val="24"/>
        </w:rPr>
        <w:t>including</w:t>
      </w:r>
      <w:r w:rsidR="00D57B75" w:rsidRPr="00660ECD">
        <w:rPr>
          <w:rFonts w:cstheme="minorHAnsi"/>
          <w:sz w:val="24"/>
          <w:szCs w:val="24"/>
        </w:rPr>
        <w:t xml:space="preserve"> </w:t>
      </w:r>
      <w:r w:rsidR="00FE17C6" w:rsidRPr="00660ECD">
        <w:rPr>
          <w:rFonts w:cstheme="minorHAnsi"/>
          <w:sz w:val="24"/>
          <w:szCs w:val="24"/>
        </w:rPr>
        <w:t xml:space="preserve">antithrombotic agents, </w:t>
      </w:r>
      <w:r w:rsidR="00A71890" w:rsidRPr="00660ECD">
        <w:rPr>
          <w:rFonts w:cstheme="minorHAnsi"/>
          <w:sz w:val="24"/>
          <w:szCs w:val="24"/>
        </w:rPr>
        <w:t>insulin and opioids)</w:t>
      </w:r>
      <w:r w:rsidR="007B37CB" w:rsidRPr="00660ECD">
        <w:rPr>
          <w:rFonts w:cstheme="minorHAnsi"/>
          <w:b/>
          <w:bCs/>
          <w:i/>
          <w:iCs/>
          <w:sz w:val="24"/>
          <w:szCs w:val="24"/>
        </w:rPr>
        <w:t xml:space="preserve"> </w:t>
      </w:r>
      <w:r w:rsidR="007B37CB" w:rsidRPr="00660ECD">
        <w:rPr>
          <w:rFonts w:cstheme="minorHAnsi"/>
          <w:b/>
          <w:bCs/>
          <w:i/>
          <w:iCs/>
          <w:sz w:val="24"/>
          <w:szCs w:val="24"/>
        </w:rPr>
        <w:fldChar w:fldCharType="begin"/>
      </w:r>
      <w:r w:rsidR="00B5414D" w:rsidRPr="00660ECD">
        <w:rPr>
          <w:rFonts w:cstheme="minorHAnsi"/>
          <w:b/>
          <w:bCs/>
          <w:i/>
          <w:iCs/>
          <w:sz w:val="24"/>
          <w:szCs w:val="24"/>
        </w:rPr>
        <w:instrText xml:space="preserve"> ADDIN ZOTERO_ITEM CSL_CITATION {"citationID":"FMQKsGqq","properties":{"formattedCitation":"(7)","plainCitation":"(7)","noteIndex":0},"citationItems":[{"id":13,"uris":["http://zotero.org/users/local/3eWb7dOa/items/72DHREIP"],"itemData":{"id":13,"type":"webpage","abstract":"High-alert medications are drugs that bear a heightened risk of causing significant patient harm when they are used in error. Although mistakes may or may not be more common with these drugs, the consequences of an error are clearly more devastating to patients. Use ISMP's List of High-Alert Medications in Acute Care S","container-title":"ECRI and ISMP","language":"en","title":"High-Alert Medications in Acute Care Settings","URL":"https://home.ecri.org/blogs/ismp-resources/high-alert-medications-in-acute-care-settings","accessed":{"date-parts":[["2025",4,9]]}}}],"schema":"https://github.com/citation-style-language/schema/raw/master/csl-citation.json"} </w:instrText>
      </w:r>
      <w:r w:rsidR="007B37CB" w:rsidRPr="00660ECD">
        <w:rPr>
          <w:rFonts w:cstheme="minorHAnsi"/>
          <w:b/>
          <w:bCs/>
          <w:i/>
          <w:iCs/>
          <w:sz w:val="24"/>
          <w:szCs w:val="24"/>
        </w:rPr>
        <w:fldChar w:fldCharType="separate"/>
      </w:r>
      <w:r w:rsidR="00B5414D" w:rsidRPr="00660ECD">
        <w:rPr>
          <w:rFonts w:cstheme="minorHAnsi"/>
          <w:sz w:val="24"/>
          <w:szCs w:val="24"/>
        </w:rPr>
        <w:t>(7)</w:t>
      </w:r>
      <w:r w:rsidR="007B37CB" w:rsidRPr="00660ECD">
        <w:rPr>
          <w:rFonts w:cstheme="minorHAnsi"/>
          <w:b/>
          <w:bCs/>
          <w:i/>
          <w:iCs/>
          <w:sz w:val="24"/>
          <w:szCs w:val="24"/>
        </w:rPr>
        <w:fldChar w:fldCharType="end"/>
      </w:r>
      <w:r w:rsidR="00A71890" w:rsidRPr="00660ECD">
        <w:rPr>
          <w:rFonts w:cstheme="minorHAnsi"/>
          <w:b/>
          <w:bCs/>
          <w:i/>
          <w:iCs/>
          <w:sz w:val="24"/>
          <w:szCs w:val="24"/>
        </w:rPr>
        <w:t xml:space="preserve">. </w:t>
      </w:r>
      <w:r w:rsidR="00EC3946">
        <w:rPr>
          <w:rFonts w:cstheme="minorHAnsi"/>
          <w:sz w:val="24"/>
          <w:szCs w:val="24"/>
        </w:rPr>
        <w:t>Some of the m</w:t>
      </w:r>
      <w:r w:rsidR="00B96847" w:rsidRPr="00660ECD">
        <w:rPr>
          <w:rFonts w:cstheme="minorHAnsi"/>
          <w:sz w:val="24"/>
          <w:szCs w:val="24"/>
        </w:rPr>
        <w:t>edications listed</w:t>
      </w:r>
      <w:r w:rsidR="00EC3946">
        <w:rPr>
          <w:rFonts w:cstheme="minorHAnsi"/>
          <w:sz w:val="24"/>
          <w:szCs w:val="24"/>
        </w:rPr>
        <w:t>,</w:t>
      </w:r>
      <w:r w:rsidR="00B96847" w:rsidRPr="00660ECD">
        <w:rPr>
          <w:rFonts w:cstheme="minorHAnsi"/>
          <w:sz w:val="24"/>
          <w:szCs w:val="24"/>
        </w:rPr>
        <w:t xml:space="preserve"> such as c</w:t>
      </w:r>
      <w:r w:rsidR="00B646C3" w:rsidRPr="00660ECD">
        <w:rPr>
          <w:rFonts w:cstheme="minorHAnsi"/>
          <w:sz w:val="24"/>
          <w:szCs w:val="24"/>
        </w:rPr>
        <w:t xml:space="preserve">hemotherapy, </w:t>
      </w:r>
      <w:r w:rsidR="0072370D" w:rsidRPr="00660ECD">
        <w:rPr>
          <w:rFonts w:cstheme="minorHAnsi"/>
          <w:sz w:val="24"/>
          <w:szCs w:val="24"/>
        </w:rPr>
        <w:t xml:space="preserve">parenteral therapies and </w:t>
      </w:r>
      <w:r w:rsidR="00D04F5E" w:rsidRPr="00660ECD">
        <w:rPr>
          <w:rFonts w:cstheme="minorHAnsi"/>
          <w:sz w:val="24"/>
          <w:szCs w:val="24"/>
        </w:rPr>
        <w:t>ana</w:t>
      </w:r>
      <w:r w:rsidR="00F520B5" w:rsidRPr="00660ECD">
        <w:rPr>
          <w:rFonts w:cstheme="minorHAnsi"/>
          <w:sz w:val="24"/>
          <w:szCs w:val="24"/>
        </w:rPr>
        <w:t>esthetic agents</w:t>
      </w:r>
      <w:r w:rsidR="00EC3946">
        <w:rPr>
          <w:rFonts w:cstheme="minorHAnsi"/>
          <w:sz w:val="24"/>
          <w:szCs w:val="24"/>
        </w:rPr>
        <w:t>,</w:t>
      </w:r>
      <w:r w:rsidR="00F520B5" w:rsidRPr="00660ECD">
        <w:rPr>
          <w:rFonts w:cstheme="minorHAnsi"/>
          <w:sz w:val="24"/>
          <w:szCs w:val="24"/>
        </w:rPr>
        <w:t xml:space="preserve"> are specific to highly specialised areas and </w:t>
      </w:r>
      <w:r w:rsidR="0097135A" w:rsidRPr="00660ECD">
        <w:rPr>
          <w:rFonts w:cstheme="minorHAnsi"/>
          <w:sz w:val="24"/>
          <w:szCs w:val="24"/>
        </w:rPr>
        <w:t>therefore fall outside</w:t>
      </w:r>
      <w:r w:rsidR="003D6F1E" w:rsidRPr="00660ECD">
        <w:rPr>
          <w:rFonts w:cstheme="minorHAnsi"/>
          <w:sz w:val="24"/>
          <w:szCs w:val="24"/>
        </w:rPr>
        <w:t xml:space="preserve"> the scope of this article. </w:t>
      </w:r>
      <w:r w:rsidR="00A053B5" w:rsidRPr="00660ECD">
        <w:rPr>
          <w:rFonts w:cstheme="minorHAnsi"/>
          <w:sz w:val="24"/>
          <w:szCs w:val="24"/>
        </w:rPr>
        <w:t xml:space="preserve">However, </w:t>
      </w:r>
      <w:r w:rsidR="004727ED" w:rsidRPr="00660ECD">
        <w:rPr>
          <w:rFonts w:cstheme="minorHAnsi"/>
          <w:sz w:val="24"/>
          <w:szCs w:val="24"/>
        </w:rPr>
        <w:t>several</w:t>
      </w:r>
      <w:r w:rsidR="00583497" w:rsidRPr="00660ECD">
        <w:rPr>
          <w:rFonts w:cstheme="minorHAnsi"/>
          <w:sz w:val="24"/>
          <w:szCs w:val="24"/>
        </w:rPr>
        <w:t xml:space="preserve"> </w:t>
      </w:r>
      <w:r w:rsidR="00EC3946">
        <w:rPr>
          <w:rFonts w:cstheme="minorHAnsi"/>
          <w:sz w:val="24"/>
          <w:szCs w:val="24"/>
        </w:rPr>
        <w:t xml:space="preserve">of the </w:t>
      </w:r>
      <w:r w:rsidR="00583497" w:rsidRPr="00660ECD">
        <w:rPr>
          <w:rFonts w:cstheme="minorHAnsi"/>
          <w:sz w:val="24"/>
          <w:szCs w:val="24"/>
        </w:rPr>
        <w:t>medications</w:t>
      </w:r>
      <w:r w:rsidR="003D6628" w:rsidRPr="00660ECD">
        <w:rPr>
          <w:rFonts w:cstheme="minorHAnsi"/>
          <w:sz w:val="24"/>
          <w:szCs w:val="24"/>
        </w:rPr>
        <w:t xml:space="preserve"> are widely recognised as</w:t>
      </w:r>
      <w:r w:rsidR="0048414C" w:rsidRPr="00660ECD">
        <w:rPr>
          <w:rFonts w:cstheme="minorHAnsi"/>
          <w:sz w:val="24"/>
          <w:szCs w:val="24"/>
        </w:rPr>
        <w:t xml:space="preserve"> </w:t>
      </w:r>
      <w:r w:rsidR="003D6628" w:rsidRPr="00660ECD">
        <w:rPr>
          <w:rFonts w:cstheme="minorHAnsi"/>
          <w:sz w:val="24"/>
          <w:szCs w:val="24"/>
        </w:rPr>
        <w:t>high risk and</w:t>
      </w:r>
      <w:r w:rsidR="00583497" w:rsidRPr="00660ECD">
        <w:rPr>
          <w:rFonts w:cstheme="minorHAnsi"/>
          <w:sz w:val="24"/>
          <w:szCs w:val="24"/>
        </w:rPr>
        <w:t xml:space="preserve"> </w:t>
      </w:r>
      <w:r w:rsidR="003D6628" w:rsidRPr="00660ECD">
        <w:rPr>
          <w:rFonts w:cstheme="minorHAnsi"/>
          <w:sz w:val="24"/>
          <w:szCs w:val="24"/>
        </w:rPr>
        <w:t>transcend</w:t>
      </w:r>
      <w:r w:rsidR="00583497" w:rsidRPr="00660ECD">
        <w:rPr>
          <w:rFonts w:cstheme="minorHAnsi"/>
          <w:sz w:val="24"/>
          <w:szCs w:val="24"/>
        </w:rPr>
        <w:t xml:space="preserve"> all healthcare sectors</w:t>
      </w:r>
      <w:r w:rsidR="00FE63BB" w:rsidRPr="00660ECD">
        <w:rPr>
          <w:rFonts w:cstheme="minorHAnsi"/>
          <w:sz w:val="24"/>
          <w:szCs w:val="24"/>
        </w:rPr>
        <w:t xml:space="preserve"> </w:t>
      </w:r>
      <w:r w:rsidR="00EC3946">
        <w:rPr>
          <w:rFonts w:cstheme="minorHAnsi"/>
          <w:sz w:val="24"/>
          <w:szCs w:val="24"/>
        </w:rPr>
        <w:t xml:space="preserve">and </w:t>
      </w:r>
      <w:r w:rsidR="00F25CBD" w:rsidRPr="00660ECD">
        <w:rPr>
          <w:rFonts w:cstheme="minorHAnsi"/>
          <w:sz w:val="24"/>
          <w:szCs w:val="24"/>
        </w:rPr>
        <w:t>will be covered</w:t>
      </w:r>
      <w:r w:rsidR="003D6628" w:rsidRPr="00660ECD">
        <w:rPr>
          <w:rFonts w:cstheme="minorHAnsi"/>
          <w:sz w:val="24"/>
          <w:szCs w:val="24"/>
        </w:rPr>
        <w:t xml:space="preserve"> in detail</w:t>
      </w:r>
      <w:r w:rsidR="006C2C04" w:rsidRPr="00660ECD">
        <w:rPr>
          <w:rFonts w:cstheme="minorHAnsi"/>
          <w:sz w:val="24"/>
          <w:szCs w:val="24"/>
        </w:rPr>
        <w:t>.</w:t>
      </w:r>
    </w:p>
    <w:p w14:paraId="564D9AFC" w14:textId="0C0B7328" w:rsidR="007B7AB1" w:rsidRPr="00660ECD" w:rsidRDefault="0048414C" w:rsidP="00660ECD">
      <w:pPr>
        <w:spacing w:after="100" w:afterAutospacing="1" w:line="360" w:lineRule="auto"/>
        <w:rPr>
          <w:rFonts w:cstheme="minorHAnsi"/>
          <w:sz w:val="24"/>
          <w:szCs w:val="24"/>
        </w:rPr>
      </w:pPr>
      <w:r w:rsidRPr="00660ECD">
        <w:rPr>
          <w:rFonts w:cstheme="minorHAnsi"/>
          <w:sz w:val="24"/>
          <w:szCs w:val="24"/>
        </w:rPr>
        <w:t>A</w:t>
      </w:r>
      <w:r w:rsidR="00D032E6" w:rsidRPr="00660ECD">
        <w:rPr>
          <w:rFonts w:cstheme="minorHAnsi"/>
          <w:sz w:val="24"/>
          <w:szCs w:val="24"/>
        </w:rPr>
        <w:t xml:space="preserve"> medication </w:t>
      </w:r>
      <w:r w:rsidRPr="00660ECD">
        <w:rPr>
          <w:rFonts w:cstheme="minorHAnsi"/>
          <w:sz w:val="24"/>
          <w:szCs w:val="24"/>
        </w:rPr>
        <w:t>can be</w:t>
      </w:r>
      <w:r w:rsidR="00D032E6" w:rsidRPr="00660ECD">
        <w:rPr>
          <w:rFonts w:cstheme="minorHAnsi"/>
          <w:sz w:val="24"/>
          <w:szCs w:val="24"/>
        </w:rPr>
        <w:t xml:space="preserve"> considered high-risk when its use carries a higher probability of causing severe harm or adverse effects to a patient </w:t>
      </w:r>
      <w:r w:rsidR="0005151A" w:rsidRPr="00660ECD">
        <w:rPr>
          <w:rFonts w:cstheme="minorHAnsi"/>
          <w:sz w:val="24"/>
          <w:szCs w:val="24"/>
        </w:rPr>
        <w:fldChar w:fldCharType="begin"/>
      </w:r>
      <w:r w:rsidR="00B5414D" w:rsidRPr="00660ECD">
        <w:rPr>
          <w:rFonts w:cstheme="minorHAnsi"/>
          <w:sz w:val="24"/>
          <w:szCs w:val="24"/>
        </w:rPr>
        <w:instrText xml:space="preserve"> ADDIN ZOTERO_ITEM CSL_CITATION {"citationID":"YkdFyxy4","properties":{"formattedCitation":"(8)","plainCitation":"(8)","noteIndex":0},"citationItems":[{"id":9,"uris":["http://zotero.org/users/local/3eWb7dOa/items/JFDFICEV"],"itemData":{"id":9,"type":"book","edition":"1st ed","event-place":"Geneva","ISBN":"978-92-4-006276-4","language":"en","number-of-pages":"1","publisher":"World Health Organization","publisher-place":"Geneva","source":"K10plus ISBN","title":"Medication Without Harm: Policy Brief","title-short":"Medication Without Harm","issued":{"date-parts":[["2024"]]}}}],"schema":"https://github.com/citation-style-language/schema/raw/master/csl-citation.json"} </w:instrText>
      </w:r>
      <w:r w:rsidR="0005151A" w:rsidRPr="00660ECD">
        <w:rPr>
          <w:rFonts w:cstheme="minorHAnsi"/>
          <w:sz w:val="24"/>
          <w:szCs w:val="24"/>
        </w:rPr>
        <w:fldChar w:fldCharType="separate"/>
      </w:r>
      <w:r w:rsidR="00B5414D" w:rsidRPr="00660ECD">
        <w:rPr>
          <w:rFonts w:cstheme="minorHAnsi"/>
          <w:sz w:val="24"/>
          <w:szCs w:val="24"/>
        </w:rPr>
        <w:t>(8)</w:t>
      </w:r>
      <w:r w:rsidR="0005151A" w:rsidRPr="00660ECD">
        <w:rPr>
          <w:rFonts w:cstheme="minorHAnsi"/>
          <w:sz w:val="24"/>
          <w:szCs w:val="24"/>
        </w:rPr>
        <w:fldChar w:fldCharType="end"/>
      </w:r>
      <w:r w:rsidR="00FF682D" w:rsidRPr="00660ECD">
        <w:rPr>
          <w:rFonts w:cstheme="minorHAnsi"/>
          <w:sz w:val="24"/>
          <w:szCs w:val="24"/>
        </w:rPr>
        <w:t>.</w:t>
      </w:r>
      <w:r w:rsidR="00A708F1" w:rsidRPr="00660ECD">
        <w:rPr>
          <w:rFonts w:cstheme="minorHAnsi"/>
          <w:sz w:val="24"/>
          <w:szCs w:val="24"/>
        </w:rPr>
        <w:t xml:space="preserve"> </w:t>
      </w:r>
      <w:r w:rsidR="00FF682D" w:rsidRPr="00660ECD">
        <w:rPr>
          <w:rFonts w:cstheme="minorHAnsi"/>
          <w:sz w:val="24"/>
          <w:szCs w:val="24"/>
        </w:rPr>
        <w:t>Potent</w:t>
      </w:r>
      <w:r w:rsidR="005F5A9D" w:rsidRPr="00660ECD">
        <w:rPr>
          <w:rFonts w:cstheme="minorHAnsi"/>
          <w:sz w:val="24"/>
          <w:szCs w:val="24"/>
        </w:rPr>
        <w:t xml:space="preserve">ial </w:t>
      </w:r>
      <w:r w:rsidR="00A708F1" w:rsidRPr="00660ECD">
        <w:rPr>
          <w:rFonts w:cstheme="minorHAnsi"/>
          <w:sz w:val="24"/>
          <w:szCs w:val="24"/>
        </w:rPr>
        <w:t>contribut</w:t>
      </w:r>
      <w:r w:rsidR="005F5A9D" w:rsidRPr="00660ECD">
        <w:rPr>
          <w:rFonts w:cstheme="minorHAnsi"/>
          <w:sz w:val="24"/>
          <w:szCs w:val="24"/>
        </w:rPr>
        <w:t>ing factors</w:t>
      </w:r>
      <w:r w:rsidR="00FF682D" w:rsidRPr="00660ECD">
        <w:rPr>
          <w:rFonts w:cstheme="minorHAnsi"/>
          <w:sz w:val="24"/>
          <w:szCs w:val="24"/>
        </w:rPr>
        <w:t xml:space="preserve"> </w:t>
      </w:r>
      <w:r w:rsidR="00B76928" w:rsidRPr="00660ECD">
        <w:rPr>
          <w:rFonts w:cstheme="minorHAnsi"/>
          <w:sz w:val="24"/>
          <w:szCs w:val="24"/>
        </w:rPr>
        <w:t xml:space="preserve">are often </w:t>
      </w:r>
      <w:r w:rsidR="007734DD" w:rsidRPr="00660ECD">
        <w:rPr>
          <w:rFonts w:cstheme="minorHAnsi"/>
          <w:sz w:val="24"/>
          <w:szCs w:val="24"/>
        </w:rPr>
        <w:t>overlapping;</w:t>
      </w:r>
      <w:r w:rsidR="00B76928" w:rsidRPr="00660ECD">
        <w:rPr>
          <w:rFonts w:cstheme="minorHAnsi"/>
          <w:sz w:val="24"/>
          <w:szCs w:val="24"/>
        </w:rPr>
        <w:t xml:space="preserve"> </w:t>
      </w:r>
      <w:r w:rsidR="007734DD" w:rsidRPr="00660ECD">
        <w:rPr>
          <w:rFonts w:cstheme="minorHAnsi"/>
          <w:sz w:val="24"/>
          <w:szCs w:val="24"/>
        </w:rPr>
        <w:t>therefore,</w:t>
      </w:r>
      <w:r w:rsidR="007D4E64" w:rsidRPr="00660ECD">
        <w:rPr>
          <w:rFonts w:cstheme="minorHAnsi"/>
          <w:sz w:val="24"/>
          <w:szCs w:val="24"/>
        </w:rPr>
        <w:t xml:space="preserve"> </w:t>
      </w:r>
      <w:r w:rsidR="00AD564F" w:rsidRPr="00660ECD">
        <w:rPr>
          <w:rFonts w:cstheme="minorHAnsi"/>
          <w:sz w:val="24"/>
          <w:szCs w:val="24"/>
        </w:rPr>
        <w:t xml:space="preserve">most high-risk </w:t>
      </w:r>
      <w:r w:rsidR="007D4E64" w:rsidRPr="00660ECD">
        <w:rPr>
          <w:rFonts w:cstheme="minorHAnsi"/>
          <w:sz w:val="24"/>
          <w:szCs w:val="24"/>
        </w:rPr>
        <w:t xml:space="preserve">medications </w:t>
      </w:r>
      <w:r w:rsidR="007734DD" w:rsidRPr="00660ECD">
        <w:rPr>
          <w:rFonts w:cstheme="minorHAnsi"/>
          <w:sz w:val="24"/>
          <w:szCs w:val="24"/>
        </w:rPr>
        <w:t>may</w:t>
      </w:r>
      <w:r w:rsidR="007D4E64" w:rsidRPr="00660ECD">
        <w:rPr>
          <w:rFonts w:cstheme="minorHAnsi"/>
          <w:sz w:val="24"/>
          <w:szCs w:val="24"/>
        </w:rPr>
        <w:t xml:space="preserve"> </w:t>
      </w:r>
      <w:r w:rsidR="00B76928" w:rsidRPr="00660ECD">
        <w:rPr>
          <w:rFonts w:cstheme="minorHAnsi"/>
          <w:sz w:val="24"/>
          <w:szCs w:val="24"/>
        </w:rPr>
        <w:t>fall into more</w:t>
      </w:r>
      <w:r w:rsidR="00AD564F" w:rsidRPr="00660ECD">
        <w:rPr>
          <w:rFonts w:cstheme="minorHAnsi"/>
          <w:sz w:val="24"/>
          <w:szCs w:val="24"/>
        </w:rPr>
        <w:t xml:space="preserve"> than one</w:t>
      </w:r>
      <w:r w:rsidR="00B76928" w:rsidRPr="00660ECD">
        <w:rPr>
          <w:rFonts w:cstheme="minorHAnsi"/>
          <w:sz w:val="24"/>
          <w:szCs w:val="24"/>
        </w:rPr>
        <w:t xml:space="preserve"> category</w:t>
      </w:r>
      <w:r w:rsidR="00EA65D3" w:rsidRPr="00660ECD">
        <w:rPr>
          <w:rFonts w:cstheme="minorHAnsi"/>
          <w:sz w:val="24"/>
          <w:szCs w:val="24"/>
        </w:rPr>
        <w:t>:</w:t>
      </w:r>
    </w:p>
    <w:p w14:paraId="0A38D169" w14:textId="5F5E95A2" w:rsidR="00EA65D3" w:rsidRPr="00660ECD" w:rsidRDefault="00EA65D3" w:rsidP="00660ECD">
      <w:pPr>
        <w:pStyle w:val="ListParagraph"/>
        <w:numPr>
          <w:ilvl w:val="0"/>
          <w:numId w:val="2"/>
        </w:numPr>
        <w:spacing w:after="100" w:afterAutospacing="1" w:line="360" w:lineRule="auto"/>
        <w:contextualSpacing w:val="0"/>
        <w:rPr>
          <w:rFonts w:cstheme="minorHAnsi"/>
          <w:sz w:val="24"/>
          <w:szCs w:val="24"/>
        </w:rPr>
      </w:pPr>
      <w:r w:rsidRPr="00660ECD">
        <w:rPr>
          <w:rFonts w:cstheme="minorHAnsi"/>
          <w:sz w:val="24"/>
          <w:szCs w:val="24"/>
        </w:rPr>
        <w:t xml:space="preserve">Narrow therapeutic </w:t>
      </w:r>
      <w:proofErr w:type="gramStart"/>
      <w:r w:rsidRPr="00660ECD">
        <w:rPr>
          <w:rFonts w:cstheme="minorHAnsi"/>
          <w:sz w:val="24"/>
          <w:szCs w:val="24"/>
        </w:rPr>
        <w:t>range</w:t>
      </w:r>
      <w:r w:rsidR="00EC3946">
        <w:rPr>
          <w:rFonts w:cstheme="minorHAnsi"/>
          <w:sz w:val="24"/>
          <w:szCs w:val="24"/>
        </w:rPr>
        <w:t>;</w:t>
      </w:r>
      <w:proofErr w:type="gramEnd"/>
    </w:p>
    <w:p w14:paraId="59454A27" w14:textId="03C1A6D5" w:rsidR="00EA65D3" w:rsidRPr="00660ECD" w:rsidRDefault="001C1B8F" w:rsidP="00660ECD">
      <w:pPr>
        <w:pStyle w:val="ListParagraph"/>
        <w:numPr>
          <w:ilvl w:val="0"/>
          <w:numId w:val="2"/>
        </w:numPr>
        <w:spacing w:after="100" w:afterAutospacing="1" w:line="360" w:lineRule="auto"/>
        <w:contextualSpacing w:val="0"/>
        <w:rPr>
          <w:rFonts w:cstheme="minorHAnsi"/>
          <w:sz w:val="24"/>
          <w:szCs w:val="24"/>
        </w:rPr>
      </w:pPr>
      <w:r w:rsidRPr="00660ECD">
        <w:rPr>
          <w:rFonts w:cstheme="minorHAnsi"/>
          <w:sz w:val="24"/>
          <w:szCs w:val="24"/>
        </w:rPr>
        <w:t xml:space="preserve">Serious adverse </w:t>
      </w:r>
      <w:proofErr w:type="gramStart"/>
      <w:r w:rsidRPr="00660ECD">
        <w:rPr>
          <w:rFonts w:cstheme="minorHAnsi"/>
          <w:sz w:val="24"/>
          <w:szCs w:val="24"/>
        </w:rPr>
        <w:t>effects</w:t>
      </w:r>
      <w:r w:rsidR="00EC3946">
        <w:rPr>
          <w:rFonts w:cstheme="minorHAnsi"/>
          <w:sz w:val="24"/>
          <w:szCs w:val="24"/>
        </w:rPr>
        <w:t>;</w:t>
      </w:r>
      <w:proofErr w:type="gramEnd"/>
    </w:p>
    <w:p w14:paraId="5B45E310" w14:textId="312419A2" w:rsidR="00E8586C" w:rsidRPr="00660ECD" w:rsidRDefault="00E8586C" w:rsidP="00660ECD">
      <w:pPr>
        <w:pStyle w:val="ListParagraph"/>
        <w:numPr>
          <w:ilvl w:val="0"/>
          <w:numId w:val="2"/>
        </w:numPr>
        <w:spacing w:after="100" w:afterAutospacing="1" w:line="360" w:lineRule="auto"/>
        <w:contextualSpacing w:val="0"/>
        <w:rPr>
          <w:rFonts w:cstheme="minorHAnsi"/>
          <w:sz w:val="24"/>
          <w:szCs w:val="24"/>
        </w:rPr>
      </w:pPr>
      <w:r w:rsidRPr="00660ECD">
        <w:rPr>
          <w:rFonts w:cstheme="minorHAnsi"/>
          <w:sz w:val="24"/>
          <w:szCs w:val="24"/>
        </w:rPr>
        <w:t xml:space="preserve">Monitoring </w:t>
      </w:r>
      <w:proofErr w:type="gramStart"/>
      <w:r w:rsidRPr="00660ECD">
        <w:rPr>
          <w:rFonts w:cstheme="minorHAnsi"/>
          <w:sz w:val="24"/>
          <w:szCs w:val="24"/>
        </w:rPr>
        <w:t>requirements</w:t>
      </w:r>
      <w:r w:rsidR="00EC3946">
        <w:rPr>
          <w:rFonts w:cstheme="minorHAnsi"/>
          <w:sz w:val="24"/>
          <w:szCs w:val="24"/>
        </w:rPr>
        <w:t>;</w:t>
      </w:r>
      <w:proofErr w:type="gramEnd"/>
    </w:p>
    <w:p w14:paraId="71D5EF62" w14:textId="528F5C2A" w:rsidR="001C1B8F" w:rsidRPr="00660ECD" w:rsidRDefault="00E8586C" w:rsidP="00660ECD">
      <w:pPr>
        <w:pStyle w:val="ListParagraph"/>
        <w:numPr>
          <w:ilvl w:val="0"/>
          <w:numId w:val="2"/>
        </w:numPr>
        <w:spacing w:after="100" w:afterAutospacing="1" w:line="360" w:lineRule="auto"/>
        <w:contextualSpacing w:val="0"/>
        <w:rPr>
          <w:rFonts w:cstheme="minorHAnsi"/>
          <w:sz w:val="24"/>
          <w:szCs w:val="24"/>
        </w:rPr>
      </w:pPr>
      <w:proofErr w:type="gramStart"/>
      <w:r w:rsidRPr="00660ECD">
        <w:rPr>
          <w:rFonts w:cstheme="minorHAnsi"/>
          <w:sz w:val="24"/>
          <w:szCs w:val="24"/>
        </w:rPr>
        <w:t>I</w:t>
      </w:r>
      <w:r w:rsidR="007923A0" w:rsidRPr="00660ECD">
        <w:rPr>
          <w:rFonts w:cstheme="minorHAnsi"/>
          <w:sz w:val="24"/>
          <w:szCs w:val="24"/>
        </w:rPr>
        <w:t>nteractions</w:t>
      </w:r>
      <w:r w:rsidR="00EC3946">
        <w:rPr>
          <w:rFonts w:cstheme="minorHAnsi"/>
          <w:sz w:val="24"/>
          <w:szCs w:val="24"/>
        </w:rPr>
        <w:t>;</w:t>
      </w:r>
      <w:proofErr w:type="gramEnd"/>
    </w:p>
    <w:p w14:paraId="0458ABAE" w14:textId="38CDC48D" w:rsidR="005825B3" w:rsidRPr="00660ECD" w:rsidRDefault="005825B3" w:rsidP="00660ECD">
      <w:pPr>
        <w:pStyle w:val="ListParagraph"/>
        <w:numPr>
          <w:ilvl w:val="0"/>
          <w:numId w:val="2"/>
        </w:numPr>
        <w:spacing w:after="100" w:afterAutospacing="1" w:line="360" w:lineRule="auto"/>
        <w:contextualSpacing w:val="0"/>
        <w:rPr>
          <w:rFonts w:cstheme="minorHAnsi"/>
          <w:sz w:val="24"/>
          <w:szCs w:val="24"/>
        </w:rPr>
      </w:pPr>
      <w:r w:rsidRPr="00660ECD">
        <w:rPr>
          <w:rFonts w:cstheme="minorHAnsi"/>
          <w:sz w:val="24"/>
          <w:szCs w:val="24"/>
        </w:rPr>
        <w:t xml:space="preserve">Withdrawal </w:t>
      </w:r>
      <w:proofErr w:type="gramStart"/>
      <w:r w:rsidRPr="00660ECD">
        <w:rPr>
          <w:rFonts w:cstheme="minorHAnsi"/>
          <w:sz w:val="24"/>
          <w:szCs w:val="24"/>
        </w:rPr>
        <w:t>effects</w:t>
      </w:r>
      <w:r w:rsidR="00EC3946">
        <w:rPr>
          <w:rFonts w:cstheme="minorHAnsi"/>
          <w:sz w:val="24"/>
          <w:szCs w:val="24"/>
        </w:rPr>
        <w:t>;</w:t>
      </w:r>
      <w:proofErr w:type="gramEnd"/>
    </w:p>
    <w:p w14:paraId="428F08FD" w14:textId="4335914A" w:rsidR="005825B3" w:rsidRPr="00660ECD" w:rsidRDefault="005825B3" w:rsidP="00660ECD">
      <w:pPr>
        <w:pStyle w:val="ListParagraph"/>
        <w:numPr>
          <w:ilvl w:val="0"/>
          <w:numId w:val="2"/>
        </w:numPr>
        <w:spacing w:after="100" w:afterAutospacing="1" w:line="360" w:lineRule="auto"/>
        <w:contextualSpacing w:val="0"/>
        <w:rPr>
          <w:rFonts w:cstheme="minorHAnsi"/>
          <w:sz w:val="24"/>
          <w:szCs w:val="24"/>
        </w:rPr>
      </w:pPr>
      <w:r w:rsidRPr="00660ECD">
        <w:rPr>
          <w:rFonts w:cstheme="minorHAnsi"/>
          <w:sz w:val="24"/>
          <w:szCs w:val="24"/>
        </w:rPr>
        <w:t>Time</w:t>
      </w:r>
      <w:r w:rsidR="007267E6">
        <w:rPr>
          <w:rFonts w:cstheme="minorHAnsi"/>
          <w:sz w:val="24"/>
          <w:szCs w:val="24"/>
        </w:rPr>
        <w:t xml:space="preserve"> </w:t>
      </w:r>
      <w:proofErr w:type="gramStart"/>
      <w:r w:rsidRPr="00660ECD">
        <w:rPr>
          <w:rFonts w:cstheme="minorHAnsi"/>
          <w:sz w:val="24"/>
          <w:szCs w:val="24"/>
        </w:rPr>
        <w:t>critical</w:t>
      </w:r>
      <w:r w:rsidR="00EC3946">
        <w:rPr>
          <w:rFonts w:cstheme="minorHAnsi"/>
          <w:sz w:val="24"/>
          <w:szCs w:val="24"/>
        </w:rPr>
        <w:t>;</w:t>
      </w:r>
      <w:proofErr w:type="gramEnd"/>
      <w:r w:rsidRPr="00660ECD">
        <w:rPr>
          <w:rFonts w:cstheme="minorHAnsi"/>
          <w:sz w:val="24"/>
          <w:szCs w:val="24"/>
        </w:rPr>
        <w:t xml:space="preserve"> </w:t>
      </w:r>
    </w:p>
    <w:p w14:paraId="1D3FFA4E" w14:textId="75D17310" w:rsidR="003604CA" w:rsidRPr="00660ECD" w:rsidRDefault="003604CA" w:rsidP="00660ECD">
      <w:pPr>
        <w:pStyle w:val="ListParagraph"/>
        <w:numPr>
          <w:ilvl w:val="0"/>
          <w:numId w:val="2"/>
        </w:numPr>
        <w:spacing w:after="100" w:afterAutospacing="1" w:line="360" w:lineRule="auto"/>
        <w:contextualSpacing w:val="0"/>
        <w:rPr>
          <w:rFonts w:cstheme="minorHAnsi"/>
          <w:sz w:val="24"/>
          <w:szCs w:val="24"/>
        </w:rPr>
      </w:pPr>
      <w:r w:rsidRPr="00660ECD">
        <w:rPr>
          <w:rFonts w:cstheme="minorHAnsi"/>
          <w:sz w:val="24"/>
          <w:szCs w:val="24"/>
        </w:rPr>
        <w:lastRenderedPageBreak/>
        <w:t>Complex or unusual dosing</w:t>
      </w:r>
      <w:r w:rsidR="00EC3946">
        <w:rPr>
          <w:rFonts w:cstheme="minorHAnsi"/>
          <w:sz w:val="24"/>
          <w:szCs w:val="24"/>
        </w:rPr>
        <w:t>.</w:t>
      </w:r>
    </w:p>
    <w:p w14:paraId="43E6B9B7" w14:textId="578A0C2C" w:rsidR="007B7AB1" w:rsidRPr="00660ECD" w:rsidRDefault="003F01CB" w:rsidP="00660ECD">
      <w:pPr>
        <w:spacing w:after="100" w:afterAutospacing="1" w:line="360" w:lineRule="auto"/>
        <w:rPr>
          <w:rFonts w:cstheme="minorHAnsi"/>
          <w:b/>
          <w:bCs/>
          <w:sz w:val="24"/>
          <w:szCs w:val="24"/>
        </w:rPr>
      </w:pPr>
      <w:r>
        <w:rPr>
          <w:rFonts w:cstheme="minorHAnsi"/>
          <w:b/>
          <w:bCs/>
          <w:sz w:val="24"/>
          <w:szCs w:val="24"/>
        </w:rPr>
        <w:t>Medications with n</w:t>
      </w:r>
      <w:r w:rsidR="00636C90" w:rsidRPr="00660ECD">
        <w:rPr>
          <w:rFonts w:cstheme="minorHAnsi"/>
          <w:b/>
          <w:bCs/>
          <w:sz w:val="24"/>
          <w:szCs w:val="24"/>
        </w:rPr>
        <w:t xml:space="preserve">arrow </w:t>
      </w:r>
      <w:r w:rsidR="00660ECD">
        <w:rPr>
          <w:rFonts w:cstheme="minorHAnsi"/>
          <w:b/>
          <w:bCs/>
          <w:sz w:val="24"/>
          <w:szCs w:val="24"/>
        </w:rPr>
        <w:t>t</w:t>
      </w:r>
      <w:r w:rsidR="00636C90" w:rsidRPr="00660ECD">
        <w:rPr>
          <w:rFonts w:cstheme="minorHAnsi"/>
          <w:b/>
          <w:bCs/>
          <w:sz w:val="24"/>
          <w:szCs w:val="24"/>
        </w:rPr>
        <w:t>herapeutic</w:t>
      </w:r>
      <w:r w:rsidR="00E95CF5" w:rsidRPr="00660ECD">
        <w:rPr>
          <w:rFonts w:cstheme="minorHAnsi"/>
          <w:b/>
          <w:bCs/>
          <w:sz w:val="24"/>
          <w:szCs w:val="24"/>
        </w:rPr>
        <w:t xml:space="preserve"> </w:t>
      </w:r>
      <w:r w:rsidR="00660ECD">
        <w:rPr>
          <w:rFonts w:cstheme="minorHAnsi"/>
          <w:b/>
          <w:bCs/>
          <w:sz w:val="24"/>
          <w:szCs w:val="24"/>
        </w:rPr>
        <w:t>r</w:t>
      </w:r>
      <w:r w:rsidR="002C40A0" w:rsidRPr="00660ECD">
        <w:rPr>
          <w:rFonts w:cstheme="minorHAnsi"/>
          <w:b/>
          <w:bCs/>
          <w:sz w:val="24"/>
          <w:szCs w:val="24"/>
        </w:rPr>
        <w:t>ange</w:t>
      </w:r>
    </w:p>
    <w:p w14:paraId="3BB065CB" w14:textId="135BA89E" w:rsidR="00636C90" w:rsidRPr="00660ECD" w:rsidRDefault="00E0435F" w:rsidP="00660ECD">
      <w:pPr>
        <w:spacing w:after="100" w:afterAutospacing="1" w:line="360" w:lineRule="auto"/>
        <w:rPr>
          <w:rFonts w:cstheme="minorHAnsi"/>
          <w:sz w:val="24"/>
          <w:szCs w:val="24"/>
        </w:rPr>
      </w:pPr>
      <w:r w:rsidRPr="00660ECD">
        <w:rPr>
          <w:rFonts w:cstheme="minorHAnsi"/>
          <w:sz w:val="24"/>
          <w:szCs w:val="24"/>
        </w:rPr>
        <w:t xml:space="preserve">One class of medications highlighted </w:t>
      </w:r>
      <w:r w:rsidR="00670667" w:rsidRPr="00660ECD">
        <w:rPr>
          <w:rFonts w:cstheme="minorHAnsi"/>
          <w:sz w:val="24"/>
          <w:szCs w:val="24"/>
        </w:rPr>
        <w:t xml:space="preserve">as high-risk </w:t>
      </w:r>
      <w:r w:rsidRPr="00660ECD">
        <w:rPr>
          <w:rFonts w:cstheme="minorHAnsi"/>
          <w:sz w:val="24"/>
          <w:szCs w:val="24"/>
        </w:rPr>
        <w:t xml:space="preserve">by the WHO </w:t>
      </w:r>
      <w:r w:rsidR="007267E6">
        <w:rPr>
          <w:rFonts w:cstheme="minorHAnsi"/>
          <w:sz w:val="24"/>
          <w:szCs w:val="24"/>
        </w:rPr>
        <w:t xml:space="preserve">includes drugs </w:t>
      </w:r>
      <w:r w:rsidRPr="00660ECD">
        <w:rPr>
          <w:rFonts w:cstheme="minorHAnsi"/>
          <w:sz w:val="24"/>
          <w:szCs w:val="24"/>
        </w:rPr>
        <w:t xml:space="preserve">with a narrow therapeutic </w:t>
      </w:r>
      <w:r w:rsidR="002C40A0" w:rsidRPr="00660ECD">
        <w:rPr>
          <w:rFonts w:cstheme="minorHAnsi"/>
          <w:sz w:val="24"/>
          <w:szCs w:val="24"/>
        </w:rPr>
        <w:t>range</w:t>
      </w:r>
      <w:r w:rsidR="00275479" w:rsidRPr="00660ECD">
        <w:rPr>
          <w:rFonts w:cstheme="minorHAnsi"/>
          <w:sz w:val="24"/>
          <w:szCs w:val="24"/>
        </w:rPr>
        <w:t xml:space="preserve">, where the </w:t>
      </w:r>
      <w:r w:rsidR="008059F3" w:rsidRPr="00660ECD">
        <w:rPr>
          <w:rFonts w:cstheme="minorHAnsi"/>
          <w:sz w:val="24"/>
          <w:szCs w:val="24"/>
        </w:rPr>
        <w:t xml:space="preserve">drug concentration needed to produce a therapeutic effect is close to that which </w:t>
      </w:r>
      <w:r w:rsidR="00B413A0" w:rsidRPr="00660ECD">
        <w:rPr>
          <w:rFonts w:cstheme="minorHAnsi"/>
          <w:sz w:val="24"/>
          <w:szCs w:val="24"/>
        </w:rPr>
        <w:t xml:space="preserve">produces adverse effects </w:t>
      </w:r>
      <w:r w:rsidR="00545F36" w:rsidRPr="00660ECD">
        <w:rPr>
          <w:rFonts w:cstheme="minorHAnsi"/>
          <w:sz w:val="24"/>
          <w:szCs w:val="24"/>
        </w:rPr>
        <w:fldChar w:fldCharType="begin"/>
      </w:r>
      <w:r w:rsidR="00B5414D" w:rsidRPr="00660ECD">
        <w:rPr>
          <w:rFonts w:cstheme="minorHAnsi"/>
          <w:sz w:val="24"/>
          <w:szCs w:val="24"/>
        </w:rPr>
        <w:instrText xml:space="preserve"> ADDIN ZOTERO_ITEM CSL_CITATION {"citationID":"nBWDBydr","properties":{"formattedCitation":"(8,9)","plainCitation":"(8,9)","noteIndex":0},"citationItems":[{"id":9,"uris":["http://zotero.org/users/local/3eWb7dOa/items/JFDFICEV"],"itemData":{"id":9,"type":"book","edition":"1st ed","event-place":"Geneva","ISBN":"978-92-4-006276-4","language":"en","number-of-pages":"1","publisher":"World Health Organization","publisher-place":"Geneva","source":"K10plus ISBN","title":"Medication Without Harm: Policy Brief","title-short":"Medication Without Harm","issued":{"date-parts":[["2024"]]}}},{"id":15,"uris":["http://zotero.org/users/local/3eWb7dOa/items/SZNM2VBE"],"itemData":{"id":15,"type":"webpage","abstract":"Organisations must ensure safe management systems are in place to support the management of drugs requiring therapeutic drug monitoring.","container-title":"SPS - Specialist Pharmacy Service","language":"en-GB","title":"Safe management of therapeutic drug monitoring","URL":"https://www.sps.nhs.uk/articles/safe-management-of-therapeutic-drug-monitoring/","accessed":{"date-parts":[["2025",4,10]]},"issued":{"date-parts":[["2024",10,2]]}}}],"schema":"https://github.com/citation-style-language/schema/raw/master/csl-citation.json"} </w:instrText>
      </w:r>
      <w:r w:rsidR="00545F36" w:rsidRPr="00660ECD">
        <w:rPr>
          <w:rFonts w:cstheme="minorHAnsi"/>
          <w:sz w:val="24"/>
          <w:szCs w:val="24"/>
        </w:rPr>
        <w:fldChar w:fldCharType="separate"/>
      </w:r>
      <w:r w:rsidR="00B5414D" w:rsidRPr="00660ECD">
        <w:rPr>
          <w:rFonts w:cstheme="minorHAnsi"/>
          <w:sz w:val="24"/>
          <w:szCs w:val="24"/>
        </w:rPr>
        <w:t>(8,9)</w:t>
      </w:r>
      <w:r w:rsidR="00545F36" w:rsidRPr="00660ECD">
        <w:rPr>
          <w:rFonts w:cstheme="minorHAnsi"/>
          <w:sz w:val="24"/>
          <w:szCs w:val="24"/>
        </w:rPr>
        <w:fldChar w:fldCharType="end"/>
      </w:r>
      <w:r w:rsidR="009D3E6F" w:rsidRPr="00660ECD">
        <w:rPr>
          <w:rFonts w:cstheme="minorHAnsi"/>
          <w:sz w:val="24"/>
          <w:szCs w:val="24"/>
        </w:rPr>
        <w:t xml:space="preserve">. </w:t>
      </w:r>
      <w:r w:rsidR="00670667" w:rsidRPr="00660ECD">
        <w:rPr>
          <w:rFonts w:cstheme="minorHAnsi"/>
          <w:sz w:val="24"/>
          <w:szCs w:val="24"/>
        </w:rPr>
        <w:t xml:space="preserve">These medications often require therapeutic drug monitoring </w:t>
      </w:r>
      <w:r w:rsidR="00F65CFA" w:rsidRPr="00660ECD">
        <w:rPr>
          <w:rFonts w:cstheme="minorHAnsi"/>
          <w:sz w:val="24"/>
          <w:szCs w:val="24"/>
        </w:rPr>
        <w:t>to guide prescribing decisions around dosing</w:t>
      </w:r>
      <w:r w:rsidR="0025706B" w:rsidRPr="00660ECD">
        <w:rPr>
          <w:rFonts w:cstheme="minorHAnsi"/>
          <w:sz w:val="24"/>
          <w:szCs w:val="24"/>
        </w:rPr>
        <w:t xml:space="preserve">; </w:t>
      </w:r>
      <w:r w:rsidR="00CD5050" w:rsidRPr="00660ECD">
        <w:rPr>
          <w:rFonts w:cstheme="minorHAnsi"/>
          <w:sz w:val="24"/>
          <w:szCs w:val="24"/>
        </w:rPr>
        <w:t>patient</w:t>
      </w:r>
      <w:r w:rsidR="0025706B" w:rsidRPr="00660ECD">
        <w:rPr>
          <w:rFonts w:cstheme="minorHAnsi"/>
          <w:sz w:val="24"/>
          <w:szCs w:val="24"/>
        </w:rPr>
        <w:t xml:space="preserve"> harm arises </w:t>
      </w:r>
      <w:r w:rsidR="00210FD3" w:rsidRPr="00660ECD">
        <w:rPr>
          <w:rFonts w:cstheme="minorHAnsi"/>
          <w:sz w:val="24"/>
          <w:szCs w:val="24"/>
        </w:rPr>
        <w:t>when the process for therapeutic drug monitoring is not followed correctly, leading to</w:t>
      </w:r>
      <w:r w:rsidR="0025706B" w:rsidRPr="00660ECD">
        <w:rPr>
          <w:rFonts w:cstheme="minorHAnsi"/>
          <w:sz w:val="24"/>
          <w:szCs w:val="24"/>
        </w:rPr>
        <w:t xml:space="preserve"> toxicity or sub-optimal dosing </w:t>
      </w:r>
      <w:r w:rsidR="00210FD3" w:rsidRPr="00660ECD">
        <w:rPr>
          <w:rFonts w:cstheme="minorHAnsi"/>
          <w:sz w:val="24"/>
          <w:szCs w:val="24"/>
        </w:rPr>
        <w:fldChar w:fldCharType="begin"/>
      </w:r>
      <w:r w:rsidR="00B5414D" w:rsidRPr="00660ECD">
        <w:rPr>
          <w:rFonts w:cstheme="minorHAnsi"/>
          <w:sz w:val="24"/>
          <w:szCs w:val="24"/>
        </w:rPr>
        <w:instrText xml:space="preserve"> ADDIN ZOTERO_ITEM CSL_CITATION {"citationID":"XZ4SskEo","properties":{"formattedCitation":"(9)","plainCitation":"(9)","noteIndex":0},"citationItems":[{"id":15,"uris":["http://zotero.org/users/local/3eWb7dOa/items/SZNM2VBE"],"itemData":{"id":15,"type":"webpage","abstract":"Organisations must ensure safe management systems are in place to support the management of drugs requiring therapeutic drug monitoring.","container-title":"SPS - Specialist Pharmacy Service","language":"en-GB","title":"Safe management of therapeutic drug monitoring","URL":"https://www.sps.nhs.uk/articles/safe-management-of-therapeutic-drug-monitoring/","accessed":{"date-parts":[["2025",4,10]]},"issued":{"date-parts":[["2024",10,2]]}}}],"schema":"https://github.com/citation-style-language/schema/raw/master/csl-citation.json"} </w:instrText>
      </w:r>
      <w:r w:rsidR="00210FD3" w:rsidRPr="00660ECD">
        <w:rPr>
          <w:rFonts w:cstheme="minorHAnsi"/>
          <w:sz w:val="24"/>
          <w:szCs w:val="24"/>
        </w:rPr>
        <w:fldChar w:fldCharType="separate"/>
      </w:r>
      <w:r w:rsidR="00B5414D" w:rsidRPr="00660ECD">
        <w:rPr>
          <w:rFonts w:cstheme="minorHAnsi"/>
          <w:sz w:val="24"/>
          <w:szCs w:val="24"/>
        </w:rPr>
        <w:t>(9)</w:t>
      </w:r>
      <w:r w:rsidR="00210FD3" w:rsidRPr="00660ECD">
        <w:rPr>
          <w:rFonts w:cstheme="minorHAnsi"/>
          <w:sz w:val="24"/>
          <w:szCs w:val="24"/>
        </w:rPr>
        <w:fldChar w:fldCharType="end"/>
      </w:r>
      <w:r w:rsidR="00210FD3" w:rsidRPr="00660ECD">
        <w:rPr>
          <w:rFonts w:cstheme="minorHAnsi"/>
          <w:sz w:val="24"/>
          <w:szCs w:val="24"/>
        </w:rPr>
        <w:t xml:space="preserve">. </w:t>
      </w:r>
      <w:r w:rsidR="008A25B9" w:rsidRPr="00660ECD">
        <w:rPr>
          <w:rFonts w:cstheme="minorHAnsi"/>
          <w:sz w:val="24"/>
          <w:szCs w:val="24"/>
        </w:rPr>
        <w:t xml:space="preserve">In addition, </w:t>
      </w:r>
      <w:r w:rsidR="00900DE3" w:rsidRPr="00660ECD">
        <w:rPr>
          <w:rFonts w:cstheme="minorHAnsi"/>
          <w:sz w:val="24"/>
          <w:szCs w:val="24"/>
        </w:rPr>
        <w:t xml:space="preserve">these drugs are more </w:t>
      </w:r>
      <w:r w:rsidR="00846BFE" w:rsidRPr="00660ECD">
        <w:rPr>
          <w:rFonts w:cstheme="minorHAnsi"/>
          <w:sz w:val="24"/>
          <w:szCs w:val="24"/>
        </w:rPr>
        <w:t xml:space="preserve">likely to </w:t>
      </w:r>
      <w:r w:rsidR="00542EF4" w:rsidRPr="00660ECD">
        <w:rPr>
          <w:rFonts w:cstheme="minorHAnsi"/>
          <w:sz w:val="24"/>
          <w:szCs w:val="24"/>
        </w:rPr>
        <w:t xml:space="preserve">be </w:t>
      </w:r>
      <w:r w:rsidR="00900DE3" w:rsidRPr="00660ECD">
        <w:rPr>
          <w:rFonts w:cstheme="minorHAnsi"/>
          <w:sz w:val="24"/>
          <w:szCs w:val="24"/>
        </w:rPr>
        <w:t>susceptible to drug interactions</w:t>
      </w:r>
      <w:r w:rsidR="00542EF4" w:rsidRPr="00660ECD">
        <w:rPr>
          <w:rFonts w:cstheme="minorHAnsi"/>
          <w:sz w:val="24"/>
          <w:szCs w:val="24"/>
        </w:rPr>
        <w:t xml:space="preserve"> or physiological changes</w:t>
      </w:r>
      <w:r w:rsidR="00E766E3" w:rsidRPr="00660ECD">
        <w:rPr>
          <w:rFonts w:cstheme="minorHAnsi"/>
          <w:sz w:val="24"/>
          <w:szCs w:val="24"/>
        </w:rPr>
        <w:t xml:space="preserve">, </w:t>
      </w:r>
      <w:r w:rsidR="00846BFE" w:rsidRPr="00660ECD">
        <w:rPr>
          <w:rFonts w:cstheme="minorHAnsi"/>
          <w:sz w:val="24"/>
          <w:szCs w:val="24"/>
        </w:rPr>
        <w:t>lead</w:t>
      </w:r>
      <w:r w:rsidR="00E766E3" w:rsidRPr="00660ECD">
        <w:rPr>
          <w:rFonts w:cstheme="minorHAnsi"/>
          <w:sz w:val="24"/>
          <w:szCs w:val="24"/>
        </w:rPr>
        <w:t>ing</w:t>
      </w:r>
      <w:r w:rsidR="00900DE3" w:rsidRPr="00660ECD">
        <w:rPr>
          <w:rFonts w:cstheme="minorHAnsi"/>
          <w:sz w:val="24"/>
          <w:szCs w:val="24"/>
        </w:rPr>
        <w:t xml:space="preserve"> to severe adverse effects. </w:t>
      </w:r>
      <w:r w:rsidR="00EB2491">
        <w:rPr>
          <w:rFonts w:cstheme="minorHAnsi"/>
          <w:sz w:val="24"/>
          <w:szCs w:val="24"/>
        </w:rPr>
        <w:t>Two common medications in this class are digoxin and lithium.</w:t>
      </w:r>
      <w:r w:rsidR="003970F6">
        <w:rPr>
          <w:rFonts w:cstheme="minorHAnsi"/>
          <w:sz w:val="24"/>
          <w:szCs w:val="24"/>
        </w:rPr>
        <w:t xml:space="preserve"> </w:t>
      </w:r>
      <w:r w:rsidR="003970F6" w:rsidRPr="00660ECD">
        <w:rPr>
          <w:rFonts w:cstheme="minorHAnsi"/>
          <w:sz w:val="24"/>
          <w:szCs w:val="24"/>
        </w:rPr>
        <w:t xml:space="preserve">Other drugs that require therapeutic drug monitoring include theophylline, phenytoin, carbamazepine, warfarin, ciclosporin, tacrolimus, gentamicin, and vancomycin </w:t>
      </w:r>
      <w:r w:rsidR="003970F6" w:rsidRPr="00660ECD">
        <w:rPr>
          <w:rFonts w:cstheme="minorHAnsi"/>
          <w:sz w:val="24"/>
          <w:szCs w:val="24"/>
        </w:rPr>
        <w:fldChar w:fldCharType="begin"/>
      </w:r>
      <w:r w:rsidR="003970F6" w:rsidRPr="00660ECD">
        <w:rPr>
          <w:rFonts w:cstheme="minorHAnsi"/>
          <w:sz w:val="24"/>
          <w:szCs w:val="24"/>
        </w:rPr>
        <w:instrText xml:space="preserve"> ADDIN ZOTERO_ITEM CSL_CITATION {"citationID":"dx4Lf0Tj","properties":{"formattedCitation":"(18)","plainCitation":"(18)","noteIndex":0},"citationItems":[{"id":63,"uris":["http://zotero.org/users/local/3eWb7dOa/items/XP8PP6YV"],"itemData":{"id":63,"type":"document","title":"Therapeutic drug monitoring.pdf","URL":"https://www.nhstaysideadtc.scot.nhs.uk/TAPG%20html/Section%2017/Therapeutic%20drug%20monitoring.pdf","accessed":{"date-parts":[["2025",5,14]]}}}],"schema":"https://github.com/citation-style-language/schema/raw/master/csl-citation.json"} </w:instrText>
      </w:r>
      <w:r w:rsidR="003970F6" w:rsidRPr="00660ECD">
        <w:rPr>
          <w:rFonts w:cstheme="minorHAnsi"/>
          <w:sz w:val="24"/>
          <w:szCs w:val="24"/>
        </w:rPr>
        <w:fldChar w:fldCharType="separate"/>
      </w:r>
      <w:r w:rsidR="003970F6" w:rsidRPr="00660ECD">
        <w:rPr>
          <w:rFonts w:cstheme="minorHAnsi"/>
          <w:sz w:val="24"/>
          <w:szCs w:val="24"/>
        </w:rPr>
        <w:t>(18)</w:t>
      </w:r>
      <w:r w:rsidR="003970F6" w:rsidRPr="00660ECD">
        <w:rPr>
          <w:rFonts w:cstheme="minorHAnsi"/>
          <w:sz w:val="24"/>
          <w:szCs w:val="24"/>
        </w:rPr>
        <w:fldChar w:fldCharType="end"/>
      </w:r>
      <w:r w:rsidR="003970F6" w:rsidRPr="00660ECD">
        <w:rPr>
          <w:rFonts w:cstheme="minorHAnsi"/>
          <w:sz w:val="24"/>
          <w:szCs w:val="24"/>
        </w:rPr>
        <w:t xml:space="preserve">. </w:t>
      </w:r>
    </w:p>
    <w:p w14:paraId="3A29BE4E" w14:textId="1C62BF4E" w:rsidR="001E5D3A" w:rsidRPr="00B460FF" w:rsidRDefault="003F01CB" w:rsidP="00660ECD">
      <w:pPr>
        <w:spacing w:after="100" w:afterAutospacing="1" w:line="360" w:lineRule="auto"/>
        <w:rPr>
          <w:rFonts w:cstheme="minorHAnsi"/>
          <w:b/>
          <w:bCs/>
          <w:i/>
          <w:iCs/>
          <w:sz w:val="24"/>
          <w:szCs w:val="24"/>
        </w:rPr>
      </w:pPr>
      <w:r>
        <w:rPr>
          <w:rFonts w:cstheme="minorHAnsi"/>
          <w:b/>
          <w:bCs/>
          <w:i/>
          <w:iCs/>
          <w:sz w:val="24"/>
          <w:szCs w:val="24"/>
        </w:rPr>
        <w:t xml:space="preserve">Medication example: </w:t>
      </w:r>
      <w:r w:rsidR="001E5D3A" w:rsidRPr="00B460FF">
        <w:rPr>
          <w:rFonts w:cstheme="minorHAnsi"/>
          <w:b/>
          <w:bCs/>
          <w:i/>
          <w:iCs/>
          <w:sz w:val="24"/>
          <w:szCs w:val="24"/>
        </w:rPr>
        <w:t>Digoxin</w:t>
      </w:r>
    </w:p>
    <w:p w14:paraId="1608780F" w14:textId="2D3E81B2" w:rsidR="00B142C4" w:rsidRPr="00660ECD" w:rsidRDefault="009723C9" w:rsidP="00660ECD">
      <w:pPr>
        <w:spacing w:after="100" w:afterAutospacing="1" w:line="360" w:lineRule="auto"/>
        <w:rPr>
          <w:rFonts w:cstheme="minorHAnsi"/>
          <w:sz w:val="24"/>
          <w:szCs w:val="24"/>
        </w:rPr>
      </w:pPr>
      <w:r w:rsidRPr="00660ECD">
        <w:rPr>
          <w:rFonts w:cstheme="minorHAnsi"/>
          <w:sz w:val="24"/>
          <w:szCs w:val="24"/>
        </w:rPr>
        <w:t>P</w:t>
      </w:r>
      <w:r w:rsidR="00030E42" w:rsidRPr="00660ECD">
        <w:rPr>
          <w:rFonts w:cstheme="minorHAnsi"/>
          <w:sz w:val="24"/>
          <w:szCs w:val="24"/>
        </w:rPr>
        <w:t>atients who are therapeutically stable</w:t>
      </w:r>
      <w:r w:rsidRPr="00660ECD">
        <w:rPr>
          <w:rFonts w:cstheme="minorHAnsi"/>
          <w:sz w:val="24"/>
          <w:szCs w:val="24"/>
        </w:rPr>
        <w:t xml:space="preserve"> on digoxin don’t require</w:t>
      </w:r>
      <w:r w:rsidR="00030E42" w:rsidRPr="00660ECD">
        <w:rPr>
          <w:rFonts w:cstheme="minorHAnsi"/>
          <w:sz w:val="24"/>
          <w:szCs w:val="24"/>
        </w:rPr>
        <w:t xml:space="preserve"> routine </w:t>
      </w:r>
      <w:r w:rsidR="006C08C7" w:rsidRPr="00660ECD">
        <w:rPr>
          <w:rFonts w:cstheme="minorHAnsi"/>
          <w:sz w:val="24"/>
          <w:szCs w:val="24"/>
        </w:rPr>
        <w:t xml:space="preserve">monitoring of digoxin levels </w:t>
      </w:r>
      <w:r w:rsidR="006C08C7" w:rsidRPr="00660ECD">
        <w:rPr>
          <w:rFonts w:cstheme="minorHAnsi"/>
          <w:sz w:val="24"/>
          <w:szCs w:val="24"/>
        </w:rPr>
        <w:fldChar w:fldCharType="begin"/>
      </w:r>
      <w:r w:rsidR="00B5414D" w:rsidRPr="00660ECD">
        <w:rPr>
          <w:rFonts w:cstheme="minorHAnsi"/>
          <w:sz w:val="24"/>
          <w:szCs w:val="24"/>
        </w:rPr>
        <w:instrText xml:space="preserve"> ADDIN ZOTERO_ITEM CSL_CITATION {"citationID":"IFKi64Ll","properties":{"formattedCitation":"(10)","plainCitation":"(10)","noteIndex":0},"citationItems":[{"id":21,"uris":["http://zotero.org/users/local/3eWb7dOa/items/DJ4MI4TR"],"itemData":{"id":21,"type":"webpage","abstract":"View digoxin information, including dose, uses, side-effects, renal impairment, pregnancy, breast feeding, contra-indications and monitoring requirements.","language":"en-GB","title":"Digoxin | Drugs | BNF content published by NICE","URL":"https://bnf.nice.org.uk/drugs/digoxin/","accessed":{"date-parts":[["2025",4,10]]}}}],"schema":"https://github.com/citation-style-language/schema/raw/master/csl-citation.json"} </w:instrText>
      </w:r>
      <w:r w:rsidR="006C08C7" w:rsidRPr="00660ECD">
        <w:rPr>
          <w:rFonts w:cstheme="minorHAnsi"/>
          <w:sz w:val="24"/>
          <w:szCs w:val="24"/>
        </w:rPr>
        <w:fldChar w:fldCharType="separate"/>
      </w:r>
      <w:r w:rsidR="00B5414D" w:rsidRPr="00660ECD">
        <w:rPr>
          <w:rFonts w:cstheme="minorHAnsi"/>
          <w:sz w:val="24"/>
          <w:szCs w:val="24"/>
        </w:rPr>
        <w:t>(10)</w:t>
      </w:r>
      <w:r w:rsidR="006C08C7" w:rsidRPr="00660ECD">
        <w:rPr>
          <w:rFonts w:cstheme="minorHAnsi"/>
          <w:sz w:val="24"/>
          <w:szCs w:val="24"/>
        </w:rPr>
        <w:fldChar w:fldCharType="end"/>
      </w:r>
      <w:r w:rsidR="006C08C7" w:rsidRPr="00660ECD">
        <w:rPr>
          <w:rFonts w:cstheme="minorHAnsi"/>
          <w:sz w:val="24"/>
          <w:szCs w:val="24"/>
        </w:rPr>
        <w:t xml:space="preserve">. However, </w:t>
      </w:r>
      <w:r w:rsidR="00BB6666" w:rsidRPr="00660ECD">
        <w:rPr>
          <w:rFonts w:cstheme="minorHAnsi"/>
          <w:sz w:val="24"/>
          <w:szCs w:val="24"/>
        </w:rPr>
        <w:t>a</w:t>
      </w:r>
      <w:r w:rsidR="005308DA" w:rsidRPr="00660ECD">
        <w:rPr>
          <w:rFonts w:cstheme="minorHAnsi"/>
          <w:sz w:val="24"/>
          <w:szCs w:val="24"/>
        </w:rPr>
        <w:t xml:space="preserve"> </w:t>
      </w:r>
      <w:r w:rsidR="00EB5B50" w:rsidRPr="00660ECD">
        <w:rPr>
          <w:rFonts w:cstheme="minorHAnsi"/>
          <w:sz w:val="24"/>
          <w:szCs w:val="24"/>
        </w:rPr>
        <w:t xml:space="preserve">meta-analysis in 2015 </w:t>
      </w:r>
      <w:r w:rsidR="002B6CE7" w:rsidRPr="00660ECD">
        <w:rPr>
          <w:rFonts w:cstheme="minorHAnsi"/>
          <w:sz w:val="24"/>
          <w:szCs w:val="24"/>
        </w:rPr>
        <w:t xml:space="preserve">found that patients taking digoxin for heart failure or atrial fibrillation </w:t>
      </w:r>
      <w:r w:rsidR="005C2084" w:rsidRPr="00660ECD">
        <w:rPr>
          <w:rFonts w:cstheme="minorHAnsi"/>
          <w:sz w:val="24"/>
          <w:szCs w:val="24"/>
        </w:rPr>
        <w:t xml:space="preserve">had a 21% increase in mortality compared </w:t>
      </w:r>
      <w:r w:rsidR="003C215B">
        <w:rPr>
          <w:rFonts w:cstheme="minorHAnsi"/>
          <w:sz w:val="24"/>
          <w:szCs w:val="24"/>
        </w:rPr>
        <w:t>with</w:t>
      </w:r>
      <w:r w:rsidR="005C2084" w:rsidRPr="00660ECD">
        <w:rPr>
          <w:rFonts w:cstheme="minorHAnsi"/>
          <w:sz w:val="24"/>
          <w:szCs w:val="24"/>
        </w:rPr>
        <w:t xml:space="preserve"> patients not </w:t>
      </w:r>
      <w:r w:rsidR="0080219D" w:rsidRPr="00660ECD">
        <w:rPr>
          <w:rFonts w:cstheme="minorHAnsi"/>
          <w:sz w:val="24"/>
          <w:szCs w:val="24"/>
        </w:rPr>
        <w:t>prescribed digoxin, with researchers highlighting the need for close monitoring</w:t>
      </w:r>
      <w:r w:rsidR="008145E9" w:rsidRPr="00660ECD">
        <w:rPr>
          <w:rFonts w:cstheme="minorHAnsi"/>
          <w:sz w:val="24"/>
          <w:szCs w:val="24"/>
        </w:rPr>
        <w:t xml:space="preserve"> due to the risk of toxicity</w:t>
      </w:r>
      <w:r w:rsidR="0080219D" w:rsidRPr="00660ECD">
        <w:rPr>
          <w:rFonts w:cstheme="minorHAnsi"/>
          <w:sz w:val="24"/>
          <w:szCs w:val="24"/>
        </w:rPr>
        <w:t xml:space="preserve"> </w:t>
      </w:r>
      <w:r w:rsidR="0080219D" w:rsidRPr="00660ECD">
        <w:rPr>
          <w:rFonts w:cstheme="minorHAnsi"/>
          <w:sz w:val="24"/>
          <w:szCs w:val="24"/>
        </w:rPr>
        <w:fldChar w:fldCharType="begin"/>
      </w:r>
      <w:r w:rsidR="00B5414D" w:rsidRPr="00660ECD">
        <w:rPr>
          <w:rFonts w:cstheme="minorHAnsi"/>
          <w:sz w:val="24"/>
          <w:szCs w:val="24"/>
        </w:rPr>
        <w:instrText xml:space="preserve"> ADDIN ZOTERO_ITEM CSL_CITATION {"citationID":"7g6YQ3Hr","properties":{"formattedCitation":"(11)","plainCitation":"(11)","noteIndex":0},"citationItems":[{"id":22,"uris":["http://zotero.org/users/local/3eWb7dOa/items/WP7QQBZC"],"itemData":{"id":22,"type":"article-journal","abstract":"There are conflicting data regarding the effect of digoxin use on mortality in patients with atrial fibrillation (AF) or with congestive heart failure (CHF). The aim of this meta-analysis was to provide detailed analysis of the currently available study reports. We performed a MEDLINE and a COCHRANE search (1993–2014) of the English literature dealing with the effects of digoxin on all-cause-mortality in subjects with AF or CHF. Only full-sized articles published in peer-reviewed journals were considered for this meta-analysis. A total of 19 reports were identified. Nine reports dealt with AF patients, seven with patients suffering from CHF, and three with both clinical conditions. Based on the analysis of adjusted mortality results of all 19 studies comprising 326 426 patients, digoxin use was associated with an increased relative risk of all-cause mortality [Hazard ratio (HR) 1.21, 95% confidence interval (CI), 1.07 to 1.38, P &amp;lt; 0.01]. Compared with subjects not receiving glycosides, digoxin was associated with a 29% increased mortality risk (HR 1.29; 95% CI, 1.21 to 1.39) in the subgroup of publications comprising 235 047 AF patients. Among 91.379 heart failure patients, digoxin-associated mortality risk increased by 14% (HR 1.14, 95% CI, 1.06 to 1.22). The present systematic review and meta-analysis of all available data sources suggest that digoxin use is associated with an increased mortality risk, particularly among patients suffering from AF.","container-title":"European Heart Journal","DOI":"10.1093/eurheartj/ehv143","ISSN":"0195-668X","issue":"28","journalAbbreviation":"European Heart Journal","page":"1831-1838","source":"Silverchair","title":"Digoxin-associated mortality: a systematic review and meta-analysis of the literature","title-short":"Digoxin-associated mortality","volume":"36","author":[{"family":"Vamos","given":"Mate"},{"family":"Erath","given":"Julia W."},{"family":"Hohnloser","given":"Stefan H."}],"issued":{"date-parts":[["2015",7,21]]}}}],"schema":"https://github.com/citation-style-language/schema/raw/master/csl-citation.json"} </w:instrText>
      </w:r>
      <w:r w:rsidR="0080219D" w:rsidRPr="00660ECD">
        <w:rPr>
          <w:rFonts w:cstheme="minorHAnsi"/>
          <w:sz w:val="24"/>
          <w:szCs w:val="24"/>
        </w:rPr>
        <w:fldChar w:fldCharType="separate"/>
      </w:r>
      <w:r w:rsidR="00B5414D" w:rsidRPr="00660ECD">
        <w:rPr>
          <w:rFonts w:cstheme="minorHAnsi"/>
          <w:sz w:val="24"/>
          <w:szCs w:val="24"/>
        </w:rPr>
        <w:t>(11)</w:t>
      </w:r>
      <w:r w:rsidR="0080219D" w:rsidRPr="00660ECD">
        <w:rPr>
          <w:rFonts w:cstheme="minorHAnsi"/>
          <w:sz w:val="24"/>
          <w:szCs w:val="24"/>
        </w:rPr>
        <w:fldChar w:fldCharType="end"/>
      </w:r>
      <w:r w:rsidR="0080219D" w:rsidRPr="00660ECD">
        <w:rPr>
          <w:rFonts w:cstheme="minorHAnsi"/>
          <w:sz w:val="24"/>
          <w:szCs w:val="24"/>
        </w:rPr>
        <w:t xml:space="preserve">. </w:t>
      </w:r>
      <w:r w:rsidR="00C47AE6" w:rsidRPr="00660ECD">
        <w:rPr>
          <w:rFonts w:cstheme="minorHAnsi"/>
          <w:sz w:val="24"/>
          <w:szCs w:val="24"/>
        </w:rPr>
        <w:t xml:space="preserve">It is </w:t>
      </w:r>
      <w:r w:rsidR="00ED2568" w:rsidRPr="00660ECD">
        <w:rPr>
          <w:rFonts w:cstheme="minorHAnsi"/>
          <w:sz w:val="24"/>
          <w:szCs w:val="24"/>
        </w:rPr>
        <w:t>imperative</w:t>
      </w:r>
      <w:r w:rsidR="00C47AE6" w:rsidRPr="00660ECD">
        <w:rPr>
          <w:rFonts w:cstheme="minorHAnsi"/>
          <w:sz w:val="24"/>
          <w:szCs w:val="24"/>
        </w:rPr>
        <w:t xml:space="preserve"> that </w:t>
      </w:r>
      <w:r w:rsidR="00184C23" w:rsidRPr="00660ECD">
        <w:rPr>
          <w:rFonts w:cstheme="minorHAnsi"/>
          <w:sz w:val="24"/>
          <w:szCs w:val="24"/>
        </w:rPr>
        <w:t xml:space="preserve">practitioners are aware of </w:t>
      </w:r>
      <w:r w:rsidR="00880B2F" w:rsidRPr="00660ECD">
        <w:rPr>
          <w:rFonts w:cstheme="minorHAnsi"/>
          <w:sz w:val="24"/>
          <w:szCs w:val="24"/>
        </w:rPr>
        <w:t xml:space="preserve">the </w:t>
      </w:r>
      <w:r w:rsidR="00184C23" w:rsidRPr="00660ECD">
        <w:rPr>
          <w:rFonts w:cstheme="minorHAnsi"/>
          <w:sz w:val="24"/>
          <w:szCs w:val="24"/>
        </w:rPr>
        <w:t>signs of digoxin toxicity</w:t>
      </w:r>
      <w:r w:rsidR="00E52CA9" w:rsidRPr="00660ECD">
        <w:rPr>
          <w:rFonts w:cstheme="minorHAnsi"/>
          <w:sz w:val="24"/>
          <w:szCs w:val="24"/>
        </w:rPr>
        <w:t xml:space="preserve"> </w:t>
      </w:r>
      <w:r w:rsidR="00ED2568" w:rsidRPr="00660ECD">
        <w:rPr>
          <w:rFonts w:cstheme="minorHAnsi"/>
          <w:sz w:val="24"/>
          <w:szCs w:val="24"/>
        </w:rPr>
        <w:t>and</w:t>
      </w:r>
      <w:r w:rsidR="00184C23" w:rsidRPr="00660ECD">
        <w:rPr>
          <w:rFonts w:cstheme="minorHAnsi"/>
          <w:sz w:val="24"/>
          <w:szCs w:val="24"/>
        </w:rPr>
        <w:t xml:space="preserve"> circumstances in which toxicity is more likely</w:t>
      </w:r>
      <w:r w:rsidR="00C77575" w:rsidRPr="00660ECD">
        <w:rPr>
          <w:rFonts w:cstheme="minorHAnsi"/>
          <w:sz w:val="24"/>
          <w:szCs w:val="24"/>
        </w:rPr>
        <w:t xml:space="preserve"> </w:t>
      </w:r>
      <w:r w:rsidR="007D7D95" w:rsidRPr="00660ECD">
        <w:rPr>
          <w:rFonts w:cstheme="minorHAnsi"/>
          <w:sz w:val="24"/>
          <w:szCs w:val="24"/>
        </w:rPr>
        <w:t>to occur</w:t>
      </w:r>
      <w:r w:rsidR="00480148" w:rsidRPr="00660ECD">
        <w:rPr>
          <w:rFonts w:cstheme="minorHAnsi"/>
          <w:sz w:val="24"/>
          <w:szCs w:val="24"/>
        </w:rPr>
        <w:t>,</w:t>
      </w:r>
      <w:r w:rsidR="007D7D95" w:rsidRPr="00660ECD">
        <w:rPr>
          <w:rFonts w:cstheme="minorHAnsi"/>
          <w:sz w:val="24"/>
          <w:szCs w:val="24"/>
        </w:rPr>
        <w:t xml:space="preserve"> </w:t>
      </w:r>
      <w:r w:rsidR="00051175" w:rsidRPr="00660ECD">
        <w:rPr>
          <w:rFonts w:cstheme="minorHAnsi"/>
          <w:sz w:val="24"/>
          <w:szCs w:val="24"/>
        </w:rPr>
        <w:t>for example, in</w:t>
      </w:r>
      <w:r w:rsidR="00C77575" w:rsidRPr="00660ECD">
        <w:rPr>
          <w:rFonts w:cstheme="minorHAnsi"/>
          <w:sz w:val="24"/>
          <w:szCs w:val="24"/>
        </w:rPr>
        <w:t xml:space="preserve"> </w:t>
      </w:r>
      <w:r w:rsidR="009C7A5F" w:rsidRPr="00660ECD">
        <w:rPr>
          <w:rFonts w:cstheme="minorHAnsi"/>
          <w:sz w:val="24"/>
          <w:szCs w:val="24"/>
        </w:rPr>
        <w:t xml:space="preserve">overdose, </w:t>
      </w:r>
      <w:r w:rsidR="00C77575" w:rsidRPr="00660ECD">
        <w:rPr>
          <w:rFonts w:cstheme="minorHAnsi"/>
          <w:sz w:val="24"/>
          <w:szCs w:val="24"/>
        </w:rPr>
        <w:t>drug interactions, renal impairment</w:t>
      </w:r>
      <w:r w:rsidR="00384DBC" w:rsidRPr="00660ECD">
        <w:rPr>
          <w:rFonts w:cstheme="minorHAnsi"/>
          <w:sz w:val="24"/>
          <w:szCs w:val="24"/>
        </w:rPr>
        <w:t>,</w:t>
      </w:r>
      <w:r w:rsidR="00C77575" w:rsidRPr="00660ECD">
        <w:rPr>
          <w:rFonts w:cstheme="minorHAnsi"/>
          <w:sz w:val="24"/>
          <w:szCs w:val="24"/>
        </w:rPr>
        <w:t xml:space="preserve"> </w:t>
      </w:r>
      <w:r w:rsidR="00994E78" w:rsidRPr="00660ECD">
        <w:rPr>
          <w:rFonts w:cstheme="minorHAnsi"/>
          <w:sz w:val="24"/>
          <w:szCs w:val="24"/>
        </w:rPr>
        <w:t xml:space="preserve">hypothyroidism, </w:t>
      </w:r>
      <w:r w:rsidR="00ED2568" w:rsidRPr="00660ECD">
        <w:rPr>
          <w:rFonts w:cstheme="minorHAnsi"/>
          <w:sz w:val="24"/>
          <w:szCs w:val="24"/>
        </w:rPr>
        <w:t>and</w:t>
      </w:r>
      <w:r w:rsidR="00281F18" w:rsidRPr="00660ECD">
        <w:rPr>
          <w:rFonts w:cstheme="minorHAnsi"/>
          <w:sz w:val="24"/>
          <w:szCs w:val="24"/>
        </w:rPr>
        <w:t xml:space="preserve"> electrolyte disturbances</w:t>
      </w:r>
      <w:r w:rsidR="00384DBC" w:rsidRPr="00660ECD">
        <w:rPr>
          <w:rFonts w:cstheme="minorHAnsi"/>
          <w:sz w:val="24"/>
          <w:szCs w:val="24"/>
        </w:rPr>
        <w:t xml:space="preserve"> </w:t>
      </w:r>
      <w:r w:rsidR="00CF3E4D" w:rsidRPr="00660ECD">
        <w:rPr>
          <w:rFonts w:cstheme="minorHAnsi"/>
          <w:sz w:val="24"/>
          <w:szCs w:val="24"/>
        </w:rPr>
        <w:fldChar w:fldCharType="begin"/>
      </w:r>
      <w:r w:rsidR="00B5414D" w:rsidRPr="00660ECD">
        <w:rPr>
          <w:rFonts w:cstheme="minorHAnsi"/>
          <w:sz w:val="24"/>
          <w:szCs w:val="24"/>
        </w:rPr>
        <w:instrText xml:space="preserve"> ADDIN ZOTERO_ITEM CSL_CITATION {"citationID":"dkn5F9dW","properties":{"formattedCitation":"(12)","plainCitation":"(12)","noteIndex":0},"citationItems":[{"id":23,"uris":["http://zotero.org/users/local/3eWb7dOa/items/Y98LT6WG"],"itemData":{"id":23,"type":"webpage","abstract":"Digoxin, Prescribing information, Atrial fibrillation, CKS","language":"en-GB","title":"Digoxin | Prescribing information | Atrial fibrillation | CKS | NICE","URL":"https://cks.nice.org.uk/topics/atrial-fibrillation/prescribing-information/digoxin/","accessed":{"date-parts":[["2025",4,10]]}}}],"schema":"https://github.com/citation-style-language/schema/raw/master/csl-citation.json"} </w:instrText>
      </w:r>
      <w:r w:rsidR="00CF3E4D" w:rsidRPr="00660ECD">
        <w:rPr>
          <w:rFonts w:cstheme="minorHAnsi"/>
          <w:sz w:val="24"/>
          <w:szCs w:val="24"/>
        </w:rPr>
        <w:fldChar w:fldCharType="separate"/>
      </w:r>
      <w:r w:rsidR="00B5414D" w:rsidRPr="00660ECD">
        <w:rPr>
          <w:rFonts w:cstheme="minorHAnsi"/>
          <w:sz w:val="24"/>
          <w:szCs w:val="24"/>
        </w:rPr>
        <w:t>(12)</w:t>
      </w:r>
      <w:r w:rsidR="00CF3E4D" w:rsidRPr="00660ECD">
        <w:rPr>
          <w:rFonts w:cstheme="minorHAnsi"/>
          <w:sz w:val="24"/>
          <w:szCs w:val="24"/>
        </w:rPr>
        <w:fldChar w:fldCharType="end"/>
      </w:r>
      <w:r w:rsidR="00CF3E4D" w:rsidRPr="00660ECD">
        <w:rPr>
          <w:rFonts w:cstheme="minorHAnsi"/>
          <w:sz w:val="24"/>
          <w:szCs w:val="24"/>
        </w:rPr>
        <w:t xml:space="preserve">. </w:t>
      </w:r>
      <w:r w:rsidR="004B7CE7" w:rsidRPr="00660ECD">
        <w:rPr>
          <w:rFonts w:cstheme="minorHAnsi"/>
          <w:sz w:val="24"/>
          <w:szCs w:val="24"/>
        </w:rPr>
        <w:t>Where</w:t>
      </w:r>
      <w:r w:rsidR="000F1165" w:rsidRPr="00660ECD">
        <w:rPr>
          <w:rFonts w:cstheme="minorHAnsi"/>
          <w:sz w:val="24"/>
          <w:szCs w:val="24"/>
        </w:rPr>
        <w:t xml:space="preserve"> digoxin toxicity is suspected, </w:t>
      </w:r>
      <w:r w:rsidR="00E52CA9" w:rsidRPr="00660ECD">
        <w:rPr>
          <w:rFonts w:cstheme="minorHAnsi"/>
          <w:sz w:val="24"/>
          <w:szCs w:val="24"/>
        </w:rPr>
        <w:t>serum digoxin concentration</w:t>
      </w:r>
      <w:r w:rsidR="000F1165" w:rsidRPr="00660ECD">
        <w:rPr>
          <w:rFonts w:cstheme="minorHAnsi"/>
          <w:sz w:val="24"/>
          <w:szCs w:val="24"/>
        </w:rPr>
        <w:t xml:space="preserve"> should be </w:t>
      </w:r>
      <w:r w:rsidR="00E52CA9" w:rsidRPr="00660ECD">
        <w:rPr>
          <w:rFonts w:cstheme="minorHAnsi"/>
          <w:sz w:val="24"/>
          <w:szCs w:val="24"/>
        </w:rPr>
        <w:t xml:space="preserve">monitored appropriately, </w:t>
      </w:r>
      <w:r w:rsidR="003970F6">
        <w:rPr>
          <w:rFonts w:cstheme="minorHAnsi"/>
          <w:sz w:val="24"/>
          <w:szCs w:val="24"/>
        </w:rPr>
        <w:t xml:space="preserve">as </w:t>
      </w:r>
      <w:r w:rsidR="00393F3B" w:rsidRPr="00660ECD">
        <w:rPr>
          <w:rFonts w:cstheme="minorHAnsi"/>
          <w:sz w:val="24"/>
          <w:szCs w:val="24"/>
        </w:rPr>
        <w:t xml:space="preserve">digoxin toxicity can occur even when </w:t>
      </w:r>
      <w:r w:rsidR="00BC7862" w:rsidRPr="00660ECD">
        <w:rPr>
          <w:rFonts w:cstheme="minorHAnsi"/>
          <w:sz w:val="24"/>
          <w:szCs w:val="24"/>
        </w:rPr>
        <w:t>the plasma digoxin concentration is within the therapeutic range</w:t>
      </w:r>
      <w:r w:rsidR="008B6273" w:rsidRPr="00660ECD">
        <w:rPr>
          <w:rFonts w:cstheme="minorHAnsi"/>
          <w:sz w:val="24"/>
          <w:szCs w:val="24"/>
        </w:rPr>
        <w:t xml:space="preserve">; </w:t>
      </w:r>
      <w:r w:rsidR="00BC7862" w:rsidRPr="00660ECD">
        <w:rPr>
          <w:rFonts w:cstheme="minorHAnsi"/>
          <w:sz w:val="24"/>
          <w:szCs w:val="24"/>
        </w:rPr>
        <w:t>levels should</w:t>
      </w:r>
      <w:r w:rsidR="00EE6E67" w:rsidRPr="00660ECD">
        <w:rPr>
          <w:rFonts w:cstheme="minorHAnsi"/>
          <w:sz w:val="24"/>
          <w:szCs w:val="24"/>
        </w:rPr>
        <w:t xml:space="preserve"> always be interpreted with caution and in conjunction with the patient’s </w:t>
      </w:r>
      <w:r w:rsidR="00B142C4" w:rsidRPr="00660ECD">
        <w:rPr>
          <w:rFonts w:cstheme="minorHAnsi"/>
          <w:sz w:val="24"/>
          <w:szCs w:val="24"/>
        </w:rPr>
        <w:t xml:space="preserve">clinical presentation </w:t>
      </w:r>
      <w:r w:rsidR="00B142C4" w:rsidRPr="00660ECD">
        <w:rPr>
          <w:rFonts w:cstheme="minorHAnsi"/>
          <w:sz w:val="24"/>
          <w:szCs w:val="24"/>
        </w:rPr>
        <w:fldChar w:fldCharType="begin"/>
      </w:r>
      <w:r w:rsidR="00B5414D" w:rsidRPr="00660ECD">
        <w:rPr>
          <w:rFonts w:cstheme="minorHAnsi"/>
          <w:sz w:val="24"/>
          <w:szCs w:val="24"/>
        </w:rPr>
        <w:instrText xml:space="preserve"> ADDIN ZOTERO_ITEM CSL_CITATION {"citationID":"b82qjy2q","properties":{"formattedCitation":"(12)","plainCitation":"(12)","noteIndex":0},"citationItems":[{"id":23,"uris":["http://zotero.org/users/local/3eWb7dOa/items/Y98LT6WG"],"itemData":{"id":23,"type":"webpage","abstract":"Digoxin, Prescribing information, Atrial fibrillation, CKS","language":"en-GB","title":"Digoxin | Prescribing information | Atrial fibrillation | CKS | NICE","URL":"https://cks.nice.org.uk/topics/atrial-fibrillation/prescribing-information/digoxin/","accessed":{"date-parts":[["2025",4,10]]}}}],"schema":"https://github.com/citation-style-language/schema/raw/master/csl-citation.json"} </w:instrText>
      </w:r>
      <w:r w:rsidR="00B142C4" w:rsidRPr="00660ECD">
        <w:rPr>
          <w:rFonts w:cstheme="minorHAnsi"/>
          <w:sz w:val="24"/>
          <w:szCs w:val="24"/>
        </w:rPr>
        <w:fldChar w:fldCharType="separate"/>
      </w:r>
      <w:r w:rsidR="00B5414D" w:rsidRPr="00660ECD">
        <w:rPr>
          <w:rFonts w:cstheme="minorHAnsi"/>
          <w:sz w:val="24"/>
          <w:szCs w:val="24"/>
        </w:rPr>
        <w:t>(12)</w:t>
      </w:r>
      <w:r w:rsidR="00B142C4" w:rsidRPr="00660ECD">
        <w:rPr>
          <w:rFonts w:cstheme="minorHAnsi"/>
          <w:sz w:val="24"/>
          <w:szCs w:val="24"/>
        </w:rPr>
        <w:fldChar w:fldCharType="end"/>
      </w:r>
      <w:r w:rsidR="00B142C4" w:rsidRPr="00660ECD">
        <w:rPr>
          <w:rFonts w:cstheme="minorHAnsi"/>
          <w:sz w:val="24"/>
          <w:szCs w:val="24"/>
        </w:rPr>
        <w:t>.</w:t>
      </w:r>
    </w:p>
    <w:p w14:paraId="1869E9DD" w14:textId="0B4596F8" w:rsidR="0045373D" w:rsidRPr="00660ECD" w:rsidRDefault="00384DBC" w:rsidP="00660ECD">
      <w:pPr>
        <w:spacing w:after="100" w:afterAutospacing="1" w:line="360" w:lineRule="auto"/>
        <w:rPr>
          <w:rFonts w:cstheme="minorHAnsi"/>
          <w:sz w:val="24"/>
          <w:szCs w:val="24"/>
        </w:rPr>
      </w:pPr>
      <w:r w:rsidRPr="00660ECD">
        <w:rPr>
          <w:rFonts w:cstheme="minorHAnsi"/>
          <w:sz w:val="24"/>
          <w:szCs w:val="24"/>
        </w:rPr>
        <w:t>Common signs of digoxin toxicity</w:t>
      </w:r>
      <w:r w:rsidR="00ED5A4D" w:rsidRPr="00660ECD">
        <w:rPr>
          <w:rFonts w:cstheme="minorHAnsi"/>
          <w:sz w:val="24"/>
          <w:szCs w:val="24"/>
        </w:rPr>
        <w:t xml:space="preserve"> </w:t>
      </w:r>
      <w:r w:rsidR="00ED5A4D" w:rsidRPr="00660ECD">
        <w:rPr>
          <w:rFonts w:cstheme="minorHAnsi"/>
          <w:sz w:val="24"/>
          <w:szCs w:val="24"/>
        </w:rPr>
        <w:fldChar w:fldCharType="begin"/>
      </w:r>
      <w:r w:rsidR="00B5414D" w:rsidRPr="00660ECD">
        <w:rPr>
          <w:rFonts w:cstheme="minorHAnsi"/>
          <w:sz w:val="24"/>
          <w:szCs w:val="24"/>
        </w:rPr>
        <w:instrText xml:space="preserve"> ADDIN ZOTERO_ITEM CSL_CITATION {"citationID":"vjiF0pon","properties":{"formattedCitation":"(12,13)","plainCitation":"(12,13)","noteIndex":0},"citationItems":[{"id":23,"uris":["http://zotero.org/users/local/3eWb7dOa/items/Y98LT6WG"],"itemData":{"id":23,"type":"webpage","abstract":"Digoxin, Prescribing information, Atrial fibrillation, CKS","language":"en-GB","title":"Digoxin | Prescribing information | Atrial fibrillation | CKS | NICE","URL":"https://cks.nice.org.uk/topics/atrial-fibrillation/prescribing-information/digoxin/","accessed":{"date-parts":[["2025",4,10]]}}},{"id":18,"uris":["http://zotero.org/users/local/3eWb7dOa/items/A3WXJJ47"],"itemData":{"id":18,"type":"webpage","abstract":"Digoxin is a chemical derived from the plant Digitalis purpurea, more commonly known as foxglove, and belongs to the class of medicines known as cardiac glycosides​[1]​. Digoxin is used to treat a variety of cardiovascular conditions and provides inotropic activity (i.e. alters the force or energy of the heart muscle’s contractions) in the management of […]","container-title":"The Pharmaceutical Journal","language":"en-US","title":"Digoxin monitoring and toxicity management","URL":"https://pharmaceutical-journal.com/article/ld/digoxin-monitoring-and-toxicity-management","author":[{"family":"Patel","given":"Kalpesh"},{"family":"Wright","given":"Paul"}],"accessed":{"date-parts":[["2025",4,10]]},"issued":{"date-parts":[["2023",1,3]]}}}],"schema":"https://github.com/citation-style-language/schema/raw/master/csl-citation.json"} </w:instrText>
      </w:r>
      <w:r w:rsidR="00ED5A4D" w:rsidRPr="00660ECD">
        <w:rPr>
          <w:rFonts w:cstheme="minorHAnsi"/>
          <w:sz w:val="24"/>
          <w:szCs w:val="24"/>
        </w:rPr>
        <w:fldChar w:fldCharType="separate"/>
      </w:r>
      <w:r w:rsidR="00B5414D" w:rsidRPr="00660ECD">
        <w:rPr>
          <w:rFonts w:cstheme="minorHAnsi"/>
          <w:sz w:val="24"/>
          <w:szCs w:val="24"/>
        </w:rPr>
        <w:t>(12,13)</w:t>
      </w:r>
      <w:r w:rsidR="00ED5A4D" w:rsidRPr="00660ECD">
        <w:rPr>
          <w:rFonts w:cstheme="minorHAnsi"/>
          <w:sz w:val="24"/>
          <w:szCs w:val="24"/>
        </w:rPr>
        <w:fldChar w:fldCharType="end"/>
      </w:r>
      <w:r w:rsidR="00104722" w:rsidRPr="00660ECD">
        <w:rPr>
          <w:rFonts w:cstheme="minorHAnsi"/>
          <w:sz w:val="24"/>
          <w:szCs w:val="24"/>
        </w:rPr>
        <w:t>:</w:t>
      </w:r>
    </w:p>
    <w:p w14:paraId="63E1197F" w14:textId="4873623E" w:rsidR="00104722" w:rsidRPr="00660ECD" w:rsidRDefault="00104722" w:rsidP="00660ECD">
      <w:pPr>
        <w:pStyle w:val="ListParagraph"/>
        <w:numPr>
          <w:ilvl w:val="0"/>
          <w:numId w:val="3"/>
        </w:numPr>
        <w:spacing w:after="100" w:afterAutospacing="1" w:line="360" w:lineRule="auto"/>
        <w:contextualSpacing w:val="0"/>
        <w:rPr>
          <w:rFonts w:cstheme="minorHAnsi"/>
          <w:sz w:val="24"/>
          <w:szCs w:val="24"/>
        </w:rPr>
      </w:pPr>
      <w:r w:rsidRPr="00660ECD">
        <w:rPr>
          <w:rFonts w:cstheme="minorHAnsi"/>
          <w:sz w:val="24"/>
          <w:szCs w:val="24"/>
        </w:rPr>
        <w:t>Nausea, vomiting</w:t>
      </w:r>
      <w:r w:rsidR="000876C9" w:rsidRPr="00660ECD">
        <w:rPr>
          <w:rFonts w:cstheme="minorHAnsi"/>
          <w:sz w:val="24"/>
          <w:szCs w:val="24"/>
        </w:rPr>
        <w:t>,</w:t>
      </w:r>
      <w:r w:rsidR="00413B56" w:rsidRPr="00660ECD">
        <w:rPr>
          <w:rFonts w:cstheme="minorHAnsi"/>
          <w:sz w:val="24"/>
          <w:szCs w:val="24"/>
        </w:rPr>
        <w:t xml:space="preserve"> and </w:t>
      </w:r>
      <w:proofErr w:type="gramStart"/>
      <w:r w:rsidR="00413B56" w:rsidRPr="00660ECD">
        <w:rPr>
          <w:rFonts w:cstheme="minorHAnsi"/>
          <w:sz w:val="24"/>
          <w:szCs w:val="24"/>
        </w:rPr>
        <w:t>diarrhoea</w:t>
      </w:r>
      <w:r w:rsidR="003970F6">
        <w:rPr>
          <w:rFonts w:cstheme="minorHAnsi"/>
          <w:sz w:val="24"/>
          <w:szCs w:val="24"/>
        </w:rPr>
        <w:t>;</w:t>
      </w:r>
      <w:proofErr w:type="gramEnd"/>
    </w:p>
    <w:p w14:paraId="451D4D3C" w14:textId="5050F585" w:rsidR="00104722" w:rsidRPr="00660ECD" w:rsidRDefault="00977055" w:rsidP="00660ECD">
      <w:pPr>
        <w:pStyle w:val="ListParagraph"/>
        <w:numPr>
          <w:ilvl w:val="0"/>
          <w:numId w:val="3"/>
        </w:numPr>
        <w:spacing w:after="100" w:afterAutospacing="1" w:line="360" w:lineRule="auto"/>
        <w:contextualSpacing w:val="0"/>
        <w:rPr>
          <w:rFonts w:cstheme="minorHAnsi"/>
          <w:sz w:val="24"/>
          <w:szCs w:val="24"/>
        </w:rPr>
      </w:pPr>
      <w:r w:rsidRPr="00660ECD">
        <w:rPr>
          <w:rFonts w:cstheme="minorHAnsi"/>
          <w:sz w:val="24"/>
          <w:szCs w:val="24"/>
        </w:rPr>
        <w:t>Visual disturbances (e.g. blurred vision, colour changes</w:t>
      </w:r>
      <w:r w:rsidR="00673458" w:rsidRPr="00660ECD">
        <w:rPr>
          <w:rFonts w:cstheme="minorHAnsi"/>
          <w:sz w:val="24"/>
          <w:szCs w:val="24"/>
        </w:rPr>
        <w:t xml:space="preserve">: green/yellow </w:t>
      </w:r>
      <w:r w:rsidR="002F0B45" w:rsidRPr="00660ECD">
        <w:rPr>
          <w:rFonts w:cstheme="minorHAnsi"/>
          <w:sz w:val="24"/>
          <w:szCs w:val="24"/>
        </w:rPr>
        <w:t>discolouration</w:t>
      </w:r>
      <w:proofErr w:type="gramStart"/>
      <w:r w:rsidRPr="00660ECD">
        <w:rPr>
          <w:rFonts w:cstheme="minorHAnsi"/>
          <w:sz w:val="24"/>
          <w:szCs w:val="24"/>
        </w:rPr>
        <w:t>)</w:t>
      </w:r>
      <w:r w:rsidR="003970F6">
        <w:rPr>
          <w:rFonts w:cstheme="minorHAnsi"/>
          <w:sz w:val="24"/>
          <w:szCs w:val="24"/>
        </w:rPr>
        <w:t>;</w:t>
      </w:r>
      <w:proofErr w:type="gramEnd"/>
    </w:p>
    <w:p w14:paraId="63CF0CBD" w14:textId="6DBB924A" w:rsidR="00413B56" w:rsidRPr="00660ECD" w:rsidRDefault="0035754E" w:rsidP="00660ECD">
      <w:pPr>
        <w:pStyle w:val="ListParagraph"/>
        <w:numPr>
          <w:ilvl w:val="0"/>
          <w:numId w:val="3"/>
        </w:numPr>
        <w:spacing w:after="100" w:afterAutospacing="1" w:line="360" w:lineRule="auto"/>
        <w:contextualSpacing w:val="0"/>
        <w:rPr>
          <w:rFonts w:cstheme="minorHAnsi"/>
          <w:sz w:val="24"/>
          <w:szCs w:val="24"/>
        </w:rPr>
      </w:pPr>
      <w:proofErr w:type="gramStart"/>
      <w:r w:rsidRPr="00660ECD">
        <w:rPr>
          <w:rFonts w:cstheme="minorHAnsi"/>
          <w:sz w:val="24"/>
          <w:szCs w:val="24"/>
        </w:rPr>
        <w:lastRenderedPageBreak/>
        <w:t>A</w:t>
      </w:r>
      <w:r w:rsidR="00237F6E" w:rsidRPr="00660ECD">
        <w:rPr>
          <w:rFonts w:cstheme="minorHAnsi"/>
          <w:sz w:val="24"/>
          <w:szCs w:val="24"/>
        </w:rPr>
        <w:t>rrythmias</w:t>
      </w:r>
      <w:r w:rsidR="003970F6">
        <w:rPr>
          <w:rFonts w:cstheme="minorHAnsi"/>
          <w:sz w:val="24"/>
          <w:szCs w:val="24"/>
        </w:rPr>
        <w:t>;</w:t>
      </w:r>
      <w:proofErr w:type="gramEnd"/>
    </w:p>
    <w:p w14:paraId="0213D376" w14:textId="0499FFB6" w:rsidR="00881D99" w:rsidRPr="00EF60A1" w:rsidRDefault="009E4134" w:rsidP="00881D99">
      <w:pPr>
        <w:pStyle w:val="ListParagraph"/>
        <w:numPr>
          <w:ilvl w:val="0"/>
          <w:numId w:val="3"/>
        </w:numPr>
        <w:spacing w:after="100" w:afterAutospacing="1" w:line="360" w:lineRule="auto"/>
        <w:contextualSpacing w:val="0"/>
        <w:rPr>
          <w:rFonts w:cstheme="minorHAnsi"/>
          <w:sz w:val="24"/>
          <w:szCs w:val="24"/>
        </w:rPr>
      </w:pPr>
      <w:r w:rsidRPr="00660ECD">
        <w:rPr>
          <w:rFonts w:cstheme="minorHAnsi"/>
          <w:sz w:val="24"/>
          <w:szCs w:val="24"/>
        </w:rPr>
        <w:t>Confusion</w:t>
      </w:r>
      <w:r w:rsidR="003970F6">
        <w:rPr>
          <w:rFonts w:cstheme="minorHAnsi"/>
          <w:sz w:val="24"/>
          <w:szCs w:val="24"/>
        </w:rPr>
        <w:t>.</w:t>
      </w:r>
      <w:r w:rsidR="00ED5A4D" w:rsidRPr="00660ECD">
        <w:rPr>
          <w:rFonts w:cstheme="minorHAnsi"/>
          <w:sz w:val="24"/>
          <w:szCs w:val="24"/>
        </w:rPr>
        <w:t xml:space="preserve"> </w:t>
      </w:r>
    </w:p>
    <w:p w14:paraId="03AE69A1" w14:textId="0D4478D1" w:rsidR="00881D99" w:rsidRPr="00EF60A1" w:rsidRDefault="00881D99" w:rsidP="00660ECD">
      <w:pPr>
        <w:spacing w:after="100" w:afterAutospacing="1" w:line="360" w:lineRule="auto"/>
        <w:rPr>
          <w:rFonts w:cstheme="minorHAnsi"/>
          <w:b/>
          <w:bCs/>
          <w:sz w:val="24"/>
          <w:szCs w:val="24"/>
        </w:rPr>
      </w:pPr>
      <w:r w:rsidRPr="00EF60A1">
        <w:rPr>
          <w:rFonts w:cstheme="minorHAnsi"/>
          <w:sz w:val="24"/>
          <w:szCs w:val="24"/>
        </w:rPr>
        <w:t>For more</w:t>
      </w:r>
      <w:r>
        <w:rPr>
          <w:rFonts w:cstheme="minorHAnsi"/>
          <w:sz w:val="24"/>
          <w:szCs w:val="24"/>
        </w:rPr>
        <w:t xml:space="preserve"> information on this topic see the article ‘</w:t>
      </w:r>
      <w:hyperlink r:id="rId6" w:history="1">
        <w:r w:rsidRPr="000A5092">
          <w:rPr>
            <w:rStyle w:val="Hyperlink"/>
            <w:rFonts w:cstheme="minorHAnsi"/>
            <w:sz w:val="24"/>
            <w:szCs w:val="24"/>
          </w:rPr>
          <w:t>Digoxin monitoring and toxicity management’</w:t>
        </w:r>
      </w:hyperlink>
    </w:p>
    <w:p w14:paraId="78378181" w14:textId="3EB1F6B4" w:rsidR="001E5D3A" w:rsidRPr="00EF60A1" w:rsidRDefault="003F01CB" w:rsidP="00660ECD">
      <w:pPr>
        <w:spacing w:after="100" w:afterAutospacing="1" w:line="360" w:lineRule="auto"/>
        <w:rPr>
          <w:rFonts w:cstheme="minorHAnsi"/>
          <w:b/>
          <w:bCs/>
          <w:i/>
          <w:iCs/>
          <w:sz w:val="24"/>
          <w:szCs w:val="24"/>
        </w:rPr>
      </w:pPr>
      <w:r>
        <w:rPr>
          <w:rFonts w:cstheme="minorHAnsi"/>
          <w:b/>
          <w:bCs/>
          <w:i/>
          <w:iCs/>
          <w:sz w:val="24"/>
          <w:szCs w:val="24"/>
        </w:rPr>
        <w:t xml:space="preserve">Medication example: </w:t>
      </w:r>
      <w:r w:rsidR="00F72761" w:rsidRPr="00EF60A1">
        <w:rPr>
          <w:rFonts w:cstheme="minorHAnsi"/>
          <w:b/>
          <w:bCs/>
          <w:i/>
          <w:iCs/>
          <w:sz w:val="24"/>
          <w:szCs w:val="24"/>
        </w:rPr>
        <w:t>Lithium</w:t>
      </w:r>
    </w:p>
    <w:p w14:paraId="30A4A52E" w14:textId="1FAB5397" w:rsidR="00831C4E" w:rsidRPr="00660ECD" w:rsidRDefault="003E290A" w:rsidP="00660ECD">
      <w:pPr>
        <w:spacing w:after="100" w:afterAutospacing="1" w:line="360" w:lineRule="auto"/>
        <w:rPr>
          <w:rFonts w:cstheme="minorHAnsi"/>
          <w:sz w:val="24"/>
          <w:szCs w:val="24"/>
        </w:rPr>
      </w:pPr>
      <w:r w:rsidRPr="00660ECD">
        <w:rPr>
          <w:rFonts w:cstheme="minorHAnsi"/>
          <w:sz w:val="24"/>
          <w:szCs w:val="24"/>
        </w:rPr>
        <w:t xml:space="preserve">Lithium has </w:t>
      </w:r>
      <w:r w:rsidR="00335937" w:rsidRPr="00660ECD">
        <w:rPr>
          <w:rFonts w:cstheme="minorHAnsi"/>
          <w:sz w:val="24"/>
          <w:szCs w:val="24"/>
        </w:rPr>
        <w:t>long been</w:t>
      </w:r>
      <w:r w:rsidRPr="00660ECD">
        <w:rPr>
          <w:rFonts w:cstheme="minorHAnsi"/>
          <w:sz w:val="24"/>
          <w:szCs w:val="24"/>
        </w:rPr>
        <w:t xml:space="preserve"> </w:t>
      </w:r>
      <w:r w:rsidR="00335937" w:rsidRPr="00660ECD">
        <w:rPr>
          <w:rFonts w:cstheme="minorHAnsi"/>
          <w:sz w:val="24"/>
          <w:szCs w:val="24"/>
        </w:rPr>
        <w:t xml:space="preserve">recognised </w:t>
      </w:r>
      <w:r w:rsidRPr="00660ECD">
        <w:rPr>
          <w:rFonts w:cstheme="minorHAnsi"/>
          <w:sz w:val="24"/>
          <w:szCs w:val="24"/>
        </w:rPr>
        <w:t xml:space="preserve">as a high-risk </w:t>
      </w:r>
      <w:r w:rsidR="00154C35" w:rsidRPr="00660ECD">
        <w:rPr>
          <w:rFonts w:cstheme="minorHAnsi"/>
          <w:sz w:val="24"/>
          <w:szCs w:val="24"/>
        </w:rPr>
        <w:t>medication</w:t>
      </w:r>
      <w:r w:rsidRPr="00660ECD">
        <w:rPr>
          <w:rFonts w:cstheme="minorHAnsi"/>
          <w:sz w:val="24"/>
          <w:szCs w:val="24"/>
        </w:rPr>
        <w:t xml:space="preserve">, with </w:t>
      </w:r>
      <w:r w:rsidR="00154C35" w:rsidRPr="00660ECD">
        <w:rPr>
          <w:rFonts w:cstheme="minorHAnsi"/>
          <w:sz w:val="24"/>
          <w:szCs w:val="24"/>
        </w:rPr>
        <w:t>a patient</w:t>
      </w:r>
      <w:r w:rsidR="003970F6">
        <w:rPr>
          <w:rFonts w:cstheme="minorHAnsi"/>
          <w:sz w:val="24"/>
          <w:szCs w:val="24"/>
        </w:rPr>
        <w:t>-</w:t>
      </w:r>
      <w:r w:rsidR="00154C35" w:rsidRPr="00660ECD">
        <w:rPr>
          <w:rFonts w:cstheme="minorHAnsi"/>
          <w:sz w:val="24"/>
          <w:szCs w:val="24"/>
        </w:rPr>
        <w:t xml:space="preserve">safety alert on safer lithium therapy issued by the National Patient Safety Agency (NPSA) </w:t>
      </w:r>
      <w:r w:rsidR="00335937" w:rsidRPr="00660ECD">
        <w:rPr>
          <w:rFonts w:cstheme="minorHAnsi"/>
          <w:sz w:val="24"/>
          <w:szCs w:val="24"/>
        </w:rPr>
        <w:t xml:space="preserve">in 2009 </w:t>
      </w:r>
      <w:r w:rsidR="005C6C19" w:rsidRPr="00660ECD">
        <w:rPr>
          <w:rFonts w:cstheme="minorHAnsi"/>
          <w:sz w:val="24"/>
          <w:szCs w:val="24"/>
        </w:rPr>
        <w:t>due to high numbers of incident reports</w:t>
      </w:r>
      <w:r w:rsidR="00945548" w:rsidRPr="00660ECD">
        <w:rPr>
          <w:rFonts w:cstheme="minorHAnsi"/>
          <w:sz w:val="24"/>
          <w:szCs w:val="24"/>
        </w:rPr>
        <w:t xml:space="preserve"> linked to toxicity and monitoring</w:t>
      </w:r>
      <w:r w:rsidR="005C6C19" w:rsidRPr="00660ECD">
        <w:rPr>
          <w:rFonts w:cstheme="minorHAnsi"/>
          <w:sz w:val="24"/>
          <w:szCs w:val="24"/>
        </w:rPr>
        <w:t xml:space="preserve"> </w:t>
      </w:r>
      <w:r w:rsidR="00335937" w:rsidRPr="00660ECD">
        <w:rPr>
          <w:rFonts w:cstheme="minorHAnsi"/>
          <w:sz w:val="24"/>
          <w:szCs w:val="24"/>
        </w:rPr>
        <w:fldChar w:fldCharType="begin"/>
      </w:r>
      <w:r w:rsidR="00B5414D" w:rsidRPr="00660ECD">
        <w:rPr>
          <w:rFonts w:cstheme="minorHAnsi"/>
          <w:sz w:val="24"/>
          <w:szCs w:val="24"/>
        </w:rPr>
        <w:instrText xml:space="preserve"> ADDIN ZOTERO_ITEM CSL_CITATION {"citationID":"3cNiUeZu","properties":{"formattedCitation":"(14)","plainCitation":"(14)","noteIndex":0},"citationItems":[{"id":26,"uris":["http://zotero.org/users/local/3eWb7dOa/items/BNH83T7C"],"itemData":{"id":26,"type":"webpage","abstract":"Reports, notices and alerts issued to healthcare staff and NHS organisations on patient safety issues. Require urgent attention and/or action.","language":"en","title":"Alerts","URL":"https://webarchive.nationalarchives.gov.uk/ukgwa/20180501163555mp_/http://www.nrls.npsa.nhs.uk/resources/type/alerts/?entryid45=65426%26p=2","author":[{"family":"NPSA","given":""}],"accessed":{"date-parts":[["2025",4,10]]}}}],"schema":"https://github.com/citation-style-language/schema/raw/master/csl-citation.json"} </w:instrText>
      </w:r>
      <w:r w:rsidR="00335937" w:rsidRPr="00660ECD">
        <w:rPr>
          <w:rFonts w:cstheme="minorHAnsi"/>
          <w:sz w:val="24"/>
          <w:szCs w:val="24"/>
        </w:rPr>
        <w:fldChar w:fldCharType="separate"/>
      </w:r>
      <w:r w:rsidR="00B5414D" w:rsidRPr="00660ECD">
        <w:rPr>
          <w:rFonts w:cstheme="minorHAnsi"/>
          <w:sz w:val="24"/>
          <w:szCs w:val="24"/>
        </w:rPr>
        <w:t>(14)</w:t>
      </w:r>
      <w:r w:rsidR="00335937" w:rsidRPr="00660ECD">
        <w:rPr>
          <w:rFonts w:cstheme="minorHAnsi"/>
          <w:sz w:val="24"/>
          <w:szCs w:val="24"/>
        </w:rPr>
        <w:fldChar w:fldCharType="end"/>
      </w:r>
      <w:r w:rsidR="00335937" w:rsidRPr="00660ECD">
        <w:rPr>
          <w:rFonts w:cstheme="minorHAnsi"/>
          <w:sz w:val="24"/>
          <w:szCs w:val="24"/>
        </w:rPr>
        <w:t xml:space="preserve">. </w:t>
      </w:r>
      <w:r w:rsidR="00BD2809" w:rsidRPr="00660ECD">
        <w:rPr>
          <w:rFonts w:cstheme="minorHAnsi"/>
          <w:sz w:val="24"/>
          <w:szCs w:val="24"/>
        </w:rPr>
        <w:t xml:space="preserve">There are various </w:t>
      </w:r>
      <w:r w:rsidR="005B096C" w:rsidRPr="00660ECD">
        <w:rPr>
          <w:rFonts w:cstheme="minorHAnsi"/>
          <w:sz w:val="24"/>
          <w:szCs w:val="24"/>
        </w:rPr>
        <w:t>considerations</w:t>
      </w:r>
      <w:r w:rsidR="00BD2809" w:rsidRPr="00660ECD">
        <w:rPr>
          <w:rFonts w:cstheme="minorHAnsi"/>
          <w:sz w:val="24"/>
          <w:szCs w:val="24"/>
        </w:rPr>
        <w:t xml:space="preserve"> when prescribing lithium to mitigate risk, </w:t>
      </w:r>
      <w:r w:rsidR="00993CC2" w:rsidRPr="00660ECD">
        <w:rPr>
          <w:rFonts w:cstheme="minorHAnsi"/>
          <w:sz w:val="24"/>
          <w:szCs w:val="24"/>
        </w:rPr>
        <w:t>including</w:t>
      </w:r>
      <w:r w:rsidR="00EB6459" w:rsidRPr="00660ECD">
        <w:rPr>
          <w:rFonts w:cstheme="minorHAnsi"/>
          <w:sz w:val="24"/>
          <w:szCs w:val="24"/>
        </w:rPr>
        <w:t xml:space="preserve"> </w:t>
      </w:r>
      <w:r w:rsidR="00EB6459" w:rsidRPr="00660ECD">
        <w:rPr>
          <w:rFonts w:cstheme="minorHAnsi"/>
          <w:sz w:val="24"/>
          <w:szCs w:val="24"/>
        </w:rPr>
        <w:fldChar w:fldCharType="begin"/>
      </w:r>
      <w:r w:rsidR="00EB6459" w:rsidRPr="00660ECD">
        <w:rPr>
          <w:rFonts w:cstheme="minorHAnsi"/>
          <w:sz w:val="24"/>
          <w:szCs w:val="24"/>
        </w:rPr>
        <w:instrText xml:space="preserve"> ADDIN ZOTERO_ITEM CSL_CITATION {"citationID":"t8WHlckX","properties":{"formattedCitation":"(15,16)","plainCitation":"(15,16)","noteIndex":0},"citationItems":[{"id":28,"uris":["http://zotero.org/users/local/3eWb7dOa/items/LBR5DZ6G"],"itemData":{"id":28,"type":"webpage","abstract":"View lithium carbonate information, including dose, uses, side-effects, renal impairment, pregnancy, breast feeding, contra-indications and monitoring requirements.","language":"en-GB","title":"Lithium carbonate | Drugs | BNF content published by NICE","URL":"https://bnf.nice.org.uk/drugs/lithium-carbonate/","accessed":{"date-parts":[["2025",4,10]]}}},{"id":27,"uris":["http://zotero.org/users/local/3eWb7dOa/items/4DJTEKYL"],"itemData":{"id":27,"type":"webpage","abstract":"Introduction Lithium belongs to a class of medicines called mood stabilisers​[1]​. It is used in acute treatment of mania, maintenance treatment of bipolar disorder, treatment-resistant depression, and treatment of aggressive or self-harming behaviours​[2,3]​. Lithium is the recommended maintenance treatment for bipolar disorder and there is evidence that it has an antisuicidal effect​[4–7]​. Prescribing data indicate 60,000–70,000 lithium prescriptions […]","container-title":"The Pharmaceutical Journal","language":"en-US","title":"Lithium monitoring and toxicity management","URL":"https://pharmaceutical-journal.com/article/ld/lithium-monitoring-and-toxicity-management","author":[{"family":"Godden","given":"Hannah"}],"accessed":{"date-parts":[["2025",4,10]]},"issued":{"date-parts":[["2024",2,16]]}}}],"schema":"https://github.com/citation-style-language/schema/raw/master/csl-citation.json"} </w:instrText>
      </w:r>
      <w:r w:rsidR="00EB6459" w:rsidRPr="00660ECD">
        <w:rPr>
          <w:rFonts w:cstheme="minorHAnsi"/>
          <w:sz w:val="24"/>
          <w:szCs w:val="24"/>
        </w:rPr>
        <w:fldChar w:fldCharType="separate"/>
      </w:r>
      <w:r w:rsidR="00EB6459" w:rsidRPr="00660ECD">
        <w:rPr>
          <w:rFonts w:cstheme="minorHAnsi"/>
          <w:sz w:val="24"/>
          <w:szCs w:val="24"/>
        </w:rPr>
        <w:t>(15,16)</w:t>
      </w:r>
      <w:r w:rsidR="00EB6459" w:rsidRPr="00660ECD">
        <w:rPr>
          <w:rFonts w:cstheme="minorHAnsi"/>
          <w:sz w:val="24"/>
          <w:szCs w:val="24"/>
        </w:rPr>
        <w:fldChar w:fldCharType="end"/>
      </w:r>
      <w:r w:rsidR="00993CC2" w:rsidRPr="00660ECD">
        <w:rPr>
          <w:rFonts w:cstheme="minorHAnsi"/>
          <w:sz w:val="24"/>
          <w:szCs w:val="24"/>
        </w:rPr>
        <w:t>:</w:t>
      </w:r>
    </w:p>
    <w:p w14:paraId="38EDCE82" w14:textId="64ADF053" w:rsidR="00831C4E" w:rsidRPr="00660ECD" w:rsidRDefault="00831C4E" w:rsidP="00660ECD">
      <w:pPr>
        <w:pStyle w:val="ListParagraph"/>
        <w:numPr>
          <w:ilvl w:val="0"/>
          <w:numId w:val="5"/>
        </w:numPr>
        <w:spacing w:after="100" w:afterAutospacing="1" w:line="360" w:lineRule="auto"/>
        <w:contextualSpacing w:val="0"/>
        <w:rPr>
          <w:rFonts w:cstheme="minorHAnsi"/>
          <w:sz w:val="24"/>
          <w:szCs w:val="24"/>
        </w:rPr>
      </w:pPr>
      <w:r w:rsidRPr="00660ECD">
        <w:rPr>
          <w:rFonts w:cstheme="minorHAnsi"/>
          <w:sz w:val="24"/>
          <w:szCs w:val="24"/>
        </w:rPr>
        <w:t>E</w:t>
      </w:r>
      <w:r w:rsidR="00BD2809" w:rsidRPr="00660ECD">
        <w:rPr>
          <w:rFonts w:cstheme="minorHAnsi"/>
          <w:sz w:val="24"/>
          <w:szCs w:val="24"/>
        </w:rPr>
        <w:t xml:space="preserve">xtensive baseline </w:t>
      </w:r>
      <w:proofErr w:type="gramStart"/>
      <w:r w:rsidR="009B55D9" w:rsidRPr="00660ECD">
        <w:rPr>
          <w:rFonts w:cstheme="minorHAnsi"/>
          <w:sz w:val="24"/>
          <w:szCs w:val="24"/>
        </w:rPr>
        <w:t>monitoring</w:t>
      </w:r>
      <w:r w:rsidR="003970F6">
        <w:rPr>
          <w:rFonts w:cstheme="minorHAnsi"/>
          <w:sz w:val="24"/>
          <w:szCs w:val="24"/>
        </w:rPr>
        <w:t>;</w:t>
      </w:r>
      <w:proofErr w:type="gramEnd"/>
      <w:r w:rsidR="008A2AC9" w:rsidRPr="00660ECD">
        <w:rPr>
          <w:rFonts w:cstheme="minorHAnsi"/>
          <w:sz w:val="24"/>
          <w:szCs w:val="24"/>
        </w:rPr>
        <w:t xml:space="preserve"> </w:t>
      </w:r>
    </w:p>
    <w:p w14:paraId="75EF2F13" w14:textId="7A3C06AA" w:rsidR="00037E9F" w:rsidRPr="00660ECD" w:rsidRDefault="00831C4E" w:rsidP="00660ECD">
      <w:pPr>
        <w:pStyle w:val="ListParagraph"/>
        <w:numPr>
          <w:ilvl w:val="0"/>
          <w:numId w:val="5"/>
        </w:numPr>
        <w:spacing w:after="100" w:afterAutospacing="1" w:line="360" w:lineRule="auto"/>
        <w:contextualSpacing w:val="0"/>
        <w:rPr>
          <w:rFonts w:cstheme="minorHAnsi"/>
          <w:sz w:val="24"/>
          <w:szCs w:val="24"/>
        </w:rPr>
      </w:pPr>
      <w:r w:rsidRPr="00660ECD">
        <w:rPr>
          <w:rFonts w:cstheme="minorHAnsi"/>
          <w:sz w:val="24"/>
          <w:szCs w:val="24"/>
        </w:rPr>
        <w:t>B</w:t>
      </w:r>
      <w:r w:rsidR="005F50E8" w:rsidRPr="00660ECD">
        <w:rPr>
          <w:rFonts w:cstheme="minorHAnsi"/>
          <w:sz w:val="24"/>
          <w:szCs w:val="24"/>
        </w:rPr>
        <w:t>rand prescribing</w:t>
      </w:r>
      <w:r w:rsidR="004F3D89" w:rsidRPr="00660ECD">
        <w:rPr>
          <w:rFonts w:cstheme="minorHAnsi"/>
          <w:sz w:val="24"/>
          <w:szCs w:val="24"/>
        </w:rPr>
        <w:t xml:space="preserve">: </w:t>
      </w:r>
      <w:r w:rsidR="00CD4B4A" w:rsidRPr="00660ECD">
        <w:rPr>
          <w:rFonts w:cstheme="minorHAnsi"/>
          <w:sz w:val="24"/>
          <w:szCs w:val="24"/>
        </w:rPr>
        <w:t>non-bioequivalence of</w:t>
      </w:r>
      <w:r w:rsidR="00D62463" w:rsidRPr="00660ECD">
        <w:rPr>
          <w:rFonts w:cstheme="minorHAnsi"/>
          <w:sz w:val="24"/>
          <w:szCs w:val="24"/>
        </w:rPr>
        <w:t xml:space="preserve"> </w:t>
      </w:r>
      <w:r w:rsidR="00281A43" w:rsidRPr="00660ECD">
        <w:rPr>
          <w:rFonts w:cstheme="minorHAnsi"/>
          <w:sz w:val="24"/>
          <w:szCs w:val="24"/>
        </w:rPr>
        <w:t xml:space="preserve">lithium carbonate and lithium </w:t>
      </w:r>
      <w:proofErr w:type="gramStart"/>
      <w:r w:rsidR="00281A43" w:rsidRPr="00660ECD">
        <w:rPr>
          <w:rFonts w:cstheme="minorHAnsi"/>
          <w:sz w:val="24"/>
          <w:szCs w:val="24"/>
        </w:rPr>
        <w:t>citrate</w:t>
      </w:r>
      <w:r w:rsidR="003970F6">
        <w:rPr>
          <w:rFonts w:cstheme="minorHAnsi"/>
          <w:sz w:val="24"/>
          <w:szCs w:val="24"/>
        </w:rPr>
        <w:t>;</w:t>
      </w:r>
      <w:proofErr w:type="gramEnd"/>
      <w:r w:rsidR="00CD4B4A" w:rsidRPr="00660ECD">
        <w:rPr>
          <w:rFonts w:cstheme="minorHAnsi"/>
          <w:sz w:val="24"/>
          <w:szCs w:val="24"/>
        </w:rPr>
        <w:t xml:space="preserve"> </w:t>
      </w:r>
    </w:p>
    <w:p w14:paraId="643F12D2" w14:textId="0EDAD238" w:rsidR="00935AF0" w:rsidRPr="00660ECD" w:rsidRDefault="00037E9F" w:rsidP="00660ECD">
      <w:pPr>
        <w:pStyle w:val="ListParagraph"/>
        <w:numPr>
          <w:ilvl w:val="0"/>
          <w:numId w:val="5"/>
        </w:numPr>
        <w:spacing w:after="100" w:afterAutospacing="1" w:line="360" w:lineRule="auto"/>
        <w:contextualSpacing w:val="0"/>
        <w:rPr>
          <w:rFonts w:cstheme="minorHAnsi"/>
          <w:sz w:val="24"/>
          <w:szCs w:val="24"/>
        </w:rPr>
      </w:pPr>
      <w:r w:rsidRPr="00660ECD">
        <w:rPr>
          <w:rFonts w:cstheme="minorHAnsi"/>
          <w:sz w:val="24"/>
          <w:szCs w:val="24"/>
        </w:rPr>
        <w:t>Patients issued with lithium information booklet</w:t>
      </w:r>
      <w:r w:rsidR="004539F4" w:rsidRPr="00660ECD">
        <w:rPr>
          <w:rFonts w:cstheme="minorHAnsi"/>
          <w:sz w:val="24"/>
          <w:szCs w:val="24"/>
        </w:rPr>
        <w:t xml:space="preserve"> </w:t>
      </w:r>
      <w:r w:rsidR="003970F6">
        <w:rPr>
          <w:rFonts w:cstheme="minorHAnsi"/>
          <w:sz w:val="24"/>
          <w:szCs w:val="24"/>
        </w:rPr>
        <w:t>(</w:t>
      </w:r>
      <w:r w:rsidRPr="00660ECD">
        <w:rPr>
          <w:rFonts w:cstheme="minorHAnsi"/>
          <w:sz w:val="24"/>
          <w:szCs w:val="24"/>
        </w:rPr>
        <w:t>provide</w:t>
      </w:r>
      <w:r w:rsidR="00A87038" w:rsidRPr="00660ECD">
        <w:rPr>
          <w:rFonts w:cstheme="minorHAnsi"/>
          <w:sz w:val="24"/>
          <w:szCs w:val="24"/>
        </w:rPr>
        <w:t>s</w:t>
      </w:r>
      <w:r w:rsidRPr="00660ECD">
        <w:rPr>
          <w:rFonts w:cstheme="minorHAnsi"/>
          <w:sz w:val="24"/>
          <w:szCs w:val="24"/>
        </w:rPr>
        <w:t xml:space="preserve"> written information and track</w:t>
      </w:r>
      <w:r w:rsidR="00A87038" w:rsidRPr="00660ECD">
        <w:rPr>
          <w:rFonts w:cstheme="minorHAnsi"/>
          <w:sz w:val="24"/>
          <w:szCs w:val="24"/>
        </w:rPr>
        <w:t>s</w:t>
      </w:r>
      <w:r w:rsidRPr="00660ECD">
        <w:rPr>
          <w:rFonts w:cstheme="minorHAnsi"/>
          <w:sz w:val="24"/>
          <w:szCs w:val="24"/>
        </w:rPr>
        <w:t xml:space="preserve"> monitoring</w:t>
      </w:r>
      <w:proofErr w:type="gramStart"/>
      <w:r w:rsidR="003970F6">
        <w:rPr>
          <w:rFonts w:cstheme="minorHAnsi"/>
          <w:sz w:val="24"/>
          <w:szCs w:val="24"/>
        </w:rPr>
        <w:t>);</w:t>
      </w:r>
      <w:proofErr w:type="gramEnd"/>
    </w:p>
    <w:p w14:paraId="1E22C708" w14:textId="1E30E4C4" w:rsidR="009516E6" w:rsidRPr="00660ECD" w:rsidRDefault="00935AF0" w:rsidP="00660ECD">
      <w:pPr>
        <w:pStyle w:val="ListParagraph"/>
        <w:numPr>
          <w:ilvl w:val="0"/>
          <w:numId w:val="5"/>
        </w:numPr>
        <w:spacing w:after="100" w:afterAutospacing="1" w:line="360" w:lineRule="auto"/>
        <w:contextualSpacing w:val="0"/>
        <w:rPr>
          <w:rFonts w:cstheme="minorHAnsi"/>
          <w:sz w:val="24"/>
          <w:szCs w:val="24"/>
        </w:rPr>
      </w:pPr>
      <w:r w:rsidRPr="00660ECD">
        <w:rPr>
          <w:rFonts w:cstheme="minorHAnsi"/>
          <w:sz w:val="24"/>
          <w:szCs w:val="24"/>
        </w:rPr>
        <w:t>S</w:t>
      </w:r>
      <w:r w:rsidR="006C55FF" w:rsidRPr="00660ECD">
        <w:rPr>
          <w:rFonts w:cstheme="minorHAnsi"/>
          <w:sz w:val="24"/>
          <w:szCs w:val="24"/>
        </w:rPr>
        <w:t>erum lithium concentrations</w:t>
      </w:r>
      <w:r w:rsidR="00A87038" w:rsidRPr="00660ECD">
        <w:rPr>
          <w:rFonts w:cstheme="minorHAnsi"/>
          <w:sz w:val="24"/>
          <w:szCs w:val="24"/>
        </w:rPr>
        <w:t>:</w:t>
      </w:r>
      <w:r w:rsidR="006C55FF" w:rsidRPr="00660ECD">
        <w:rPr>
          <w:rFonts w:cstheme="minorHAnsi"/>
          <w:sz w:val="24"/>
          <w:szCs w:val="24"/>
        </w:rPr>
        <w:t xml:space="preserve"> monitored</w:t>
      </w:r>
      <w:r w:rsidR="003E5686" w:rsidRPr="00660ECD">
        <w:rPr>
          <w:rFonts w:cstheme="minorHAnsi"/>
          <w:sz w:val="24"/>
          <w:szCs w:val="24"/>
        </w:rPr>
        <w:t xml:space="preserve"> at specified regular intervals or if acutely unwell, showing signs of toxicity, or altered sodium or fluid status</w:t>
      </w:r>
      <w:r w:rsidR="003970F6">
        <w:rPr>
          <w:rFonts w:cstheme="minorHAnsi"/>
          <w:sz w:val="24"/>
          <w:szCs w:val="24"/>
        </w:rPr>
        <w:t>.</w:t>
      </w:r>
      <w:r w:rsidR="003E5686" w:rsidRPr="00660ECD">
        <w:rPr>
          <w:rFonts w:cstheme="minorHAnsi"/>
          <w:sz w:val="24"/>
          <w:szCs w:val="24"/>
        </w:rPr>
        <w:t xml:space="preserve"> </w:t>
      </w:r>
    </w:p>
    <w:p w14:paraId="2E3FECB9" w14:textId="64FF611D" w:rsidR="00ED2568" w:rsidRPr="00660ECD" w:rsidRDefault="00E77DF9" w:rsidP="00660ECD">
      <w:pPr>
        <w:spacing w:after="100" w:afterAutospacing="1" w:line="360" w:lineRule="auto"/>
        <w:rPr>
          <w:rFonts w:cstheme="minorHAnsi"/>
          <w:sz w:val="24"/>
          <w:szCs w:val="24"/>
        </w:rPr>
      </w:pPr>
      <w:r w:rsidRPr="00660ECD">
        <w:rPr>
          <w:rFonts w:cstheme="minorHAnsi"/>
          <w:sz w:val="24"/>
          <w:szCs w:val="24"/>
        </w:rPr>
        <w:t>Lithium levels should be interpreted in the context of the patient’s clinical presentation</w:t>
      </w:r>
      <w:r w:rsidR="003970F6">
        <w:rPr>
          <w:rFonts w:cstheme="minorHAnsi"/>
          <w:sz w:val="24"/>
          <w:szCs w:val="24"/>
        </w:rPr>
        <w:t>,</w:t>
      </w:r>
      <w:r w:rsidR="005A54A5" w:rsidRPr="00660ECD">
        <w:rPr>
          <w:rFonts w:cstheme="minorHAnsi"/>
          <w:sz w:val="24"/>
          <w:szCs w:val="24"/>
        </w:rPr>
        <w:t xml:space="preserve"> as toxicity can occur at normal lithium levels</w:t>
      </w:r>
      <w:r w:rsidR="00A90B05" w:rsidRPr="00660ECD">
        <w:rPr>
          <w:rFonts w:cstheme="minorHAnsi"/>
          <w:sz w:val="24"/>
          <w:szCs w:val="24"/>
        </w:rPr>
        <w:t>;</w:t>
      </w:r>
      <w:r w:rsidR="004C1187" w:rsidRPr="00660ECD">
        <w:rPr>
          <w:rFonts w:cstheme="minorHAnsi"/>
          <w:sz w:val="24"/>
          <w:szCs w:val="24"/>
        </w:rPr>
        <w:t xml:space="preserve"> </w:t>
      </w:r>
      <w:r w:rsidR="000B2A25" w:rsidRPr="00660ECD">
        <w:rPr>
          <w:rFonts w:cstheme="minorHAnsi"/>
          <w:sz w:val="24"/>
          <w:szCs w:val="24"/>
        </w:rPr>
        <w:t xml:space="preserve">the target </w:t>
      </w:r>
      <w:r w:rsidR="00636A3E" w:rsidRPr="00660ECD">
        <w:rPr>
          <w:rFonts w:cstheme="minorHAnsi"/>
          <w:sz w:val="24"/>
          <w:szCs w:val="24"/>
        </w:rPr>
        <w:t xml:space="preserve">lithium level </w:t>
      </w:r>
      <w:r w:rsidR="003B1EAC" w:rsidRPr="00660ECD">
        <w:rPr>
          <w:rFonts w:cstheme="minorHAnsi"/>
          <w:sz w:val="24"/>
          <w:szCs w:val="24"/>
        </w:rPr>
        <w:t>varies depending on the indication</w:t>
      </w:r>
      <w:r w:rsidR="003970F6">
        <w:rPr>
          <w:rFonts w:cstheme="minorHAnsi"/>
          <w:sz w:val="24"/>
          <w:szCs w:val="24"/>
        </w:rPr>
        <w:t>,</w:t>
      </w:r>
      <w:r w:rsidR="003B1EAC" w:rsidRPr="00660ECD">
        <w:rPr>
          <w:rFonts w:cstheme="minorHAnsi"/>
          <w:sz w:val="24"/>
          <w:szCs w:val="24"/>
        </w:rPr>
        <w:t xml:space="preserve"> </w:t>
      </w:r>
      <w:r w:rsidR="002360C0" w:rsidRPr="00660ECD">
        <w:rPr>
          <w:rFonts w:cstheme="minorHAnsi"/>
          <w:sz w:val="24"/>
          <w:szCs w:val="24"/>
        </w:rPr>
        <w:t xml:space="preserve">therefore specialist advice should be sought </w:t>
      </w:r>
      <w:r w:rsidR="00A90B05" w:rsidRPr="00660ECD">
        <w:rPr>
          <w:rFonts w:cstheme="minorHAnsi"/>
          <w:sz w:val="24"/>
          <w:szCs w:val="24"/>
        </w:rPr>
        <w:t xml:space="preserve">if toxicity is suspected </w:t>
      </w:r>
      <w:r w:rsidR="00A90B05" w:rsidRPr="00660ECD">
        <w:rPr>
          <w:rFonts w:cstheme="minorHAnsi"/>
          <w:sz w:val="24"/>
          <w:szCs w:val="24"/>
        </w:rPr>
        <w:fldChar w:fldCharType="begin"/>
      </w:r>
      <w:r w:rsidR="00B5414D" w:rsidRPr="00660ECD">
        <w:rPr>
          <w:rFonts w:cstheme="minorHAnsi"/>
          <w:sz w:val="24"/>
          <w:szCs w:val="24"/>
        </w:rPr>
        <w:instrText xml:space="preserve"> ADDIN ZOTERO_ITEM CSL_CITATION {"citationID":"d19goiob","properties":{"formattedCitation":"(17)","plainCitation":"(17)","noteIndex":0},"citationItems":[{"id":29,"uris":["http://zotero.org/users/local/3eWb7dOa/items/8UHWTMMZ"],"itemData":{"id":29,"type":"webpage","abstract":"Lithium, Prescribing information, Bipolar disorder, CKS","language":"en-GB","title":"Lithium | Prescribing information | Bipolar disorder | CKS | NICE","URL":"https://cks.nice.org.uk/topics/bipolar-disorder/prescribing-information/lithium/","accessed":{"date-parts":[["2025",4,10]]}}}],"schema":"https://github.com/citation-style-language/schema/raw/master/csl-citation.json"} </w:instrText>
      </w:r>
      <w:r w:rsidR="00A90B05" w:rsidRPr="00660ECD">
        <w:rPr>
          <w:rFonts w:cstheme="minorHAnsi"/>
          <w:sz w:val="24"/>
          <w:szCs w:val="24"/>
        </w:rPr>
        <w:fldChar w:fldCharType="separate"/>
      </w:r>
      <w:r w:rsidR="00B5414D" w:rsidRPr="00660ECD">
        <w:rPr>
          <w:rFonts w:cstheme="minorHAnsi"/>
          <w:sz w:val="24"/>
          <w:szCs w:val="24"/>
        </w:rPr>
        <w:t>(17)</w:t>
      </w:r>
      <w:r w:rsidR="00A90B05" w:rsidRPr="00660ECD">
        <w:rPr>
          <w:rFonts w:cstheme="minorHAnsi"/>
          <w:sz w:val="24"/>
          <w:szCs w:val="24"/>
        </w:rPr>
        <w:fldChar w:fldCharType="end"/>
      </w:r>
      <w:r w:rsidR="00CE073C" w:rsidRPr="00660ECD">
        <w:rPr>
          <w:rFonts w:cstheme="minorHAnsi"/>
          <w:sz w:val="24"/>
          <w:szCs w:val="24"/>
        </w:rPr>
        <w:t xml:space="preserve">. </w:t>
      </w:r>
    </w:p>
    <w:p w14:paraId="09C0DDFF" w14:textId="574D5DB0" w:rsidR="00550C94" w:rsidRPr="00660ECD" w:rsidRDefault="00550C94" w:rsidP="00660ECD">
      <w:pPr>
        <w:spacing w:after="100" w:afterAutospacing="1" w:line="360" w:lineRule="auto"/>
        <w:rPr>
          <w:rFonts w:cstheme="minorHAnsi"/>
          <w:sz w:val="24"/>
          <w:szCs w:val="24"/>
        </w:rPr>
      </w:pPr>
      <w:r w:rsidRPr="00660ECD">
        <w:rPr>
          <w:rFonts w:cstheme="minorHAnsi"/>
          <w:sz w:val="24"/>
          <w:szCs w:val="24"/>
        </w:rPr>
        <w:t xml:space="preserve">Common signs of lithium toxicity </w:t>
      </w:r>
      <w:r w:rsidR="006B6BA2" w:rsidRPr="00660ECD">
        <w:rPr>
          <w:rFonts w:cstheme="minorHAnsi"/>
          <w:sz w:val="24"/>
          <w:szCs w:val="24"/>
        </w:rPr>
        <w:fldChar w:fldCharType="begin"/>
      </w:r>
      <w:r w:rsidR="00B5414D" w:rsidRPr="00660ECD">
        <w:rPr>
          <w:rFonts w:cstheme="minorHAnsi"/>
          <w:sz w:val="24"/>
          <w:szCs w:val="24"/>
        </w:rPr>
        <w:instrText xml:space="preserve"> ADDIN ZOTERO_ITEM CSL_CITATION {"citationID":"7DiDPLUA","properties":{"formattedCitation":"(15,16)","plainCitation":"(15,16)","noteIndex":0},"citationItems":[{"id":27,"uris":["http://zotero.org/users/local/3eWb7dOa/items/4DJTEKYL"],"itemData":{"id":27,"type":"webpage","abstract":"Introduction Lithium belongs to a class of medicines called mood stabilisers​[1]​. It is used in acute treatment of mania, maintenance treatment of bipolar disorder, treatment-resistant depression, and treatment of aggressive or self-harming behaviours​[2,3]​. Lithium is the recommended maintenance treatment for bipolar disorder and there is evidence that it has an antisuicidal effect​[4–7]​. Prescribing data indicate 60,000–70,000 lithium prescriptions […]","container-title":"The Pharmaceutical Journal","language":"en-US","title":"Lithium monitoring and toxicity management","URL":"https://pharmaceutical-journal.com/article/ld/lithium-monitoring-and-toxicity-management","author":[{"family":"Godden","given":"Hannah"}],"accessed":{"date-parts":[["2025",4,10]]},"issued":{"date-parts":[["2024",2,16]]}}},{"id":28,"uris":["http://zotero.org/users/local/3eWb7dOa/items/LBR5DZ6G"],"itemData":{"id":28,"type":"webpage","abstract":"View lithium carbonate information, including dose, uses, side-effects, renal impairment, pregnancy, breast feeding, contra-indications and monitoring requirements.","language":"en-GB","title":"Lithium carbonate | Drugs | BNF content published by NICE","URL":"https://bnf.nice.org.uk/drugs/lithium-carbonate/","accessed":{"date-parts":[["2025",4,10]]}}}],"schema":"https://github.com/citation-style-language/schema/raw/master/csl-citation.json"} </w:instrText>
      </w:r>
      <w:r w:rsidR="006B6BA2" w:rsidRPr="00660ECD">
        <w:rPr>
          <w:rFonts w:cstheme="minorHAnsi"/>
          <w:sz w:val="24"/>
          <w:szCs w:val="24"/>
        </w:rPr>
        <w:fldChar w:fldCharType="separate"/>
      </w:r>
      <w:r w:rsidR="00B5414D" w:rsidRPr="00660ECD">
        <w:rPr>
          <w:rFonts w:cstheme="minorHAnsi"/>
          <w:sz w:val="24"/>
          <w:szCs w:val="24"/>
        </w:rPr>
        <w:t>(15,16)</w:t>
      </w:r>
      <w:r w:rsidR="006B6BA2" w:rsidRPr="00660ECD">
        <w:rPr>
          <w:rFonts w:cstheme="minorHAnsi"/>
          <w:sz w:val="24"/>
          <w:szCs w:val="24"/>
        </w:rPr>
        <w:fldChar w:fldCharType="end"/>
      </w:r>
      <w:r w:rsidR="003970F6">
        <w:rPr>
          <w:rFonts w:cstheme="minorHAnsi"/>
          <w:sz w:val="24"/>
          <w:szCs w:val="24"/>
        </w:rPr>
        <w:t>:</w:t>
      </w:r>
    </w:p>
    <w:p w14:paraId="0A612C0B" w14:textId="295D7F4F" w:rsidR="004D51D8" w:rsidRPr="00660ECD" w:rsidRDefault="0087060C" w:rsidP="00660ECD">
      <w:pPr>
        <w:pStyle w:val="ListParagraph"/>
        <w:numPr>
          <w:ilvl w:val="0"/>
          <w:numId w:val="4"/>
        </w:numPr>
        <w:spacing w:after="100" w:afterAutospacing="1" w:line="360" w:lineRule="auto"/>
        <w:contextualSpacing w:val="0"/>
        <w:rPr>
          <w:rFonts w:cstheme="minorHAnsi"/>
          <w:sz w:val="24"/>
          <w:szCs w:val="24"/>
        </w:rPr>
      </w:pPr>
      <w:r w:rsidRPr="00660ECD">
        <w:rPr>
          <w:rFonts w:cstheme="minorHAnsi"/>
          <w:sz w:val="24"/>
          <w:szCs w:val="24"/>
        </w:rPr>
        <w:t xml:space="preserve">Lethargy, slurred speech, </w:t>
      </w:r>
      <w:r w:rsidR="00160116" w:rsidRPr="00660ECD">
        <w:rPr>
          <w:rFonts w:cstheme="minorHAnsi"/>
          <w:sz w:val="24"/>
          <w:szCs w:val="24"/>
        </w:rPr>
        <w:t xml:space="preserve">light-headedness, </w:t>
      </w:r>
      <w:proofErr w:type="gramStart"/>
      <w:r w:rsidR="00160116" w:rsidRPr="00660ECD">
        <w:rPr>
          <w:rFonts w:cstheme="minorHAnsi"/>
          <w:sz w:val="24"/>
          <w:szCs w:val="24"/>
        </w:rPr>
        <w:t>confusion</w:t>
      </w:r>
      <w:r w:rsidR="003970F6">
        <w:rPr>
          <w:rFonts w:cstheme="minorHAnsi"/>
          <w:sz w:val="24"/>
          <w:szCs w:val="24"/>
        </w:rPr>
        <w:t>;</w:t>
      </w:r>
      <w:proofErr w:type="gramEnd"/>
    </w:p>
    <w:p w14:paraId="29F0544C" w14:textId="29C42611" w:rsidR="00160116" w:rsidRPr="00660ECD" w:rsidRDefault="00160116" w:rsidP="00660ECD">
      <w:pPr>
        <w:pStyle w:val="ListParagraph"/>
        <w:numPr>
          <w:ilvl w:val="0"/>
          <w:numId w:val="4"/>
        </w:numPr>
        <w:spacing w:after="100" w:afterAutospacing="1" w:line="360" w:lineRule="auto"/>
        <w:contextualSpacing w:val="0"/>
        <w:rPr>
          <w:rFonts w:cstheme="minorHAnsi"/>
          <w:sz w:val="24"/>
          <w:szCs w:val="24"/>
        </w:rPr>
      </w:pPr>
      <w:r w:rsidRPr="00660ECD">
        <w:rPr>
          <w:rFonts w:cstheme="minorHAnsi"/>
          <w:sz w:val="24"/>
          <w:szCs w:val="24"/>
        </w:rPr>
        <w:t xml:space="preserve">Coarse tremor, lack of </w:t>
      </w:r>
      <w:proofErr w:type="gramStart"/>
      <w:r w:rsidRPr="00660ECD">
        <w:rPr>
          <w:rFonts w:cstheme="minorHAnsi"/>
          <w:sz w:val="24"/>
          <w:szCs w:val="24"/>
        </w:rPr>
        <w:t>coordination</w:t>
      </w:r>
      <w:r w:rsidR="003970F6">
        <w:rPr>
          <w:rFonts w:cstheme="minorHAnsi"/>
          <w:sz w:val="24"/>
          <w:szCs w:val="24"/>
        </w:rPr>
        <w:t>;</w:t>
      </w:r>
      <w:proofErr w:type="gramEnd"/>
    </w:p>
    <w:p w14:paraId="7204920E" w14:textId="5ECC7CB3" w:rsidR="00160116" w:rsidRPr="00660ECD" w:rsidRDefault="00160116" w:rsidP="00660ECD">
      <w:pPr>
        <w:pStyle w:val="ListParagraph"/>
        <w:numPr>
          <w:ilvl w:val="0"/>
          <w:numId w:val="4"/>
        </w:numPr>
        <w:spacing w:after="100" w:afterAutospacing="1" w:line="360" w:lineRule="auto"/>
        <w:contextualSpacing w:val="0"/>
        <w:rPr>
          <w:rFonts w:cstheme="minorHAnsi"/>
          <w:sz w:val="24"/>
          <w:szCs w:val="24"/>
        </w:rPr>
      </w:pPr>
      <w:r w:rsidRPr="00660ECD">
        <w:rPr>
          <w:rFonts w:cstheme="minorHAnsi"/>
          <w:sz w:val="24"/>
          <w:szCs w:val="24"/>
        </w:rPr>
        <w:t>Nausea, vomiting, an</w:t>
      </w:r>
      <w:r w:rsidR="000876C9" w:rsidRPr="00660ECD">
        <w:rPr>
          <w:rFonts w:cstheme="minorHAnsi"/>
          <w:sz w:val="24"/>
          <w:szCs w:val="24"/>
        </w:rPr>
        <w:t>d diarrhoea</w:t>
      </w:r>
      <w:r w:rsidR="003970F6">
        <w:rPr>
          <w:rFonts w:cstheme="minorHAnsi"/>
          <w:sz w:val="24"/>
          <w:szCs w:val="24"/>
        </w:rPr>
        <w:t>.</w:t>
      </w:r>
    </w:p>
    <w:p w14:paraId="4ED5F53E" w14:textId="2467D0E3" w:rsidR="00881D99" w:rsidRDefault="00881D99" w:rsidP="00660ECD">
      <w:pPr>
        <w:spacing w:after="100" w:afterAutospacing="1" w:line="360" w:lineRule="auto"/>
        <w:rPr>
          <w:rFonts w:cstheme="minorHAnsi"/>
          <w:sz w:val="24"/>
          <w:szCs w:val="24"/>
        </w:rPr>
      </w:pPr>
      <w:r>
        <w:rPr>
          <w:rFonts w:cstheme="minorHAnsi"/>
          <w:sz w:val="24"/>
          <w:szCs w:val="24"/>
        </w:rPr>
        <w:t>For more information on this topic see the article ‘</w:t>
      </w:r>
      <w:hyperlink r:id="rId7" w:history="1">
        <w:r w:rsidRPr="000A5092">
          <w:rPr>
            <w:rStyle w:val="Hyperlink"/>
            <w:rFonts w:cstheme="minorHAnsi"/>
            <w:sz w:val="24"/>
            <w:szCs w:val="24"/>
          </w:rPr>
          <w:t>Lithium monitoring and toxicity management’</w:t>
        </w:r>
      </w:hyperlink>
    </w:p>
    <w:p w14:paraId="28DEB938" w14:textId="77777777" w:rsidR="006A717D" w:rsidRPr="00EF60A1" w:rsidRDefault="006A717D" w:rsidP="00660ECD">
      <w:pPr>
        <w:spacing w:after="100" w:afterAutospacing="1" w:line="360" w:lineRule="auto"/>
        <w:rPr>
          <w:rFonts w:cstheme="minorHAnsi"/>
          <w:b/>
          <w:bCs/>
          <w:sz w:val="24"/>
          <w:szCs w:val="24"/>
        </w:rPr>
      </w:pPr>
    </w:p>
    <w:p w14:paraId="7D471303" w14:textId="671CBD62" w:rsidR="008F2046" w:rsidRPr="00660ECD" w:rsidRDefault="003F01CB" w:rsidP="00660ECD">
      <w:pPr>
        <w:spacing w:after="100" w:afterAutospacing="1" w:line="360" w:lineRule="auto"/>
        <w:rPr>
          <w:rFonts w:cstheme="minorHAnsi"/>
          <w:sz w:val="24"/>
          <w:szCs w:val="24"/>
        </w:rPr>
      </w:pPr>
      <w:r>
        <w:rPr>
          <w:rFonts w:cstheme="minorHAnsi"/>
          <w:b/>
          <w:bCs/>
          <w:sz w:val="24"/>
          <w:szCs w:val="24"/>
        </w:rPr>
        <w:lastRenderedPageBreak/>
        <w:t>Medications with s</w:t>
      </w:r>
      <w:r w:rsidR="000803BA" w:rsidRPr="00660ECD">
        <w:rPr>
          <w:rFonts w:cstheme="minorHAnsi"/>
          <w:b/>
          <w:bCs/>
          <w:sz w:val="24"/>
          <w:szCs w:val="24"/>
        </w:rPr>
        <w:t xml:space="preserve">erious </w:t>
      </w:r>
      <w:r w:rsidR="00660ECD">
        <w:rPr>
          <w:rFonts w:cstheme="minorHAnsi"/>
          <w:b/>
          <w:bCs/>
          <w:sz w:val="24"/>
          <w:szCs w:val="24"/>
        </w:rPr>
        <w:t>a</w:t>
      </w:r>
      <w:r w:rsidR="000803BA" w:rsidRPr="00660ECD">
        <w:rPr>
          <w:rFonts w:cstheme="minorHAnsi"/>
          <w:b/>
          <w:bCs/>
          <w:sz w:val="24"/>
          <w:szCs w:val="24"/>
        </w:rPr>
        <w:t xml:space="preserve">dverse </w:t>
      </w:r>
      <w:r w:rsidR="00660ECD">
        <w:rPr>
          <w:rFonts w:cstheme="minorHAnsi"/>
          <w:b/>
          <w:bCs/>
          <w:sz w:val="24"/>
          <w:szCs w:val="24"/>
        </w:rPr>
        <w:t>e</w:t>
      </w:r>
      <w:r w:rsidR="000803BA" w:rsidRPr="00660ECD">
        <w:rPr>
          <w:rFonts w:cstheme="minorHAnsi"/>
          <w:b/>
          <w:bCs/>
          <w:sz w:val="24"/>
          <w:szCs w:val="24"/>
        </w:rPr>
        <w:t>ffects</w:t>
      </w:r>
      <w:r w:rsidR="000803BA" w:rsidRPr="00660ECD">
        <w:rPr>
          <w:rFonts w:cstheme="minorHAnsi"/>
          <w:sz w:val="24"/>
          <w:szCs w:val="24"/>
        </w:rPr>
        <w:t xml:space="preserve"> </w:t>
      </w:r>
    </w:p>
    <w:p w14:paraId="6517C1B5" w14:textId="0F6CB73A" w:rsidR="00F92722" w:rsidRPr="00660ECD" w:rsidRDefault="00F0596F" w:rsidP="00660ECD">
      <w:pPr>
        <w:spacing w:after="100" w:afterAutospacing="1" w:line="360" w:lineRule="auto"/>
        <w:rPr>
          <w:rFonts w:cstheme="minorHAnsi"/>
          <w:sz w:val="24"/>
          <w:szCs w:val="24"/>
        </w:rPr>
      </w:pPr>
      <w:r w:rsidRPr="00660ECD">
        <w:rPr>
          <w:rFonts w:cstheme="minorHAnsi"/>
          <w:sz w:val="24"/>
          <w:szCs w:val="24"/>
        </w:rPr>
        <w:t>A</w:t>
      </w:r>
      <w:r w:rsidR="0001577D" w:rsidRPr="00660ECD">
        <w:rPr>
          <w:rFonts w:cstheme="minorHAnsi"/>
          <w:sz w:val="24"/>
          <w:szCs w:val="24"/>
        </w:rPr>
        <w:t xml:space="preserve"> medication </w:t>
      </w:r>
      <w:r w:rsidRPr="00660ECD">
        <w:rPr>
          <w:rFonts w:cstheme="minorHAnsi"/>
          <w:sz w:val="24"/>
          <w:szCs w:val="24"/>
        </w:rPr>
        <w:t xml:space="preserve">may </w:t>
      </w:r>
      <w:r w:rsidR="00E1077C" w:rsidRPr="00660ECD">
        <w:rPr>
          <w:rFonts w:cstheme="minorHAnsi"/>
          <w:sz w:val="24"/>
          <w:szCs w:val="24"/>
        </w:rPr>
        <w:t xml:space="preserve">be classed </w:t>
      </w:r>
      <w:r w:rsidR="0001577D" w:rsidRPr="00660ECD">
        <w:rPr>
          <w:rFonts w:cstheme="minorHAnsi"/>
          <w:sz w:val="24"/>
          <w:szCs w:val="24"/>
        </w:rPr>
        <w:t xml:space="preserve">as high-risk when </w:t>
      </w:r>
      <w:r w:rsidR="003970F6">
        <w:rPr>
          <w:rFonts w:cstheme="minorHAnsi"/>
          <w:sz w:val="24"/>
          <w:szCs w:val="24"/>
        </w:rPr>
        <w:t xml:space="preserve">it has </w:t>
      </w:r>
      <w:r w:rsidR="0001577D" w:rsidRPr="00660ECD">
        <w:rPr>
          <w:rFonts w:cstheme="minorHAnsi"/>
          <w:sz w:val="24"/>
          <w:szCs w:val="24"/>
        </w:rPr>
        <w:t xml:space="preserve">the </w:t>
      </w:r>
      <w:r w:rsidR="00001D52" w:rsidRPr="00660ECD">
        <w:rPr>
          <w:rFonts w:cstheme="minorHAnsi"/>
          <w:sz w:val="24"/>
          <w:szCs w:val="24"/>
        </w:rPr>
        <w:t xml:space="preserve">known </w:t>
      </w:r>
      <w:r w:rsidR="0001577D" w:rsidRPr="00660ECD">
        <w:rPr>
          <w:rFonts w:cstheme="minorHAnsi"/>
          <w:sz w:val="24"/>
          <w:szCs w:val="24"/>
        </w:rPr>
        <w:t>potential for a serious adverse</w:t>
      </w:r>
      <w:r w:rsidR="00A950E0" w:rsidRPr="00660ECD">
        <w:rPr>
          <w:rFonts w:cstheme="minorHAnsi"/>
          <w:sz w:val="24"/>
          <w:szCs w:val="24"/>
        </w:rPr>
        <w:t xml:space="preserve"> drug reaction</w:t>
      </w:r>
      <w:r w:rsidR="00FC13A9" w:rsidRPr="00660ECD">
        <w:rPr>
          <w:rFonts w:cstheme="minorHAnsi"/>
          <w:sz w:val="24"/>
          <w:szCs w:val="24"/>
        </w:rPr>
        <w:t xml:space="preserve">. </w:t>
      </w:r>
      <w:r w:rsidR="00B617F9" w:rsidRPr="00660ECD">
        <w:rPr>
          <w:rFonts w:cstheme="minorHAnsi"/>
          <w:sz w:val="24"/>
          <w:szCs w:val="24"/>
        </w:rPr>
        <w:t xml:space="preserve">This </w:t>
      </w:r>
      <w:r w:rsidR="00ED4E5D" w:rsidRPr="00660ECD">
        <w:rPr>
          <w:rFonts w:cstheme="minorHAnsi"/>
          <w:sz w:val="24"/>
          <w:szCs w:val="24"/>
        </w:rPr>
        <w:t xml:space="preserve">could be </w:t>
      </w:r>
      <w:r w:rsidR="00ED57D2" w:rsidRPr="00660ECD">
        <w:rPr>
          <w:rFonts w:cstheme="minorHAnsi"/>
          <w:sz w:val="24"/>
          <w:szCs w:val="24"/>
        </w:rPr>
        <w:t>despite</w:t>
      </w:r>
      <w:r w:rsidR="00ED4E5D" w:rsidRPr="00660ECD">
        <w:rPr>
          <w:rFonts w:cstheme="minorHAnsi"/>
          <w:sz w:val="24"/>
          <w:szCs w:val="24"/>
        </w:rPr>
        <w:t xml:space="preserve"> correct use, </w:t>
      </w:r>
      <w:r w:rsidR="00FA7496" w:rsidRPr="00660ECD">
        <w:rPr>
          <w:rFonts w:cstheme="minorHAnsi"/>
          <w:sz w:val="24"/>
          <w:szCs w:val="24"/>
        </w:rPr>
        <w:t xml:space="preserve">or </w:t>
      </w:r>
      <w:r w:rsidR="00A72B56" w:rsidRPr="00660ECD">
        <w:rPr>
          <w:rFonts w:cstheme="minorHAnsi"/>
          <w:sz w:val="24"/>
          <w:szCs w:val="24"/>
        </w:rPr>
        <w:t>due to</w:t>
      </w:r>
      <w:r w:rsidR="00FA7496" w:rsidRPr="00660ECD">
        <w:rPr>
          <w:rFonts w:cstheme="minorHAnsi"/>
          <w:sz w:val="24"/>
          <w:szCs w:val="24"/>
        </w:rPr>
        <w:t xml:space="preserve"> use outside of the marketing authorisation </w:t>
      </w:r>
      <w:r w:rsidR="003970F6">
        <w:rPr>
          <w:rFonts w:cstheme="minorHAnsi"/>
          <w:sz w:val="24"/>
          <w:szCs w:val="24"/>
        </w:rPr>
        <w:t>(</w:t>
      </w:r>
      <w:r w:rsidR="00FA7496" w:rsidRPr="00660ECD">
        <w:rPr>
          <w:rFonts w:cstheme="minorHAnsi"/>
          <w:sz w:val="24"/>
          <w:szCs w:val="24"/>
        </w:rPr>
        <w:t xml:space="preserve">e.g. medication errors, </w:t>
      </w:r>
      <w:r w:rsidR="00291D95" w:rsidRPr="00660ECD">
        <w:rPr>
          <w:rFonts w:cstheme="minorHAnsi"/>
          <w:sz w:val="24"/>
          <w:szCs w:val="24"/>
        </w:rPr>
        <w:t>overdose, or misuse</w:t>
      </w:r>
      <w:r w:rsidR="003970F6">
        <w:rPr>
          <w:rFonts w:cstheme="minorHAnsi"/>
          <w:sz w:val="24"/>
          <w:szCs w:val="24"/>
        </w:rPr>
        <w:t>)</w:t>
      </w:r>
      <w:r w:rsidR="00291D95" w:rsidRPr="00660ECD">
        <w:rPr>
          <w:rFonts w:cstheme="minorHAnsi"/>
          <w:sz w:val="24"/>
          <w:szCs w:val="24"/>
        </w:rPr>
        <w:t xml:space="preserve"> </w:t>
      </w:r>
      <w:r w:rsidR="00614AF1" w:rsidRPr="00660ECD">
        <w:rPr>
          <w:rFonts w:cstheme="minorHAnsi"/>
          <w:sz w:val="24"/>
          <w:szCs w:val="24"/>
        </w:rPr>
        <w:fldChar w:fldCharType="begin"/>
      </w:r>
      <w:r w:rsidR="00B5414D" w:rsidRPr="00660ECD">
        <w:rPr>
          <w:rFonts w:cstheme="minorHAnsi"/>
          <w:sz w:val="24"/>
          <w:szCs w:val="24"/>
        </w:rPr>
        <w:instrText xml:space="preserve"> ADDIN ZOTERO_ITEM CSL_CITATION {"citationID":"dkI8jWBo","properties":{"formattedCitation":"(19)","plainCitation":"(19)","noteIndex":0},"citationItems":[{"id":30,"uris":["http://zotero.org/users/local/3eWb7dOa/items/C56STXG8"],"itemData":{"id":30,"type":"document","title":"Guidance_on_adverse_drug_reactions.pdf","URL":"https://assets.publishing.service.gov.uk/government/uploads/system/uploads/attachment_data/file/949130/Guidance_on_adverse_drug_reactions.pdf","accessed":{"date-parts":[["2025",4,28]]}}}],"schema":"https://github.com/citation-style-language/schema/raw/master/csl-citation.json"} </w:instrText>
      </w:r>
      <w:r w:rsidR="00614AF1" w:rsidRPr="00660ECD">
        <w:rPr>
          <w:rFonts w:cstheme="minorHAnsi"/>
          <w:sz w:val="24"/>
          <w:szCs w:val="24"/>
        </w:rPr>
        <w:fldChar w:fldCharType="separate"/>
      </w:r>
      <w:r w:rsidR="00B5414D" w:rsidRPr="00660ECD">
        <w:rPr>
          <w:rFonts w:cstheme="minorHAnsi"/>
          <w:sz w:val="24"/>
          <w:szCs w:val="24"/>
        </w:rPr>
        <w:t>(19)</w:t>
      </w:r>
      <w:r w:rsidR="00614AF1" w:rsidRPr="00660ECD">
        <w:rPr>
          <w:rFonts w:cstheme="minorHAnsi"/>
          <w:sz w:val="24"/>
          <w:szCs w:val="24"/>
        </w:rPr>
        <w:fldChar w:fldCharType="end"/>
      </w:r>
      <w:r w:rsidR="00614AF1" w:rsidRPr="00660ECD">
        <w:rPr>
          <w:rFonts w:cstheme="minorHAnsi"/>
          <w:sz w:val="24"/>
          <w:szCs w:val="24"/>
        </w:rPr>
        <w:t>.</w:t>
      </w:r>
      <w:r w:rsidR="00BF03C4" w:rsidRPr="00660ECD">
        <w:rPr>
          <w:rFonts w:cstheme="minorHAnsi"/>
          <w:sz w:val="24"/>
          <w:szCs w:val="24"/>
        </w:rPr>
        <w:t xml:space="preserve"> </w:t>
      </w:r>
      <w:r w:rsidR="004734E6" w:rsidRPr="00660ECD">
        <w:rPr>
          <w:rFonts w:cstheme="minorHAnsi"/>
          <w:sz w:val="24"/>
          <w:szCs w:val="24"/>
        </w:rPr>
        <w:t>Drug reactions can</w:t>
      </w:r>
      <w:r w:rsidR="0086206D" w:rsidRPr="00660ECD">
        <w:rPr>
          <w:rFonts w:cstheme="minorHAnsi"/>
          <w:sz w:val="24"/>
          <w:szCs w:val="24"/>
        </w:rPr>
        <w:t xml:space="preserve"> be</w:t>
      </w:r>
      <w:r w:rsidR="00F92F6D" w:rsidRPr="00660ECD">
        <w:rPr>
          <w:rFonts w:cstheme="minorHAnsi"/>
          <w:sz w:val="24"/>
          <w:szCs w:val="24"/>
        </w:rPr>
        <w:t xml:space="preserve"> augmented (type A) reactions</w:t>
      </w:r>
      <w:r w:rsidR="003970F6">
        <w:rPr>
          <w:rFonts w:cstheme="minorHAnsi"/>
          <w:sz w:val="24"/>
          <w:szCs w:val="24"/>
        </w:rPr>
        <w:t>:</w:t>
      </w:r>
      <w:r w:rsidR="00F92F6D" w:rsidRPr="00660ECD">
        <w:rPr>
          <w:rFonts w:cstheme="minorHAnsi"/>
          <w:sz w:val="24"/>
          <w:szCs w:val="24"/>
        </w:rPr>
        <w:t xml:space="preserve"> where the adverse effect </w:t>
      </w:r>
      <w:r w:rsidR="00CE4246" w:rsidRPr="00660ECD">
        <w:rPr>
          <w:rFonts w:cstheme="minorHAnsi"/>
          <w:sz w:val="24"/>
          <w:szCs w:val="24"/>
        </w:rPr>
        <w:t>is an exaggeration of the drug’s usual action, for example</w:t>
      </w:r>
      <w:r w:rsidR="0045594F" w:rsidRPr="00660ECD">
        <w:rPr>
          <w:rFonts w:cstheme="minorHAnsi"/>
          <w:sz w:val="24"/>
          <w:szCs w:val="24"/>
        </w:rPr>
        <w:t xml:space="preserve">, bleeding with </w:t>
      </w:r>
      <w:r w:rsidR="00E148D3" w:rsidRPr="00660ECD">
        <w:rPr>
          <w:rFonts w:cstheme="minorHAnsi"/>
          <w:sz w:val="24"/>
          <w:szCs w:val="24"/>
        </w:rPr>
        <w:t>an anticoagulant</w:t>
      </w:r>
      <w:r w:rsidR="004734E6" w:rsidRPr="00660ECD">
        <w:rPr>
          <w:rFonts w:cstheme="minorHAnsi"/>
          <w:sz w:val="24"/>
          <w:szCs w:val="24"/>
        </w:rPr>
        <w:t>, or hypoglycaemia with insulin</w:t>
      </w:r>
      <w:r w:rsidR="0045594F" w:rsidRPr="00660ECD">
        <w:rPr>
          <w:rFonts w:cstheme="minorHAnsi"/>
          <w:sz w:val="24"/>
          <w:szCs w:val="24"/>
        </w:rPr>
        <w:t>.</w:t>
      </w:r>
      <w:r w:rsidR="00E148D3" w:rsidRPr="00660ECD">
        <w:rPr>
          <w:rFonts w:cstheme="minorHAnsi"/>
          <w:sz w:val="24"/>
          <w:szCs w:val="24"/>
        </w:rPr>
        <w:t xml:space="preserve"> Or </w:t>
      </w:r>
      <w:r w:rsidR="003970F6">
        <w:rPr>
          <w:rFonts w:cstheme="minorHAnsi"/>
          <w:sz w:val="24"/>
          <w:szCs w:val="24"/>
        </w:rPr>
        <w:t xml:space="preserve">it can be </w:t>
      </w:r>
      <w:r w:rsidR="00E148D3" w:rsidRPr="00660ECD">
        <w:rPr>
          <w:rFonts w:cstheme="minorHAnsi"/>
          <w:sz w:val="24"/>
          <w:szCs w:val="24"/>
        </w:rPr>
        <w:t>a bizarre (type B) reaction</w:t>
      </w:r>
      <w:r w:rsidR="003970F6">
        <w:rPr>
          <w:rFonts w:cstheme="minorHAnsi"/>
          <w:sz w:val="24"/>
          <w:szCs w:val="24"/>
        </w:rPr>
        <w:t>:</w:t>
      </w:r>
      <w:r w:rsidR="00BF380A" w:rsidRPr="00660ECD">
        <w:rPr>
          <w:rFonts w:cstheme="minorHAnsi"/>
          <w:sz w:val="24"/>
          <w:szCs w:val="24"/>
        </w:rPr>
        <w:t xml:space="preserve"> where the reaction is not expected based on the drug’s mode of action, for example, </w:t>
      </w:r>
      <w:r w:rsidR="002430F0" w:rsidRPr="00660ECD">
        <w:rPr>
          <w:rFonts w:cstheme="minorHAnsi"/>
          <w:sz w:val="24"/>
          <w:szCs w:val="24"/>
        </w:rPr>
        <w:t>a</w:t>
      </w:r>
      <w:r w:rsidR="006D3C71" w:rsidRPr="00660ECD">
        <w:rPr>
          <w:rFonts w:cstheme="minorHAnsi"/>
          <w:sz w:val="24"/>
          <w:szCs w:val="24"/>
        </w:rPr>
        <w:t xml:space="preserve">naphylaxis with penicillin </w:t>
      </w:r>
      <w:r w:rsidR="006D3C71" w:rsidRPr="00660ECD">
        <w:rPr>
          <w:rFonts w:cstheme="minorHAnsi"/>
          <w:sz w:val="24"/>
          <w:szCs w:val="24"/>
        </w:rPr>
        <w:fldChar w:fldCharType="begin"/>
      </w:r>
      <w:r w:rsidR="00B5414D" w:rsidRPr="00660ECD">
        <w:rPr>
          <w:rFonts w:cstheme="minorHAnsi"/>
          <w:sz w:val="24"/>
          <w:szCs w:val="24"/>
        </w:rPr>
        <w:instrText xml:space="preserve"> ADDIN ZOTERO_ITEM CSL_CITATION {"citationID":"mOI1Cl1L","properties":{"formattedCitation":"(19)","plainCitation":"(19)","noteIndex":0},"citationItems":[{"id":30,"uris":["http://zotero.org/users/local/3eWb7dOa/items/C56STXG8"],"itemData":{"id":30,"type":"document","title":"Guidance_on_adverse_drug_reactions.pdf","URL":"https://assets.publishing.service.gov.uk/government/uploads/system/uploads/attachment_data/file/949130/Guidance_on_adverse_drug_reactions.pdf","accessed":{"date-parts":[["2025",4,28]]}}}],"schema":"https://github.com/citation-style-language/schema/raw/master/csl-citation.json"} </w:instrText>
      </w:r>
      <w:r w:rsidR="006D3C71" w:rsidRPr="00660ECD">
        <w:rPr>
          <w:rFonts w:cstheme="minorHAnsi"/>
          <w:sz w:val="24"/>
          <w:szCs w:val="24"/>
        </w:rPr>
        <w:fldChar w:fldCharType="separate"/>
      </w:r>
      <w:r w:rsidR="00B5414D" w:rsidRPr="00660ECD">
        <w:rPr>
          <w:rFonts w:cstheme="minorHAnsi"/>
          <w:sz w:val="24"/>
          <w:szCs w:val="24"/>
        </w:rPr>
        <w:t>(19)</w:t>
      </w:r>
      <w:r w:rsidR="006D3C71" w:rsidRPr="00660ECD">
        <w:rPr>
          <w:rFonts w:cstheme="minorHAnsi"/>
          <w:sz w:val="24"/>
          <w:szCs w:val="24"/>
        </w:rPr>
        <w:fldChar w:fldCharType="end"/>
      </w:r>
      <w:r w:rsidR="006D3C71" w:rsidRPr="00660ECD">
        <w:rPr>
          <w:rFonts w:cstheme="minorHAnsi"/>
          <w:sz w:val="24"/>
          <w:szCs w:val="24"/>
        </w:rPr>
        <w:t xml:space="preserve">. </w:t>
      </w:r>
    </w:p>
    <w:p w14:paraId="41A2CC54" w14:textId="184BB702" w:rsidR="002C3497" w:rsidRPr="00660ECD" w:rsidRDefault="00F40589" w:rsidP="00660ECD">
      <w:pPr>
        <w:spacing w:after="100" w:afterAutospacing="1" w:line="360" w:lineRule="auto"/>
        <w:rPr>
          <w:rFonts w:cstheme="minorHAnsi"/>
          <w:sz w:val="24"/>
          <w:szCs w:val="24"/>
        </w:rPr>
      </w:pPr>
      <w:r w:rsidRPr="00660ECD">
        <w:rPr>
          <w:rFonts w:cstheme="minorHAnsi"/>
          <w:sz w:val="24"/>
          <w:szCs w:val="24"/>
        </w:rPr>
        <w:t xml:space="preserve">In situations where </w:t>
      </w:r>
      <w:r w:rsidR="0087336B" w:rsidRPr="00660ECD">
        <w:rPr>
          <w:rFonts w:cstheme="minorHAnsi"/>
          <w:sz w:val="24"/>
          <w:szCs w:val="24"/>
        </w:rPr>
        <w:t xml:space="preserve">severe </w:t>
      </w:r>
      <w:r w:rsidRPr="00660ECD">
        <w:rPr>
          <w:rFonts w:cstheme="minorHAnsi"/>
          <w:sz w:val="24"/>
          <w:szCs w:val="24"/>
        </w:rPr>
        <w:t xml:space="preserve">adverse effects can be predicted, </w:t>
      </w:r>
      <w:r w:rsidR="00F76679" w:rsidRPr="00660ECD">
        <w:rPr>
          <w:rFonts w:cstheme="minorHAnsi"/>
          <w:sz w:val="24"/>
          <w:szCs w:val="24"/>
        </w:rPr>
        <w:t xml:space="preserve">proactive </w:t>
      </w:r>
      <w:r w:rsidR="00204B25" w:rsidRPr="00660ECD">
        <w:rPr>
          <w:rFonts w:cstheme="minorHAnsi"/>
          <w:sz w:val="24"/>
          <w:szCs w:val="24"/>
        </w:rPr>
        <w:t>steps can be taken to reduce the risk</w:t>
      </w:r>
      <w:r w:rsidR="00D00910" w:rsidRPr="00660ECD">
        <w:rPr>
          <w:rFonts w:cstheme="minorHAnsi"/>
          <w:sz w:val="24"/>
          <w:szCs w:val="24"/>
        </w:rPr>
        <w:t xml:space="preserve">. </w:t>
      </w:r>
      <w:r w:rsidR="00B9633F" w:rsidRPr="00660ECD">
        <w:rPr>
          <w:rFonts w:cstheme="minorHAnsi"/>
          <w:sz w:val="24"/>
          <w:szCs w:val="24"/>
        </w:rPr>
        <w:t>L</w:t>
      </w:r>
      <w:r w:rsidR="00F601CF" w:rsidRPr="00660ECD">
        <w:rPr>
          <w:rFonts w:cstheme="minorHAnsi"/>
          <w:sz w:val="24"/>
          <w:szCs w:val="24"/>
        </w:rPr>
        <w:t xml:space="preserve">ife-threatening </w:t>
      </w:r>
      <w:r w:rsidR="00E40F42" w:rsidRPr="00660ECD">
        <w:rPr>
          <w:rFonts w:cstheme="minorHAnsi"/>
          <w:sz w:val="24"/>
          <w:szCs w:val="24"/>
        </w:rPr>
        <w:t>respiratory depression</w:t>
      </w:r>
      <w:r w:rsidR="007178FC" w:rsidRPr="00660ECD">
        <w:rPr>
          <w:rFonts w:cstheme="minorHAnsi"/>
          <w:sz w:val="24"/>
          <w:szCs w:val="24"/>
        </w:rPr>
        <w:t xml:space="preserve"> </w:t>
      </w:r>
      <w:r w:rsidR="009969D9" w:rsidRPr="00660ECD">
        <w:rPr>
          <w:rFonts w:cstheme="minorHAnsi"/>
          <w:sz w:val="24"/>
          <w:szCs w:val="24"/>
        </w:rPr>
        <w:t>caused by</w:t>
      </w:r>
      <w:r w:rsidR="007178FC" w:rsidRPr="00660ECD">
        <w:rPr>
          <w:rFonts w:cstheme="minorHAnsi"/>
          <w:sz w:val="24"/>
          <w:szCs w:val="24"/>
        </w:rPr>
        <w:t xml:space="preserve"> opioids</w:t>
      </w:r>
      <w:r w:rsidR="003365E7" w:rsidRPr="00660ECD">
        <w:rPr>
          <w:rFonts w:cstheme="minorHAnsi"/>
          <w:sz w:val="24"/>
          <w:szCs w:val="24"/>
        </w:rPr>
        <w:t xml:space="preserve"> </w:t>
      </w:r>
      <w:r w:rsidR="00B20BE4" w:rsidRPr="00660ECD">
        <w:rPr>
          <w:rFonts w:cstheme="minorHAnsi"/>
          <w:sz w:val="24"/>
          <w:szCs w:val="24"/>
        </w:rPr>
        <w:t>usually</w:t>
      </w:r>
      <w:r w:rsidR="003365E7" w:rsidRPr="00660ECD">
        <w:rPr>
          <w:rFonts w:cstheme="minorHAnsi"/>
          <w:sz w:val="24"/>
          <w:szCs w:val="24"/>
        </w:rPr>
        <w:t xml:space="preserve"> occur</w:t>
      </w:r>
      <w:r w:rsidR="00B20BE4" w:rsidRPr="00660ECD">
        <w:rPr>
          <w:rFonts w:cstheme="minorHAnsi"/>
          <w:sz w:val="24"/>
          <w:szCs w:val="24"/>
        </w:rPr>
        <w:t>s</w:t>
      </w:r>
      <w:r w:rsidR="007178FC" w:rsidRPr="00660ECD">
        <w:rPr>
          <w:rFonts w:cstheme="minorHAnsi"/>
          <w:sz w:val="24"/>
          <w:szCs w:val="24"/>
        </w:rPr>
        <w:t xml:space="preserve"> in acute pain management </w:t>
      </w:r>
      <w:r w:rsidR="00EB56B0">
        <w:rPr>
          <w:rFonts w:cstheme="minorHAnsi"/>
          <w:sz w:val="24"/>
          <w:szCs w:val="24"/>
        </w:rPr>
        <w:t xml:space="preserve">in </w:t>
      </w:r>
      <w:r w:rsidR="007178FC" w:rsidRPr="00660ECD">
        <w:rPr>
          <w:rFonts w:cstheme="minorHAnsi"/>
          <w:sz w:val="24"/>
          <w:szCs w:val="24"/>
        </w:rPr>
        <w:t xml:space="preserve">patients </w:t>
      </w:r>
      <w:r w:rsidR="00EB56B0">
        <w:rPr>
          <w:rFonts w:cstheme="minorHAnsi"/>
          <w:sz w:val="24"/>
          <w:szCs w:val="24"/>
        </w:rPr>
        <w:t xml:space="preserve">who </w:t>
      </w:r>
      <w:r w:rsidR="007178FC" w:rsidRPr="00660ECD">
        <w:rPr>
          <w:rFonts w:cstheme="minorHAnsi"/>
          <w:sz w:val="24"/>
          <w:szCs w:val="24"/>
        </w:rPr>
        <w:t xml:space="preserve">have not developed </w:t>
      </w:r>
      <w:r w:rsidR="002C000C" w:rsidRPr="00660ECD">
        <w:rPr>
          <w:rFonts w:cstheme="minorHAnsi"/>
          <w:sz w:val="24"/>
          <w:szCs w:val="24"/>
        </w:rPr>
        <w:t>opioid t</w:t>
      </w:r>
      <w:r w:rsidR="007178FC" w:rsidRPr="00660ECD">
        <w:rPr>
          <w:rFonts w:cstheme="minorHAnsi"/>
          <w:sz w:val="24"/>
          <w:szCs w:val="24"/>
        </w:rPr>
        <w:t>olerance</w:t>
      </w:r>
      <w:r w:rsidR="003365E7" w:rsidRPr="00660ECD">
        <w:rPr>
          <w:rFonts w:cstheme="minorHAnsi"/>
          <w:sz w:val="24"/>
          <w:szCs w:val="24"/>
        </w:rPr>
        <w:t xml:space="preserve">, or in persistent pain where there are </w:t>
      </w:r>
      <w:r w:rsidR="007C6D1F" w:rsidRPr="00660ECD">
        <w:rPr>
          <w:rFonts w:cstheme="minorHAnsi"/>
          <w:sz w:val="24"/>
          <w:szCs w:val="24"/>
        </w:rPr>
        <w:t>large dose increases or changes in route or formulation</w:t>
      </w:r>
      <w:r w:rsidR="007178FC" w:rsidRPr="00660ECD">
        <w:rPr>
          <w:rFonts w:cstheme="minorHAnsi"/>
          <w:sz w:val="24"/>
          <w:szCs w:val="24"/>
        </w:rPr>
        <w:t xml:space="preserve"> </w:t>
      </w:r>
      <w:r w:rsidR="001060DD" w:rsidRPr="00660ECD">
        <w:rPr>
          <w:rFonts w:cstheme="minorHAnsi"/>
          <w:sz w:val="24"/>
          <w:szCs w:val="24"/>
        </w:rPr>
        <w:fldChar w:fldCharType="begin"/>
      </w:r>
      <w:r w:rsidR="00B5414D" w:rsidRPr="00660ECD">
        <w:rPr>
          <w:rFonts w:cstheme="minorHAnsi"/>
          <w:sz w:val="24"/>
          <w:szCs w:val="24"/>
        </w:rPr>
        <w:instrText xml:space="preserve"> ADDIN ZOTERO_ITEM CSL_CITATION {"citationID":"kzZomkh9","properties":{"formattedCitation":"(20)","plainCitation":"(20)","noteIndex":0},"citationItems":[{"id":31,"uris":["http://zotero.org/users/local/3eWb7dOa/items/UQEB2C5G"],"itemData":{"id":31,"type":"webpage","abstract":"Opioids Aware: Monitoring and preventing dependence and addiction to prescribed opioids","language":"en","title":"Side effects of opioids | Faculty of Pain Medicine","URL":"https://fpm.ac.uk/opioids-aware-clinical-use-opioids/side-effects-opioids","accessed":{"date-parts":[["2025",4,29]]}}}],"schema":"https://github.com/citation-style-language/schema/raw/master/csl-citation.json"} </w:instrText>
      </w:r>
      <w:r w:rsidR="001060DD" w:rsidRPr="00660ECD">
        <w:rPr>
          <w:rFonts w:cstheme="minorHAnsi"/>
          <w:sz w:val="24"/>
          <w:szCs w:val="24"/>
        </w:rPr>
        <w:fldChar w:fldCharType="separate"/>
      </w:r>
      <w:r w:rsidR="00B5414D" w:rsidRPr="00660ECD">
        <w:rPr>
          <w:rFonts w:cstheme="minorHAnsi"/>
          <w:sz w:val="24"/>
          <w:szCs w:val="24"/>
        </w:rPr>
        <w:t>(20)</w:t>
      </w:r>
      <w:r w:rsidR="001060DD" w:rsidRPr="00660ECD">
        <w:rPr>
          <w:rFonts w:cstheme="minorHAnsi"/>
          <w:sz w:val="24"/>
          <w:szCs w:val="24"/>
        </w:rPr>
        <w:fldChar w:fldCharType="end"/>
      </w:r>
      <w:r w:rsidR="00546CDF" w:rsidRPr="00660ECD">
        <w:rPr>
          <w:rFonts w:cstheme="minorHAnsi"/>
          <w:sz w:val="24"/>
          <w:szCs w:val="24"/>
        </w:rPr>
        <w:t xml:space="preserve">. </w:t>
      </w:r>
      <w:r w:rsidR="007D0F9C">
        <w:rPr>
          <w:rFonts w:cstheme="minorHAnsi"/>
          <w:sz w:val="24"/>
          <w:szCs w:val="24"/>
        </w:rPr>
        <w:t>R</w:t>
      </w:r>
      <w:r w:rsidR="009D297C" w:rsidRPr="00660ECD">
        <w:rPr>
          <w:rFonts w:cstheme="minorHAnsi"/>
          <w:sz w:val="24"/>
          <w:szCs w:val="24"/>
        </w:rPr>
        <w:t>esources such as ‘</w:t>
      </w:r>
      <w:r w:rsidR="00F22A27" w:rsidRPr="00660ECD">
        <w:rPr>
          <w:rFonts w:cstheme="minorHAnsi"/>
          <w:sz w:val="24"/>
          <w:szCs w:val="24"/>
        </w:rPr>
        <w:t>O</w:t>
      </w:r>
      <w:r w:rsidR="009D297C" w:rsidRPr="00660ECD">
        <w:rPr>
          <w:rFonts w:cstheme="minorHAnsi"/>
          <w:sz w:val="24"/>
          <w:szCs w:val="24"/>
        </w:rPr>
        <w:t>pioid</w:t>
      </w:r>
      <w:r w:rsidR="00F22A27" w:rsidRPr="00660ECD">
        <w:rPr>
          <w:rFonts w:cstheme="minorHAnsi"/>
          <w:sz w:val="24"/>
          <w:szCs w:val="24"/>
        </w:rPr>
        <w:t>s</w:t>
      </w:r>
      <w:r w:rsidR="009D297C" w:rsidRPr="00660ECD">
        <w:rPr>
          <w:rFonts w:cstheme="minorHAnsi"/>
          <w:sz w:val="24"/>
          <w:szCs w:val="24"/>
        </w:rPr>
        <w:t xml:space="preserve"> </w:t>
      </w:r>
      <w:r w:rsidR="00F22A27" w:rsidRPr="00660ECD">
        <w:rPr>
          <w:rFonts w:cstheme="minorHAnsi"/>
          <w:sz w:val="24"/>
          <w:szCs w:val="24"/>
        </w:rPr>
        <w:t>A</w:t>
      </w:r>
      <w:r w:rsidR="009D297C" w:rsidRPr="00660ECD">
        <w:rPr>
          <w:rFonts w:cstheme="minorHAnsi"/>
          <w:sz w:val="24"/>
          <w:szCs w:val="24"/>
        </w:rPr>
        <w:t xml:space="preserve">ware’ </w:t>
      </w:r>
      <w:r w:rsidR="00F22A27" w:rsidRPr="00660ECD">
        <w:rPr>
          <w:rFonts w:cstheme="minorHAnsi"/>
          <w:sz w:val="24"/>
          <w:szCs w:val="24"/>
        </w:rPr>
        <w:t>by the Faculty of Pain Medicine</w:t>
      </w:r>
      <w:r w:rsidR="00DA6D9C" w:rsidRPr="00660ECD">
        <w:rPr>
          <w:rFonts w:cstheme="minorHAnsi"/>
          <w:sz w:val="24"/>
          <w:szCs w:val="24"/>
        </w:rPr>
        <w:t xml:space="preserve"> </w:t>
      </w:r>
      <w:r w:rsidR="007D0F9C">
        <w:rPr>
          <w:rFonts w:cstheme="minorHAnsi"/>
          <w:sz w:val="24"/>
          <w:szCs w:val="24"/>
        </w:rPr>
        <w:t xml:space="preserve">raise awareness and </w:t>
      </w:r>
      <w:r w:rsidR="00892A43" w:rsidRPr="00660ECD">
        <w:rPr>
          <w:rFonts w:cstheme="minorHAnsi"/>
          <w:sz w:val="24"/>
          <w:szCs w:val="24"/>
        </w:rPr>
        <w:t>provid</w:t>
      </w:r>
      <w:r w:rsidR="007D0F9C">
        <w:rPr>
          <w:rFonts w:cstheme="minorHAnsi"/>
          <w:sz w:val="24"/>
          <w:szCs w:val="24"/>
        </w:rPr>
        <w:t>e</w:t>
      </w:r>
      <w:r w:rsidR="00DA6D9C" w:rsidRPr="00660ECD">
        <w:rPr>
          <w:rFonts w:cstheme="minorHAnsi"/>
          <w:sz w:val="24"/>
          <w:szCs w:val="24"/>
        </w:rPr>
        <w:t xml:space="preserve"> guidance for healthcare professionals </w:t>
      </w:r>
      <w:r w:rsidR="007D0F9C">
        <w:rPr>
          <w:rFonts w:cstheme="minorHAnsi"/>
          <w:sz w:val="24"/>
          <w:szCs w:val="24"/>
        </w:rPr>
        <w:t xml:space="preserve">on </w:t>
      </w:r>
      <w:r w:rsidR="00DA6D9C" w:rsidRPr="00660ECD">
        <w:rPr>
          <w:rFonts w:cstheme="minorHAnsi"/>
          <w:sz w:val="24"/>
          <w:szCs w:val="24"/>
        </w:rPr>
        <w:t xml:space="preserve">how to </w:t>
      </w:r>
      <w:r w:rsidR="000E4D38" w:rsidRPr="00660ECD">
        <w:rPr>
          <w:rFonts w:cstheme="minorHAnsi"/>
          <w:sz w:val="24"/>
          <w:szCs w:val="24"/>
        </w:rPr>
        <w:t>start, titrate, switch and deprescribe o</w:t>
      </w:r>
      <w:r w:rsidR="00DA6D9C" w:rsidRPr="00660ECD">
        <w:rPr>
          <w:rFonts w:cstheme="minorHAnsi"/>
          <w:sz w:val="24"/>
          <w:szCs w:val="24"/>
        </w:rPr>
        <w:t xml:space="preserve">pioids safely </w:t>
      </w:r>
      <w:r w:rsidR="00DA6D9C" w:rsidRPr="00660ECD">
        <w:rPr>
          <w:rFonts w:cstheme="minorHAnsi"/>
          <w:sz w:val="24"/>
          <w:szCs w:val="24"/>
        </w:rPr>
        <w:fldChar w:fldCharType="begin"/>
      </w:r>
      <w:r w:rsidR="00B5414D" w:rsidRPr="00660ECD">
        <w:rPr>
          <w:rFonts w:cstheme="minorHAnsi"/>
          <w:sz w:val="24"/>
          <w:szCs w:val="24"/>
        </w:rPr>
        <w:instrText xml:space="preserve"> ADDIN ZOTERO_ITEM CSL_CITATION {"citationID":"G7PS9HlW","properties":{"formattedCitation":"(20)","plainCitation":"(20)","noteIndex":0},"citationItems":[{"id":31,"uris":["http://zotero.org/users/local/3eWb7dOa/items/UQEB2C5G"],"itemData":{"id":31,"type":"webpage","abstract":"Opioids Aware: Monitoring and preventing dependence and addiction to prescribed opioids","language":"en","title":"Side effects of opioids | Faculty of Pain Medicine","URL":"https://fpm.ac.uk/opioids-aware-clinical-use-opioids/side-effects-opioids","accessed":{"date-parts":[["2025",4,29]]}}}],"schema":"https://github.com/citation-style-language/schema/raw/master/csl-citation.json"} </w:instrText>
      </w:r>
      <w:r w:rsidR="00DA6D9C" w:rsidRPr="00660ECD">
        <w:rPr>
          <w:rFonts w:cstheme="minorHAnsi"/>
          <w:sz w:val="24"/>
          <w:szCs w:val="24"/>
        </w:rPr>
        <w:fldChar w:fldCharType="separate"/>
      </w:r>
      <w:r w:rsidR="00B5414D" w:rsidRPr="00660ECD">
        <w:rPr>
          <w:rFonts w:cstheme="minorHAnsi"/>
          <w:sz w:val="24"/>
          <w:szCs w:val="24"/>
        </w:rPr>
        <w:t>(20)</w:t>
      </w:r>
      <w:r w:rsidR="00DA6D9C" w:rsidRPr="00660ECD">
        <w:rPr>
          <w:rFonts w:cstheme="minorHAnsi"/>
          <w:sz w:val="24"/>
          <w:szCs w:val="24"/>
        </w:rPr>
        <w:fldChar w:fldCharType="end"/>
      </w:r>
      <w:r w:rsidR="00DA6D9C" w:rsidRPr="00660ECD">
        <w:rPr>
          <w:rFonts w:cstheme="minorHAnsi"/>
          <w:sz w:val="24"/>
          <w:szCs w:val="24"/>
        </w:rPr>
        <w:t xml:space="preserve">. </w:t>
      </w:r>
      <w:r w:rsidR="0015000B" w:rsidRPr="00660ECD">
        <w:rPr>
          <w:rFonts w:cstheme="minorHAnsi"/>
          <w:sz w:val="24"/>
          <w:szCs w:val="24"/>
        </w:rPr>
        <w:t xml:space="preserve">In the case of </w:t>
      </w:r>
      <w:r w:rsidR="00EE206B" w:rsidRPr="00660ECD">
        <w:rPr>
          <w:rFonts w:cstheme="minorHAnsi"/>
          <w:sz w:val="24"/>
          <w:szCs w:val="24"/>
        </w:rPr>
        <w:t xml:space="preserve">direct </w:t>
      </w:r>
      <w:r w:rsidR="00674EC7" w:rsidRPr="00660ECD">
        <w:rPr>
          <w:rFonts w:cstheme="minorHAnsi"/>
          <w:sz w:val="24"/>
          <w:szCs w:val="24"/>
        </w:rPr>
        <w:t xml:space="preserve">oral </w:t>
      </w:r>
      <w:r w:rsidR="0015000B" w:rsidRPr="00660ECD">
        <w:rPr>
          <w:rFonts w:cstheme="minorHAnsi"/>
          <w:sz w:val="24"/>
          <w:szCs w:val="24"/>
        </w:rPr>
        <w:t>anti</w:t>
      </w:r>
      <w:r w:rsidR="0080568E" w:rsidRPr="00660ECD">
        <w:rPr>
          <w:rFonts w:cstheme="minorHAnsi"/>
          <w:sz w:val="24"/>
          <w:szCs w:val="24"/>
        </w:rPr>
        <w:t>coagulants</w:t>
      </w:r>
      <w:r w:rsidR="007D0F9C">
        <w:rPr>
          <w:rFonts w:cstheme="minorHAnsi"/>
          <w:sz w:val="24"/>
          <w:szCs w:val="24"/>
        </w:rPr>
        <w:t>,</w:t>
      </w:r>
      <w:r w:rsidR="0080568E" w:rsidRPr="00660ECD">
        <w:rPr>
          <w:rFonts w:cstheme="minorHAnsi"/>
          <w:sz w:val="24"/>
          <w:szCs w:val="24"/>
        </w:rPr>
        <w:t xml:space="preserve"> steps can be taken to reduce the risk of bleeding </w:t>
      </w:r>
      <w:r w:rsidR="00052078" w:rsidRPr="00660ECD">
        <w:rPr>
          <w:rFonts w:cstheme="minorHAnsi"/>
          <w:sz w:val="24"/>
          <w:szCs w:val="24"/>
        </w:rPr>
        <w:t xml:space="preserve">by ensuring that </w:t>
      </w:r>
      <w:r w:rsidR="0032022E" w:rsidRPr="00660ECD">
        <w:rPr>
          <w:rFonts w:cstheme="minorHAnsi"/>
          <w:sz w:val="24"/>
          <w:szCs w:val="24"/>
        </w:rPr>
        <w:t>the patient is prescribed</w:t>
      </w:r>
      <w:r w:rsidR="00052078" w:rsidRPr="00660ECD">
        <w:rPr>
          <w:rFonts w:cstheme="minorHAnsi"/>
          <w:sz w:val="24"/>
          <w:szCs w:val="24"/>
        </w:rPr>
        <w:t xml:space="preserve"> an appropriate dose, </w:t>
      </w:r>
      <w:r w:rsidR="005D0CBD" w:rsidRPr="00660ECD">
        <w:rPr>
          <w:rFonts w:cstheme="minorHAnsi"/>
          <w:sz w:val="24"/>
          <w:szCs w:val="24"/>
        </w:rPr>
        <w:t>considering</w:t>
      </w:r>
      <w:r w:rsidR="0031615B" w:rsidRPr="00660ECD">
        <w:rPr>
          <w:rFonts w:cstheme="minorHAnsi"/>
          <w:sz w:val="24"/>
          <w:szCs w:val="24"/>
        </w:rPr>
        <w:t xml:space="preserve"> the patient’s age, weight and creatinine clearance</w:t>
      </w:r>
      <w:r w:rsidR="00295E68" w:rsidRPr="00660ECD">
        <w:rPr>
          <w:rFonts w:cstheme="minorHAnsi"/>
          <w:sz w:val="24"/>
          <w:szCs w:val="24"/>
        </w:rPr>
        <w:t xml:space="preserve"> </w:t>
      </w:r>
      <w:r w:rsidR="00904DE7" w:rsidRPr="00660ECD">
        <w:rPr>
          <w:rFonts w:cstheme="minorHAnsi"/>
          <w:sz w:val="24"/>
          <w:szCs w:val="24"/>
        </w:rPr>
        <w:fldChar w:fldCharType="begin"/>
      </w:r>
      <w:r w:rsidR="00B5414D" w:rsidRPr="00660ECD">
        <w:rPr>
          <w:rFonts w:cstheme="minorHAnsi"/>
          <w:sz w:val="24"/>
          <w:szCs w:val="24"/>
        </w:rPr>
        <w:instrText xml:space="preserve"> ADDIN ZOTERO_ITEM CSL_CITATION {"citationID":"4LXxCjTV","properties":{"formattedCitation":"(21)","plainCitation":"(21)","noteIndex":0},"citationItems":[{"id":32,"uris":["http://zotero.org/users/local/3eWb7dOa/items/W9FKD3C7"],"itemData":{"id":32,"type":"webpage","abstract":"This treatment summary topic describes oral anticoagulants","language":"en-GB","title":"Oral anticoagulants | Treatment summaries | BNF content published by NICE","URL":"https://bnf.nice.org.uk/treatment-summaries/oral-anticoagulants/","accessed":{"date-parts":[["2025",4,29]]}}}],"schema":"https://github.com/citation-style-language/schema/raw/master/csl-citation.json"} </w:instrText>
      </w:r>
      <w:r w:rsidR="00904DE7" w:rsidRPr="00660ECD">
        <w:rPr>
          <w:rFonts w:cstheme="minorHAnsi"/>
          <w:sz w:val="24"/>
          <w:szCs w:val="24"/>
        </w:rPr>
        <w:fldChar w:fldCharType="separate"/>
      </w:r>
      <w:r w:rsidR="00B5414D" w:rsidRPr="00660ECD">
        <w:rPr>
          <w:rFonts w:cstheme="minorHAnsi"/>
          <w:sz w:val="24"/>
          <w:szCs w:val="24"/>
        </w:rPr>
        <w:t>(21)</w:t>
      </w:r>
      <w:r w:rsidR="00904DE7" w:rsidRPr="00660ECD">
        <w:rPr>
          <w:rFonts w:cstheme="minorHAnsi"/>
          <w:sz w:val="24"/>
          <w:szCs w:val="24"/>
        </w:rPr>
        <w:fldChar w:fldCharType="end"/>
      </w:r>
      <w:r w:rsidR="00904DE7" w:rsidRPr="00660ECD">
        <w:rPr>
          <w:rFonts w:cstheme="minorHAnsi"/>
          <w:sz w:val="24"/>
          <w:szCs w:val="24"/>
        </w:rPr>
        <w:t xml:space="preserve">. </w:t>
      </w:r>
    </w:p>
    <w:p w14:paraId="21D9805C" w14:textId="20729792" w:rsidR="00F32149" w:rsidRPr="00660ECD" w:rsidRDefault="00680C04" w:rsidP="00660ECD">
      <w:pPr>
        <w:spacing w:after="100" w:afterAutospacing="1" w:line="360" w:lineRule="auto"/>
        <w:rPr>
          <w:rFonts w:cstheme="minorHAnsi"/>
          <w:sz w:val="24"/>
          <w:szCs w:val="24"/>
        </w:rPr>
      </w:pPr>
      <w:r w:rsidRPr="00660ECD">
        <w:rPr>
          <w:rFonts w:cstheme="minorHAnsi"/>
          <w:sz w:val="24"/>
          <w:szCs w:val="24"/>
        </w:rPr>
        <w:t>W</w:t>
      </w:r>
      <w:r w:rsidR="00824E82" w:rsidRPr="00660ECD">
        <w:rPr>
          <w:rFonts w:cstheme="minorHAnsi"/>
          <w:sz w:val="24"/>
          <w:szCs w:val="24"/>
        </w:rPr>
        <w:t xml:space="preserve">here adverse drug reactions are unpredictable, </w:t>
      </w:r>
      <w:r w:rsidR="0024475F" w:rsidRPr="00660ECD">
        <w:rPr>
          <w:rFonts w:cstheme="minorHAnsi"/>
          <w:sz w:val="24"/>
          <w:szCs w:val="24"/>
        </w:rPr>
        <w:t xml:space="preserve">monitoring </w:t>
      </w:r>
      <w:r w:rsidR="00856AF6" w:rsidRPr="00660ECD">
        <w:rPr>
          <w:rFonts w:cstheme="minorHAnsi"/>
          <w:sz w:val="24"/>
          <w:szCs w:val="24"/>
        </w:rPr>
        <w:t>can be</w:t>
      </w:r>
      <w:r w:rsidR="006166D6" w:rsidRPr="00660ECD">
        <w:rPr>
          <w:rFonts w:cstheme="minorHAnsi"/>
          <w:sz w:val="24"/>
          <w:szCs w:val="24"/>
        </w:rPr>
        <w:t xml:space="preserve"> employed to detect adverse drug reactions </w:t>
      </w:r>
      <w:r w:rsidR="00856AF6" w:rsidRPr="00660ECD">
        <w:rPr>
          <w:rFonts w:cstheme="minorHAnsi"/>
          <w:sz w:val="24"/>
          <w:szCs w:val="24"/>
        </w:rPr>
        <w:t>in a timely manner</w:t>
      </w:r>
      <w:r w:rsidR="006166D6" w:rsidRPr="00660ECD">
        <w:rPr>
          <w:rFonts w:cstheme="minorHAnsi"/>
          <w:sz w:val="24"/>
          <w:szCs w:val="24"/>
        </w:rPr>
        <w:t xml:space="preserve">. </w:t>
      </w:r>
      <w:r w:rsidR="006C19AC" w:rsidRPr="00660ECD">
        <w:rPr>
          <w:rFonts w:cstheme="minorHAnsi"/>
          <w:sz w:val="24"/>
          <w:szCs w:val="24"/>
        </w:rPr>
        <w:t xml:space="preserve">Azathioprine is a </w:t>
      </w:r>
      <w:r w:rsidR="005630D0">
        <w:rPr>
          <w:rFonts w:cstheme="minorHAnsi"/>
          <w:sz w:val="24"/>
          <w:szCs w:val="24"/>
        </w:rPr>
        <w:t>d</w:t>
      </w:r>
      <w:r w:rsidR="006C19AC" w:rsidRPr="00660ECD">
        <w:rPr>
          <w:rFonts w:cstheme="minorHAnsi"/>
          <w:sz w:val="24"/>
          <w:szCs w:val="24"/>
        </w:rPr>
        <w:t>isease</w:t>
      </w:r>
      <w:r w:rsidR="005630D0">
        <w:rPr>
          <w:rFonts w:cstheme="minorHAnsi"/>
          <w:sz w:val="24"/>
          <w:szCs w:val="24"/>
        </w:rPr>
        <w:t>-m</w:t>
      </w:r>
      <w:r w:rsidR="006C19AC" w:rsidRPr="00660ECD">
        <w:rPr>
          <w:rFonts w:cstheme="minorHAnsi"/>
          <w:sz w:val="24"/>
          <w:szCs w:val="24"/>
        </w:rPr>
        <w:t xml:space="preserve">odifying </w:t>
      </w:r>
      <w:r w:rsidR="005630D0">
        <w:rPr>
          <w:rFonts w:cstheme="minorHAnsi"/>
          <w:sz w:val="24"/>
          <w:szCs w:val="24"/>
        </w:rPr>
        <w:t>a</w:t>
      </w:r>
      <w:r w:rsidR="006C19AC" w:rsidRPr="00660ECD">
        <w:rPr>
          <w:rFonts w:cstheme="minorHAnsi"/>
          <w:sz w:val="24"/>
          <w:szCs w:val="24"/>
        </w:rPr>
        <w:t xml:space="preserve">ntirheumatic </w:t>
      </w:r>
      <w:r w:rsidR="005630D0">
        <w:rPr>
          <w:rFonts w:cstheme="minorHAnsi"/>
          <w:sz w:val="24"/>
          <w:szCs w:val="24"/>
        </w:rPr>
        <w:t>d</w:t>
      </w:r>
      <w:r w:rsidR="006C19AC" w:rsidRPr="00660ECD">
        <w:rPr>
          <w:rFonts w:cstheme="minorHAnsi"/>
          <w:sz w:val="24"/>
          <w:szCs w:val="24"/>
        </w:rPr>
        <w:t xml:space="preserve">rug (DMARD) </w:t>
      </w:r>
      <w:r w:rsidR="009A634B" w:rsidRPr="00660ECD">
        <w:rPr>
          <w:rFonts w:cstheme="minorHAnsi"/>
          <w:sz w:val="24"/>
          <w:szCs w:val="24"/>
        </w:rPr>
        <w:t xml:space="preserve">with </w:t>
      </w:r>
      <w:r w:rsidR="005630D0">
        <w:rPr>
          <w:rFonts w:cstheme="minorHAnsi"/>
          <w:sz w:val="24"/>
          <w:szCs w:val="24"/>
        </w:rPr>
        <w:t xml:space="preserve">the </w:t>
      </w:r>
      <w:r w:rsidR="0049105B" w:rsidRPr="00660ECD">
        <w:rPr>
          <w:rFonts w:cstheme="minorHAnsi"/>
          <w:sz w:val="24"/>
          <w:szCs w:val="24"/>
        </w:rPr>
        <w:t xml:space="preserve">known </w:t>
      </w:r>
      <w:r w:rsidR="00617C2B" w:rsidRPr="00660ECD">
        <w:rPr>
          <w:rFonts w:cstheme="minorHAnsi"/>
          <w:sz w:val="24"/>
          <w:szCs w:val="24"/>
        </w:rPr>
        <w:t xml:space="preserve">and potentially fatal complication </w:t>
      </w:r>
      <w:r w:rsidR="009A634B" w:rsidRPr="00660ECD">
        <w:rPr>
          <w:rFonts w:cstheme="minorHAnsi"/>
          <w:sz w:val="24"/>
          <w:szCs w:val="24"/>
        </w:rPr>
        <w:t>of myelosuppression</w:t>
      </w:r>
      <w:r w:rsidR="00617C2B" w:rsidRPr="00660ECD">
        <w:rPr>
          <w:rFonts w:cstheme="minorHAnsi"/>
          <w:sz w:val="24"/>
          <w:szCs w:val="24"/>
        </w:rPr>
        <w:t xml:space="preserve"> </w:t>
      </w:r>
      <w:r w:rsidR="00617C2B" w:rsidRPr="00660ECD">
        <w:rPr>
          <w:rFonts w:cstheme="minorHAnsi"/>
          <w:sz w:val="24"/>
          <w:szCs w:val="24"/>
        </w:rPr>
        <w:fldChar w:fldCharType="begin"/>
      </w:r>
      <w:r w:rsidR="00B5414D" w:rsidRPr="00660ECD">
        <w:rPr>
          <w:rFonts w:cstheme="minorHAnsi"/>
          <w:sz w:val="24"/>
          <w:szCs w:val="24"/>
        </w:rPr>
        <w:instrText xml:space="preserve"> ADDIN ZOTERO_ITEM CSL_CITATION {"citationID":"07mfQ3G9","properties":{"formattedCitation":"(22)","plainCitation":"(22)","noteIndex":0},"citationItems":[{"id":33,"uris":["http://zotero.org/users/local/3eWb7dOa/items/MRZY6QM8"],"itemData":{"id":33,"type":"article-journal","abstract":"Myelosuppression is an important and potentially lethal complication of azathioprine treatment. The blood count has been reviewed in all patients treated with azathioprine for inflammatory bowel disease over 27 years in one hospital. Altogether 739 patients (422 with Crohn's disease, 284 with ulcerative colitis, and 33 with indeterminate colitis) were treated with 2 mg/kg/day azathioprine for a median of 12.5 months (range 0.5-132) between 1964 and 1991. Full blood counts were performed monthly for the duration of treatment. In 37 patients (5%) who developed bone marrow toxicity, the drug was withdrawn or the dose reduced. Thirty two of these patients were asymptomatic and five developed symptoms. Leucopenia (white blood count less than 3.0 x 10g/l) occurred in 28 (3.8%) patients, in nine of whom it was severe (white blood count &lt; 2.0 x 10(9)/l). Of these nine patients, three were pancytopenic: two died from sepsis and the other had pneumonia but recovered. A further two patients with severe leucopenia developed a mild upper respiratory infection only. Thrombocytopenia (platelet count &lt; 100,000 x 10(6)/l) in 15 patients was associated with leucopenia in six and developed in isolation in a further nine (total 2%). Isolated thrombocytopenia was never clinically severe. Myelotoxicity from azathioprine developed at any time during drug treatment (range 2 weeks-11 years after starting the drug) and occurred either suddenly or over several months. Bone marrow suppression as a result of azathioprine treatment is uncommon when a moderate dose is used, but is potentially severe. Leucopenia is the commonest and most important haematological complication. Regular monitoring of the full blood count is recommended during treatment.","container-title":"Gut","DOI":"10.1136/gut.34.8.1081","ISSN":"0017-5749, 1468-3288","issue":"8","language":"en","note":"publisher: BMJ Publishing Group\nsection: Research Article\nPMID: 8174958","page":"1081-1085","source":"gut.bmj.com","title":"Bone marrow toxicity caused by azathioprine in inflammatory bowel disease: 27 years of experience.","title-short":"Bone marrow toxicity caused by azathioprine in inflammatory bowel disease","volume":"34","author":[{"family":"Connell","given":"W. R."},{"family":"Kamm","given":"M. A."},{"family":"Ritchie","given":"J. K."},{"family":"Lennard-Jones","given":"J. E."}],"issued":{"date-parts":[["1993",8,1]]}}}],"schema":"https://github.com/citation-style-language/schema/raw/master/csl-citation.json"} </w:instrText>
      </w:r>
      <w:r w:rsidR="00617C2B" w:rsidRPr="00660ECD">
        <w:rPr>
          <w:rFonts w:cstheme="minorHAnsi"/>
          <w:sz w:val="24"/>
          <w:szCs w:val="24"/>
        </w:rPr>
        <w:fldChar w:fldCharType="separate"/>
      </w:r>
      <w:r w:rsidR="00B5414D" w:rsidRPr="00660ECD">
        <w:rPr>
          <w:rFonts w:cstheme="minorHAnsi"/>
          <w:sz w:val="24"/>
          <w:szCs w:val="24"/>
        </w:rPr>
        <w:t>(22)</w:t>
      </w:r>
      <w:r w:rsidR="00617C2B" w:rsidRPr="00660ECD">
        <w:rPr>
          <w:rFonts w:cstheme="minorHAnsi"/>
          <w:sz w:val="24"/>
          <w:szCs w:val="24"/>
        </w:rPr>
        <w:fldChar w:fldCharType="end"/>
      </w:r>
      <w:r w:rsidR="000F7675" w:rsidRPr="00660ECD">
        <w:rPr>
          <w:rFonts w:cstheme="minorHAnsi"/>
          <w:sz w:val="24"/>
          <w:szCs w:val="24"/>
        </w:rPr>
        <w:t xml:space="preserve">. Current guidelines </w:t>
      </w:r>
      <w:r w:rsidR="002B08DB" w:rsidRPr="00660ECD">
        <w:rPr>
          <w:rFonts w:cstheme="minorHAnsi"/>
          <w:sz w:val="24"/>
          <w:szCs w:val="24"/>
        </w:rPr>
        <w:t xml:space="preserve">require </w:t>
      </w:r>
      <w:r w:rsidR="00416773" w:rsidRPr="00660ECD">
        <w:rPr>
          <w:rFonts w:cstheme="minorHAnsi"/>
          <w:sz w:val="24"/>
          <w:szCs w:val="24"/>
        </w:rPr>
        <w:t xml:space="preserve">baseline </w:t>
      </w:r>
      <w:r w:rsidR="001638B9" w:rsidRPr="00660ECD">
        <w:rPr>
          <w:rFonts w:cstheme="minorHAnsi"/>
          <w:sz w:val="24"/>
          <w:szCs w:val="24"/>
        </w:rPr>
        <w:t>thiopurine methyltransferase (</w:t>
      </w:r>
      <w:r w:rsidR="002B08DB" w:rsidRPr="00660ECD">
        <w:rPr>
          <w:rFonts w:cstheme="minorHAnsi"/>
          <w:sz w:val="24"/>
          <w:szCs w:val="24"/>
        </w:rPr>
        <w:t>TMPT</w:t>
      </w:r>
      <w:r w:rsidR="001638B9" w:rsidRPr="00660ECD">
        <w:rPr>
          <w:rFonts w:cstheme="minorHAnsi"/>
          <w:sz w:val="24"/>
          <w:szCs w:val="24"/>
        </w:rPr>
        <w:t>)</w:t>
      </w:r>
      <w:r w:rsidR="002B08DB" w:rsidRPr="00660ECD">
        <w:rPr>
          <w:rFonts w:cstheme="minorHAnsi"/>
          <w:sz w:val="24"/>
          <w:szCs w:val="24"/>
        </w:rPr>
        <w:t xml:space="preserve"> levels to be checked </w:t>
      </w:r>
      <w:r w:rsidR="00521992" w:rsidRPr="00660ECD">
        <w:rPr>
          <w:rFonts w:cstheme="minorHAnsi"/>
          <w:sz w:val="24"/>
          <w:szCs w:val="24"/>
        </w:rPr>
        <w:t>so that azathioprine can be avoided in</w:t>
      </w:r>
      <w:r w:rsidR="009601FB" w:rsidRPr="00660ECD">
        <w:rPr>
          <w:rFonts w:cstheme="minorHAnsi"/>
          <w:sz w:val="24"/>
          <w:szCs w:val="24"/>
        </w:rPr>
        <w:t xml:space="preserve"> patients with absent TPMT </w:t>
      </w:r>
      <w:r w:rsidR="001912AE" w:rsidRPr="00660ECD">
        <w:rPr>
          <w:rFonts w:cstheme="minorHAnsi"/>
          <w:sz w:val="24"/>
          <w:szCs w:val="24"/>
        </w:rPr>
        <w:t xml:space="preserve">levels </w:t>
      </w:r>
      <w:r w:rsidR="005630D0">
        <w:rPr>
          <w:rFonts w:cstheme="minorHAnsi"/>
          <w:sz w:val="24"/>
          <w:szCs w:val="24"/>
        </w:rPr>
        <w:t>(</w:t>
      </w:r>
      <w:r w:rsidR="009601FB" w:rsidRPr="00660ECD">
        <w:rPr>
          <w:rFonts w:cstheme="minorHAnsi"/>
          <w:sz w:val="24"/>
          <w:szCs w:val="24"/>
        </w:rPr>
        <w:t xml:space="preserve">who would be at </w:t>
      </w:r>
      <w:r w:rsidR="00521992" w:rsidRPr="00660ECD">
        <w:rPr>
          <w:rFonts w:cstheme="minorHAnsi"/>
          <w:sz w:val="24"/>
          <w:szCs w:val="24"/>
        </w:rPr>
        <w:t>increased</w:t>
      </w:r>
      <w:r w:rsidR="009601FB" w:rsidRPr="00660ECD">
        <w:rPr>
          <w:rFonts w:cstheme="minorHAnsi"/>
          <w:sz w:val="24"/>
          <w:szCs w:val="24"/>
        </w:rPr>
        <w:t xml:space="preserve"> risk of developing </w:t>
      </w:r>
      <w:r w:rsidR="006F3461" w:rsidRPr="00660ECD">
        <w:rPr>
          <w:rFonts w:cstheme="minorHAnsi"/>
          <w:sz w:val="24"/>
          <w:szCs w:val="24"/>
        </w:rPr>
        <w:t xml:space="preserve">severe </w:t>
      </w:r>
      <w:r w:rsidR="00454814" w:rsidRPr="00660ECD">
        <w:rPr>
          <w:rFonts w:cstheme="minorHAnsi"/>
          <w:sz w:val="24"/>
          <w:szCs w:val="24"/>
        </w:rPr>
        <w:t>myelosuppression</w:t>
      </w:r>
      <w:r w:rsidR="005630D0">
        <w:rPr>
          <w:rFonts w:cstheme="minorHAnsi"/>
          <w:sz w:val="24"/>
          <w:szCs w:val="24"/>
        </w:rPr>
        <w:t>)</w:t>
      </w:r>
      <w:r w:rsidR="006F3461" w:rsidRPr="00660ECD">
        <w:rPr>
          <w:rFonts w:cstheme="minorHAnsi"/>
          <w:sz w:val="24"/>
          <w:szCs w:val="24"/>
        </w:rPr>
        <w:t xml:space="preserve"> </w:t>
      </w:r>
      <w:r w:rsidR="00454814" w:rsidRPr="00660ECD">
        <w:rPr>
          <w:rFonts w:cstheme="minorHAnsi"/>
          <w:sz w:val="24"/>
          <w:szCs w:val="24"/>
        </w:rPr>
        <w:fldChar w:fldCharType="begin"/>
      </w:r>
      <w:r w:rsidR="00B5414D" w:rsidRPr="00660ECD">
        <w:rPr>
          <w:rFonts w:cstheme="minorHAnsi"/>
          <w:sz w:val="24"/>
          <w:szCs w:val="24"/>
        </w:rPr>
        <w:instrText xml:space="preserve"> ADDIN ZOTERO_ITEM CSL_CITATION {"citationID":"ayiBlkd9","properties":{"formattedCitation":"(23)","plainCitation":"(23)","noteIndex":0},"citationItems":[{"id":37,"uris":["http://zotero.org/users/local/3eWb7dOa/items/FGCUZAAW"],"itemData":{"id":37,"type":"article-journal","abstract":"Thiopurines are often the mainstay of treatment for many patients with inflammatory bowel disease. As such, a general understanding of the evidence behind their use and of their metabolism is extremely useful in clinical practice. This review gives a practical overview of thiopurine metabolism, the importance of thiopurine S-methyltransferase testing prior to the start of therapy and the monitoring of thioguanine nucleotide levels while on treatment, guiding a personalised approach to optimising thiopurine therapy.","container-title":"Frontline Gastroenterology","DOI":"10.1136/flgastro-2016-100738","ISSN":"2041-4137, 2041-4145","issue":"1","journalAbbreviation":"Frontline Gastroenterol","language":"en","page":"10-15","source":"DOI.org (Crossref)","title":"A practical guide to thiopurine prescribing and monitoring in IBD","volume":"9","author":[{"family":"Warner","given":"Ben"},{"family":"Johnston","given":"Emma"},{"family":"Arenas-Hernandez","given":"Monica"},{"family":"Marinaki","given":"Anthony"},{"family":"Irving","given":"Peter"},{"family":"Sanderson","given":"Jeremy"}],"issued":{"date-parts":[["2018",1]]}}}],"schema":"https://github.com/citation-style-language/schema/raw/master/csl-citation.json"} </w:instrText>
      </w:r>
      <w:r w:rsidR="00454814" w:rsidRPr="00660ECD">
        <w:rPr>
          <w:rFonts w:cstheme="minorHAnsi"/>
          <w:sz w:val="24"/>
          <w:szCs w:val="24"/>
        </w:rPr>
        <w:fldChar w:fldCharType="separate"/>
      </w:r>
      <w:r w:rsidR="00B5414D" w:rsidRPr="00660ECD">
        <w:rPr>
          <w:rFonts w:cstheme="minorHAnsi"/>
          <w:sz w:val="24"/>
          <w:szCs w:val="24"/>
        </w:rPr>
        <w:t>(23)</w:t>
      </w:r>
      <w:r w:rsidR="00454814" w:rsidRPr="00660ECD">
        <w:rPr>
          <w:rFonts w:cstheme="minorHAnsi"/>
          <w:sz w:val="24"/>
          <w:szCs w:val="24"/>
        </w:rPr>
        <w:fldChar w:fldCharType="end"/>
      </w:r>
      <w:r w:rsidR="00D66B88" w:rsidRPr="00660ECD">
        <w:rPr>
          <w:rFonts w:cstheme="minorHAnsi"/>
          <w:sz w:val="24"/>
          <w:szCs w:val="24"/>
        </w:rPr>
        <w:t>.</w:t>
      </w:r>
      <w:r w:rsidR="00B41453" w:rsidRPr="00660ECD">
        <w:rPr>
          <w:rFonts w:cstheme="minorHAnsi"/>
          <w:sz w:val="24"/>
          <w:szCs w:val="24"/>
        </w:rPr>
        <w:t xml:space="preserve"> However, normal TPMT activity doesn’t exclude the risk of myelosuppression</w:t>
      </w:r>
      <w:r w:rsidR="005630D0">
        <w:rPr>
          <w:rFonts w:cstheme="minorHAnsi"/>
          <w:sz w:val="24"/>
          <w:szCs w:val="24"/>
        </w:rPr>
        <w:t>,</w:t>
      </w:r>
      <w:r w:rsidR="00B41453" w:rsidRPr="00660ECD">
        <w:rPr>
          <w:rFonts w:cstheme="minorHAnsi"/>
          <w:sz w:val="24"/>
          <w:szCs w:val="24"/>
        </w:rPr>
        <w:t xml:space="preserve"> </w:t>
      </w:r>
      <w:r w:rsidR="005630D0">
        <w:rPr>
          <w:rFonts w:cstheme="minorHAnsi"/>
          <w:sz w:val="24"/>
          <w:szCs w:val="24"/>
        </w:rPr>
        <w:t xml:space="preserve">so </w:t>
      </w:r>
      <w:r w:rsidR="00377E36" w:rsidRPr="00660ECD">
        <w:rPr>
          <w:rFonts w:cstheme="minorHAnsi"/>
          <w:sz w:val="24"/>
          <w:szCs w:val="24"/>
        </w:rPr>
        <w:t xml:space="preserve">full blood count (FBC), alongside </w:t>
      </w:r>
      <w:r w:rsidR="00D3088B" w:rsidRPr="00660ECD">
        <w:rPr>
          <w:rFonts w:cstheme="minorHAnsi"/>
          <w:sz w:val="24"/>
          <w:szCs w:val="24"/>
        </w:rPr>
        <w:t>other parameters such as liver function tests (LFTs)</w:t>
      </w:r>
      <w:r w:rsidR="00E54778" w:rsidRPr="00660ECD">
        <w:rPr>
          <w:rFonts w:cstheme="minorHAnsi"/>
          <w:sz w:val="24"/>
          <w:szCs w:val="24"/>
        </w:rPr>
        <w:t xml:space="preserve"> and renal function, </w:t>
      </w:r>
      <w:r w:rsidR="005630D0">
        <w:rPr>
          <w:rFonts w:cstheme="minorHAnsi"/>
          <w:sz w:val="24"/>
          <w:szCs w:val="24"/>
        </w:rPr>
        <w:t xml:space="preserve">must be </w:t>
      </w:r>
      <w:r w:rsidR="00E54778" w:rsidRPr="00660ECD">
        <w:rPr>
          <w:rFonts w:cstheme="minorHAnsi"/>
          <w:sz w:val="24"/>
          <w:szCs w:val="24"/>
        </w:rPr>
        <w:t xml:space="preserve">checked at frequent intervals </w:t>
      </w:r>
      <w:r w:rsidR="00010CF1" w:rsidRPr="00660ECD">
        <w:rPr>
          <w:rFonts w:cstheme="minorHAnsi"/>
          <w:sz w:val="24"/>
          <w:szCs w:val="24"/>
        </w:rPr>
        <w:fldChar w:fldCharType="begin"/>
      </w:r>
      <w:r w:rsidR="00B5414D" w:rsidRPr="00660ECD">
        <w:rPr>
          <w:rFonts w:cstheme="minorHAnsi"/>
          <w:sz w:val="24"/>
          <w:szCs w:val="24"/>
        </w:rPr>
        <w:instrText xml:space="preserve"> ADDIN ZOTERO_ITEM CSL_CITATION {"citationID":"Vm7oSE2S","properties":{"formattedCitation":"(24)","plainCitation":"(24)","noteIndex":0},"citationItems":[{"id":38,"uris":["http://zotero.org/users/local/3eWb7dOa/items/F7L4Y4L3"],"itemData":{"id":38,"type":"webpage","abstract":"The first stop for professional medicines advice","container-title":"SPS - Specialist Pharmacy Service","language":"en-GB","title":"Azathioprine monitoring","URL":"https://www.sps.nhs.uk/monitorings/azathioprine-monitoring/","accessed":{"date-parts":[["2025",4,29]]},"issued":{"date-parts":[["2021",7,13]]}}}],"schema":"https://github.com/citation-style-language/schema/raw/master/csl-citation.json"} </w:instrText>
      </w:r>
      <w:r w:rsidR="00010CF1" w:rsidRPr="00660ECD">
        <w:rPr>
          <w:rFonts w:cstheme="minorHAnsi"/>
          <w:sz w:val="24"/>
          <w:szCs w:val="24"/>
        </w:rPr>
        <w:fldChar w:fldCharType="separate"/>
      </w:r>
      <w:r w:rsidR="00B5414D" w:rsidRPr="00660ECD">
        <w:rPr>
          <w:rFonts w:cstheme="minorHAnsi"/>
          <w:sz w:val="24"/>
          <w:szCs w:val="24"/>
        </w:rPr>
        <w:t>(24)</w:t>
      </w:r>
      <w:r w:rsidR="00010CF1" w:rsidRPr="00660ECD">
        <w:rPr>
          <w:rFonts w:cstheme="minorHAnsi"/>
          <w:sz w:val="24"/>
          <w:szCs w:val="24"/>
        </w:rPr>
        <w:fldChar w:fldCharType="end"/>
      </w:r>
      <w:r w:rsidR="00010CF1" w:rsidRPr="00660ECD">
        <w:rPr>
          <w:rFonts w:cstheme="minorHAnsi"/>
          <w:sz w:val="24"/>
          <w:szCs w:val="24"/>
        </w:rPr>
        <w:t>.</w:t>
      </w:r>
      <w:r w:rsidR="00442536" w:rsidRPr="00660ECD">
        <w:rPr>
          <w:rFonts w:cstheme="minorHAnsi"/>
          <w:sz w:val="24"/>
          <w:szCs w:val="24"/>
        </w:rPr>
        <w:t xml:space="preserve"> </w:t>
      </w:r>
      <w:r w:rsidR="0075548A">
        <w:rPr>
          <w:rFonts w:cstheme="minorHAnsi"/>
          <w:sz w:val="24"/>
          <w:szCs w:val="24"/>
        </w:rPr>
        <w:t>Comparable</w:t>
      </w:r>
      <w:r w:rsidR="005E65E0" w:rsidRPr="00660ECD">
        <w:rPr>
          <w:rFonts w:cstheme="minorHAnsi"/>
          <w:sz w:val="24"/>
          <w:szCs w:val="24"/>
        </w:rPr>
        <w:t xml:space="preserve"> guidelines exist for other DMARDs with similar risks of serious adverse effects, such methotrexate, mercaptopurine, sulfasalazine, and leflunomide.</w:t>
      </w:r>
    </w:p>
    <w:p w14:paraId="3FD8A5F1" w14:textId="45AF39F7" w:rsidR="00F413C5" w:rsidRPr="00660ECD" w:rsidRDefault="00625EEE" w:rsidP="00660ECD">
      <w:pPr>
        <w:spacing w:after="100" w:afterAutospacing="1" w:line="360" w:lineRule="auto"/>
        <w:rPr>
          <w:rFonts w:cstheme="minorHAnsi"/>
          <w:sz w:val="24"/>
          <w:szCs w:val="24"/>
        </w:rPr>
      </w:pPr>
      <w:r>
        <w:rPr>
          <w:rFonts w:cstheme="minorHAnsi"/>
          <w:sz w:val="24"/>
          <w:szCs w:val="24"/>
        </w:rPr>
        <w:lastRenderedPageBreak/>
        <w:t>P</w:t>
      </w:r>
      <w:r w:rsidR="00BD2040" w:rsidRPr="00660ECD">
        <w:rPr>
          <w:rFonts w:cstheme="minorHAnsi"/>
          <w:sz w:val="24"/>
          <w:szCs w:val="24"/>
        </w:rPr>
        <w:t xml:space="preserve">atients </w:t>
      </w:r>
      <w:r>
        <w:rPr>
          <w:rFonts w:cstheme="minorHAnsi"/>
          <w:sz w:val="24"/>
          <w:szCs w:val="24"/>
        </w:rPr>
        <w:t xml:space="preserve">should be made </w:t>
      </w:r>
      <w:r w:rsidR="00BD2040" w:rsidRPr="00660ECD">
        <w:rPr>
          <w:rFonts w:cstheme="minorHAnsi"/>
          <w:sz w:val="24"/>
          <w:szCs w:val="24"/>
        </w:rPr>
        <w:t xml:space="preserve">aware of </w:t>
      </w:r>
      <w:r w:rsidR="00BC443D" w:rsidRPr="00660ECD">
        <w:rPr>
          <w:rFonts w:cstheme="minorHAnsi"/>
          <w:sz w:val="24"/>
          <w:szCs w:val="24"/>
        </w:rPr>
        <w:t>any</w:t>
      </w:r>
      <w:r w:rsidR="00BD2040" w:rsidRPr="00660ECD">
        <w:rPr>
          <w:rFonts w:cstheme="minorHAnsi"/>
          <w:sz w:val="24"/>
          <w:szCs w:val="24"/>
        </w:rPr>
        <w:t xml:space="preserve"> potential serious adverse effects and how to </w:t>
      </w:r>
      <w:r w:rsidR="00C13CF7" w:rsidRPr="00660ECD">
        <w:rPr>
          <w:rFonts w:cstheme="minorHAnsi"/>
          <w:sz w:val="24"/>
          <w:szCs w:val="24"/>
        </w:rPr>
        <w:t>identify them early</w:t>
      </w:r>
      <w:r>
        <w:rPr>
          <w:rFonts w:cstheme="minorHAnsi"/>
          <w:sz w:val="24"/>
          <w:szCs w:val="24"/>
        </w:rPr>
        <w:t>:</w:t>
      </w:r>
      <w:r w:rsidR="00C13CF7" w:rsidRPr="00660ECD">
        <w:rPr>
          <w:rFonts w:cstheme="minorHAnsi"/>
          <w:sz w:val="24"/>
          <w:szCs w:val="24"/>
        </w:rPr>
        <w:t xml:space="preserve"> for example, tendonitis with </w:t>
      </w:r>
      <w:r w:rsidR="004711AB" w:rsidRPr="00660ECD">
        <w:rPr>
          <w:rFonts w:cstheme="minorHAnsi"/>
          <w:sz w:val="24"/>
          <w:szCs w:val="24"/>
        </w:rPr>
        <w:t>fluoro</w:t>
      </w:r>
      <w:r w:rsidR="00C13CF7" w:rsidRPr="00660ECD">
        <w:rPr>
          <w:rFonts w:cstheme="minorHAnsi"/>
          <w:sz w:val="24"/>
          <w:szCs w:val="24"/>
        </w:rPr>
        <w:t>quinolone antibiotics</w:t>
      </w:r>
      <w:r w:rsidR="00D31628" w:rsidRPr="00660ECD">
        <w:rPr>
          <w:rFonts w:cstheme="minorHAnsi"/>
          <w:sz w:val="24"/>
          <w:szCs w:val="24"/>
        </w:rPr>
        <w:t xml:space="preserve"> </w:t>
      </w:r>
      <w:r w:rsidR="00D31628" w:rsidRPr="00660ECD">
        <w:rPr>
          <w:rFonts w:cstheme="minorHAnsi"/>
          <w:sz w:val="24"/>
          <w:szCs w:val="24"/>
        </w:rPr>
        <w:fldChar w:fldCharType="begin"/>
      </w:r>
      <w:r w:rsidR="00B5414D" w:rsidRPr="00660ECD">
        <w:rPr>
          <w:rFonts w:cstheme="minorHAnsi"/>
          <w:sz w:val="24"/>
          <w:szCs w:val="24"/>
        </w:rPr>
        <w:instrText xml:space="preserve"> ADDIN ZOTERO_ITEM CSL_CITATION {"citationID":"5Bn1AjPJ","properties":{"formattedCitation":"(25)","plainCitation":"(25)","noteIndex":0},"citationItems":[{"id":39,"uris":["http://zotero.org/users/local/3eWb7dOa/items/VVEC6HRT"],"itemData":{"id":39,"type":"webpage","abstract":"Disabling, long-lasting or potentially irreversible adverse reactions affecting musculoskeletal and nervous systems have been reported very rarely with fluoroquinolone antibiotics. Fluoroquinolone treatment should be discontinued at the first signs of a serious adverse reaction, including tendon pain or inflammation.","container-title":"GOV.UK","language":"en","title":"Fluoroquinolone antibiotics: new restrictions and precautions for use due to very rare reports of disabling and potentially long-lasting or irreversible side effects","title-short":"Fluoroquinolone antibiotics","URL":"https://www.gov.uk/drug-safety-update/fluoroquinolone-antibiotics-new-restrictions-and-precautions-for-use-due-to-very-rare-reports-of-disabling-and-potentially-long-lasting-or-irreversible-side-effects","accessed":{"date-parts":[["2025",4,29]]}}}],"schema":"https://github.com/citation-style-language/schema/raw/master/csl-citation.json"} </w:instrText>
      </w:r>
      <w:r w:rsidR="00D31628" w:rsidRPr="00660ECD">
        <w:rPr>
          <w:rFonts w:cstheme="minorHAnsi"/>
          <w:sz w:val="24"/>
          <w:szCs w:val="24"/>
        </w:rPr>
        <w:fldChar w:fldCharType="separate"/>
      </w:r>
      <w:r w:rsidR="00B5414D" w:rsidRPr="00660ECD">
        <w:rPr>
          <w:rFonts w:cstheme="minorHAnsi"/>
          <w:sz w:val="24"/>
          <w:szCs w:val="24"/>
        </w:rPr>
        <w:t>(25)</w:t>
      </w:r>
      <w:r w:rsidR="00D31628" w:rsidRPr="00660ECD">
        <w:rPr>
          <w:rFonts w:cstheme="minorHAnsi"/>
          <w:sz w:val="24"/>
          <w:szCs w:val="24"/>
        </w:rPr>
        <w:fldChar w:fldCharType="end"/>
      </w:r>
      <w:r w:rsidR="00C13CF7" w:rsidRPr="00660ECD">
        <w:rPr>
          <w:rFonts w:cstheme="minorHAnsi"/>
          <w:sz w:val="24"/>
          <w:szCs w:val="24"/>
        </w:rPr>
        <w:t xml:space="preserve">. </w:t>
      </w:r>
      <w:r w:rsidR="003B3827" w:rsidRPr="00660ECD">
        <w:rPr>
          <w:rFonts w:cstheme="minorHAnsi"/>
          <w:sz w:val="24"/>
          <w:szCs w:val="24"/>
        </w:rPr>
        <w:t>Fluoroq</w:t>
      </w:r>
      <w:r w:rsidR="008F6772" w:rsidRPr="00660ECD">
        <w:rPr>
          <w:rFonts w:cstheme="minorHAnsi"/>
          <w:sz w:val="24"/>
          <w:szCs w:val="24"/>
        </w:rPr>
        <w:t>uinolones</w:t>
      </w:r>
      <w:r w:rsidR="003B3827" w:rsidRPr="00660ECD">
        <w:rPr>
          <w:rFonts w:cstheme="minorHAnsi"/>
          <w:sz w:val="24"/>
          <w:szCs w:val="24"/>
        </w:rPr>
        <w:t>, such as ciprofloxacin,</w:t>
      </w:r>
      <w:r w:rsidR="008F6772" w:rsidRPr="00660ECD">
        <w:rPr>
          <w:rFonts w:cstheme="minorHAnsi"/>
          <w:sz w:val="24"/>
          <w:szCs w:val="24"/>
        </w:rPr>
        <w:t xml:space="preserve"> carry a specific MHRA warning </w:t>
      </w:r>
      <w:r>
        <w:rPr>
          <w:rFonts w:cstheme="minorHAnsi"/>
          <w:sz w:val="24"/>
          <w:szCs w:val="24"/>
        </w:rPr>
        <w:t xml:space="preserve">that </w:t>
      </w:r>
      <w:r w:rsidR="008F6772" w:rsidRPr="00660ECD">
        <w:rPr>
          <w:rFonts w:cstheme="minorHAnsi"/>
          <w:sz w:val="24"/>
          <w:szCs w:val="24"/>
        </w:rPr>
        <w:t xml:space="preserve">details </w:t>
      </w:r>
      <w:r w:rsidR="00837015" w:rsidRPr="00660ECD">
        <w:rPr>
          <w:rFonts w:cstheme="minorHAnsi"/>
          <w:sz w:val="24"/>
          <w:szCs w:val="24"/>
        </w:rPr>
        <w:t>the patient</w:t>
      </w:r>
      <w:r w:rsidR="00F149A6" w:rsidRPr="00660ECD">
        <w:rPr>
          <w:rFonts w:cstheme="minorHAnsi"/>
          <w:sz w:val="24"/>
          <w:szCs w:val="24"/>
        </w:rPr>
        <w:t xml:space="preserve"> information that</w:t>
      </w:r>
      <w:r w:rsidR="00837015" w:rsidRPr="00660ECD">
        <w:rPr>
          <w:rFonts w:cstheme="minorHAnsi"/>
          <w:sz w:val="24"/>
          <w:szCs w:val="24"/>
        </w:rPr>
        <w:t xml:space="preserve"> should be provided </w:t>
      </w:r>
      <w:r w:rsidR="00F149A6" w:rsidRPr="00660ECD">
        <w:rPr>
          <w:rFonts w:cstheme="minorHAnsi"/>
          <w:sz w:val="24"/>
          <w:szCs w:val="24"/>
        </w:rPr>
        <w:t xml:space="preserve">to every patient </w:t>
      </w:r>
      <w:r w:rsidR="0092147C" w:rsidRPr="00660ECD">
        <w:rPr>
          <w:rFonts w:cstheme="minorHAnsi"/>
          <w:sz w:val="24"/>
          <w:szCs w:val="24"/>
        </w:rPr>
        <w:fldChar w:fldCharType="begin"/>
      </w:r>
      <w:r w:rsidR="00B5414D" w:rsidRPr="00660ECD">
        <w:rPr>
          <w:rFonts w:cstheme="minorHAnsi"/>
          <w:sz w:val="24"/>
          <w:szCs w:val="24"/>
        </w:rPr>
        <w:instrText xml:space="preserve"> ADDIN ZOTERO_ITEM CSL_CITATION {"citationID":"zc9Fnsma","properties":{"formattedCitation":"(26)","plainCitation":"(26)","noteIndex":0},"citationItems":[{"id":65,"uris":["http://zotero.org/users/local/3eWb7dOa/items/JXZ8ZVKB"],"itemData":{"id":65,"type":"webpage","abstract":"Disabling, long-lasting or potentially irreversible adverse reactions affecting musculoskeletal and nervous systems have been reported very rarely with fluoroquinolone antibiotics. Fluoroquinolone treatment should be discontinued at the first signs of a serious adverse reaction, including tendon pain or inflammation.","container-title":"GOV.UK","language":"en","title":"Fluoroquinolone antibiotics: new restrictions and precautions for use due to very rare reports of disabling and potentially long-lasting or irreversible side effects","title-short":"Fluoroquinolone antibiotics","URL":"https://www.gov.uk/drug-safety-update/fluoroquinolone-antibiotics-new-restrictions-and-precautions-for-use-due-to-very-rare-reports-of-disabling-and-potentially-long-lasting-or-irreversible-side-effects","accessed":{"date-parts":[["2025",5,14]]}}}],"schema":"https://github.com/citation-style-language/schema/raw/master/csl-citation.json"} </w:instrText>
      </w:r>
      <w:r w:rsidR="0092147C" w:rsidRPr="00660ECD">
        <w:rPr>
          <w:rFonts w:cstheme="minorHAnsi"/>
          <w:sz w:val="24"/>
          <w:szCs w:val="24"/>
        </w:rPr>
        <w:fldChar w:fldCharType="separate"/>
      </w:r>
      <w:r w:rsidR="00B5414D" w:rsidRPr="00660ECD">
        <w:rPr>
          <w:rFonts w:cstheme="minorHAnsi"/>
          <w:sz w:val="24"/>
          <w:szCs w:val="24"/>
        </w:rPr>
        <w:t>(26)</w:t>
      </w:r>
      <w:r w:rsidR="0092147C" w:rsidRPr="00660ECD">
        <w:rPr>
          <w:rFonts w:cstheme="minorHAnsi"/>
          <w:sz w:val="24"/>
          <w:szCs w:val="24"/>
        </w:rPr>
        <w:fldChar w:fldCharType="end"/>
      </w:r>
      <w:r w:rsidR="00DC266E" w:rsidRPr="00660ECD">
        <w:rPr>
          <w:rFonts w:cstheme="minorHAnsi"/>
          <w:sz w:val="24"/>
          <w:szCs w:val="24"/>
        </w:rPr>
        <w:t>.</w:t>
      </w:r>
    </w:p>
    <w:p w14:paraId="2D1B5434" w14:textId="2F269504" w:rsidR="008A0EC7" w:rsidRPr="00660ECD" w:rsidRDefault="00A71FB6" w:rsidP="00660ECD">
      <w:pPr>
        <w:spacing w:after="100" w:afterAutospacing="1" w:line="360" w:lineRule="auto"/>
        <w:rPr>
          <w:rFonts w:cstheme="minorHAnsi"/>
          <w:b/>
          <w:bCs/>
          <w:sz w:val="24"/>
          <w:szCs w:val="24"/>
        </w:rPr>
      </w:pPr>
      <w:r>
        <w:rPr>
          <w:rFonts w:cstheme="minorHAnsi"/>
          <w:b/>
          <w:bCs/>
          <w:sz w:val="24"/>
          <w:szCs w:val="24"/>
        </w:rPr>
        <w:t>Medications</w:t>
      </w:r>
      <w:r w:rsidR="003F01CB">
        <w:rPr>
          <w:rFonts w:cstheme="minorHAnsi"/>
          <w:b/>
          <w:bCs/>
          <w:sz w:val="24"/>
          <w:szCs w:val="24"/>
        </w:rPr>
        <w:t xml:space="preserve"> with m</w:t>
      </w:r>
      <w:r w:rsidR="008A0EC7" w:rsidRPr="00660ECD">
        <w:rPr>
          <w:rFonts w:cstheme="minorHAnsi"/>
          <w:b/>
          <w:bCs/>
          <w:sz w:val="24"/>
          <w:szCs w:val="24"/>
        </w:rPr>
        <w:t xml:space="preserve">onitoring </w:t>
      </w:r>
      <w:r w:rsidR="003F01CB">
        <w:rPr>
          <w:rFonts w:cstheme="minorHAnsi"/>
          <w:b/>
          <w:bCs/>
          <w:sz w:val="24"/>
          <w:szCs w:val="24"/>
        </w:rPr>
        <w:t>requirements</w:t>
      </w:r>
    </w:p>
    <w:p w14:paraId="1276B1FA" w14:textId="1985EC68" w:rsidR="00751D26" w:rsidRPr="00660ECD" w:rsidRDefault="000134EB" w:rsidP="00660ECD">
      <w:pPr>
        <w:spacing w:after="100" w:afterAutospacing="1" w:line="360" w:lineRule="auto"/>
        <w:rPr>
          <w:rFonts w:cstheme="minorHAnsi"/>
          <w:sz w:val="24"/>
          <w:szCs w:val="24"/>
        </w:rPr>
      </w:pPr>
      <w:r w:rsidRPr="00660ECD">
        <w:rPr>
          <w:rFonts w:cstheme="minorHAnsi"/>
          <w:sz w:val="24"/>
          <w:szCs w:val="24"/>
        </w:rPr>
        <w:t xml:space="preserve">Medications </w:t>
      </w:r>
      <w:r w:rsidR="00DE0B8F" w:rsidRPr="00660ECD">
        <w:rPr>
          <w:rFonts w:cstheme="minorHAnsi"/>
          <w:sz w:val="24"/>
          <w:szCs w:val="24"/>
        </w:rPr>
        <w:t xml:space="preserve">with the potential to cause severe adverse effects </w:t>
      </w:r>
      <w:r w:rsidR="00EA0486" w:rsidRPr="00660ECD">
        <w:rPr>
          <w:rFonts w:cstheme="minorHAnsi"/>
          <w:sz w:val="24"/>
          <w:szCs w:val="24"/>
        </w:rPr>
        <w:t>usually overlap with those that</w:t>
      </w:r>
      <w:r w:rsidR="00DE0B8F" w:rsidRPr="00660ECD">
        <w:rPr>
          <w:rFonts w:cstheme="minorHAnsi"/>
          <w:sz w:val="24"/>
          <w:szCs w:val="24"/>
        </w:rPr>
        <w:t xml:space="preserve"> </w:t>
      </w:r>
      <w:r w:rsidRPr="00660ECD">
        <w:rPr>
          <w:rFonts w:cstheme="minorHAnsi"/>
          <w:sz w:val="24"/>
          <w:szCs w:val="24"/>
        </w:rPr>
        <w:t>require specific or regular monitoring</w:t>
      </w:r>
      <w:r w:rsidR="00625EEE">
        <w:rPr>
          <w:rFonts w:cstheme="minorHAnsi"/>
          <w:sz w:val="24"/>
          <w:szCs w:val="24"/>
        </w:rPr>
        <w:t>.</w:t>
      </w:r>
      <w:r w:rsidR="00990D17" w:rsidRPr="00660ECD">
        <w:rPr>
          <w:rFonts w:cstheme="minorHAnsi"/>
          <w:sz w:val="24"/>
          <w:szCs w:val="24"/>
        </w:rPr>
        <w:t xml:space="preserve"> Some</w:t>
      </w:r>
      <w:r w:rsidR="0034425A" w:rsidRPr="00660ECD">
        <w:rPr>
          <w:rFonts w:cstheme="minorHAnsi"/>
          <w:sz w:val="24"/>
          <w:szCs w:val="24"/>
        </w:rPr>
        <w:t xml:space="preserve"> </w:t>
      </w:r>
      <w:r w:rsidR="00D87804" w:rsidRPr="00660ECD">
        <w:rPr>
          <w:rFonts w:cstheme="minorHAnsi"/>
          <w:sz w:val="24"/>
          <w:szCs w:val="24"/>
        </w:rPr>
        <w:t>high-risk medications</w:t>
      </w:r>
      <w:r w:rsidR="00D653E1" w:rsidRPr="00660ECD">
        <w:rPr>
          <w:rFonts w:cstheme="minorHAnsi"/>
          <w:sz w:val="24"/>
          <w:szCs w:val="24"/>
        </w:rPr>
        <w:t>, such as DMARDs,</w:t>
      </w:r>
      <w:r w:rsidR="00D87804" w:rsidRPr="00660ECD">
        <w:rPr>
          <w:rFonts w:cstheme="minorHAnsi"/>
          <w:sz w:val="24"/>
          <w:szCs w:val="24"/>
        </w:rPr>
        <w:t xml:space="preserve"> are managed under shared-care protocols</w:t>
      </w:r>
      <w:r w:rsidR="003E044D" w:rsidRPr="00660ECD">
        <w:rPr>
          <w:rFonts w:cstheme="minorHAnsi"/>
          <w:sz w:val="24"/>
          <w:szCs w:val="24"/>
        </w:rPr>
        <w:t xml:space="preserve">, </w:t>
      </w:r>
      <w:r w:rsidR="00C14599" w:rsidRPr="00660ECD">
        <w:rPr>
          <w:rFonts w:cstheme="minorHAnsi"/>
          <w:sz w:val="24"/>
          <w:szCs w:val="24"/>
        </w:rPr>
        <w:t>to</w:t>
      </w:r>
      <w:r w:rsidR="003E512E" w:rsidRPr="00660ECD">
        <w:rPr>
          <w:rFonts w:cstheme="minorHAnsi"/>
          <w:sz w:val="24"/>
          <w:szCs w:val="24"/>
        </w:rPr>
        <w:t xml:space="preserve"> enable safe </w:t>
      </w:r>
      <w:r w:rsidR="003E044D" w:rsidRPr="00660ECD">
        <w:rPr>
          <w:rFonts w:cstheme="minorHAnsi"/>
          <w:sz w:val="24"/>
          <w:szCs w:val="24"/>
        </w:rPr>
        <w:t xml:space="preserve">prescribing to continue in primary care once </w:t>
      </w:r>
      <w:r w:rsidR="00B86C4C" w:rsidRPr="00660ECD">
        <w:rPr>
          <w:rFonts w:cstheme="minorHAnsi"/>
          <w:sz w:val="24"/>
          <w:szCs w:val="24"/>
        </w:rPr>
        <w:t xml:space="preserve">treatment has been initiated by a hospital specialist. </w:t>
      </w:r>
      <w:r w:rsidR="005A26FA" w:rsidRPr="00660ECD">
        <w:rPr>
          <w:rFonts w:cstheme="minorHAnsi"/>
          <w:sz w:val="24"/>
          <w:szCs w:val="24"/>
        </w:rPr>
        <w:t>Shared</w:t>
      </w:r>
      <w:r w:rsidR="00625EEE">
        <w:rPr>
          <w:rFonts w:cstheme="minorHAnsi"/>
          <w:sz w:val="24"/>
          <w:szCs w:val="24"/>
        </w:rPr>
        <w:t>-</w:t>
      </w:r>
      <w:r w:rsidR="005A26FA" w:rsidRPr="00660ECD">
        <w:rPr>
          <w:rFonts w:cstheme="minorHAnsi"/>
          <w:sz w:val="24"/>
          <w:szCs w:val="24"/>
        </w:rPr>
        <w:t xml:space="preserve">care protocols are essential </w:t>
      </w:r>
      <w:r w:rsidR="00957467" w:rsidRPr="00660ECD">
        <w:rPr>
          <w:rFonts w:cstheme="minorHAnsi"/>
          <w:sz w:val="24"/>
          <w:szCs w:val="24"/>
        </w:rPr>
        <w:t xml:space="preserve">to </w:t>
      </w:r>
      <w:r w:rsidR="005C249D" w:rsidRPr="00660ECD">
        <w:rPr>
          <w:rFonts w:cstheme="minorHAnsi"/>
          <w:sz w:val="24"/>
          <w:szCs w:val="24"/>
        </w:rPr>
        <w:t xml:space="preserve">support effective prescribing and monitoring </w:t>
      </w:r>
      <w:r w:rsidR="00625EEE">
        <w:rPr>
          <w:rFonts w:cstheme="minorHAnsi"/>
          <w:sz w:val="24"/>
          <w:szCs w:val="24"/>
        </w:rPr>
        <w:t xml:space="preserve">and </w:t>
      </w:r>
      <w:r w:rsidR="005C249D" w:rsidRPr="00660ECD">
        <w:rPr>
          <w:rFonts w:cstheme="minorHAnsi"/>
          <w:sz w:val="24"/>
          <w:szCs w:val="24"/>
        </w:rPr>
        <w:t xml:space="preserve">improve patient safety </w:t>
      </w:r>
      <w:r w:rsidR="008221DA" w:rsidRPr="00660ECD">
        <w:rPr>
          <w:rFonts w:cstheme="minorHAnsi"/>
          <w:sz w:val="24"/>
          <w:szCs w:val="24"/>
        </w:rPr>
        <w:fldChar w:fldCharType="begin"/>
      </w:r>
      <w:r w:rsidR="008221DA" w:rsidRPr="00660ECD">
        <w:rPr>
          <w:rFonts w:cstheme="minorHAnsi"/>
          <w:sz w:val="24"/>
          <w:szCs w:val="24"/>
        </w:rPr>
        <w:instrText xml:space="preserve"> ADDIN ZOTERO_ITEM CSL_CITATION {"citationID":"asPE7GcC","properties":{"formattedCitation":"(27)","plainCitation":"(27)","noteIndex":0},"citationItems":[{"id":80,"uris":["http://zotero.org/users/local/3eWb7dOa/items/7HLWNU2E"],"itemData":{"id":80,"type":"post-weblog","abstract":"NHS England » Shared Care Protocols (SCPs)","language":"en-US","title":"NHS England » Shared Care Protocols (SCPs)","URL":"https://www.england.nhs.uk/publication/shared-care-protocols/","author":[{"family":"England","given":"N. H. S."}],"accessed":{"date-parts":[["2025",6,11]]},"issued":{"date-parts":[["2022",7,8]]}}}],"schema":"https://github.com/citation-style-language/schema/raw/master/csl-citation.json"} </w:instrText>
      </w:r>
      <w:r w:rsidR="008221DA" w:rsidRPr="00660ECD">
        <w:rPr>
          <w:rFonts w:cstheme="minorHAnsi"/>
          <w:sz w:val="24"/>
          <w:szCs w:val="24"/>
        </w:rPr>
        <w:fldChar w:fldCharType="separate"/>
      </w:r>
      <w:r w:rsidR="008221DA" w:rsidRPr="00660ECD">
        <w:rPr>
          <w:rFonts w:cstheme="minorHAnsi"/>
          <w:sz w:val="24"/>
          <w:szCs w:val="24"/>
        </w:rPr>
        <w:t>(27)</w:t>
      </w:r>
      <w:r w:rsidR="008221DA" w:rsidRPr="00660ECD">
        <w:rPr>
          <w:rFonts w:cstheme="minorHAnsi"/>
          <w:sz w:val="24"/>
          <w:szCs w:val="24"/>
        </w:rPr>
        <w:fldChar w:fldCharType="end"/>
      </w:r>
      <w:r w:rsidR="00625EEE">
        <w:rPr>
          <w:rFonts w:cstheme="minorHAnsi"/>
          <w:sz w:val="24"/>
          <w:szCs w:val="24"/>
        </w:rPr>
        <w:t>.</w:t>
      </w:r>
      <w:r w:rsidR="008221DA" w:rsidRPr="00660ECD">
        <w:rPr>
          <w:rFonts w:cstheme="minorHAnsi"/>
          <w:sz w:val="24"/>
          <w:szCs w:val="24"/>
        </w:rPr>
        <w:t xml:space="preserve"> </w:t>
      </w:r>
      <w:r w:rsidR="00625EEE">
        <w:rPr>
          <w:rFonts w:cstheme="minorHAnsi"/>
          <w:sz w:val="24"/>
          <w:szCs w:val="24"/>
        </w:rPr>
        <w:t>H</w:t>
      </w:r>
      <w:r w:rsidR="008221DA" w:rsidRPr="00660ECD">
        <w:rPr>
          <w:rFonts w:cstheme="minorHAnsi"/>
          <w:sz w:val="24"/>
          <w:szCs w:val="24"/>
        </w:rPr>
        <w:t xml:space="preserve">owever, </w:t>
      </w:r>
      <w:r w:rsidR="000951A0" w:rsidRPr="00660ECD">
        <w:rPr>
          <w:rFonts w:cstheme="minorHAnsi"/>
          <w:sz w:val="24"/>
          <w:szCs w:val="24"/>
        </w:rPr>
        <w:t>they are only effective if everyone involved understand</w:t>
      </w:r>
      <w:r w:rsidR="00FB0E72" w:rsidRPr="00660ECD">
        <w:rPr>
          <w:rFonts w:cstheme="minorHAnsi"/>
          <w:sz w:val="24"/>
          <w:szCs w:val="24"/>
        </w:rPr>
        <w:t>s and carries out</w:t>
      </w:r>
      <w:r w:rsidR="000951A0" w:rsidRPr="00660ECD">
        <w:rPr>
          <w:rFonts w:cstheme="minorHAnsi"/>
          <w:sz w:val="24"/>
          <w:szCs w:val="24"/>
        </w:rPr>
        <w:t xml:space="preserve"> their responsibilities. </w:t>
      </w:r>
    </w:p>
    <w:p w14:paraId="5C5900F7" w14:textId="34C7B4D4" w:rsidR="00F561D8" w:rsidRPr="00660ECD" w:rsidRDefault="00F561D8" w:rsidP="00660ECD">
      <w:pPr>
        <w:spacing w:after="100" w:afterAutospacing="1" w:line="360" w:lineRule="auto"/>
        <w:rPr>
          <w:rFonts w:cstheme="minorHAnsi"/>
          <w:sz w:val="24"/>
          <w:szCs w:val="24"/>
        </w:rPr>
      </w:pPr>
      <w:r w:rsidRPr="00660ECD">
        <w:rPr>
          <w:rFonts w:cstheme="minorHAnsi"/>
          <w:sz w:val="24"/>
          <w:szCs w:val="24"/>
        </w:rPr>
        <w:t>Most high-risk medications have specific monitoring requirements</w:t>
      </w:r>
      <w:r w:rsidR="00625EEE">
        <w:rPr>
          <w:rFonts w:cstheme="minorHAnsi"/>
          <w:sz w:val="24"/>
          <w:szCs w:val="24"/>
        </w:rPr>
        <w:t>.</w:t>
      </w:r>
      <w:r w:rsidRPr="00660ECD">
        <w:rPr>
          <w:rFonts w:cstheme="minorHAnsi"/>
          <w:sz w:val="24"/>
          <w:szCs w:val="24"/>
        </w:rPr>
        <w:t xml:space="preserve"> </w:t>
      </w:r>
      <w:r w:rsidR="00625EEE">
        <w:rPr>
          <w:rFonts w:cstheme="minorHAnsi"/>
          <w:sz w:val="24"/>
          <w:szCs w:val="24"/>
        </w:rPr>
        <w:t>T</w:t>
      </w:r>
      <w:r w:rsidRPr="00660ECD">
        <w:rPr>
          <w:rFonts w:cstheme="minorHAnsi"/>
          <w:sz w:val="24"/>
          <w:szCs w:val="24"/>
        </w:rPr>
        <w:t>he Specialist Pharmacy Service (SPS) ha</w:t>
      </w:r>
      <w:r w:rsidR="00625EEE">
        <w:rPr>
          <w:rFonts w:cstheme="minorHAnsi"/>
          <w:sz w:val="24"/>
          <w:szCs w:val="24"/>
        </w:rPr>
        <w:t>s</w:t>
      </w:r>
      <w:r w:rsidRPr="00660ECD">
        <w:rPr>
          <w:rFonts w:cstheme="minorHAnsi"/>
          <w:sz w:val="24"/>
          <w:szCs w:val="24"/>
        </w:rPr>
        <w:t xml:space="preserve"> produced a quick</w:t>
      </w:r>
      <w:r w:rsidR="00625EEE">
        <w:rPr>
          <w:rFonts w:cstheme="minorHAnsi"/>
          <w:sz w:val="24"/>
          <w:szCs w:val="24"/>
        </w:rPr>
        <w:t>-</w:t>
      </w:r>
      <w:r w:rsidRPr="00660ECD">
        <w:rPr>
          <w:rFonts w:cstheme="minorHAnsi"/>
          <w:sz w:val="24"/>
          <w:szCs w:val="24"/>
        </w:rPr>
        <w:t xml:space="preserve">reference summary of monitoring requirements for a range of medicines to support healthcare professionals </w:t>
      </w:r>
      <w:r w:rsidRPr="00660ECD">
        <w:rPr>
          <w:rFonts w:cstheme="minorHAnsi"/>
          <w:sz w:val="24"/>
          <w:szCs w:val="24"/>
        </w:rPr>
        <w:fldChar w:fldCharType="begin"/>
      </w:r>
      <w:r w:rsidRPr="00660ECD">
        <w:rPr>
          <w:rFonts w:cstheme="minorHAnsi"/>
          <w:sz w:val="24"/>
          <w:szCs w:val="24"/>
        </w:rPr>
        <w:instrText xml:space="preserve"> ADDIN ZOTERO_ITEM CSL_CITATION {"citationID":"xnlVselE","properties":{"formattedCitation":"(30)","plainCitation":"(30)","noteIndex":0},"citationItems":[{"id":71,"uris":["http://zotero.org/users/local/3eWb7dOa/items/KHSI55CM"],"itemData":{"id":71,"type":"webpage","abstract":"Summarised recommendations and guidance for medicines requiring monitoring to save you time when you're making monitoring decisions with patients","container-title":"SPS - Specialist Pharmacy Service","language":"en-GB","title":"Medicines Monitoring","URL":"https://www.sps.nhs.uk/home/tools/drug-monitoring/","accessed":{"date-parts":[["2025",6,11]]},"issued":{"date-parts":[["2021",7,26]]}}}],"schema":"https://github.com/citation-style-language/schema/raw/master/csl-citation.json"} </w:instrText>
      </w:r>
      <w:r w:rsidRPr="00660ECD">
        <w:rPr>
          <w:rFonts w:cstheme="minorHAnsi"/>
          <w:sz w:val="24"/>
          <w:szCs w:val="24"/>
        </w:rPr>
        <w:fldChar w:fldCharType="separate"/>
      </w:r>
      <w:r w:rsidRPr="00660ECD">
        <w:rPr>
          <w:rFonts w:cstheme="minorHAnsi"/>
          <w:sz w:val="24"/>
          <w:szCs w:val="24"/>
        </w:rPr>
        <w:t>(30)</w:t>
      </w:r>
      <w:r w:rsidRPr="00660ECD">
        <w:rPr>
          <w:rFonts w:cstheme="minorHAnsi"/>
          <w:sz w:val="24"/>
          <w:szCs w:val="24"/>
        </w:rPr>
        <w:fldChar w:fldCharType="end"/>
      </w:r>
      <w:r w:rsidRPr="00660ECD">
        <w:rPr>
          <w:rFonts w:cstheme="minorHAnsi"/>
          <w:sz w:val="24"/>
          <w:szCs w:val="24"/>
        </w:rPr>
        <w:t xml:space="preserve">. </w:t>
      </w:r>
    </w:p>
    <w:p w14:paraId="18309AB0" w14:textId="48B7931C" w:rsidR="00990D17" w:rsidRPr="00A71FB6" w:rsidRDefault="003F01CB" w:rsidP="00660ECD">
      <w:pPr>
        <w:spacing w:after="100" w:afterAutospacing="1" w:line="360" w:lineRule="auto"/>
        <w:rPr>
          <w:rFonts w:cstheme="minorHAnsi"/>
          <w:b/>
          <w:bCs/>
          <w:i/>
          <w:iCs/>
          <w:sz w:val="24"/>
          <w:szCs w:val="24"/>
        </w:rPr>
      </w:pPr>
      <w:r>
        <w:rPr>
          <w:rFonts w:cstheme="minorHAnsi"/>
          <w:b/>
          <w:bCs/>
          <w:i/>
          <w:iCs/>
          <w:sz w:val="24"/>
          <w:szCs w:val="24"/>
        </w:rPr>
        <w:t xml:space="preserve">Medication example: </w:t>
      </w:r>
      <w:r w:rsidR="00990D17" w:rsidRPr="00A71FB6">
        <w:rPr>
          <w:rFonts w:cstheme="minorHAnsi"/>
          <w:b/>
          <w:bCs/>
          <w:i/>
          <w:iCs/>
          <w:sz w:val="24"/>
          <w:szCs w:val="24"/>
        </w:rPr>
        <w:t>Clozapine</w:t>
      </w:r>
    </w:p>
    <w:p w14:paraId="5381DB34" w14:textId="0C5227CC" w:rsidR="00322D9E" w:rsidRPr="00660ECD" w:rsidRDefault="00EE673B" w:rsidP="00660ECD">
      <w:pPr>
        <w:spacing w:after="100" w:afterAutospacing="1" w:line="360" w:lineRule="auto"/>
        <w:rPr>
          <w:rFonts w:cstheme="minorHAnsi"/>
          <w:sz w:val="24"/>
          <w:szCs w:val="24"/>
        </w:rPr>
      </w:pPr>
      <w:r w:rsidRPr="00660ECD">
        <w:rPr>
          <w:rFonts w:cstheme="minorHAnsi"/>
          <w:sz w:val="24"/>
          <w:szCs w:val="24"/>
        </w:rPr>
        <w:t xml:space="preserve">Clozapine is </w:t>
      </w:r>
      <w:r w:rsidR="00A11DB0" w:rsidRPr="00660ECD">
        <w:rPr>
          <w:rFonts w:cstheme="minorHAnsi"/>
          <w:sz w:val="24"/>
          <w:szCs w:val="24"/>
        </w:rPr>
        <w:t xml:space="preserve">an atypical antipsychotic </w:t>
      </w:r>
      <w:r w:rsidR="00EB6EAC">
        <w:rPr>
          <w:rFonts w:cstheme="minorHAnsi"/>
          <w:sz w:val="24"/>
          <w:szCs w:val="24"/>
        </w:rPr>
        <w:t xml:space="preserve">with </w:t>
      </w:r>
      <w:r w:rsidR="005E1A72" w:rsidRPr="00660ECD">
        <w:rPr>
          <w:rFonts w:cstheme="minorHAnsi"/>
          <w:sz w:val="24"/>
          <w:szCs w:val="24"/>
        </w:rPr>
        <w:t xml:space="preserve">particularly strict monitoring requirements. It is </w:t>
      </w:r>
      <w:r w:rsidR="002254D2" w:rsidRPr="00660ECD">
        <w:rPr>
          <w:rFonts w:cstheme="minorHAnsi"/>
          <w:sz w:val="24"/>
          <w:szCs w:val="24"/>
        </w:rPr>
        <w:t xml:space="preserve">effective </w:t>
      </w:r>
      <w:r w:rsidR="00A11DB0" w:rsidRPr="00660ECD">
        <w:rPr>
          <w:rFonts w:cstheme="minorHAnsi"/>
          <w:sz w:val="24"/>
          <w:szCs w:val="24"/>
        </w:rPr>
        <w:t xml:space="preserve">in the </w:t>
      </w:r>
      <w:r w:rsidR="00AC263C" w:rsidRPr="00660ECD">
        <w:rPr>
          <w:rFonts w:cstheme="minorHAnsi"/>
          <w:sz w:val="24"/>
          <w:szCs w:val="24"/>
        </w:rPr>
        <w:t xml:space="preserve">treatment of schizophrenia, but its use is restricted </w:t>
      </w:r>
      <w:r w:rsidR="00EB6EAC">
        <w:rPr>
          <w:rFonts w:cstheme="minorHAnsi"/>
          <w:sz w:val="24"/>
          <w:szCs w:val="24"/>
        </w:rPr>
        <w:t>because of</w:t>
      </w:r>
      <w:r w:rsidR="00CB43E4" w:rsidRPr="00660ECD">
        <w:rPr>
          <w:rFonts w:cstheme="minorHAnsi"/>
          <w:sz w:val="24"/>
          <w:szCs w:val="24"/>
        </w:rPr>
        <w:t xml:space="preserve"> the risk of serious blood dyscrasias</w:t>
      </w:r>
      <w:r w:rsidR="003C3626" w:rsidRPr="00660ECD">
        <w:rPr>
          <w:rFonts w:cstheme="minorHAnsi"/>
          <w:sz w:val="24"/>
          <w:szCs w:val="24"/>
        </w:rPr>
        <w:t xml:space="preserve"> </w:t>
      </w:r>
      <w:r w:rsidR="003C3626" w:rsidRPr="00660ECD">
        <w:rPr>
          <w:rFonts w:cstheme="minorHAnsi"/>
          <w:sz w:val="24"/>
          <w:szCs w:val="24"/>
        </w:rPr>
        <w:fldChar w:fldCharType="begin"/>
      </w:r>
      <w:r w:rsidR="008221DA" w:rsidRPr="00660ECD">
        <w:rPr>
          <w:rFonts w:cstheme="minorHAnsi"/>
          <w:sz w:val="24"/>
          <w:szCs w:val="24"/>
        </w:rPr>
        <w:instrText xml:space="preserve"> ADDIN ZOTERO_ITEM CSL_CITATION {"citationID":"LpfyYMTe","properties":{"formattedCitation":"(28)","plainCitation":"(28)","noteIndex":0},"citationItems":[{"id":73,"uris":["http://zotero.org/users/local/3eWb7dOa/items/APNMCTPF"],"itemData":{"id":73,"type":"post-weblog","abstract":"Clozapine is an atypical antipsychotic that is used for treatment-resistant schizophrenia. The drug is subject to strict monitoring requirements because it is associated with serious side effects, such as neutropenia, agranulocytosis, seizures, myocarditis and cardiomyopathy. The incidence of neutropenia among clozapine-treated patients is 2% and agranulocytosis 0.8%. Some 30–60% of patients with treatment-resistant schizophrenia will […]","container-title":"The Pharmaceutical Journal","language":"en-US","title":"How clozapine patients can be monitored safely and effectively","URL":"https://pharmaceutical-journal.com/article/ld/how-clozapine-patients-can-be-monitored-safely-and-effectively","author":[{"family":"Dixon","given":"Michael"},{"family":"Dada","given":"Caroline"}],"accessed":{"date-parts":[["2025",6,11]]},"issued":{"date-parts":[["2014",6,10]]}}}],"schema":"https://github.com/citation-style-language/schema/raw/master/csl-citation.json"} </w:instrText>
      </w:r>
      <w:r w:rsidR="003C3626" w:rsidRPr="00660ECD">
        <w:rPr>
          <w:rFonts w:cstheme="minorHAnsi"/>
          <w:sz w:val="24"/>
          <w:szCs w:val="24"/>
        </w:rPr>
        <w:fldChar w:fldCharType="separate"/>
      </w:r>
      <w:r w:rsidR="008221DA" w:rsidRPr="00660ECD">
        <w:rPr>
          <w:rFonts w:cstheme="minorHAnsi"/>
          <w:sz w:val="24"/>
          <w:szCs w:val="24"/>
        </w:rPr>
        <w:t>(28)</w:t>
      </w:r>
      <w:r w:rsidR="003C3626" w:rsidRPr="00660ECD">
        <w:rPr>
          <w:rFonts w:cstheme="minorHAnsi"/>
          <w:sz w:val="24"/>
          <w:szCs w:val="24"/>
        </w:rPr>
        <w:fldChar w:fldCharType="end"/>
      </w:r>
      <w:r w:rsidR="003C3626" w:rsidRPr="00660ECD">
        <w:rPr>
          <w:rFonts w:cstheme="minorHAnsi"/>
          <w:sz w:val="24"/>
          <w:szCs w:val="24"/>
        </w:rPr>
        <w:t xml:space="preserve">. </w:t>
      </w:r>
      <w:r w:rsidR="00E02C84" w:rsidRPr="00660ECD">
        <w:rPr>
          <w:rFonts w:cstheme="minorHAnsi"/>
          <w:sz w:val="24"/>
          <w:szCs w:val="24"/>
        </w:rPr>
        <w:t>Clozapine manufacturers in the UK have their own mandatory monitoring systems</w:t>
      </w:r>
      <w:r w:rsidR="00B67D03" w:rsidRPr="00660ECD">
        <w:rPr>
          <w:rFonts w:cstheme="minorHAnsi"/>
          <w:sz w:val="24"/>
          <w:szCs w:val="24"/>
        </w:rPr>
        <w:t xml:space="preserve"> to ensure patient safety</w:t>
      </w:r>
      <w:r w:rsidR="00E02C84" w:rsidRPr="00660ECD">
        <w:rPr>
          <w:rFonts w:cstheme="minorHAnsi"/>
          <w:sz w:val="24"/>
          <w:szCs w:val="24"/>
        </w:rPr>
        <w:t xml:space="preserve">, </w:t>
      </w:r>
      <w:r w:rsidR="00573E6E" w:rsidRPr="00660ECD">
        <w:rPr>
          <w:rFonts w:cstheme="minorHAnsi"/>
          <w:sz w:val="24"/>
          <w:szCs w:val="24"/>
        </w:rPr>
        <w:t xml:space="preserve">requiring blood tests at specific time intervals </w:t>
      </w:r>
      <w:r w:rsidR="00B67D03" w:rsidRPr="00660ECD">
        <w:rPr>
          <w:rFonts w:cstheme="minorHAnsi"/>
          <w:sz w:val="24"/>
          <w:szCs w:val="24"/>
        </w:rPr>
        <w:t>before providing</w:t>
      </w:r>
      <w:r w:rsidR="004D1363" w:rsidRPr="00660ECD">
        <w:rPr>
          <w:rFonts w:cstheme="minorHAnsi"/>
          <w:sz w:val="24"/>
          <w:szCs w:val="24"/>
        </w:rPr>
        <w:t xml:space="preserve"> further supply</w:t>
      </w:r>
      <w:r w:rsidR="006F14DC" w:rsidRPr="00660ECD">
        <w:rPr>
          <w:rFonts w:cstheme="minorHAnsi"/>
          <w:sz w:val="24"/>
          <w:szCs w:val="24"/>
        </w:rPr>
        <w:t xml:space="preserve"> </w:t>
      </w:r>
      <w:r w:rsidR="006F14DC" w:rsidRPr="00660ECD">
        <w:rPr>
          <w:rFonts w:cstheme="minorHAnsi"/>
          <w:sz w:val="24"/>
          <w:szCs w:val="24"/>
        </w:rPr>
        <w:fldChar w:fldCharType="begin"/>
      </w:r>
      <w:r w:rsidR="008221DA" w:rsidRPr="00660ECD">
        <w:rPr>
          <w:rFonts w:cstheme="minorHAnsi"/>
          <w:sz w:val="24"/>
          <w:szCs w:val="24"/>
        </w:rPr>
        <w:instrText xml:space="preserve"> ADDIN ZOTERO_ITEM CSL_CITATION {"citationID":"fV9yA5I1","properties":{"formattedCitation":"(28)","plainCitation":"(28)","noteIndex":0},"citationItems":[{"id":73,"uris":["http://zotero.org/users/local/3eWb7dOa/items/APNMCTPF"],"itemData":{"id":73,"type":"post-weblog","abstract":"Clozapine is an atypical antipsychotic that is used for treatment-resistant schizophrenia. The drug is subject to strict monitoring requirements because it is associated with serious side effects, such as neutropenia, agranulocytosis, seizures, myocarditis and cardiomyopathy. The incidence of neutropenia among clozapine-treated patients is 2% and agranulocytosis 0.8%. Some 30–60% of patients with treatment-resistant schizophrenia will […]","container-title":"The Pharmaceutical Journal","language":"en-US","title":"How clozapine patients can be monitored safely and effectively","URL":"https://pharmaceutical-journal.com/article/ld/how-clozapine-patients-can-be-monitored-safely-and-effectively","author":[{"family":"Dixon","given":"Michael"},{"family":"Dada","given":"Caroline"}],"accessed":{"date-parts":[["2025",6,11]]},"issued":{"date-parts":[["2014",6,10]]}}}],"schema":"https://github.com/citation-style-language/schema/raw/master/csl-citation.json"} </w:instrText>
      </w:r>
      <w:r w:rsidR="006F14DC" w:rsidRPr="00660ECD">
        <w:rPr>
          <w:rFonts w:cstheme="minorHAnsi"/>
          <w:sz w:val="24"/>
          <w:szCs w:val="24"/>
        </w:rPr>
        <w:fldChar w:fldCharType="separate"/>
      </w:r>
      <w:r w:rsidR="008221DA" w:rsidRPr="00660ECD">
        <w:rPr>
          <w:rFonts w:cstheme="minorHAnsi"/>
          <w:sz w:val="24"/>
          <w:szCs w:val="24"/>
        </w:rPr>
        <w:t>(28)</w:t>
      </w:r>
      <w:r w:rsidR="006F14DC" w:rsidRPr="00660ECD">
        <w:rPr>
          <w:rFonts w:cstheme="minorHAnsi"/>
          <w:sz w:val="24"/>
          <w:szCs w:val="24"/>
        </w:rPr>
        <w:fldChar w:fldCharType="end"/>
      </w:r>
      <w:r w:rsidR="006F14DC" w:rsidRPr="00660ECD">
        <w:rPr>
          <w:rFonts w:cstheme="minorHAnsi"/>
          <w:sz w:val="24"/>
          <w:szCs w:val="24"/>
        </w:rPr>
        <w:t xml:space="preserve">. </w:t>
      </w:r>
      <w:r w:rsidR="00B67D03" w:rsidRPr="00660ECD">
        <w:rPr>
          <w:rFonts w:cstheme="minorHAnsi"/>
          <w:sz w:val="24"/>
          <w:szCs w:val="24"/>
        </w:rPr>
        <w:t>However, p</w:t>
      </w:r>
      <w:r w:rsidR="006F14DC" w:rsidRPr="00660ECD">
        <w:rPr>
          <w:rFonts w:cstheme="minorHAnsi"/>
          <w:sz w:val="24"/>
          <w:szCs w:val="24"/>
        </w:rPr>
        <w:t xml:space="preserve">atient harm </w:t>
      </w:r>
      <w:r w:rsidR="0043670F" w:rsidRPr="00660ECD">
        <w:rPr>
          <w:rFonts w:cstheme="minorHAnsi"/>
          <w:sz w:val="24"/>
          <w:szCs w:val="24"/>
        </w:rPr>
        <w:t xml:space="preserve">can still </w:t>
      </w:r>
      <w:r w:rsidR="009466C7" w:rsidRPr="00660ECD">
        <w:rPr>
          <w:rFonts w:cstheme="minorHAnsi"/>
          <w:sz w:val="24"/>
          <w:szCs w:val="24"/>
        </w:rPr>
        <w:t xml:space="preserve">occur when clinical decisions are </w:t>
      </w:r>
      <w:r w:rsidR="00F56C5E" w:rsidRPr="00660ECD">
        <w:rPr>
          <w:rFonts w:cstheme="minorHAnsi"/>
          <w:sz w:val="24"/>
          <w:szCs w:val="24"/>
        </w:rPr>
        <w:t xml:space="preserve">being made by healthcare professionals </w:t>
      </w:r>
      <w:r w:rsidR="00EB6EAC">
        <w:rPr>
          <w:rFonts w:cstheme="minorHAnsi"/>
          <w:sz w:val="24"/>
          <w:szCs w:val="24"/>
        </w:rPr>
        <w:t>who</w:t>
      </w:r>
      <w:r w:rsidR="00EB6EAC" w:rsidRPr="00660ECD">
        <w:rPr>
          <w:rFonts w:cstheme="minorHAnsi"/>
          <w:sz w:val="24"/>
          <w:szCs w:val="24"/>
        </w:rPr>
        <w:t xml:space="preserve"> </w:t>
      </w:r>
      <w:r w:rsidR="00F56C5E" w:rsidRPr="00660ECD">
        <w:rPr>
          <w:rFonts w:cstheme="minorHAnsi"/>
          <w:sz w:val="24"/>
          <w:szCs w:val="24"/>
        </w:rPr>
        <w:t xml:space="preserve">are unfamiliar with the </w:t>
      </w:r>
      <w:r w:rsidR="00053F3D" w:rsidRPr="00660ECD">
        <w:rPr>
          <w:rFonts w:cstheme="minorHAnsi"/>
          <w:sz w:val="24"/>
          <w:szCs w:val="24"/>
        </w:rPr>
        <w:t>risks associated with clozapine</w:t>
      </w:r>
      <w:r w:rsidR="00302FFF" w:rsidRPr="00660ECD">
        <w:rPr>
          <w:rFonts w:cstheme="minorHAnsi"/>
          <w:sz w:val="24"/>
          <w:szCs w:val="24"/>
        </w:rPr>
        <w:t>;</w:t>
      </w:r>
      <w:r w:rsidR="007B2D99" w:rsidRPr="00660ECD">
        <w:rPr>
          <w:rFonts w:cstheme="minorHAnsi"/>
          <w:sz w:val="24"/>
          <w:szCs w:val="24"/>
        </w:rPr>
        <w:t xml:space="preserve"> f</w:t>
      </w:r>
      <w:r w:rsidR="007006E5" w:rsidRPr="00660ECD">
        <w:rPr>
          <w:rFonts w:cstheme="minorHAnsi"/>
          <w:sz w:val="24"/>
          <w:szCs w:val="24"/>
        </w:rPr>
        <w:t xml:space="preserve">ailure to understand </w:t>
      </w:r>
      <w:r w:rsidR="00D701DB" w:rsidRPr="00660ECD">
        <w:rPr>
          <w:rFonts w:cstheme="minorHAnsi"/>
          <w:sz w:val="24"/>
          <w:szCs w:val="24"/>
        </w:rPr>
        <w:t>and</w:t>
      </w:r>
      <w:r w:rsidR="007006E5" w:rsidRPr="00660ECD">
        <w:rPr>
          <w:rFonts w:cstheme="minorHAnsi"/>
          <w:sz w:val="24"/>
          <w:szCs w:val="24"/>
        </w:rPr>
        <w:t xml:space="preserve"> comply with the monitoring requirements for clozapine can lead to </w:t>
      </w:r>
      <w:r w:rsidR="002137E9" w:rsidRPr="00660ECD">
        <w:rPr>
          <w:rFonts w:cstheme="minorHAnsi"/>
          <w:sz w:val="24"/>
          <w:szCs w:val="24"/>
        </w:rPr>
        <w:t xml:space="preserve">clozapine-related toxicity </w:t>
      </w:r>
      <w:r w:rsidR="00EB6EAC">
        <w:rPr>
          <w:rFonts w:cstheme="minorHAnsi"/>
          <w:sz w:val="24"/>
          <w:szCs w:val="24"/>
        </w:rPr>
        <w:t xml:space="preserve">and </w:t>
      </w:r>
      <w:r w:rsidR="006D0FBE" w:rsidRPr="00660ECD">
        <w:rPr>
          <w:rFonts w:cstheme="minorHAnsi"/>
          <w:sz w:val="24"/>
          <w:szCs w:val="24"/>
        </w:rPr>
        <w:t xml:space="preserve">adverse effects, or </w:t>
      </w:r>
      <w:r w:rsidR="005643E9" w:rsidRPr="00660ECD">
        <w:rPr>
          <w:rFonts w:cstheme="minorHAnsi"/>
          <w:sz w:val="24"/>
          <w:szCs w:val="24"/>
        </w:rPr>
        <w:t>unintentional missed doses or discontinuation</w:t>
      </w:r>
      <w:r w:rsidR="00D701DB" w:rsidRPr="00660ECD">
        <w:rPr>
          <w:rFonts w:cstheme="minorHAnsi"/>
          <w:sz w:val="24"/>
          <w:szCs w:val="24"/>
        </w:rPr>
        <w:t xml:space="preserve"> </w:t>
      </w:r>
      <w:r w:rsidR="00D701DB" w:rsidRPr="00660ECD">
        <w:rPr>
          <w:rFonts w:cstheme="minorHAnsi"/>
          <w:sz w:val="24"/>
          <w:szCs w:val="24"/>
        </w:rPr>
        <w:fldChar w:fldCharType="begin"/>
      </w:r>
      <w:r w:rsidR="008221DA" w:rsidRPr="00660ECD">
        <w:rPr>
          <w:rFonts w:cstheme="minorHAnsi"/>
          <w:sz w:val="24"/>
          <w:szCs w:val="24"/>
        </w:rPr>
        <w:instrText xml:space="preserve"> ADDIN ZOTERO_ITEM CSL_CITATION {"citationID":"oC4EWvrG","properties":{"formattedCitation":"(29)","plainCitation":"(29)","noteIndex":0},"citationItems":[{"id":74,"uris":["http://zotero.org/users/local/3eWb7dOa/items/ETVF5IWQ"],"itemData":{"id":74,"type":"webpage","abstract":"Healthcare professionals in non-specialist services managing patients prescribed clozapine should implement safe practice principles to prevent potential harms.","container-title":"SPS - Specialist Pharmacy Service","language":"en-GB","title":"Managing the risks associated with patients prescribed clozapine","URL":"https://www.sps.nhs.uk/articles/managing-the-risks-associated-with-patients-prescribed-clozapine/","accessed":{"date-parts":[["2025",6,11]]},"issued":{"date-parts":[["2024",6,28]]}}}],"schema":"https://github.com/citation-style-language/schema/raw/master/csl-citation.json"} </w:instrText>
      </w:r>
      <w:r w:rsidR="00D701DB" w:rsidRPr="00660ECD">
        <w:rPr>
          <w:rFonts w:cstheme="minorHAnsi"/>
          <w:sz w:val="24"/>
          <w:szCs w:val="24"/>
        </w:rPr>
        <w:fldChar w:fldCharType="separate"/>
      </w:r>
      <w:r w:rsidR="008221DA" w:rsidRPr="00660ECD">
        <w:rPr>
          <w:rFonts w:cstheme="minorHAnsi"/>
          <w:sz w:val="24"/>
          <w:szCs w:val="24"/>
        </w:rPr>
        <w:t>(29)</w:t>
      </w:r>
      <w:r w:rsidR="00D701DB" w:rsidRPr="00660ECD">
        <w:rPr>
          <w:rFonts w:cstheme="minorHAnsi"/>
          <w:sz w:val="24"/>
          <w:szCs w:val="24"/>
        </w:rPr>
        <w:fldChar w:fldCharType="end"/>
      </w:r>
      <w:r w:rsidR="008855F3" w:rsidRPr="00660ECD">
        <w:rPr>
          <w:rFonts w:cstheme="minorHAnsi"/>
          <w:sz w:val="24"/>
          <w:szCs w:val="24"/>
        </w:rPr>
        <w:t xml:space="preserve">. </w:t>
      </w:r>
      <w:r w:rsidR="0065074E" w:rsidRPr="00660ECD">
        <w:rPr>
          <w:rFonts w:cstheme="minorHAnsi"/>
          <w:sz w:val="24"/>
          <w:szCs w:val="24"/>
        </w:rPr>
        <w:t xml:space="preserve">An important </w:t>
      </w:r>
      <w:r w:rsidR="00322D9E" w:rsidRPr="00660ECD">
        <w:rPr>
          <w:rFonts w:cstheme="minorHAnsi"/>
          <w:sz w:val="24"/>
          <w:szCs w:val="24"/>
        </w:rPr>
        <w:t xml:space="preserve">role for pharmacists is understanding the need to establish the following information for patients </w:t>
      </w:r>
      <w:r w:rsidR="00BE7668" w:rsidRPr="00660ECD">
        <w:rPr>
          <w:rFonts w:cstheme="minorHAnsi"/>
          <w:sz w:val="24"/>
          <w:szCs w:val="24"/>
        </w:rPr>
        <w:t>prescribed</w:t>
      </w:r>
      <w:r w:rsidR="00322D9E" w:rsidRPr="00660ECD">
        <w:rPr>
          <w:rFonts w:cstheme="minorHAnsi"/>
          <w:sz w:val="24"/>
          <w:szCs w:val="24"/>
        </w:rPr>
        <w:t xml:space="preserve"> clozapine</w:t>
      </w:r>
      <w:r w:rsidR="006B62B8" w:rsidRPr="00660ECD">
        <w:rPr>
          <w:rFonts w:cstheme="minorHAnsi"/>
          <w:sz w:val="24"/>
          <w:szCs w:val="24"/>
        </w:rPr>
        <w:t xml:space="preserve"> </w:t>
      </w:r>
      <w:r w:rsidR="006B62B8" w:rsidRPr="00660ECD">
        <w:rPr>
          <w:rFonts w:cstheme="minorHAnsi"/>
          <w:sz w:val="24"/>
          <w:szCs w:val="24"/>
        </w:rPr>
        <w:fldChar w:fldCharType="begin"/>
      </w:r>
      <w:r w:rsidR="008221DA" w:rsidRPr="00660ECD">
        <w:rPr>
          <w:rFonts w:cstheme="minorHAnsi"/>
          <w:sz w:val="24"/>
          <w:szCs w:val="24"/>
        </w:rPr>
        <w:instrText xml:space="preserve"> ADDIN ZOTERO_ITEM CSL_CITATION {"citationID":"SBLsZ2aZ","properties":{"formattedCitation":"(28,29)","plainCitation":"(28,29)","noteIndex":0},"citationItems":[{"id":73,"uris":["http://zotero.org/users/local/3eWb7dOa/items/APNMCTPF"],"itemData":{"id":73,"type":"post-weblog","abstract":"Clozapine is an atypical antipsychotic that is used for treatment-resistant schizophrenia. The drug is subject to strict monitoring requirements because it is associated with serious side effects, such as neutropenia, agranulocytosis, seizures, myocarditis and cardiomyopathy. The incidence of neutropenia among clozapine-treated patients is 2% and agranulocytosis 0.8%. Some 30–60% of patients with treatment-resistant schizophrenia will […]","container-title":"The Pharmaceutical Journal","language":"en-US","title":"How clozapine patients can be monitored safely and effectively","URL":"https://pharmaceutical-journal.com/article/ld/how-clozapine-patients-can-be-monitored-safely-and-effectively","author":[{"family":"Dixon","given":"Michael"},{"family":"Dada","given":"Caroline"}],"accessed":{"date-parts":[["2025",6,11]]},"issued":{"date-parts":[["2014",6,10]]}}},{"id":74,"uris":["http://zotero.org/users/local/3eWb7dOa/items/ETVF5IWQ"],"itemData":{"id":74,"type":"webpage","abstract":"Healthcare professionals in non-specialist services managing patients prescribed clozapine should implement safe practice principles to prevent potential harms.","container-title":"SPS - Specialist Pharmacy Service","language":"en-GB","title":"Managing the risks associated with patients prescribed clozapine","URL":"https://www.sps.nhs.uk/articles/managing-the-risks-associated-with-patients-prescribed-clozapine/","accessed":{"date-parts":[["2025",6,11]]},"issued":{"date-parts":[["2024",6,28]]}}}],"schema":"https://github.com/citation-style-language/schema/raw/master/csl-citation.json"} </w:instrText>
      </w:r>
      <w:r w:rsidR="006B62B8" w:rsidRPr="00660ECD">
        <w:rPr>
          <w:rFonts w:cstheme="minorHAnsi"/>
          <w:sz w:val="24"/>
          <w:szCs w:val="24"/>
        </w:rPr>
        <w:fldChar w:fldCharType="separate"/>
      </w:r>
      <w:r w:rsidR="008221DA" w:rsidRPr="00660ECD">
        <w:rPr>
          <w:rFonts w:cstheme="minorHAnsi"/>
          <w:sz w:val="24"/>
          <w:szCs w:val="24"/>
        </w:rPr>
        <w:t>(28,29)</w:t>
      </w:r>
      <w:r w:rsidR="006B62B8" w:rsidRPr="00660ECD">
        <w:rPr>
          <w:rFonts w:cstheme="minorHAnsi"/>
          <w:sz w:val="24"/>
          <w:szCs w:val="24"/>
        </w:rPr>
        <w:fldChar w:fldCharType="end"/>
      </w:r>
      <w:r w:rsidR="00322D9E" w:rsidRPr="00660ECD">
        <w:rPr>
          <w:rFonts w:cstheme="minorHAnsi"/>
          <w:sz w:val="24"/>
          <w:szCs w:val="24"/>
        </w:rPr>
        <w:t>:</w:t>
      </w:r>
    </w:p>
    <w:p w14:paraId="70CA2AC7" w14:textId="7B912936" w:rsidR="00322D9E" w:rsidRPr="00660ECD" w:rsidRDefault="00322D9E" w:rsidP="00660ECD">
      <w:pPr>
        <w:pStyle w:val="ListParagraph"/>
        <w:numPr>
          <w:ilvl w:val="0"/>
          <w:numId w:val="7"/>
        </w:numPr>
        <w:spacing w:after="100" w:afterAutospacing="1" w:line="360" w:lineRule="auto"/>
        <w:contextualSpacing w:val="0"/>
        <w:rPr>
          <w:rFonts w:cstheme="minorHAnsi"/>
          <w:sz w:val="24"/>
          <w:szCs w:val="24"/>
        </w:rPr>
      </w:pPr>
      <w:r w:rsidRPr="00660ECD">
        <w:rPr>
          <w:rFonts w:cstheme="minorHAnsi"/>
          <w:sz w:val="24"/>
          <w:szCs w:val="24"/>
        </w:rPr>
        <w:t xml:space="preserve">Brand (and </w:t>
      </w:r>
      <w:r w:rsidR="00993851" w:rsidRPr="00660ECD">
        <w:rPr>
          <w:rFonts w:cstheme="minorHAnsi"/>
          <w:sz w:val="24"/>
          <w:szCs w:val="24"/>
        </w:rPr>
        <w:t>monitoring system</w:t>
      </w:r>
      <w:proofErr w:type="gramStart"/>
      <w:r w:rsidR="00993851" w:rsidRPr="00660ECD">
        <w:rPr>
          <w:rFonts w:cstheme="minorHAnsi"/>
          <w:sz w:val="24"/>
          <w:szCs w:val="24"/>
        </w:rPr>
        <w:t>)</w:t>
      </w:r>
      <w:r w:rsidR="00EB6EAC">
        <w:rPr>
          <w:rFonts w:cstheme="minorHAnsi"/>
          <w:sz w:val="24"/>
          <w:szCs w:val="24"/>
        </w:rPr>
        <w:t>;</w:t>
      </w:r>
      <w:proofErr w:type="gramEnd"/>
    </w:p>
    <w:p w14:paraId="2597A156" w14:textId="7E0AF5B4" w:rsidR="00322D9E" w:rsidRPr="00660ECD" w:rsidRDefault="00322D9E" w:rsidP="00660ECD">
      <w:pPr>
        <w:pStyle w:val="ListParagraph"/>
        <w:numPr>
          <w:ilvl w:val="0"/>
          <w:numId w:val="7"/>
        </w:numPr>
        <w:spacing w:after="100" w:afterAutospacing="1" w:line="360" w:lineRule="auto"/>
        <w:contextualSpacing w:val="0"/>
        <w:rPr>
          <w:rFonts w:cstheme="minorHAnsi"/>
          <w:sz w:val="24"/>
          <w:szCs w:val="24"/>
        </w:rPr>
      </w:pPr>
      <w:r w:rsidRPr="00660ECD">
        <w:rPr>
          <w:rFonts w:cstheme="minorHAnsi"/>
          <w:sz w:val="24"/>
          <w:szCs w:val="24"/>
        </w:rPr>
        <w:lastRenderedPageBreak/>
        <w:t xml:space="preserve">Current </w:t>
      </w:r>
      <w:proofErr w:type="gramStart"/>
      <w:r w:rsidRPr="00660ECD">
        <w:rPr>
          <w:rFonts w:cstheme="minorHAnsi"/>
          <w:sz w:val="24"/>
          <w:szCs w:val="24"/>
        </w:rPr>
        <w:t>dose</w:t>
      </w:r>
      <w:r w:rsidR="00EB6EAC">
        <w:rPr>
          <w:rFonts w:cstheme="minorHAnsi"/>
          <w:sz w:val="24"/>
          <w:szCs w:val="24"/>
        </w:rPr>
        <w:t>;</w:t>
      </w:r>
      <w:proofErr w:type="gramEnd"/>
    </w:p>
    <w:p w14:paraId="0B84E8B2" w14:textId="437EAEF6" w:rsidR="00993851" w:rsidRPr="00660ECD" w:rsidRDefault="00993851" w:rsidP="00660ECD">
      <w:pPr>
        <w:pStyle w:val="ListParagraph"/>
        <w:numPr>
          <w:ilvl w:val="0"/>
          <w:numId w:val="7"/>
        </w:numPr>
        <w:spacing w:after="100" w:afterAutospacing="1" w:line="360" w:lineRule="auto"/>
        <w:contextualSpacing w:val="0"/>
        <w:rPr>
          <w:rFonts w:cstheme="minorHAnsi"/>
          <w:sz w:val="24"/>
          <w:szCs w:val="24"/>
        </w:rPr>
      </w:pPr>
      <w:r w:rsidRPr="00660ECD">
        <w:rPr>
          <w:rFonts w:cstheme="minorHAnsi"/>
          <w:sz w:val="24"/>
          <w:szCs w:val="24"/>
        </w:rPr>
        <w:t xml:space="preserve">Adherence </w:t>
      </w:r>
      <w:r w:rsidR="00323A4F" w:rsidRPr="00660ECD">
        <w:rPr>
          <w:rFonts w:cstheme="minorHAnsi"/>
          <w:sz w:val="24"/>
          <w:szCs w:val="24"/>
        </w:rPr>
        <w:t>(missed doses for more than 48 hours require re-titration</w:t>
      </w:r>
      <w:proofErr w:type="gramStart"/>
      <w:r w:rsidR="00323A4F" w:rsidRPr="00660ECD">
        <w:rPr>
          <w:rFonts w:cstheme="minorHAnsi"/>
          <w:sz w:val="24"/>
          <w:szCs w:val="24"/>
        </w:rPr>
        <w:t>)</w:t>
      </w:r>
      <w:r w:rsidR="00EB6EAC">
        <w:rPr>
          <w:rFonts w:cstheme="minorHAnsi"/>
          <w:sz w:val="24"/>
          <w:szCs w:val="24"/>
        </w:rPr>
        <w:t>;</w:t>
      </w:r>
      <w:proofErr w:type="gramEnd"/>
    </w:p>
    <w:p w14:paraId="543342C6" w14:textId="22F9C86A" w:rsidR="009A3995" w:rsidRPr="00660ECD" w:rsidRDefault="009A3995" w:rsidP="00660ECD">
      <w:pPr>
        <w:pStyle w:val="ListParagraph"/>
        <w:numPr>
          <w:ilvl w:val="0"/>
          <w:numId w:val="7"/>
        </w:numPr>
        <w:spacing w:after="100" w:afterAutospacing="1" w:line="360" w:lineRule="auto"/>
        <w:contextualSpacing w:val="0"/>
        <w:rPr>
          <w:rFonts w:cstheme="minorHAnsi"/>
          <w:sz w:val="24"/>
          <w:szCs w:val="24"/>
        </w:rPr>
      </w:pPr>
      <w:r w:rsidRPr="00660ECD">
        <w:rPr>
          <w:rFonts w:cstheme="minorHAnsi"/>
          <w:sz w:val="24"/>
          <w:szCs w:val="24"/>
        </w:rPr>
        <w:t>Date of last FBC</w:t>
      </w:r>
      <w:r w:rsidR="00BE7668" w:rsidRPr="00660ECD">
        <w:rPr>
          <w:rFonts w:cstheme="minorHAnsi"/>
          <w:sz w:val="24"/>
          <w:szCs w:val="24"/>
        </w:rPr>
        <w:t xml:space="preserve"> </w:t>
      </w:r>
      <w:r w:rsidR="00784C63" w:rsidRPr="00660ECD">
        <w:rPr>
          <w:rFonts w:cstheme="minorHAnsi"/>
          <w:sz w:val="24"/>
          <w:szCs w:val="24"/>
        </w:rPr>
        <w:t xml:space="preserve">and required </w:t>
      </w:r>
      <w:proofErr w:type="gramStart"/>
      <w:r w:rsidR="00784C63" w:rsidRPr="00660ECD">
        <w:rPr>
          <w:rFonts w:cstheme="minorHAnsi"/>
          <w:sz w:val="24"/>
          <w:szCs w:val="24"/>
        </w:rPr>
        <w:t>frequency</w:t>
      </w:r>
      <w:r w:rsidR="00EB6EAC">
        <w:rPr>
          <w:rFonts w:cstheme="minorHAnsi"/>
          <w:sz w:val="24"/>
          <w:szCs w:val="24"/>
        </w:rPr>
        <w:t>;</w:t>
      </w:r>
      <w:proofErr w:type="gramEnd"/>
    </w:p>
    <w:p w14:paraId="0B0CAE8D" w14:textId="5CFC76D9" w:rsidR="00BB6742" w:rsidRPr="00660ECD" w:rsidRDefault="00BB6742" w:rsidP="00660ECD">
      <w:pPr>
        <w:pStyle w:val="ListParagraph"/>
        <w:numPr>
          <w:ilvl w:val="0"/>
          <w:numId w:val="7"/>
        </w:numPr>
        <w:spacing w:after="100" w:afterAutospacing="1" w:line="360" w:lineRule="auto"/>
        <w:contextualSpacing w:val="0"/>
        <w:rPr>
          <w:rFonts w:cstheme="minorHAnsi"/>
          <w:sz w:val="24"/>
          <w:szCs w:val="24"/>
        </w:rPr>
      </w:pPr>
      <w:r w:rsidRPr="00660ECD">
        <w:rPr>
          <w:rFonts w:cstheme="minorHAnsi"/>
          <w:sz w:val="24"/>
          <w:szCs w:val="24"/>
        </w:rPr>
        <w:t xml:space="preserve">Signs of toxicity </w:t>
      </w:r>
      <w:r w:rsidR="00EB6EAC">
        <w:rPr>
          <w:rFonts w:cstheme="minorHAnsi"/>
          <w:sz w:val="24"/>
          <w:szCs w:val="24"/>
        </w:rPr>
        <w:t>(</w:t>
      </w:r>
      <w:r w:rsidRPr="00660ECD">
        <w:rPr>
          <w:rFonts w:cstheme="minorHAnsi"/>
          <w:sz w:val="24"/>
          <w:szCs w:val="24"/>
        </w:rPr>
        <w:t>e.g. constipation, sore throat</w:t>
      </w:r>
      <w:proofErr w:type="gramStart"/>
      <w:r w:rsidR="00EB6EAC">
        <w:rPr>
          <w:rFonts w:cstheme="minorHAnsi"/>
          <w:sz w:val="24"/>
          <w:szCs w:val="24"/>
        </w:rPr>
        <w:t>);</w:t>
      </w:r>
      <w:proofErr w:type="gramEnd"/>
    </w:p>
    <w:p w14:paraId="03EA3A07" w14:textId="428C5958" w:rsidR="00BB6742" w:rsidRPr="00660ECD" w:rsidRDefault="00BC361F" w:rsidP="00660ECD">
      <w:pPr>
        <w:pStyle w:val="ListParagraph"/>
        <w:numPr>
          <w:ilvl w:val="0"/>
          <w:numId w:val="7"/>
        </w:numPr>
        <w:spacing w:after="100" w:afterAutospacing="1" w:line="360" w:lineRule="auto"/>
        <w:contextualSpacing w:val="0"/>
        <w:rPr>
          <w:rFonts w:cstheme="minorHAnsi"/>
          <w:sz w:val="24"/>
          <w:szCs w:val="24"/>
        </w:rPr>
      </w:pPr>
      <w:r w:rsidRPr="00660ECD">
        <w:rPr>
          <w:rFonts w:cstheme="minorHAnsi"/>
          <w:sz w:val="24"/>
          <w:szCs w:val="24"/>
        </w:rPr>
        <w:t>Impact of i</w:t>
      </w:r>
      <w:r w:rsidR="00F956E6" w:rsidRPr="00660ECD">
        <w:rPr>
          <w:rFonts w:cstheme="minorHAnsi"/>
          <w:sz w:val="24"/>
          <w:szCs w:val="24"/>
        </w:rPr>
        <w:t xml:space="preserve">nteracting medications </w:t>
      </w:r>
      <w:r w:rsidRPr="00660ECD">
        <w:rPr>
          <w:rFonts w:cstheme="minorHAnsi"/>
          <w:sz w:val="24"/>
          <w:szCs w:val="24"/>
        </w:rPr>
        <w:t xml:space="preserve">on clozapine </w:t>
      </w:r>
      <w:proofErr w:type="gramStart"/>
      <w:r w:rsidRPr="00660ECD">
        <w:rPr>
          <w:rFonts w:cstheme="minorHAnsi"/>
          <w:sz w:val="24"/>
          <w:szCs w:val="24"/>
        </w:rPr>
        <w:t>levels</w:t>
      </w:r>
      <w:r w:rsidR="00EB6EAC">
        <w:rPr>
          <w:rFonts w:cstheme="minorHAnsi"/>
          <w:sz w:val="24"/>
          <w:szCs w:val="24"/>
        </w:rPr>
        <w:t>;</w:t>
      </w:r>
      <w:proofErr w:type="gramEnd"/>
    </w:p>
    <w:p w14:paraId="7D20E2AE" w14:textId="06A52D87" w:rsidR="009E4DD3" w:rsidRPr="00E62D04" w:rsidRDefault="00CA5422" w:rsidP="00E62D04">
      <w:pPr>
        <w:pStyle w:val="ListParagraph"/>
        <w:numPr>
          <w:ilvl w:val="0"/>
          <w:numId w:val="7"/>
        </w:numPr>
        <w:spacing w:after="100" w:afterAutospacing="1" w:line="360" w:lineRule="auto"/>
        <w:contextualSpacing w:val="0"/>
        <w:rPr>
          <w:rFonts w:cstheme="minorHAnsi"/>
          <w:b/>
          <w:bCs/>
          <w:sz w:val="24"/>
          <w:szCs w:val="24"/>
        </w:rPr>
      </w:pPr>
      <w:r w:rsidRPr="00660ECD">
        <w:rPr>
          <w:rFonts w:cstheme="minorHAnsi"/>
          <w:sz w:val="24"/>
          <w:szCs w:val="24"/>
        </w:rPr>
        <w:t>Impact of l</w:t>
      </w:r>
      <w:r w:rsidR="00F956E6" w:rsidRPr="00660ECD">
        <w:rPr>
          <w:rFonts w:cstheme="minorHAnsi"/>
          <w:sz w:val="24"/>
          <w:szCs w:val="24"/>
        </w:rPr>
        <w:t xml:space="preserve">ifestyle changes </w:t>
      </w:r>
      <w:r w:rsidR="00CF20AA" w:rsidRPr="00660ECD">
        <w:rPr>
          <w:rFonts w:cstheme="minorHAnsi"/>
          <w:sz w:val="24"/>
          <w:szCs w:val="24"/>
        </w:rPr>
        <w:t xml:space="preserve">(smoking, caffeine intake) </w:t>
      </w:r>
      <w:r w:rsidRPr="00660ECD">
        <w:rPr>
          <w:rFonts w:cstheme="minorHAnsi"/>
          <w:sz w:val="24"/>
          <w:szCs w:val="24"/>
        </w:rPr>
        <w:t>on clozapine levels</w:t>
      </w:r>
      <w:r w:rsidR="00EB6EAC">
        <w:rPr>
          <w:rFonts w:cstheme="minorHAnsi"/>
          <w:sz w:val="24"/>
          <w:szCs w:val="24"/>
        </w:rPr>
        <w:t>.</w:t>
      </w:r>
      <w:r w:rsidRPr="00660ECD">
        <w:rPr>
          <w:rFonts w:cstheme="minorHAnsi"/>
          <w:sz w:val="24"/>
          <w:szCs w:val="24"/>
        </w:rPr>
        <w:t xml:space="preserve"> </w:t>
      </w:r>
    </w:p>
    <w:p w14:paraId="19200425" w14:textId="2AB1FA45" w:rsidR="006266E6" w:rsidRPr="00660ECD" w:rsidRDefault="003F01CB" w:rsidP="00660ECD">
      <w:pPr>
        <w:spacing w:after="100" w:afterAutospacing="1" w:line="360" w:lineRule="auto"/>
        <w:rPr>
          <w:rFonts w:cstheme="minorHAnsi"/>
          <w:b/>
          <w:bCs/>
          <w:sz w:val="24"/>
          <w:szCs w:val="24"/>
        </w:rPr>
      </w:pPr>
      <w:r>
        <w:rPr>
          <w:rFonts w:cstheme="minorHAnsi"/>
          <w:b/>
          <w:bCs/>
          <w:sz w:val="24"/>
          <w:szCs w:val="24"/>
        </w:rPr>
        <w:t>Medications susceptible to i</w:t>
      </w:r>
      <w:r w:rsidR="006266E6" w:rsidRPr="00660ECD">
        <w:rPr>
          <w:rFonts w:cstheme="minorHAnsi"/>
          <w:b/>
          <w:bCs/>
          <w:sz w:val="24"/>
          <w:szCs w:val="24"/>
        </w:rPr>
        <w:t xml:space="preserve">nteractions </w:t>
      </w:r>
    </w:p>
    <w:p w14:paraId="454C9D03" w14:textId="1900400D" w:rsidR="00D875F9" w:rsidRPr="00660ECD" w:rsidRDefault="009E4DD3" w:rsidP="00660ECD">
      <w:pPr>
        <w:spacing w:after="100" w:afterAutospacing="1" w:line="360" w:lineRule="auto"/>
        <w:rPr>
          <w:rFonts w:cstheme="minorHAnsi"/>
          <w:sz w:val="24"/>
          <w:szCs w:val="24"/>
        </w:rPr>
      </w:pPr>
      <w:r w:rsidRPr="00660ECD">
        <w:rPr>
          <w:rFonts w:cstheme="minorHAnsi"/>
          <w:sz w:val="24"/>
          <w:szCs w:val="24"/>
        </w:rPr>
        <w:t>Medications</w:t>
      </w:r>
      <w:r w:rsidR="00C0401A" w:rsidRPr="00660ECD">
        <w:rPr>
          <w:rFonts w:cstheme="minorHAnsi"/>
          <w:sz w:val="24"/>
          <w:szCs w:val="24"/>
        </w:rPr>
        <w:t xml:space="preserve"> </w:t>
      </w:r>
      <w:r w:rsidR="004F608C" w:rsidRPr="00660ECD">
        <w:rPr>
          <w:rFonts w:cstheme="minorHAnsi"/>
          <w:sz w:val="24"/>
          <w:szCs w:val="24"/>
        </w:rPr>
        <w:t>with a narrow therapeutic range are highly susceptible to drug interactions, leading to potential</w:t>
      </w:r>
      <w:r w:rsidR="009F7AE2" w:rsidRPr="00660ECD">
        <w:rPr>
          <w:rFonts w:cstheme="minorHAnsi"/>
          <w:sz w:val="24"/>
          <w:szCs w:val="24"/>
        </w:rPr>
        <w:t xml:space="preserve"> patient harm</w:t>
      </w:r>
      <w:r w:rsidR="00113D12" w:rsidRPr="00660ECD">
        <w:rPr>
          <w:rFonts w:cstheme="minorHAnsi"/>
          <w:sz w:val="24"/>
          <w:szCs w:val="24"/>
        </w:rPr>
        <w:t>.</w:t>
      </w:r>
      <w:r w:rsidR="00C657E4" w:rsidRPr="00660ECD">
        <w:rPr>
          <w:rFonts w:cstheme="minorHAnsi"/>
          <w:sz w:val="24"/>
          <w:szCs w:val="24"/>
        </w:rPr>
        <w:t xml:space="preserve"> </w:t>
      </w:r>
      <w:r w:rsidR="00113D12" w:rsidRPr="00660ECD">
        <w:rPr>
          <w:rFonts w:cstheme="minorHAnsi"/>
          <w:sz w:val="24"/>
          <w:szCs w:val="24"/>
        </w:rPr>
        <w:t>C</w:t>
      </w:r>
      <w:r w:rsidR="00C657E4" w:rsidRPr="00660ECD">
        <w:rPr>
          <w:rFonts w:cstheme="minorHAnsi"/>
          <w:sz w:val="24"/>
          <w:szCs w:val="24"/>
        </w:rPr>
        <w:t xml:space="preserve">ommon </w:t>
      </w:r>
      <w:r w:rsidR="003F01CB">
        <w:rPr>
          <w:rFonts w:cstheme="minorHAnsi"/>
          <w:sz w:val="24"/>
          <w:szCs w:val="24"/>
        </w:rPr>
        <w:t>examples</w:t>
      </w:r>
      <w:r w:rsidR="003F01CB" w:rsidRPr="00660ECD">
        <w:rPr>
          <w:rFonts w:cstheme="minorHAnsi"/>
          <w:sz w:val="24"/>
          <w:szCs w:val="24"/>
        </w:rPr>
        <w:t xml:space="preserve"> </w:t>
      </w:r>
      <w:r w:rsidR="00C657E4" w:rsidRPr="00660ECD">
        <w:rPr>
          <w:rFonts w:cstheme="minorHAnsi"/>
          <w:sz w:val="24"/>
          <w:szCs w:val="24"/>
        </w:rPr>
        <w:t>includ</w:t>
      </w:r>
      <w:r w:rsidR="00113D12" w:rsidRPr="00660ECD">
        <w:rPr>
          <w:rFonts w:cstheme="minorHAnsi"/>
          <w:sz w:val="24"/>
          <w:szCs w:val="24"/>
        </w:rPr>
        <w:t>e</w:t>
      </w:r>
      <w:r w:rsidR="00C657E4" w:rsidRPr="00660ECD">
        <w:rPr>
          <w:rFonts w:cstheme="minorHAnsi"/>
          <w:sz w:val="24"/>
          <w:szCs w:val="24"/>
        </w:rPr>
        <w:t xml:space="preserve"> digoxin, </w:t>
      </w:r>
      <w:r w:rsidR="00D93B91" w:rsidRPr="00660ECD">
        <w:rPr>
          <w:rFonts w:cstheme="minorHAnsi"/>
          <w:sz w:val="24"/>
          <w:szCs w:val="24"/>
        </w:rPr>
        <w:t xml:space="preserve">theophylline, warfarin, </w:t>
      </w:r>
      <w:r w:rsidR="005A3596" w:rsidRPr="00660ECD">
        <w:rPr>
          <w:rFonts w:cstheme="minorHAnsi"/>
          <w:sz w:val="24"/>
          <w:szCs w:val="24"/>
        </w:rPr>
        <w:t xml:space="preserve">and </w:t>
      </w:r>
      <w:r w:rsidR="00D93B91" w:rsidRPr="00660ECD">
        <w:rPr>
          <w:rFonts w:cstheme="minorHAnsi"/>
          <w:sz w:val="24"/>
          <w:szCs w:val="24"/>
        </w:rPr>
        <w:t xml:space="preserve">carbamazepine, all of which have many drug interactions listed in the </w:t>
      </w:r>
      <w:r w:rsidR="00717855">
        <w:rPr>
          <w:rFonts w:cstheme="minorHAnsi"/>
          <w:sz w:val="24"/>
          <w:szCs w:val="24"/>
        </w:rPr>
        <w:t>British National Formulary (31).</w:t>
      </w:r>
      <w:r w:rsidR="00F02B1B" w:rsidRPr="00660ECD">
        <w:rPr>
          <w:rFonts w:cstheme="minorHAnsi"/>
          <w:sz w:val="24"/>
          <w:szCs w:val="24"/>
        </w:rPr>
        <w:t xml:space="preserve"> </w:t>
      </w:r>
      <w:r w:rsidR="00717855">
        <w:rPr>
          <w:rFonts w:cstheme="minorHAnsi"/>
          <w:sz w:val="24"/>
          <w:szCs w:val="24"/>
        </w:rPr>
        <w:t xml:space="preserve">These include </w:t>
      </w:r>
      <w:r w:rsidR="00F02B1B" w:rsidRPr="00660ECD">
        <w:rPr>
          <w:rFonts w:cstheme="minorHAnsi"/>
          <w:sz w:val="24"/>
          <w:szCs w:val="24"/>
        </w:rPr>
        <w:t xml:space="preserve">potential toxicity with enzyme inhibitors (e.g. clarithromycin) and potential sub-therapeutic </w:t>
      </w:r>
      <w:r w:rsidR="00140197" w:rsidRPr="00660ECD">
        <w:rPr>
          <w:rFonts w:cstheme="minorHAnsi"/>
          <w:sz w:val="24"/>
          <w:szCs w:val="24"/>
        </w:rPr>
        <w:t>effect</w:t>
      </w:r>
      <w:r w:rsidR="00717855">
        <w:rPr>
          <w:rFonts w:cstheme="minorHAnsi"/>
          <w:sz w:val="24"/>
          <w:szCs w:val="24"/>
        </w:rPr>
        <w:t>s</w:t>
      </w:r>
      <w:r w:rsidR="00F02B1B" w:rsidRPr="00660ECD">
        <w:rPr>
          <w:rFonts w:cstheme="minorHAnsi"/>
          <w:sz w:val="24"/>
          <w:szCs w:val="24"/>
        </w:rPr>
        <w:t xml:space="preserve"> with enzyme inducers (e.g. St. John’s Wort, phenytoin)</w:t>
      </w:r>
      <w:r w:rsidR="00D93B91" w:rsidRPr="00660ECD">
        <w:rPr>
          <w:rFonts w:cstheme="minorHAnsi"/>
          <w:sz w:val="24"/>
          <w:szCs w:val="24"/>
        </w:rPr>
        <w:t xml:space="preserve"> </w:t>
      </w:r>
      <w:r w:rsidR="00FC70A3" w:rsidRPr="00660ECD">
        <w:rPr>
          <w:rFonts w:cstheme="minorHAnsi"/>
          <w:sz w:val="24"/>
          <w:szCs w:val="24"/>
        </w:rPr>
        <w:fldChar w:fldCharType="begin"/>
      </w:r>
      <w:r w:rsidR="008221DA" w:rsidRPr="00660ECD">
        <w:rPr>
          <w:rFonts w:cstheme="minorHAnsi"/>
          <w:sz w:val="24"/>
          <w:szCs w:val="24"/>
        </w:rPr>
        <w:instrText xml:space="preserve"> ADDIN ZOTERO_ITEM CSL_CITATION {"citationID":"1DcVpeym","properties":{"formattedCitation":"(31)","plainCitation":"(31)","noteIndex":0},"citationItems":[{"id":75,"uris":["http://zotero.org/users/local/3eWb7dOa/items/FK5KP58R"],"itemData":{"id":75,"type":"webpage","abstract":"Use the interactions A to Z to look up a drug and see which other drugs it interacts with and the severity of these interactions.","language":"en-GB","title":"Interactions A to Z | BNF content published by NICE","URL":"https://bnf.nice.org.uk/interactions/","accessed":{"date-parts":[["2025",6,11]]}}}],"schema":"https://github.com/citation-style-language/schema/raw/master/csl-citation.json"} </w:instrText>
      </w:r>
      <w:r w:rsidR="00FC70A3" w:rsidRPr="00660ECD">
        <w:rPr>
          <w:rFonts w:cstheme="minorHAnsi"/>
          <w:sz w:val="24"/>
          <w:szCs w:val="24"/>
        </w:rPr>
        <w:fldChar w:fldCharType="separate"/>
      </w:r>
      <w:r w:rsidR="008221DA" w:rsidRPr="00660ECD">
        <w:rPr>
          <w:rFonts w:cstheme="minorHAnsi"/>
          <w:sz w:val="24"/>
          <w:szCs w:val="24"/>
        </w:rPr>
        <w:t>(31)</w:t>
      </w:r>
      <w:r w:rsidR="00FC70A3" w:rsidRPr="00660ECD">
        <w:rPr>
          <w:rFonts w:cstheme="minorHAnsi"/>
          <w:sz w:val="24"/>
          <w:szCs w:val="24"/>
        </w:rPr>
        <w:fldChar w:fldCharType="end"/>
      </w:r>
      <w:r w:rsidR="00FC70A3" w:rsidRPr="00660ECD">
        <w:rPr>
          <w:rFonts w:cstheme="minorHAnsi"/>
          <w:sz w:val="24"/>
          <w:szCs w:val="24"/>
        </w:rPr>
        <w:t>.</w:t>
      </w:r>
      <w:r w:rsidR="006E4322" w:rsidRPr="00660ECD">
        <w:rPr>
          <w:rFonts w:cstheme="minorHAnsi"/>
          <w:sz w:val="24"/>
          <w:szCs w:val="24"/>
        </w:rPr>
        <w:t xml:space="preserve"> </w:t>
      </w:r>
      <w:r w:rsidR="00717855">
        <w:rPr>
          <w:rFonts w:cstheme="minorHAnsi"/>
          <w:sz w:val="24"/>
          <w:szCs w:val="24"/>
        </w:rPr>
        <w:t xml:space="preserve">An </w:t>
      </w:r>
      <w:r w:rsidR="007902B2" w:rsidRPr="00660ECD">
        <w:rPr>
          <w:rFonts w:cstheme="minorHAnsi"/>
          <w:sz w:val="24"/>
          <w:szCs w:val="24"/>
        </w:rPr>
        <w:t xml:space="preserve">awareness of </w:t>
      </w:r>
      <w:r w:rsidR="00D60F6E" w:rsidRPr="00660ECD">
        <w:rPr>
          <w:rFonts w:cstheme="minorHAnsi"/>
          <w:sz w:val="24"/>
          <w:szCs w:val="24"/>
        </w:rPr>
        <w:t xml:space="preserve">drug interactions </w:t>
      </w:r>
      <w:r w:rsidR="003A4C1F" w:rsidRPr="00660ECD">
        <w:rPr>
          <w:rFonts w:cstheme="minorHAnsi"/>
          <w:sz w:val="24"/>
          <w:szCs w:val="24"/>
        </w:rPr>
        <w:t>is required</w:t>
      </w:r>
      <w:r w:rsidR="00D60F6E" w:rsidRPr="00660ECD">
        <w:rPr>
          <w:rFonts w:cstheme="minorHAnsi"/>
          <w:sz w:val="24"/>
          <w:szCs w:val="24"/>
        </w:rPr>
        <w:t xml:space="preserve"> to avoid potentially life-threatening </w:t>
      </w:r>
      <w:r w:rsidR="009D34D0" w:rsidRPr="00660ECD">
        <w:rPr>
          <w:rFonts w:cstheme="minorHAnsi"/>
          <w:sz w:val="24"/>
          <w:szCs w:val="24"/>
        </w:rPr>
        <w:t>consequences of drug interactions with commonly prescribed medicines</w:t>
      </w:r>
      <w:r w:rsidR="00717855">
        <w:rPr>
          <w:rFonts w:cstheme="minorHAnsi"/>
          <w:sz w:val="24"/>
          <w:szCs w:val="24"/>
        </w:rPr>
        <w:t xml:space="preserve"> –</w:t>
      </w:r>
      <w:r w:rsidR="009D34D0" w:rsidRPr="00660ECD">
        <w:rPr>
          <w:rFonts w:cstheme="minorHAnsi"/>
          <w:sz w:val="24"/>
          <w:szCs w:val="24"/>
        </w:rPr>
        <w:t xml:space="preserve"> for example, the</w:t>
      </w:r>
      <w:r w:rsidR="00717855">
        <w:rPr>
          <w:rFonts w:cstheme="minorHAnsi"/>
          <w:sz w:val="24"/>
          <w:szCs w:val="24"/>
        </w:rPr>
        <w:t>re is a</w:t>
      </w:r>
      <w:r w:rsidR="009D34D0" w:rsidRPr="00660ECD">
        <w:rPr>
          <w:rFonts w:cstheme="minorHAnsi"/>
          <w:sz w:val="24"/>
          <w:szCs w:val="24"/>
        </w:rPr>
        <w:t xml:space="preserve"> risk of myelosuppression when trimethoprim is co-prescribed with methotrexate </w:t>
      </w:r>
      <w:r w:rsidR="00F7374C" w:rsidRPr="00660ECD">
        <w:rPr>
          <w:rFonts w:cstheme="minorHAnsi"/>
          <w:sz w:val="24"/>
          <w:szCs w:val="24"/>
        </w:rPr>
        <w:fldChar w:fldCharType="begin"/>
      </w:r>
      <w:r w:rsidR="008221DA" w:rsidRPr="00660ECD">
        <w:rPr>
          <w:rFonts w:cstheme="minorHAnsi"/>
          <w:sz w:val="24"/>
          <w:szCs w:val="24"/>
        </w:rPr>
        <w:instrText xml:space="preserve"> ADDIN ZOTERO_ITEM CSL_CITATION {"citationID":"hefOcBSM","properties":{"formattedCitation":"(32)","plainCitation":"(32)","noteIndex":0},"citationItems":[{"id":77,"uris":["http://zotero.org/users/local/3eWb7dOa/items/3GES2S7D"],"itemData":{"id":77,"type":"webpage","abstract":"See the list of drugs that interact with Methotrexate. Includes information on severity of interaction and the level of evidence for it.","language":"en-GB","title":"Methotrexate | Interactions | BNF content published by NICE","URL":"https://bnf.nice.org.uk/interactions/methotrexate/","accessed":{"date-parts":[["2025",6,11]]}}}],"schema":"https://github.com/citation-style-language/schema/raw/master/csl-citation.json"} </w:instrText>
      </w:r>
      <w:r w:rsidR="00F7374C" w:rsidRPr="00660ECD">
        <w:rPr>
          <w:rFonts w:cstheme="minorHAnsi"/>
          <w:sz w:val="24"/>
          <w:szCs w:val="24"/>
        </w:rPr>
        <w:fldChar w:fldCharType="separate"/>
      </w:r>
      <w:r w:rsidR="008221DA" w:rsidRPr="00660ECD">
        <w:rPr>
          <w:rFonts w:cstheme="minorHAnsi"/>
          <w:sz w:val="24"/>
          <w:szCs w:val="24"/>
        </w:rPr>
        <w:t>(32)</w:t>
      </w:r>
      <w:r w:rsidR="00F7374C" w:rsidRPr="00660ECD">
        <w:rPr>
          <w:rFonts w:cstheme="minorHAnsi"/>
          <w:sz w:val="24"/>
          <w:szCs w:val="24"/>
        </w:rPr>
        <w:fldChar w:fldCharType="end"/>
      </w:r>
      <w:r w:rsidR="00F7374C" w:rsidRPr="00660ECD">
        <w:rPr>
          <w:rFonts w:cstheme="minorHAnsi"/>
          <w:sz w:val="24"/>
          <w:szCs w:val="24"/>
        </w:rPr>
        <w:t xml:space="preserve">. </w:t>
      </w:r>
    </w:p>
    <w:p w14:paraId="5EEA6CB2" w14:textId="6C3A5B6D" w:rsidR="004653E2" w:rsidRPr="00660ECD" w:rsidRDefault="003A4C1F" w:rsidP="00660ECD">
      <w:pPr>
        <w:spacing w:after="100" w:afterAutospacing="1" w:line="360" w:lineRule="auto"/>
        <w:rPr>
          <w:rFonts w:cstheme="minorHAnsi"/>
          <w:sz w:val="24"/>
          <w:szCs w:val="24"/>
        </w:rPr>
      </w:pPr>
      <w:r w:rsidRPr="00660ECD">
        <w:rPr>
          <w:rFonts w:cstheme="minorHAnsi"/>
          <w:sz w:val="24"/>
          <w:szCs w:val="24"/>
        </w:rPr>
        <w:t>M</w:t>
      </w:r>
      <w:r w:rsidR="000D59C4" w:rsidRPr="00660ECD">
        <w:rPr>
          <w:rFonts w:cstheme="minorHAnsi"/>
          <w:sz w:val="24"/>
          <w:szCs w:val="24"/>
        </w:rPr>
        <w:t xml:space="preserve">edications may </w:t>
      </w:r>
      <w:r w:rsidR="00C228A5" w:rsidRPr="00660ECD">
        <w:rPr>
          <w:rFonts w:cstheme="minorHAnsi"/>
          <w:sz w:val="24"/>
          <w:szCs w:val="24"/>
        </w:rPr>
        <w:t xml:space="preserve">not </w:t>
      </w:r>
      <w:r w:rsidR="000D2A57" w:rsidRPr="00660ECD">
        <w:rPr>
          <w:rFonts w:cstheme="minorHAnsi"/>
          <w:sz w:val="24"/>
          <w:szCs w:val="24"/>
        </w:rPr>
        <w:t xml:space="preserve">necessarily </w:t>
      </w:r>
      <w:r w:rsidR="00C228A5" w:rsidRPr="00660ECD">
        <w:rPr>
          <w:rFonts w:cstheme="minorHAnsi"/>
          <w:sz w:val="24"/>
          <w:szCs w:val="24"/>
        </w:rPr>
        <w:t xml:space="preserve">be classed as high-risk themselves but </w:t>
      </w:r>
      <w:r w:rsidR="00F23EDF" w:rsidRPr="00660ECD">
        <w:rPr>
          <w:rFonts w:cstheme="minorHAnsi"/>
          <w:sz w:val="24"/>
          <w:szCs w:val="24"/>
        </w:rPr>
        <w:t xml:space="preserve">can </w:t>
      </w:r>
      <w:r w:rsidR="00C228A5" w:rsidRPr="00660ECD">
        <w:rPr>
          <w:rFonts w:cstheme="minorHAnsi"/>
          <w:sz w:val="24"/>
          <w:szCs w:val="24"/>
        </w:rPr>
        <w:t>become high</w:t>
      </w:r>
      <w:r w:rsidR="00717855">
        <w:rPr>
          <w:rFonts w:cstheme="minorHAnsi"/>
          <w:sz w:val="24"/>
          <w:szCs w:val="24"/>
        </w:rPr>
        <w:t>-</w:t>
      </w:r>
      <w:r w:rsidR="00C228A5" w:rsidRPr="00660ECD">
        <w:rPr>
          <w:rFonts w:cstheme="minorHAnsi"/>
          <w:sz w:val="24"/>
          <w:szCs w:val="24"/>
        </w:rPr>
        <w:t>risk when used in combination</w:t>
      </w:r>
      <w:r w:rsidR="00346E39" w:rsidRPr="00660ECD">
        <w:rPr>
          <w:rFonts w:cstheme="minorHAnsi"/>
          <w:sz w:val="24"/>
          <w:szCs w:val="24"/>
        </w:rPr>
        <w:t>.</w:t>
      </w:r>
      <w:r w:rsidR="00C228A5" w:rsidRPr="00660ECD">
        <w:rPr>
          <w:rFonts w:cstheme="minorHAnsi"/>
          <w:sz w:val="24"/>
          <w:szCs w:val="24"/>
        </w:rPr>
        <w:t xml:space="preserve"> </w:t>
      </w:r>
      <w:r w:rsidR="007B3502" w:rsidRPr="00660ECD">
        <w:rPr>
          <w:rFonts w:cstheme="minorHAnsi"/>
          <w:sz w:val="24"/>
          <w:szCs w:val="24"/>
        </w:rPr>
        <w:t>T</w:t>
      </w:r>
      <w:r w:rsidR="00C228A5" w:rsidRPr="00660ECD">
        <w:rPr>
          <w:rFonts w:cstheme="minorHAnsi"/>
          <w:sz w:val="24"/>
          <w:szCs w:val="24"/>
        </w:rPr>
        <w:t xml:space="preserve">he risk of </w:t>
      </w:r>
      <w:r w:rsidR="00731E88" w:rsidRPr="00660ECD">
        <w:rPr>
          <w:rFonts w:cstheme="minorHAnsi"/>
          <w:sz w:val="24"/>
          <w:szCs w:val="24"/>
        </w:rPr>
        <w:t xml:space="preserve">life-threatening </w:t>
      </w:r>
      <w:proofErr w:type="spellStart"/>
      <w:r w:rsidR="00514484" w:rsidRPr="00660ECD">
        <w:rPr>
          <w:rFonts w:cstheme="minorHAnsi"/>
          <w:sz w:val="24"/>
          <w:szCs w:val="24"/>
        </w:rPr>
        <w:t>torsade</w:t>
      </w:r>
      <w:r w:rsidR="00B15717" w:rsidRPr="00660ECD">
        <w:rPr>
          <w:rFonts w:cstheme="minorHAnsi"/>
          <w:sz w:val="24"/>
          <w:szCs w:val="24"/>
        </w:rPr>
        <w:t>s</w:t>
      </w:r>
      <w:proofErr w:type="spellEnd"/>
      <w:r w:rsidR="00731E88" w:rsidRPr="00660ECD">
        <w:rPr>
          <w:rFonts w:cstheme="minorHAnsi"/>
          <w:sz w:val="24"/>
          <w:szCs w:val="24"/>
        </w:rPr>
        <w:t xml:space="preserve"> de pointes </w:t>
      </w:r>
      <w:r w:rsidR="007B3502" w:rsidRPr="00660ECD">
        <w:rPr>
          <w:rFonts w:cstheme="minorHAnsi"/>
          <w:sz w:val="24"/>
          <w:szCs w:val="24"/>
        </w:rPr>
        <w:t xml:space="preserve">is increased </w:t>
      </w:r>
      <w:r w:rsidR="00731E88" w:rsidRPr="00660ECD">
        <w:rPr>
          <w:rFonts w:cstheme="minorHAnsi"/>
          <w:sz w:val="24"/>
          <w:szCs w:val="24"/>
        </w:rPr>
        <w:t xml:space="preserve">when multiple </w:t>
      </w:r>
      <w:r w:rsidR="00876A15" w:rsidRPr="00660ECD">
        <w:rPr>
          <w:rFonts w:cstheme="minorHAnsi"/>
          <w:sz w:val="24"/>
          <w:szCs w:val="24"/>
        </w:rPr>
        <w:t>QT</w:t>
      </w:r>
      <w:r w:rsidR="00717855">
        <w:rPr>
          <w:rFonts w:cstheme="minorHAnsi"/>
          <w:sz w:val="24"/>
          <w:szCs w:val="24"/>
        </w:rPr>
        <w:t>-</w:t>
      </w:r>
      <w:r w:rsidR="00876A15" w:rsidRPr="00660ECD">
        <w:rPr>
          <w:rFonts w:cstheme="minorHAnsi"/>
          <w:sz w:val="24"/>
          <w:szCs w:val="24"/>
        </w:rPr>
        <w:t xml:space="preserve">prolonging </w:t>
      </w:r>
      <w:r w:rsidR="00731E88" w:rsidRPr="00660ECD">
        <w:rPr>
          <w:rFonts w:cstheme="minorHAnsi"/>
          <w:sz w:val="24"/>
          <w:szCs w:val="24"/>
        </w:rPr>
        <w:t>drugs are given together</w:t>
      </w:r>
      <w:r w:rsidR="00066D0F" w:rsidRPr="00660ECD">
        <w:rPr>
          <w:rFonts w:cstheme="minorHAnsi"/>
          <w:sz w:val="24"/>
          <w:szCs w:val="24"/>
        </w:rPr>
        <w:t xml:space="preserve"> </w:t>
      </w:r>
      <w:r w:rsidR="00066D0F" w:rsidRPr="00660ECD">
        <w:rPr>
          <w:rFonts w:cstheme="minorHAnsi"/>
          <w:sz w:val="24"/>
          <w:szCs w:val="24"/>
        </w:rPr>
        <w:fldChar w:fldCharType="begin"/>
      </w:r>
      <w:r w:rsidR="008221DA" w:rsidRPr="00660ECD">
        <w:rPr>
          <w:rFonts w:cstheme="minorHAnsi"/>
          <w:sz w:val="24"/>
          <w:szCs w:val="24"/>
        </w:rPr>
        <w:instrText xml:space="preserve"> ADDIN ZOTERO_ITEM CSL_CITATION {"citationID":"UfDjCqRm","properties":{"formattedCitation":"(33)","plainCitation":"(33)","noteIndex":0},"citationItems":[{"id":76,"uris":["http://zotero.org/users/local/3eWb7dOa/items/6AW5PNTW"],"itemData":{"id":76,"type":"webpage","abstract":"Some medicines (erythromycin, citalopram, ondansetron) can cause a long QT interval. Consider risk factors and follow MHRA recommendations for safe use.","container-title":"SPS - Specialist Pharmacy Service","language":"en-GB","title":"Identifying risk factors for developing a long QT interval","URL":"https://www.sps.nhs.uk/articles/identifying-risk-factors-for-developing-a-long-qt-interval/","accessed":{"date-parts":[["2025",6,11]]},"issued":{"date-parts":[["2023",3,29]]}}}],"schema":"https://github.com/citation-style-language/schema/raw/master/csl-citation.json"} </w:instrText>
      </w:r>
      <w:r w:rsidR="00066D0F" w:rsidRPr="00660ECD">
        <w:rPr>
          <w:rFonts w:cstheme="minorHAnsi"/>
          <w:sz w:val="24"/>
          <w:szCs w:val="24"/>
        </w:rPr>
        <w:fldChar w:fldCharType="separate"/>
      </w:r>
      <w:r w:rsidR="008221DA" w:rsidRPr="00660ECD">
        <w:rPr>
          <w:rFonts w:cstheme="minorHAnsi"/>
          <w:sz w:val="24"/>
          <w:szCs w:val="24"/>
        </w:rPr>
        <w:t>(33)</w:t>
      </w:r>
      <w:r w:rsidR="00066D0F" w:rsidRPr="00660ECD">
        <w:rPr>
          <w:rFonts w:cstheme="minorHAnsi"/>
          <w:sz w:val="24"/>
          <w:szCs w:val="24"/>
        </w:rPr>
        <w:fldChar w:fldCharType="end"/>
      </w:r>
      <w:r w:rsidR="00717855">
        <w:rPr>
          <w:rFonts w:cstheme="minorHAnsi"/>
          <w:sz w:val="24"/>
          <w:szCs w:val="24"/>
        </w:rPr>
        <w:t>.</w:t>
      </w:r>
      <w:r w:rsidR="007B3502" w:rsidRPr="00660ECD">
        <w:rPr>
          <w:rFonts w:cstheme="minorHAnsi"/>
          <w:sz w:val="24"/>
          <w:szCs w:val="24"/>
        </w:rPr>
        <w:t xml:space="preserve"> </w:t>
      </w:r>
      <w:r w:rsidR="00717855">
        <w:rPr>
          <w:rFonts w:cstheme="minorHAnsi"/>
          <w:sz w:val="24"/>
          <w:szCs w:val="24"/>
        </w:rPr>
        <w:t>T</w:t>
      </w:r>
      <w:r w:rsidR="004646C8" w:rsidRPr="00660ECD">
        <w:rPr>
          <w:rFonts w:cstheme="minorHAnsi"/>
          <w:sz w:val="24"/>
          <w:szCs w:val="24"/>
        </w:rPr>
        <w:t xml:space="preserve">he risk of respiratory depression </w:t>
      </w:r>
      <w:r w:rsidR="007B3502" w:rsidRPr="00660ECD">
        <w:rPr>
          <w:rFonts w:cstheme="minorHAnsi"/>
          <w:sz w:val="24"/>
          <w:szCs w:val="24"/>
        </w:rPr>
        <w:t xml:space="preserve">is increased </w:t>
      </w:r>
      <w:r w:rsidR="004646C8" w:rsidRPr="00660ECD">
        <w:rPr>
          <w:rFonts w:cstheme="minorHAnsi"/>
          <w:sz w:val="24"/>
          <w:szCs w:val="24"/>
        </w:rPr>
        <w:t xml:space="preserve">when </w:t>
      </w:r>
      <w:r w:rsidR="00304547" w:rsidRPr="00660ECD">
        <w:rPr>
          <w:rFonts w:cstheme="minorHAnsi"/>
          <w:sz w:val="24"/>
          <w:szCs w:val="24"/>
        </w:rPr>
        <w:t xml:space="preserve">multiple </w:t>
      </w:r>
      <w:r w:rsidR="00717855">
        <w:rPr>
          <w:rFonts w:cstheme="minorHAnsi"/>
          <w:sz w:val="24"/>
          <w:szCs w:val="24"/>
        </w:rPr>
        <w:t xml:space="preserve">central-nervous-system </w:t>
      </w:r>
      <w:r w:rsidR="00304547" w:rsidRPr="00660ECD">
        <w:rPr>
          <w:rFonts w:cstheme="minorHAnsi"/>
          <w:sz w:val="24"/>
          <w:szCs w:val="24"/>
        </w:rPr>
        <w:t xml:space="preserve">depressants </w:t>
      </w:r>
      <w:r w:rsidR="007B3502" w:rsidRPr="00660ECD">
        <w:rPr>
          <w:rFonts w:cstheme="minorHAnsi"/>
          <w:sz w:val="24"/>
          <w:szCs w:val="24"/>
        </w:rPr>
        <w:t xml:space="preserve">(opioids, alcohol, gabapentin/pregabalin) </w:t>
      </w:r>
      <w:r w:rsidR="00304547" w:rsidRPr="00660ECD">
        <w:rPr>
          <w:rFonts w:cstheme="minorHAnsi"/>
          <w:sz w:val="24"/>
          <w:szCs w:val="24"/>
        </w:rPr>
        <w:t>are us</w:t>
      </w:r>
      <w:r w:rsidR="000431D1" w:rsidRPr="00660ECD">
        <w:rPr>
          <w:rFonts w:cstheme="minorHAnsi"/>
          <w:sz w:val="24"/>
          <w:szCs w:val="24"/>
        </w:rPr>
        <w:t>ed</w:t>
      </w:r>
      <w:r w:rsidR="00304547" w:rsidRPr="00660ECD">
        <w:rPr>
          <w:rFonts w:cstheme="minorHAnsi"/>
          <w:sz w:val="24"/>
          <w:szCs w:val="24"/>
        </w:rPr>
        <w:t xml:space="preserve"> in combination</w:t>
      </w:r>
      <w:r w:rsidR="000D2A57" w:rsidRPr="00660ECD">
        <w:rPr>
          <w:rFonts w:cstheme="minorHAnsi"/>
          <w:sz w:val="24"/>
          <w:szCs w:val="24"/>
        </w:rPr>
        <w:t xml:space="preserve">. </w:t>
      </w:r>
    </w:p>
    <w:p w14:paraId="0EEF5150" w14:textId="26E1F17D" w:rsidR="00F23EDF" w:rsidRPr="00660ECD" w:rsidRDefault="001000B8" w:rsidP="00660ECD">
      <w:pPr>
        <w:spacing w:after="100" w:afterAutospacing="1" w:line="360" w:lineRule="auto"/>
        <w:rPr>
          <w:rFonts w:cstheme="minorHAnsi"/>
          <w:sz w:val="24"/>
          <w:szCs w:val="24"/>
        </w:rPr>
      </w:pPr>
      <w:r w:rsidRPr="00660ECD">
        <w:rPr>
          <w:rFonts w:cstheme="minorHAnsi"/>
          <w:sz w:val="24"/>
          <w:szCs w:val="24"/>
        </w:rPr>
        <w:t xml:space="preserve">The impact of smoking or smoking cessation on drug levels is </w:t>
      </w:r>
      <w:r w:rsidR="00517F42" w:rsidRPr="00660ECD">
        <w:rPr>
          <w:rFonts w:cstheme="minorHAnsi"/>
          <w:sz w:val="24"/>
          <w:szCs w:val="24"/>
        </w:rPr>
        <w:t>clinically relevant</w:t>
      </w:r>
      <w:r w:rsidR="00FD4977" w:rsidRPr="00660ECD">
        <w:rPr>
          <w:rFonts w:cstheme="minorHAnsi"/>
          <w:sz w:val="24"/>
          <w:szCs w:val="24"/>
        </w:rPr>
        <w:t xml:space="preserve"> with</w:t>
      </w:r>
      <w:r w:rsidR="007550E4" w:rsidRPr="00660ECD">
        <w:rPr>
          <w:rFonts w:cstheme="minorHAnsi"/>
          <w:sz w:val="24"/>
          <w:szCs w:val="24"/>
        </w:rPr>
        <w:t xml:space="preserve"> </w:t>
      </w:r>
      <w:r w:rsidR="004012F1" w:rsidRPr="00660ECD">
        <w:rPr>
          <w:rFonts w:cstheme="minorHAnsi"/>
          <w:sz w:val="24"/>
          <w:szCs w:val="24"/>
        </w:rPr>
        <w:t>certain high-ris</w:t>
      </w:r>
      <w:r w:rsidR="000431D1" w:rsidRPr="00660ECD">
        <w:rPr>
          <w:rFonts w:cstheme="minorHAnsi"/>
          <w:sz w:val="24"/>
          <w:szCs w:val="24"/>
        </w:rPr>
        <w:t>k</w:t>
      </w:r>
      <w:r w:rsidR="004012F1" w:rsidRPr="00660ECD">
        <w:rPr>
          <w:rFonts w:cstheme="minorHAnsi"/>
          <w:sz w:val="24"/>
          <w:szCs w:val="24"/>
        </w:rPr>
        <w:t xml:space="preserve"> medications</w:t>
      </w:r>
      <w:r w:rsidR="00517F42" w:rsidRPr="00660ECD">
        <w:rPr>
          <w:rFonts w:cstheme="minorHAnsi"/>
          <w:sz w:val="24"/>
          <w:szCs w:val="24"/>
        </w:rPr>
        <w:t>; t</w:t>
      </w:r>
      <w:r w:rsidR="00862AF8" w:rsidRPr="00660ECD">
        <w:rPr>
          <w:rFonts w:cstheme="minorHAnsi"/>
          <w:sz w:val="24"/>
          <w:szCs w:val="24"/>
        </w:rPr>
        <w:t xml:space="preserve">oxins released in tobacco smoke </w:t>
      </w:r>
      <w:r w:rsidR="005772E6" w:rsidRPr="00660ECD">
        <w:rPr>
          <w:rFonts w:cstheme="minorHAnsi"/>
          <w:sz w:val="24"/>
          <w:szCs w:val="24"/>
        </w:rPr>
        <w:t xml:space="preserve">are responsible for the induction of certain </w:t>
      </w:r>
      <w:r w:rsidR="00F9261A" w:rsidRPr="00660ECD">
        <w:rPr>
          <w:rFonts w:cstheme="minorHAnsi"/>
          <w:sz w:val="24"/>
          <w:szCs w:val="24"/>
        </w:rPr>
        <w:t>cytochrome P450</w:t>
      </w:r>
      <w:r w:rsidR="005772E6" w:rsidRPr="00660ECD">
        <w:rPr>
          <w:rFonts w:cstheme="minorHAnsi"/>
          <w:sz w:val="24"/>
          <w:szCs w:val="24"/>
        </w:rPr>
        <w:t xml:space="preserve"> enzymes</w:t>
      </w:r>
      <w:r w:rsidR="007144A1" w:rsidRPr="00660ECD">
        <w:rPr>
          <w:rFonts w:cstheme="minorHAnsi"/>
          <w:sz w:val="24"/>
          <w:szCs w:val="24"/>
        </w:rPr>
        <w:t xml:space="preserve"> </w:t>
      </w:r>
      <w:r w:rsidR="007144A1" w:rsidRPr="00660ECD">
        <w:rPr>
          <w:rFonts w:cstheme="minorHAnsi"/>
          <w:sz w:val="24"/>
          <w:szCs w:val="24"/>
        </w:rPr>
        <w:fldChar w:fldCharType="begin"/>
      </w:r>
      <w:r w:rsidR="008221DA" w:rsidRPr="00660ECD">
        <w:rPr>
          <w:rFonts w:cstheme="minorHAnsi"/>
          <w:sz w:val="24"/>
          <w:szCs w:val="24"/>
        </w:rPr>
        <w:instrText xml:space="preserve"> ADDIN ZOTERO_ITEM CSL_CITATION {"citationID":"vhdzE6wG","properties":{"formattedCitation":"(34)","plainCitation":"(34)","noteIndex":0},"citationItems":[{"id":78,"uris":["http://zotero.org/users/local/3eWb7dOa/items/P3NI9BKK"],"itemData":{"id":78,"type":"post-weblog","abstract":"Smoking and smoking cessation treatments have a pharmacological impact on some commonly used drugs and should be taken into account during the selection, introduction and cessation of medicines.","container-title":"The Pharmaceutical Journal","language":"en-US","title":"Tobacco smoking and its potential drug interactions","URL":"https://pharmaceutical-journal.com/article/ld/tobacco-smoking-and-its-potential-drug-interactions","author":[{"family":"Ryan","given":"Jessica"},{"family":"Patel","given":"Joanne"},{"family":"Lucas","given":"Catherine J."},{"family":"Ryan","given":"Jennifer H. MartinCorresponding author Jessica"}],"accessed":{"date-parts":[["2025",6,11]]},"issued":{"date-parts":[["2019",1,11]]}}}],"schema":"https://github.com/citation-style-language/schema/raw/master/csl-citation.json"} </w:instrText>
      </w:r>
      <w:r w:rsidR="007144A1" w:rsidRPr="00660ECD">
        <w:rPr>
          <w:rFonts w:cstheme="minorHAnsi"/>
          <w:sz w:val="24"/>
          <w:szCs w:val="24"/>
        </w:rPr>
        <w:fldChar w:fldCharType="separate"/>
      </w:r>
      <w:r w:rsidR="008221DA" w:rsidRPr="00660ECD">
        <w:rPr>
          <w:rFonts w:cstheme="minorHAnsi"/>
          <w:sz w:val="24"/>
          <w:szCs w:val="24"/>
        </w:rPr>
        <w:t>(34)</w:t>
      </w:r>
      <w:r w:rsidR="007144A1" w:rsidRPr="00660ECD">
        <w:rPr>
          <w:rFonts w:cstheme="minorHAnsi"/>
          <w:sz w:val="24"/>
          <w:szCs w:val="24"/>
        </w:rPr>
        <w:fldChar w:fldCharType="end"/>
      </w:r>
      <w:r w:rsidR="007144A1" w:rsidRPr="00660ECD">
        <w:rPr>
          <w:rFonts w:cstheme="minorHAnsi"/>
          <w:sz w:val="24"/>
          <w:szCs w:val="24"/>
        </w:rPr>
        <w:t xml:space="preserve">. </w:t>
      </w:r>
      <w:r w:rsidR="00B92EB3" w:rsidRPr="00660ECD">
        <w:rPr>
          <w:rFonts w:cstheme="minorHAnsi"/>
          <w:sz w:val="24"/>
          <w:szCs w:val="24"/>
        </w:rPr>
        <w:t>Specific examples include clozapine, olanzapine and theophylline</w:t>
      </w:r>
      <w:r w:rsidR="00BC2925" w:rsidRPr="00660ECD">
        <w:rPr>
          <w:rFonts w:cstheme="minorHAnsi"/>
          <w:sz w:val="24"/>
          <w:szCs w:val="24"/>
        </w:rPr>
        <w:t xml:space="preserve">; </w:t>
      </w:r>
      <w:r w:rsidR="00B852B1" w:rsidRPr="00660ECD">
        <w:rPr>
          <w:rFonts w:cstheme="minorHAnsi"/>
          <w:sz w:val="24"/>
          <w:szCs w:val="24"/>
        </w:rPr>
        <w:t>therapeutic drug monitoring is recommended</w:t>
      </w:r>
      <w:r w:rsidR="00BC2925" w:rsidRPr="00660ECD">
        <w:rPr>
          <w:rFonts w:cstheme="minorHAnsi"/>
          <w:sz w:val="24"/>
          <w:szCs w:val="24"/>
        </w:rPr>
        <w:t xml:space="preserve"> if a patient stops smoking</w:t>
      </w:r>
      <w:r w:rsidR="008C0A07">
        <w:rPr>
          <w:rFonts w:cstheme="minorHAnsi"/>
          <w:sz w:val="24"/>
          <w:szCs w:val="24"/>
        </w:rPr>
        <w:t>.</w:t>
      </w:r>
      <w:r w:rsidR="00B852B1" w:rsidRPr="00660ECD">
        <w:rPr>
          <w:rFonts w:cstheme="minorHAnsi"/>
          <w:sz w:val="24"/>
          <w:szCs w:val="24"/>
        </w:rPr>
        <w:t xml:space="preserve"> </w:t>
      </w:r>
      <w:r w:rsidR="00B852B1" w:rsidRPr="00660ECD">
        <w:rPr>
          <w:rFonts w:cstheme="minorHAnsi"/>
          <w:sz w:val="24"/>
          <w:szCs w:val="24"/>
        </w:rPr>
        <w:fldChar w:fldCharType="begin"/>
      </w:r>
      <w:r w:rsidR="008221DA" w:rsidRPr="00660ECD">
        <w:rPr>
          <w:rFonts w:cstheme="minorHAnsi"/>
          <w:sz w:val="24"/>
          <w:szCs w:val="24"/>
        </w:rPr>
        <w:instrText xml:space="preserve"> ADDIN ZOTERO_ITEM CSL_CITATION {"citationID":"bQZWYqxC","properties":{"formattedCitation":"(34,35)","plainCitation":"(34,35)","noteIndex":0},"citationItems":[{"id":78,"uris":["http://zotero.org/users/local/3eWb7dOa/items/P3NI9BKK"],"itemData":{"id":78,"type":"post-weblog","abstract":"Smoking and smoking cessation treatments have a pharmacological impact on some commonly used drugs and should be taken into account during the selection, introduction and cessation of medicines.","container-title":"The Pharmaceutical Journal","language":"en-US","title":"Tobacco smoking and its potential drug interactions","URL":"https://pharmaceutical-journal.com/article/ld/tobacco-smoking-and-its-potential-drug-interactions","author":[{"family":"Ryan","given":"Jessica"},{"family":"Patel","given":"Joanne"},{"family":"Lucas","given":"Catherine J."},{"family":"Ryan","given":"Jennifer H. MartinCorresponding author Jessica"}],"accessed":{"date-parts":[["2025",6,11]]},"issued":{"date-parts":[["2019",1,11]]}}},{"id":79,"uris":["http://zotero.org/users/local/3eWb7dOa/items/DET4E8G2"],"itemData":{"id":79,"type":"webpage","abstract":"Monitoring blood concentrations of clozapine (Clozaril, Denzapine, Zaponex) for toxicity is now advised in certain clinical situations. Blood level monitoring of other antipsychotics for toxicity may also be helpful in certain circumstances, where testing and reference values are available.","container-title":"GOV.UK","language":"en","title":"Clozapine and other antipsychotics: monitoring blood concentrations for toxicity","title-short":"Clozapine and other antipsychotics","URL":"https://www.gov.uk/drug-safety-update/clozapine-and-other-antipsychotics-monitoring-blood-concentrations-for-toxicity","accessed":{"date-parts":[["2025",6,11]]}}}],"schema":"https://github.com/citation-style-language/schema/raw/master/csl-citation.json"} </w:instrText>
      </w:r>
      <w:r w:rsidR="00B852B1" w:rsidRPr="00660ECD">
        <w:rPr>
          <w:rFonts w:cstheme="minorHAnsi"/>
          <w:sz w:val="24"/>
          <w:szCs w:val="24"/>
        </w:rPr>
        <w:fldChar w:fldCharType="separate"/>
      </w:r>
      <w:r w:rsidR="008221DA" w:rsidRPr="00660ECD">
        <w:rPr>
          <w:rFonts w:cstheme="minorHAnsi"/>
          <w:sz w:val="24"/>
          <w:szCs w:val="24"/>
        </w:rPr>
        <w:t>(34,35)</w:t>
      </w:r>
      <w:r w:rsidR="00B852B1" w:rsidRPr="00660ECD">
        <w:rPr>
          <w:rFonts w:cstheme="minorHAnsi"/>
          <w:sz w:val="24"/>
          <w:szCs w:val="24"/>
        </w:rPr>
        <w:fldChar w:fldCharType="end"/>
      </w:r>
      <w:r w:rsidR="00B852B1" w:rsidRPr="00660ECD">
        <w:rPr>
          <w:rFonts w:cstheme="minorHAnsi"/>
          <w:sz w:val="24"/>
          <w:szCs w:val="24"/>
        </w:rPr>
        <w:t xml:space="preserve">. </w:t>
      </w:r>
    </w:p>
    <w:p w14:paraId="1E9C003C" w14:textId="3DBE8432" w:rsidR="008F2046" w:rsidRPr="00660ECD" w:rsidRDefault="003F01CB" w:rsidP="00660ECD">
      <w:pPr>
        <w:spacing w:after="100" w:afterAutospacing="1" w:line="360" w:lineRule="auto"/>
        <w:rPr>
          <w:rFonts w:cstheme="minorHAnsi"/>
          <w:b/>
          <w:bCs/>
          <w:sz w:val="24"/>
          <w:szCs w:val="24"/>
        </w:rPr>
      </w:pPr>
      <w:r>
        <w:rPr>
          <w:rFonts w:cstheme="minorHAnsi"/>
          <w:b/>
          <w:bCs/>
          <w:sz w:val="24"/>
          <w:szCs w:val="24"/>
        </w:rPr>
        <w:t>Mediations with potential to cause dependency or w</w:t>
      </w:r>
      <w:r w:rsidR="008F2046" w:rsidRPr="00660ECD">
        <w:rPr>
          <w:rFonts w:cstheme="minorHAnsi"/>
          <w:b/>
          <w:bCs/>
          <w:sz w:val="24"/>
          <w:szCs w:val="24"/>
        </w:rPr>
        <w:t xml:space="preserve">ithdrawal </w:t>
      </w:r>
      <w:r>
        <w:rPr>
          <w:rFonts w:cstheme="minorHAnsi"/>
          <w:b/>
          <w:bCs/>
          <w:sz w:val="24"/>
          <w:szCs w:val="24"/>
        </w:rPr>
        <w:t xml:space="preserve">symptoms </w:t>
      </w:r>
    </w:p>
    <w:p w14:paraId="69FC5A3B" w14:textId="33BE3981" w:rsidR="007233A4" w:rsidRPr="00660ECD" w:rsidRDefault="00453BCB" w:rsidP="00660ECD">
      <w:pPr>
        <w:spacing w:after="100" w:afterAutospacing="1" w:line="360" w:lineRule="auto"/>
        <w:rPr>
          <w:rFonts w:cstheme="minorHAnsi"/>
          <w:sz w:val="24"/>
          <w:szCs w:val="24"/>
        </w:rPr>
      </w:pPr>
      <w:r w:rsidRPr="00660ECD">
        <w:rPr>
          <w:rFonts w:cstheme="minorHAnsi"/>
          <w:sz w:val="24"/>
          <w:szCs w:val="24"/>
        </w:rPr>
        <w:lastRenderedPageBreak/>
        <w:t xml:space="preserve">Medications </w:t>
      </w:r>
      <w:r w:rsidR="00436872" w:rsidRPr="00660ECD">
        <w:rPr>
          <w:rFonts w:cstheme="minorHAnsi"/>
          <w:sz w:val="24"/>
          <w:szCs w:val="24"/>
        </w:rPr>
        <w:t xml:space="preserve">with </w:t>
      </w:r>
      <w:r w:rsidR="000226DE" w:rsidRPr="00660ECD">
        <w:rPr>
          <w:rFonts w:cstheme="minorHAnsi"/>
          <w:sz w:val="24"/>
          <w:szCs w:val="24"/>
        </w:rPr>
        <w:t>the potential to cause</w:t>
      </w:r>
      <w:r w:rsidRPr="00660ECD">
        <w:rPr>
          <w:rFonts w:cstheme="minorHAnsi"/>
          <w:sz w:val="24"/>
          <w:szCs w:val="24"/>
        </w:rPr>
        <w:t xml:space="preserve"> dependence or withdrawal symptoms </w:t>
      </w:r>
      <w:r w:rsidR="000226DE" w:rsidRPr="00660ECD">
        <w:rPr>
          <w:rFonts w:cstheme="minorHAnsi"/>
          <w:sz w:val="24"/>
          <w:szCs w:val="24"/>
        </w:rPr>
        <w:t>may</w:t>
      </w:r>
      <w:r w:rsidR="002B5072" w:rsidRPr="00660ECD">
        <w:rPr>
          <w:rFonts w:cstheme="minorHAnsi"/>
          <w:sz w:val="24"/>
          <w:szCs w:val="24"/>
        </w:rPr>
        <w:t xml:space="preserve"> be</w:t>
      </w:r>
      <w:r w:rsidRPr="00660ECD">
        <w:rPr>
          <w:rFonts w:cstheme="minorHAnsi"/>
          <w:sz w:val="24"/>
          <w:szCs w:val="24"/>
        </w:rPr>
        <w:t xml:space="preserve"> </w:t>
      </w:r>
      <w:r w:rsidR="002E380B" w:rsidRPr="00660ECD">
        <w:rPr>
          <w:rFonts w:cstheme="minorHAnsi"/>
          <w:sz w:val="24"/>
          <w:szCs w:val="24"/>
        </w:rPr>
        <w:t>considered high</w:t>
      </w:r>
      <w:r w:rsidR="008C0A07">
        <w:rPr>
          <w:rFonts w:cstheme="minorHAnsi"/>
          <w:sz w:val="24"/>
          <w:szCs w:val="24"/>
        </w:rPr>
        <w:t>-</w:t>
      </w:r>
      <w:r w:rsidR="002E380B" w:rsidRPr="00660ECD">
        <w:rPr>
          <w:rFonts w:cstheme="minorHAnsi"/>
          <w:sz w:val="24"/>
          <w:szCs w:val="24"/>
        </w:rPr>
        <w:t xml:space="preserve">risk </w:t>
      </w:r>
      <w:r w:rsidR="008C0A07">
        <w:rPr>
          <w:rFonts w:cstheme="minorHAnsi"/>
          <w:sz w:val="24"/>
          <w:szCs w:val="24"/>
        </w:rPr>
        <w:t>because of</w:t>
      </w:r>
      <w:r w:rsidR="002B5072" w:rsidRPr="00660ECD">
        <w:rPr>
          <w:rFonts w:cstheme="minorHAnsi"/>
          <w:sz w:val="24"/>
          <w:szCs w:val="24"/>
        </w:rPr>
        <w:t xml:space="preserve"> the need for safe prescribing and withdrawal management </w:t>
      </w:r>
      <w:r w:rsidR="00543ABF" w:rsidRPr="00660ECD">
        <w:rPr>
          <w:rFonts w:cstheme="minorHAnsi"/>
          <w:sz w:val="24"/>
          <w:szCs w:val="24"/>
        </w:rPr>
        <w:fldChar w:fldCharType="begin"/>
      </w:r>
      <w:r w:rsidR="008221DA" w:rsidRPr="00660ECD">
        <w:rPr>
          <w:rFonts w:cstheme="minorHAnsi"/>
          <w:sz w:val="24"/>
          <w:szCs w:val="24"/>
        </w:rPr>
        <w:instrText xml:space="preserve"> ADDIN ZOTERO_ITEM CSL_CITATION {"citationID":"Hrv59V4g","properties":{"formattedCitation":"(36)","plainCitation":"(36)","noteIndex":0},"citationItems":[{"id":41,"uris":["http://zotero.org/users/local/3eWb7dOa/items/WE2FFEIX"],"itemData":{"id":41,"type":"article-journal","language":"en","source":"Zotero","title":"Medicines associated with dependence or withdrawal symptoms: safe prescribing and withdrawal management for adults"}}],"schema":"https://github.com/citation-style-language/schema/raw/master/csl-citation.json"} </w:instrText>
      </w:r>
      <w:r w:rsidR="00543ABF" w:rsidRPr="00660ECD">
        <w:rPr>
          <w:rFonts w:cstheme="minorHAnsi"/>
          <w:sz w:val="24"/>
          <w:szCs w:val="24"/>
        </w:rPr>
        <w:fldChar w:fldCharType="separate"/>
      </w:r>
      <w:r w:rsidR="008221DA" w:rsidRPr="00660ECD">
        <w:rPr>
          <w:rFonts w:cstheme="minorHAnsi"/>
          <w:sz w:val="24"/>
          <w:szCs w:val="24"/>
        </w:rPr>
        <w:t>(36)</w:t>
      </w:r>
      <w:r w:rsidR="00543ABF" w:rsidRPr="00660ECD">
        <w:rPr>
          <w:rFonts w:cstheme="minorHAnsi"/>
          <w:sz w:val="24"/>
          <w:szCs w:val="24"/>
        </w:rPr>
        <w:fldChar w:fldCharType="end"/>
      </w:r>
      <w:r w:rsidR="00543ABF" w:rsidRPr="00660ECD">
        <w:rPr>
          <w:rFonts w:cstheme="minorHAnsi"/>
          <w:sz w:val="24"/>
          <w:szCs w:val="24"/>
        </w:rPr>
        <w:t xml:space="preserve">. In some cases, sudden withdrawal can lead to life-threatening </w:t>
      </w:r>
      <w:r w:rsidR="00C81ADC" w:rsidRPr="00660ECD">
        <w:rPr>
          <w:rFonts w:cstheme="minorHAnsi"/>
          <w:sz w:val="24"/>
          <w:szCs w:val="24"/>
        </w:rPr>
        <w:t xml:space="preserve">situations, such as the risk of adrenal crisis and death </w:t>
      </w:r>
      <w:r w:rsidR="00390341" w:rsidRPr="00660ECD">
        <w:rPr>
          <w:rFonts w:cstheme="minorHAnsi"/>
          <w:sz w:val="24"/>
          <w:szCs w:val="24"/>
        </w:rPr>
        <w:t>when</w:t>
      </w:r>
      <w:r w:rsidR="0054151A" w:rsidRPr="00660ECD">
        <w:rPr>
          <w:rFonts w:cstheme="minorHAnsi"/>
          <w:sz w:val="24"/>
          <w:szCs w:val="24"/>
        </w:rPr>
        <w:t xml:space="preserve"> steroids</w:t>
      </w:r>
      <w:r w:rsidR="00390341" w:rsidRPr="00660ECD">
        <w:rPr>
          <w:rFonts w:cstheme="minorHAnsi"/>
          <w:sz w:val="24"/>
          <w:szCs w:val="24"/>
        </w:rPr>
        <w:t xml:space="preserve"> are omitted</w:t>
      </w:r>
      <w:r w:rsidR="0054151A" w:rsidRPr="00660ECD">
        <w:rPr>
          <w:rFonts w:cstheme="minorHAnsi"/>
          <w:sz w:val="24"/>
          <w:szCs w:val="24"/>
        </w:rPr>
        <w:t xml:space="preserve"> </w:t>
      </w:r>
      <w:r w:rsidR="00C81ADC" w:rsidRPr="00660ECD">
        <w:rPr>
          <w:rFonts w:cstheme="minorHAnsi"/>
          <w:sz w:val="24"/>
          <w:szCs w:val="24"/>
        </w:rPr>
        <w:t>in patients with adrenal sufficienc</w:t>
      </w:r>
      <w:r w:rsidR="005617FF" w:rsidRPr="00660ECD">
        <w:rPr>
          <w:rFonts w:cstheme="minorHAnsi"/>
          <w:sz w:val="24"/>
          <w:szCs w:val="24"/>
        </w:rPr>
        <w:t>y</w:t>
      </w:r>
      <w:r w:rsidR="0054151A" w:rsidRPr="00660ECD">
        <w:rPr>
          <w:rFonts w:cstheme="minorHAnsi"/>
          <w:sz w:val="24"/>
          <w:szCs w:val="24"/>
        </w:rPr>
        <w:t xml:space="preserve">. </w:t>
      </w:r>
      <w:r w:rsidR="008C0A07">
        <w:rPr>
          <w:rFonts w:cstheme="minorHAnsi"/>
          <w:sz w:val="24"/>
          <w:szCs w:val="24"/>
        </w:rPr>
        <w:t>This is a risk for</w:t>
      </w:r>
      <w:r w:rsidR="00744E21" w:rsidRPr="00660ECD">
        <w:rPr>
          <w:rFonts w:cstheme="minorHAnsi"/>
          <w:sz w:val="24"/>
          <w:szCs w:val="24"/>
        </w:rPr>
        <w:t xml:space="preserve"> patients with primary adrenal insufficiency</w:t>
      </w:r>
      <w:r w:rsidR="00282976" w:rsidRPr="00660ECD">
        <w:rPr>
          <w:rFonts w:cstheme="minorHAnsi"/>
          <w:sz w:val="24"/>
          <w:szCs w:val="24"/>
        </w:rPr>
        <w:t xml:space="preserve">, such as </w:t>
      </w:r>
      <w:r w:rsidR="00C836F2" w:rsidRPr="00660ECD">
        <w:rPr>
          <w:rFonts w:cstheme="minorHAnsi"/>
          <w:sz w:val="24"/>
          <w:szCs w:val="24"/>
        </w:rPr>
        <w:t>Addison’s disease, but also includes patients on oral, inhaled or topical steroids for other conditions</w:t>
      </w:r>
      <w:r w:rsidR="005617FF" w:rsidRPr="00660ECD">
        <w:rPr>
          <w:rFonts w:cstheme="minorHAnsi"/>
          <w:sz w:val="24"/>
          <w:szCs w:val="24"/>
        </w:rPr>
        <w:t>.</w:t>
      </w:r>
      <w:r w:rsidR="00C836F2" w:rsidRPr="00660ECD">
        <w:rPr>
          <w:rFonts w:cstheme="minorHAnsi"/>
          <w:sz w:val="24"/>
          <w:szCs w:val="24"/>
        </w:rPr>
        <w:t xml:space="preserve"> </w:t>
      </w:r>
      <w:r w:rsidR="0052062D" w:rsidRPr="00660ECD">
        <w:rPr>
          <w:rFonts w:cstheme="minorHAnsi"/>
          <w:sz w:val="24"/>
          <w:szCs w:val="24"/>
        </w:rPr>
        <w:t>P</w:t>
      </w:r>
      <w:r w:rsidR="006575CC" w:rsidRPr="00660ECD">
        <w:rPr>
          <w:rFonts w:cstheme="minorHAnsi"/>
          <w:sz w:val="24"/>
          <w:szCs w:val="24"/>
        </w:rPr>
        <w:t xml:space="preserve">atients on long-term steroids may </w:t>
      </w:r>
      <w:r w:rsidR="0052062D" w:rsidRPr="00660ECD">
        <w:rPr>
          <w:rFonts w:cstheme="minorHAnsi"/>
          <w:sz w:val="24"/>
          <w:szCs w:val="24"/>
        </w:rPr>
        <w:t xml:space="preserve">also </w:t>
      </w:r>
      <w:r w:rsidR="006575CC" w:rsidRPr="00660ECD">
        <w:rPr>
          <w:rFonts w:cstheme="minorHAnsi"/>
          <w:sz w:val="24"/>
          <w:szCs w:val="24"/>
        </w:rPr>
        <w:t>be at risk of adrenal crisis at times of physiological stress, for example acute illness</w:t>
      </w:r>
      <w:r w:rsidR="004928CC" w:rsidRPr="00660ECD">
        <w:rPr>
          <w:rFonts w:cstheme="minorHAnsi"/>
          <w:sz w:val="24"/>
          <w:szCs w:val="24"/>
        </w:rPr>
        <w:t>, trauma</w:t>
      </w:r>
      <w:r w:rsidR="006575CC" w:rsidRPr="00660ECD">
        <w:rPr>
          <w:rFonts w:cstheme="minorHAnsi"/>
          <w:sz w:val="24"/>
          <w:szCs w:val="24"/>
        </w:rPr>
        <w:t xml:space="preserve"> or surgery, and so </w:t>
      </w:r>
      <w:r w:rsidR="0052062D" w:rsidRPr="00660ECD">
        <w:rPr>
          <w:rFonts w:cstheme="minorHAnsi"/>
          <w:sz w:val="24"/>
          <w:szCs w:val="24"/>
        </w:rPr>
        <w:t xml:space="preserve">increased </w:t>
      </w:r>
      <w:r w:rsidR="002A4436" w:rsidRPr="00660ECD">
        <w:rPr>
          <w:rFonts w:cstheme="minorHAnsi"/>
          <w:sz w:val="24"/>
          <w:szCs w:val="24"/>
        </w:rPr>
        <w:t xml:space="preserve">steroid doses may </w:t>
      </w:r>
      <w:r w:rsidR="0052062D" w:rsidRPr="00660ECD">
        <w:rPr>
          <w:rFonts w:cstheme="minorHAnsi"/>
          <w:sz w:val="24"/>
          <w:szCs w:val="24"/>
        </w:rPr>
        <w:t>be required</w:t>
      </w:r>
      <w:r w:rsidR="002A4436" w:rsidRPr="00660ECD">
        <w:rPr>
          <w:rFonts w:cstheme="minorHAnsi"/>
          <w:sz w:val="24"/>
          <w:szCs w:val="24"/>
        </w:rPr>
        <w:t xml:space="preserve"> </w:t>
      </w:r>
      <w:r w:rsidR="002A4436" w:rsidRPr="00660ECD">
        <w:rPr>
          <w:rFonts w:cstheme="minorHAnsi"/>
          <w:sz w:val="24"/>
          <w:szCs w:val="24"/>
        </w:rPr>
        <w:fldChar w:fldCharType="begin"/>
      </w:r>
      <w:r w:rsidR="008221DA" w:rsidRPr="00660ECD">
        <w:rPr>
          <w:rFonts w:cstheme="minorHAnsi"/>
          <w:sz w:val="24"/>
          <w:szCs w:val="24"/>
        </w:rPr>
        <w:instrText xml:space="preserve"> ADDIN ZOTERO_ITEM CSL_CITATION {"citationID":"praDT9CY","properties":{"formattedCitation":"(37)","plainCitation":"(37)","noteIndex":0},"citationItems":[{"id":42,"uris":["http://zotero.org/users/local/3eWb7dOa/items/SGENV5R6"],"itemData":{"id":42,"type":"article-journal","abstract":"Adrenal insufficiency (AI) is an often-unrecognised endocrine disorder, which can lead to adrenal crisis and death if not identified and treated. Omission of steroids in patients with AI, particularly during physiological stress such as an intercurrent illness or surgery, can also lead to an adrenal crisis. The National Reporting and Learning System (NRLS) identified 78 incidents including two deaths and six incidents of severe harm to patients in a recent 4-year period. This guidance will go through causes of adrenal insufficiency, groups at risk of an adrenal crisis, emergency management and management for surgical procedures. A new NHS Steroid Emergency Card has been developed to be carried by patients at risk of adrenal crisis. We hope the new emergency card and this guidance will increase awareness of the need to start steroids promptly in patients at risk of an adrenal crisis, particularly those presenting in the emergency department or to acute medicine teams and those undergoing surgery or invasive procedures.","container-title":"Clinical Medicine","DOI":"10.7861/clinmed.2019-0324","ISSN":"1470-2118","issue":"4","journalAbbreviation":"Clin Med (Lond)","note":"PMID: 32675141\nPMCID: PMC7385786","page":"371-378","source":"PubMed Central","title":"Guidance for the prevention and emergency management of adult patients with adrenal insufficiency","volume":"20","author":[{"family":"Simpson","given":"Helen"},{"family":"Tomlinson","given":"Jeremy"},{"family":"Wass","given":"John"},{"family":"Dean","given":"John"},{"family":"Arlt","given":"Wiebke"}],"issued":{"date-parts":[["2020",7]]}}}],"schema":"https://github.com/citation-style-language/schema/raw/master/csl-citation.json"} </w:instrText>
      </w:r>
      <w:r w:rsidR="002A4436" w:rsidRPr="00660ECD">
        <w:rPr>
          <w:rFonts w:cstheme="minorHAnsi"/>
          <w:sz w:val="24"/>
          <w:szCs w:val="24"/>
        </w:rPr>
        <w:fldChar w:fldCharType="separate"/>
      </w:r>
      <w:r w:rsidR="008221DA" w:rsidRPr="00660ECD">
        <w:rPr>
          <w:rFonts w:cstheme="minorHAnsi"/>
          <w:sz w:val="24"/>
          <w:szCs w:val="24"/>
        </w:rPr>
        <w:t>(37)</w:t>
      </w:r>
      <w:r w:rsidR="002A4436" w:rsidRPr="00660ECD">
        <w:rPr>
          <w:rFonts w:cstheme="minorHAnsi"/>
          <w:sz w:val="24"/>
          <w:szCs w:val="24"/>
        </w:rPr>
        <w:fldChar w:fldCharType="end"/>
      </w:r>
      <w:r w:rsidR="002A4436" w:rsidRPr="00660ECD">
        <w:rPr>
          <w:rFonts w:cstheme="minorHAnsi"/>
          <w:sz w:val="24"/>
          <w:szCs w:val="24"/>
        </w:rPr>
        <w:t xml:space="preserve">. </w:t>
      </w:r>
      <w:r w:rsidR="008E4F78" w:rsidRPr="00660ECD">
        <w:rPr>
          <w:rFonts w:cstheme="minorHAnsi"/>
          <w:sz w:val="24"/>
          <w:szCs w:val="24"/>
        </w:rPr>
        <w:t xml:space="preserve">A National Patient Safety Alert </w:t>
      </w:r>
      <w:r w:rsidR="00A83720" w:rsidRPr="00660ECD">
        <w:rPr>
          <w:rFonts w:cstheme="minorHAnsi"/>
          <w:sz w:val="24"/>
          <w:szCs w:val="24"/>
        </w:rPr>
        <w:t xml:space="preserve">in 2020 </w:t>
      </w:r>
      <w:r w:rsidR="000E013F" w:rsidRPr="00660ECD">
        <w:rPr>
          <w:rFonts w:cstheme="minorHAnsi"/>
          <w:sz w:val="24"/>
          <w:szCs w:val="24"/>
        </w:rPr>
        <w:t>promote</w:t>
      </w:r>
      <w:r w:rsidR="006363A4" w:rsidRPr="00660ECD">
        <w:rPr>
          <w:rFonts w:cstheme="minorHAnsi"/>
          <w:sz w:val="24"/>
          <w:szCs w:val="24"/>
        </w:rPr>
        <w:t>d</w:t>
      </w:r>
      <w:r w:rsidR="000E013F" w:rsidRPr="00660ECD">
        <w:rPr>
          <w:rFonts w:cstheme="minorHAnsi"/>
          <w:sz w:val="24"/>
          <w:szCs w:val="24"/>
        </w:rPr>
        <w:t xml:space="preserve"> </w:t>
      </w:r>
      <w:r w:rsidR="00EA10E3" w:rsidRPr="00660ECD">
        <w:rPr>
          <w:rFonts w:cstheme="minorHAnsi"/>
          <w:sz w:val="24"/>
          <w:szCs w:val="24"/>
        </w:rPr>
        <w:t xml:space="preserve">the </w:t>
      </w:r>
      <w:r w:rsidR="000E013F" w:rsidRPr="00660ECD">
        <w:rPr>
          <w:rFonts w:cstheme="minorHAnsi"/>
          <w:sz w:val="24"/>
          <w:szCs w:val="24"/>
        </w:rPr>
        <w:t xml:space="preserve">patient-held </w:t>
      </w:r>
      <w:r w:rsidR="00A313AA" w:rsidRPr="00660ECD">
        <w:rPr>
          <w:rFonts w:cstheme="minorHAnsi"/>
          <w:sz w:val="24"/>
          <w:szCs w:val="24"/>
        </w:rPr>
        <w:t xml:space="preserve">Steroid Emergency Card to enable ‘at risk’ patients to be </w:t>
      </w:r>
      <w:r w:rsidR="00E10091" w:rsidRPr="00660ECD">
        <w:rPr>
          <w:rFonts w:cstheme="minorHAnsi"/>
          <w:sz w:val="24"/>
          <w:szCs w:val="24"/>
        </w:rPr>
        <w:t xml:space="preserve">identified and managed appropriately </w:t>
      </w:r>
      <w:r w:rsidR="00086506" w:rsidRPr="00660ECD">
        <w:rPr>
          <w:rFonts w:cstheme="minorHAnsi"/>
          <w:sz w:val="24"/>
          <w:szCs w:val="24"/>
        </w:rPr>
        <w:fldChar w:fldCharType="begin"/>
      </w:r>
      <w:r w:rsidR="008221DA" w:rsidRPr="00660ECD">
        <w:rPr>
          <w:rFonts w:cstheme="minorHAnsi"/>
          <w:sz w:val="24"/>
          <w:szCs w:val="24"/>
        </w:rPr>
        <w:instrText xml:space="preserve"> ADDIN ZOTERO_ITEM CSL_CITATION {"citationID":"OLfY4F3j","properties":{"formattedCitation":"(38)","plainCitation":"(38)","noteIndex":0},"citationItems":[{"id":47,"uris":["http://zotero.org/users/local/3eWb7dOa/items/PRWGMPRZ"],"itemData":{"id":47,"type":"post-weblog","abstract":"NHS England » National Patient Safety Alert – Steroid Emergency Card to support early recognition and treatment of adrenal crisis in adults","language":"en-US","title":"NHS England » National Patient Safety Alert – Steroid Emergency Card to support early recognition and treatment of adrenal crisis in adults","URL":"https://www.england.nhs.uk/publication/national-patient-safety-alert-steroid-emergency-card-to-support-early-recognition-and-treatment-of-adrenal-crisis-in-adults/","author":[{"family":"England","given":"N. H. S."}],"accessed":{"date-parts":[["2025",5,14]]},"issued":{"date-parts":[["2020",8,13]]}}}],"schema":"https://github.com/citation-style-language/schema/raw/master/csl-citation.json"} </w:instrText>
      </w:r>
      <w:r w:rsidR="00086506" w:rsidRPr="00660ECD">
        <w:rPr>
          <w:rFonts w:cstheme="minorHAnsi"/>
          <w:sz w:val="24"/>
          <w:szCs w:val="24"/>
        </w:rPr>
        <w:fldChar w:fldCharType="separate"/>
      </w:r>
      <w:r w:rsidR="008221DA" w:rsidRPr="00660ECD">
        <w:rPr>
          <w:rFonts w:cstheme="minorHAnsi"/>
          <w:sz w:val="24"/>
          <w:szCs w:val="24"/>
        </w:rPr>
        <w:t>(38)</w:t>
      </w:r>
      <w:r w:rsidR="00086506" w:rsidRPr="00660ECD">
        <w:rPr>
          <w:rFonts w:cstheme="minorHAnsi"/>
          <w:sz w:val="24"/>
          <w:szCs w:val="24"/>
        </w:rPr>
        <w:fldChar w:fldCharType="end"/>
      </w:r>
      <w:r w:rsidR="006363A4" w:rsidRPr="00660ECD">
        <w:rPr>
          <w:rFonts w:cstheme="minorHAnsi"/>
          <w:sz w:val="24"/>
          <w:szCs w:val="24"/>
        </w:rPr>
        <w:t>.</w:t>
      </w:r>
    </w:p>
    <w:p w14:paraId="5034D549" w14:textId="16E2B36E" w:rsidR="0090345D" w:rsidRPr="00660ECD" w:rsidRDefault="00EA10E3" w:rsidP="00660ECD">
      <w:pPr>
        <w:spacing w:after="100" w:afterAutospacing="1" w:line="360" w:lineRule="auto"/>
        <w:rPr>
          <w:rFonts w:cstheme="minorHAnsi"/>
          <w:sz w:val="24"/>
          <w:szCs w:val="24"/>
        </w:rPr>
      </w:pPr>
      <w:r w:rsidRPr="00660ECD">
        <w:rPr>
          <w:rFonts w:cstheme="minorHAnsi"/>
          <w:sz w:val="24"/>
          <w:szCs w:val="24"/>
        </w:rPr>
        <w:t xml:space="preserve">Medications used in Parkinson’s disease </w:t>
      </w:r>
      <w:r w:rsidR="004D22E1" w:rsidRPr="00660ECD">
        <w:rPr>
          <w:rFonts w:cstheme="minorHAnsi"/>
          <w:sz w:val="24"/>
          <w:szCs w:val="24"/>
        </w:rPr>
        <w:t>can cause severe harm if withdrawn suddenly</w:t>
      </w:r>
      <w:r w:rsidR="007964C0">
        <w:rPr>
          <w:rFonts w:cstheme="minorHAnsi"/>
          <w:sz w:val="24"/>
          <w:szCs w:val="24"/>
        </w:rPr>
        <w:t>, potentially leading</w:t>
      </w:r>
      <w:r w:rsidR="004D22E1" w:rsidRPr="00660ECD">
        <w:rPr>
          <w:rFonts w:cstheme="minorHAnsi"/>
          <w:sz w:val="24"/>
          <w:szCs w:val="24"/>
        </w:rPr>
        <w:t xml:space="preserve"> </w:t>
      </w:r>
      <w:r w:rsidRPr="00660ECD">
        <w:rPr>
          <w:rFonts w:cstheme="minorHAnsi"/>
          <w:sz w:val="24"/>
          <w:szCs w:val="24"/>
        </w:rPr>
        <w:t xml:space="preserve">to the </w:t>
      </w:r>
      <w:r w:rsidR="00906FA7" w:rsidRPr="00660ECD">
        <w:rPr>
          <w:rFonts w:cstheme="minorHAnsi"/>
          <w:sz w:val="24"/>
          <w:szCs w:val="24"/>
        </w:rPr>
        <w:t xml:space="preserve">development of </w:t>
      </w:r>
      <w:r w:rsidR="00AF574B" w:rsidRPr="00660ECD">
        <w:rPr>
          <w:rFonts w:cstheme="minorHAnsi"/>
          <w:sz w:val="24"/>
          <w:szCs w:val="24"/>
        </w:rPr>
        <w:t xml:space="preserve">acute akinesia </w:t>
      </w:r>
      <w:r w:rsidR="00E336D6" w:rsidRPr="00660ECD">
        <w:rPr>
          <w:rFonts w:cstheme="minorHAnsi"/>
          <w:sz w:val="24"/>
          <w:szCs w:val="24"/>
        </w:rPr>
        <w:t xml:space="preserve">or </w:t>
      </w:r>
      <w:r w:rsidR="00C85273" w:rsidRPr="00660ECD">
        <w:rPr>
          <w:rFonts w:cstheme="minorHAnsi"/>
          <w:sz w:val="24"/>
          <w:szCs w:val="24"/>
        </w:rPr>
        <w:t>neuroleptic</w:t>
      </w:r>
      <w:r w:rsidR="00DA64B1" w:rsidRPr="00660ECD">
        <w:rPr>
          <w:rFonts w:cstheme="minorHAnsi"/>
          <w:sz w:val="24"/>
          <w:szCs w:val="24"/>
        </w:rPr>
        <w:t xml:space="preserve"> malignant-like syndrome</w:t>
      </w:r>
      <w:r w:rsidR="007964C0">
        <w:rPr>
          <w:rFonts w:cstheme="minorHAnsi"/>
          <w:sz w:val="24"/>
          <w:szCs w:val="24"/>
        </w:rPr>
        <w:t xml:space="preserve"> (</w:t>
      </w:r>
      <w:r w:rsidR="00CA25BD" w:rsidRPr="00660ECD">
        <w:rPr>
          <w:rFonts w:cstheme="minorHAnsi"/>
          <w:sz w:val="24"/>
          <w:szCs w:val="24"/>
        </w:rPr>
        <w:t>reduced consciousness, fever, marked rigidity and raised creatinine kinase</w:t>
      </w:r>
      <w:r w:rsidR="007964C0">
        <w:rPr>
          <w:rFonts w:cstheme="minorHAnsi"/>
          <w:sz w:val="24"/>
          <w:szCs w:val="24"/>
        </w:rPr>
        <w:t>)</w:t>
      </w:r>
      <w:r w:rsidR="00CA25BD" w:rsidRPr="00660ECD">
        <w:rPr>
          <w:rFonts w:cstheme="minorHAnsi"/>
          <w:sz w:val="24"/>
          <w:szCs w:val="24"/>
        </w:rPr>
        <w:t xml:space="preserve"> </w:t>
      </w:r>
      <w:r w:rsidR="000D52CE" w:rsidRPr="00660ECD">
        <w:rPr>
          <w:rFonts w:cstheme="minorHAnsi"/>
          <w:sz w:val="24"/>
          <w:szCs w:val="24"/>
        </w:rPr>
        <w:fldChar w:fldCharType="begin"/>
      </w:r>
      <w:r w:rsidR="008221DA" w:rsidRPr="00660ECD">
        <w:rPr>
          <w:rFonts w:cstheme="minorHAnsi"/>
          <w:sz w:val="24"/>
          <w:szCs w:val="24"/>
        </w:rPr>
        <w:instrText xml:space="preserve"> ADDIN ZOTERO_ITEM CSL_CITATION {"citationID":"bGwWQi7i","properties":{"formattedCitation":"(39)","plainCitation":"(39)","noteIndex":0},"citationItems":[{"id":49,"uris":["http://zotero.org/users/local/3eWb7dOa/items/MV4PJQSQ"],"itemData":{"id":49,"type":"article-journal","abstract":"Malignant syndrome is a rare complication occurring during the course of drug treatment for Parkinson's disease. It resembles neuroleptic malignant syndrome and is characterized by fever, marked rigidity, altered consciousness, leucocytosis and elevated creatine kinase. Malignant syndrome is a potentially fatal condition and awareness of this condition is imperative for prevention and treatment. The commonest precipitating factor is dopaminergic drug withdrawal or dose reduction. We report malignant syndrome (precipitated by hyponatremia) in a case of Parkinson's disease, in the absence of dopaminergic drug withdrawal. A 60-year-old man presented with fever, severe rigidity and altered sensorium following repeated vomiting. On investigation, he was found to have hyponatremia precipitated malignant syndrome. Treatment with hydration, cooling, correction of hyponatremia and dopaminergic drugs reversed his condition. The triad of fever, severe rigidity and altered sensorium should prompt evaluation for malignant syndrome in Parkinson's disease.","container-title":"Annals of Indian Academy of Neurology","DOI":"10.4103/0972-2327.44562","ISSN":"0972-2327","issue":"4","journalAbbreviation":"Ann Indian Acad Neurol","note":"PMID: 19893683\nPMCID: PMC2771991","page":"248-250","source":"PubMed Central","title":"Malignant syndrome in Parkinson's disease without dopaminergic drug withdrawal","volume":"11","author":[{"family":"Chandran","given":"C. J. Suresh"}],"issued":{"date-parts":[["2008"]]}}}],"schema":"https://github.com/citation-style-language/schema/raw/master/csl-citation.json"} </w:instrText>
      </w:r>
      <w:r w:rsidR="000D52CE" w:rsidRPr="00660ECD">
        <w:rPr>
          <w:rFonts w:cstheme="minorHAnsi"/>
          <w:sz w:val="24"/>
          <w:szCs w:val="24"/>
        </w:rPr>
        <w:fldChar w:fldCharType="separate"/>
      </w:r>
      <w:r w:rsidR="008221DA" w:rsidRPr="00660ECD">
        <w:rPr>
          <w:rFonts w:cstheme="minorHAnsi"/>
          <w:sz w:val="24"/>
          <w:szCs w:val="24"/>
        </w:rPr>
        <w:t>(39)</w:t>
      </w:r>
      <w:r w:rsidR="000D52CE" w:rsidRPr="00660ECD">
        <w:rPr>
          <w:rFonts w:cstheme="minorHAnsi"/>
          <w:sz w:val="24"/>
          <w:szCs w:val="24"/>
        </w:rPr>
        <w:fldChar w:fldCharType="end"/>
      </w:r>
      <w:r w:rsidR="000D52CE" w:rsidRPr="00660ECD">
        <w:rPr>
          <w:rFonts w:cstheme="minorHAnsi"/>
          <w:sz w:val="24"/>
          <w:szCs w:val="24"/>
        </w:rPr>
        <w:t xml:space="preserve">. </w:t>
      </w:r>
      <w:r w:rsidR="00934BAB" w:rsidRPr="00660ECD">
        <w:rPr>
          <w:rFonts w:cstheme="minorHAnsi"/>
          <w:sz w:val="24"/>
          <w:szCs w:val="24"/>
        </w:rPr>
        <w:t xml:space="preserve">Due to the nature of Parkinson’s disease, there are </w:t>
      </w:r>
      <w:r w:rsidR="005F740E" w:rsidRPr="00660ECD">
        <w:rPr>
          <w:rFonts w:cstheme="minorHAnsi"/>
          <w:sz w:val="24"/>
          <w:szCs w:val="24"/>
        </w:rPr>
        <w:t>several</w:t>
      </w:r>
      <w:r w:rsidR="00934BAB" w:rsidRPr="00660ECD">
        <w:rPr>
          <w:rFonts w:cstheme="minorHAnsi"/>
          <w:sz w:val="24"/>
          <w:szCs w:val="24"/>
        </w:rPr>
        <w:t xml:space="preserve"> precipitating factors that could lead to sudden </w:t>
      </w:r>
      <w:r w:rsidR="00726AAB" w:rsidRPr="00660ECD">
        <w:rPr>
          <w:rFonts w:cstheme="minorHAnsi"/>
          <w:sz w:val="24"/>
          <w:szCs w:val="24"/>
        </w:rPr>
        <w:t xml:space="preserve">drug withdrawal, such as </w:t>
      </w:r>
      <w:r w:rsidR="00FF1D9B" w:rsidRPr="00660ECD">
        <w:rPr>
          <w:rFonts w:cstheme="minorHAnsi"/>
          <w:sz w:val="24"/>
          <w:szCs w:val="24"/>
        </w:rPr>
        <w:t xml:space="preserve">loss of swallow, gastrointestinal problems, </w:t>
      </w:r>
      <w:r w:rsidR="002F2217" w:rsidRPr="00660ECD">
        <w:rPr>
          <w:rFonts w:cstheme="minorHAnsi"/>
          <w:sz w:val="24"/>
          <w:szCs w:val="24"/>
        </w:rPr>
        <w:t>onset of confusion or hallucinations</w:t>
      </w:r>
      <w:r w:rsidR="00A6710D">
        <w:rPr>
          <w:rFonts w:cstheme="minorHAnsi"/>
          <w:sz w:val="24"/>
          <w:szCs w:val="24"/>
        </w:rPr>
        <w:t>,</w:t>
      </w:r>
      <w:r w:rsidR="002F2217" w:rsidRPr="00660ECD">
        <w:rPr>
          <w:rFonts w:cstheme="minorHAnsi"/>
          <w:sz w:val="24"/>
          <w:szCs w:val="24"/>
        </w:rPr>
        <w:t xml:space="preserve"> loss of </w:t>
      </w:r>
      <w:r w:rsidR="00A6710D">
        <w:rPr>
          <w:rFonts w:cstheme="minorHAnsi"/>
          <w:sz w:val="24"/>
          <w:szCs w:val="24"/>
        </w:rPr>
        <w:t>adherence</w:t>
      </w:r>
      <w:r w:rsidR="002F2217" w:rsidRPr="00660ECD">
        <w:rPr>
          <w:rFonts w:cstheme="minorHAnsi"/>
          <w:sz w:val="24"/>
          <w:szCs w:val="24"/>
        </w:rPr>
        <w:t xml:space="preserve">, or </w:t>
      </w:r>
      <w:r w:rsidR="00A6710D">
        <w:rPr>
          <w:rFonts w:cstheme="minorHAnsi"/>
          <w:sz w:val="24"/>
          <w:szCs w:val="24"/>
        </w:rPr>
        <w:t xml:space="preserve">a </w:t>
      </w:r>
      <w:r w:rsidR="002F2217" w:rsidRPr="00660ECD">
        <w:rPr>
          <w:rFonts w:cstheme="minorHAnsi"/>
          <w:sz w:val="24"/>
          <w:szCs w:val="24"/>
        </w:rPr>
        <w:t>need to</w:t>
      </w:r>
      <w:r w:rsidR="00905D94" w:rsidRPr="00660ECD">
        <w:rPr>
          <w:rFonts w:cstheme="minorHAnsi"/>
          <w:sz w:val="24"/>
          <w:szCs w:val="24"/>
        </w:rPr>
        <w:t xml:space="preserve"> switch therapy </w:t>
      </w:r>
      <w:r w:rsidR="008A1073" w:rsidRPr="00660ECD">
        <w:rPr>
          <w:rFonts w:cstheme="minorHAnsi"/>
          <w:sz w:val="24"/>
          <w:szCs w:val="24"/>
        </w:rPr>
        <w:fldChar w:fldCharType="begin"/>
      </w:r>
      <w:r w:rsidR="008221DA" w:rsidRPr="00660ECD">
        <w:rPr>
          <w:rFonts w:cstheme="minorHAnsi"/>
          <w:sz w:val="24"/>
          <w:szCs w:val="24"/>
        </w:rPr>
        <w:instrText xml:space="preserve"> ADDIN ZOTERO_ITEM CSL_CITATION {"citationID":"fDh6IKbK","properties":{"formattedCitation":"(40)","plainCitation":"(40)","noteIndex":0},"citationItems":[{"id":51,"uris":["http://zotero.org/users/local/3eWb7dOa/items/4TKHFV7M"],"itemData":{"id":51,"type":"article-journal","abstract":"Complications from Parkinson’s disease may develop over the disease course, sometimes unexpectedly, and require prompt or even urgent medical intervention. The most common are associated with aggravation of motor symptoms; serious non-motor complications, such as psychosis, orthostatic hypotension or sleep attacks, also occur. Here we review such complications, their clinical presentation, precipitating factors and management, including those related to using device-aided therapies. Early recognition and prompt attention to these critical situations is challenging, even for the Parkinson’s disease specialist, but is essential to prevent serious problems.","container-title":"Practical Neurology","DOI":"10.1136/practneurol-2018-002075","ISSN":"1474-7758, 1474-7766","issue":"1","language":"en","license":"© Author(s) (or their employer(s)) 2020.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BMJ Publishing Group Ltd\nsection: Review\nPMID: 31427383","page":"15-25","source":"pn.bmj.com","title":"Emergencies and critical issues in Parkinson’s disease","volume":"20","author":[{"family":"Simonet","given":"Cristina"},{"family":"Tolosa","given":"Eduardo"},{"family":"Camara","given":"Ana"},{"family":"Valldeoriola","given":"Francesc"}],"issued":{"date-parts":[["2020",2,1]]}}}],"schema":"https://github.com/citation-style-language/schema/raw/master/csl-citation.json"} </w:instrText>
      </w:r>
      <w:r w:rsidR="008A1073" w:rsidRPr="00660ECD">
        <w:rPr>
          <w:rFonts w:cstheme="minorHAnsi"/>
          <w:sz w:val="24"/>
          <w:szCs w:val="24"/>
        </w:rPr>
        <w:fldChar w:fldCharType="separate"/>
      </w:r>
      <w:r w:rsidR="008221DA" w:rsidRPr="00660ECD">
        <w:rPr>
          <w:rFonts w:cstheme="minorHAnsi"/>
          <w:sz w:val="24"/>
          <w:szCs w:val="24"/>
        </w:rPr>
        <w:t>(40)</w:t>
      </w:r>
      <w:r w:rsidR="008A1073" w:rsidRPr="00660ECD">
        <w:rPr>
          <w:rFonts w:cstheme="minorHAnsi"/>
          <w:sz w:val="24"/>
          <w:szCs w:val="24"/>
        </w:rPr>
        <w:fldChar w:fldCharType="end"/>
      </w:r>
      <w:r w:rsidR="00905D94" w:rsidRPr="00660ECD">
        <w:rPr>
          <w:rFonts w:cstheme="minorHAnsi"/>
          <w:sz w:val="24"/>
          <w:szCs w:val="24"/>
        </w:rPr>
        <w:t xml:space="preserve">. </w:t>
      </w:r>
      <w:r w:rsidR="00A6710D">
        <w:rPr>
          <w:rFonts w:cstheme="minorHAnsi"/>
          <w:sz w:val="24"/>
          <w:szCs w:val="24"/>
        </w:rPr>
        <w:t xml:space="preserve">As </w:t>
      </w:r>
      <w:r w:rsidR="001A6FC4" w:rsidRPr="00660ECD">
        <w:rPr>
          <w:rFonts w:cstheme="minorHAnsi"/>
          <w:sz w:val="24"/>
          <w:szCs w:val="24"/>
        </w:rPr>
        <w:t xml:space="preserve">Parkinson’s disease and </w:t>
      </w:r>
      <w:r w:rsidR="00A6710D">
        <w:rPr>
          <w:rFonts w:cstheme="minorHAnsi"/>
          <w:sz w:val="24"/>
          <w:szCs w:val="24"/>
        </w:rPr>
        <w:t xml:space="preserve">its </w:t>
      </w:r>
      <w:r w:rsidR="001A6FC4" w:rsidRPr="00660ECD">
        <w:rPr>
          <w:rFonts w:cstheme="minorHAnsi"/>
          <w:sz w:val="24"/>
          <w:szCs w:val="24"/>
        </w:rPr>
        <w:t>medication regimens</w:t>
      </w:r>
      <w:r w:rsidR="00A6710D">
        <w:rPr>
          <w:rFonts w:cstheme="minorHAnsi"/>
          <w:sz w:val="24"/>
          <w:szCs w:val="24"/>
        </w:rPr>
        <w:t xml:space="preserve"> are complex</w:t>
      </w:r>
      <w:r w:rsidR="001A6FC4" w:rsidRPr="00660ECD">
        <w:rPr>
          <w:rFonts w:cstheme="minorHAnsi"/>
          <w:sz w:val="24"/>
          <w:szCs w:val="24"/>
        </w:rPr>
        <w:t xml:space="preserve">, </w:t>
      </w:r>
      <w:r w:rsidR="00302A50" w:rsidRPr="00660ECD">
        <w:rPr>
          <w:rFonts w:cstheme="minorHAnsi"/>
          <w:sz w:val="24"/>
          <w:szCs w:val="24"/>
        </w:rPr>
        <w:t xml:space="preserve">it is recommended that the patient’s specialist team </w:t>
      </w:r>
      <w:r w:rsidR="00B27C54" w:rsidRPr="00660ECD">
        <w:rPr>
          <w:rFonts w:cstheme="minorHAnsi"/>
          <w:sz w:val="24"/>
          <w:szCs w:val="24"/>
        </w:rPr>
        <w:t>are involved in any changes</w:t>
      </w:r>
      <w:r w:rsidR="00A6710D">
        <w:rPr>
          <w:rFonts w:cstheme="minorHAnsi"/>
          <w:sz w:val="24"/>
          <w:szCs w:val="24"/>
        </w:rPr>
        <w:t>,</w:t>
      </w:r>
      <w:r w:rsidR="00AB0CFB" w:rsidRPr="00660ECD">
        <w:rPr>
          <w:rFonts w:cstheme="minorHAnsi"/>
          <w:sz w:val="24"/>
          <w:szCs w:val="24"/>
        </w:rPr>
        <w:t xml:space="preserve"> to</w:t>
      </w:r>
      <w:r w:rsidR="00B27C54" w:rsidRPr="00660ECD">
        <w:rPr>
          <w:rFonts w:cstheme="minorHAnsi"/>
          <w:sz w:val="24"/>
          <w:szCs w:val="24"/>
        </w:rPr>
        <w:t xml:space="preserve"> </w:t>
      </w:r>
      <w:r w:rsidR="001A6FC4" w:rsidRPr="00660ECD">
        <w:rPr>
          <w:rFonts w:cstheme="minorHAnsi"/>
          <w:sz w:val="24"/>
          <w:szCs w:val="24"/>
        </w:rPr>
        <w:t>reduce the risk of patient harm</w:t>
      </w:r>
      <w:r w:rsidR="00B27C54" w:rsidRPr="00660ECD">
        <w:rPr>
          <w:rFonts w:cstheme="minorHAnsi"/>
          <w:sz w:val="24"/>
          <w:szCs w:val="24"/>
        </w:rPr>
        <w:t xml:space="preserve"> </w:t>
      </w:r>
      <w:r w:rsidR="00B27C54" w:rsidRPr="00660ECD">
        <w:rPr>
          <w:rFonts w:cstheme="minorHAnsi"/>
          <w:sz w:val="24"/>
          <w:szCs w:val="24"/>
        </w:rPr>
        <w:fldChar w:fldCharType="begin"/>
      </w:r>
      <w:r w:rsidR="008221DA" w:rsidRPr="00660ECD">
        <w:rPr>
          <w:rFonts w:cstheme="minorHAnsi"/>
          <w:sz w:val="24"/>
          <w:szCs w:val="24"/>
        </w:rPr>
        <w:instrText xml:space="preserve"> ADDIN ZOTERO_ITEM CSL_CITATION {"citationID":"UsrGQ2bR","properties":{"formattedCitation":"(41)","plainCitation":"(41)","noteIndex":0},"citationItems":[{"id":54,"uris":["http://zotero.org/users/local/3eWb7dOa/items/ZHL2UVHI"],"itemData":{"id":54,"type":"webpage","abstract":"Guidance to help you ensure your patients with Parkinson’s Disease are able to get the most from their medicines if they develop swallowing difficulties","container-title":"SPS - Specialist Pharmacy Service","language":"en-GB","title":"Parkinson’s disease medicines in swallowing difficulties","URL":"https://www.sps.nhs.uk/articles/parkinsons-disease-medicines-in-swallowing-difficulties/","accessed":{"date-parts":[["2025",5,14]]},"issued":{"date-parts":[["2022",6,13]]}}}],"schema":"https://github.com/citation-style-language/schema/raw/master/csl-citation.json"} </w:instrText>
      </w:r>
      <w:r w:rsidR="00B27C54" w:rsidRPr="00660ECD">
        <w:rPr>
          <w:rFonts w:cstheme="minorHAnsi"/>
          <w:sz w:val="24"/>
          <w:szCs w:val="24"/>
        </w:rPr>
        <w:fldChar w:fldCharType="separate"/>
      </w:r>
      <w:r w:rsidR="008221DA" w:rsidRPr="00660ECD">
        <w:rPr>
          <w:rFonts w:cstheme="minorHAnsi"/>
          <w:sz w:val="24"/>
          <w:szCs w:val="24"/>
        </w:rPr>
        <w:t>(41)</w:t>
      </w:r>
      <w:r w:rsidR="00B27C54" w:rsidRPr="00660ECD">
        <w:rPr>
          <w:rFonts w:cstheme="minorHAnsi"/>
          <w:sz w:val="24"/>
          <w:szCs w:val="24"/>
        </w:rPr>
        <w:fldChar w:fldCharType="end"/>
      </w:r>
      <w:r w:rsidR="00B27C54" w:rsidRPr="00660ECD">
        <w:rPr>
          <w:rFonts w:cstheme="minorHAnsi"/>
          <w:sz w:val="24"/>
          <w:szCs w:val="24"/>
        </w:rPr>
        <w:t xml:space="preserve">. </w:t>
      </w:r>
    </w:p>
    <w:p w14:paraId="0E8E2A71" w14:textId="13DBA599" w:rsidR="00B27C54" w:rsidRPr="00660ECD" w:rsidRDefault="00CD1604" w:rsidP="00660ECD">
      <w:pPr>
        <w:spacing w:after="100" w:afterAutospacing="1" w:line="360" w:lineRule="auto"/>
        <w:rPr>
          <w:rFonts w:cstheme="minorHAnsi"/>
          <w:sz w:val="24"/>
          <w:szCs w:val="24"/>
        </w:rPr>
      </w:pPr>
      <w:r w:rsidRPr="00660ECD">
        <w:rPr>
          <w:rFonts w:cstheme="minorHAnsi"/>
          <w:sz w:val="24"/>
          <w:szCs w:val="24"/>
        </w:rPr>
        <w:t xml:space="preserve">Other medications that </w:t>
      </w:r>
      <w:r w:rsidR="00A6710D">
        <w:rPr>
          <w:rFonts w:cstheme="minorHAnsi"/>
          <w:sz w:val="24"/>
          <w:szCs w:val="24"/>
        </w:rPr>
        <w:t>have</w:t>
      </w:r>
      <w:r w:rsidRPr="00660ECD">
        <w:rPr>
          <w:rFonts w:cstheme="minorHAnsi"/>
          <w:sz w:val="24"/>
          <w:szCs w:val="24"/>
        </w:rPr>
        <w:t xml:space="preserve"> potentially serious withdrawal symptoms include opioids, benzodiazepine</w:t>
      </w:r>
      <w:r w:rsidR="001F1640" w:rsidRPr="00660ECD">
        <w:rPr>
          <w:rFonts w:cstheme="minorHAnsi"/>
          <w:sz w:val="24"/>
          <w:szCs w:val="24"/>
        </w:rPr>
        <w:t>s</w:t>
      </w:r>
      <w:r w:rsidRPr="00660ECD">
        <w:rPr>
          <w:rFonts w:cstheme="minorHAnsi"/>
          <w:sz w:val="24"/>
          <w:szCs w:val="24"/>
        </w:rPr>
        <w:t>, antidepressant</w:t>
      </w:r>
      <w:r w:rsidR="001F1640" w:rsidRPr="00660ECD">
        <w:rPr>
          <w:rFonts w:cstheme="minorHAnsi"/>
          <w:sz w:val="24"/>
          <w:szCs w:val="24"/>
        </w:rPr>
        <w:t>s</w:t>
      </w:r>
      <w:r w:rsidRPr="00660ECD">
        <w:rPr>
          <w:rFonts w:cstheme="minorHAnsi"/>
          <w:sz w:val="24"/>
          <w:szCs w:val="24"/>
        </w:rPr>
        <w:t xml:space="preserve"> and antipsychotics</w:t>
      </w:r>
      <w:r w:rsidR="00D6340B" w:rsidRPr="00660ECD">
        <w:rPr>
          <w:rFonts w:cstheme="minorHAnsi"/>
          <w:sz w:val="24"/>
          <w:szCs w:val="24"/>
        </w:rPr>
        <w:t xml:space="preserve">. These groups of medicines should be withdrawn gradually, </w:t>
      </w:r>
      <w:r w:rsidR="00A6710D">
        <w:rPr>
          <w:rFonts w:cstheme="minorHAnsi"/>
          <w:sz w:val="24"/>
          <w:szCs w:val="24"/>
        </w:rPr>
        <w:t xml:space="preserve">taking </w:t>
      </w:r>
      <w:r w:rsidR="00B11BB6" w:rsidRPr="00660ECD">
        <w:rPr>
          <w:rFonts w:cstheme="minorHAnsi"/>
          <w:sz w:val="24"/>
          <w:szCs w:val="24"/>
        </w:rPr>
        <w:t>a shared-decision</w:t>
      </w:r>
      <w:r w:rsidR="00A6710D">
        <w:rPr>
          <w:rFonts w:cstheme="minorHAnsi"/>
          <w:sz w:val="24"/>
          <w:szCs w:val="24"/>
        </w:rPr>
        <w:t>-</w:t>
      </w:r>
      <w:r w:rsidR="00B11BB6" w:rsidRPr="00660ECD">
        <w:rPr>
          <w:rFonts w:cstheme="minorHAnsi"/>
          <w:sz w:val="24"/>
          <w:szCs w:val="24"/>
        </w:rPr>
        <w:t>making approach</w:t>
      </w:r>
      <w:r w:rsidR="00983141" w:rsidRPr="00660ECD">
        <w:rPr>
          <w:rFonts w:cstheme="minorHAnsi"/>
          <w:sz w:val="24"/>
          <w:szCs w:val="24"/>
        </w:rPr>
        <w:t xml:space="preserve"> with the patient</w:t>
      </w:r>
      <w:r w:rsidR="00B11BB6" w:rsidRPr="00660ECD">
        <w:rPr>
          <w:rFonts w:cstheme="minorHAnsi"/>
          <w:sz w:val="24"/>
          <w:szCs w:val="24"/>
        </w:rPr>
        <w:t xml:space="preserve"> </w:t>
      </w:r>
      <w:r w:rsidR="00F14E34" w:rsidRPr="00660ECD">
        <w:rPr>
          <w:rFonts w:cstheme="minorHAnsi"/>
          <w:sz w:val="24"/>
          <w:szCs w:val="24"/>
        </w:rPr>
        <w:fldChar w:fldCharType="begin"/>
      </w:r>
      <w:r w:rsidR="008221DA" w:rsidRPr="00660ECD">
        <w:rPr>
          <w:rFonts w:cstheme="minorHAnsi"/>
          <w:sz w:val="24"/>
          <w:szCs w:val="24"/>
        </w:rPr>
        <w:instrText xml:space="preserve"> ADDIN ZOTERO_ITEM CSL_CITATION {"citationID":"JniTdOMC","properties":{"formattedCitation":"(36,42)","plainCitation":"(36,42)","noteIndex":0},"citationItems":[{"id":41,"uris":["http://zotero.org/users/local/3eWb7dOa/items/WE2FFEIX"],"itemData":{"id":41,"type":"article-journal","language":"en","source":"Zotero","title":"Medicines associated with dependence or withdrawal symptoms: safe prescribing and withdrawal management for adults"}},{"id":55,"uris":["http://zotero.org/users/local/3eWb7dOa/items/JZMKFFXD"],"itemData":{"id":55,"type":"webpage","abstract":"Covers the primary care management of opioid dependence at the competency level of generalist including provision of information, risk reduction measures and referral for specialist assessment and multidisciplinary management.","language":"en-GB","title":"Scenario: Management | Management | Opioid dependence | CKS | NICE","title-short":"Scenario","URL":"https://cks.nice.org.uk/topics/opioid-dependence/management/management/","accessed":{"date-parts":[["2025",5,14]]}}}],"schema":"https://github.com/citation-style-language/schema/raw/master/csl-citation.json"} </w:instrText>
      </w:r>
      <w:r w:rsidR="00F14E34" w:rsidRPr="00660ECD">
        <w:rPr>
          <w:rFonts w:cstheme="minorHAnsi"/>
          <w:sz w:val="24"/>
          <w:szCs w:val="24"/>
        </w:rPr>
        <w:fldChar w:fldCharType="separate"/>
      </w:r>
      <w:r w:rsidR="008221DA" w:rsidRPr="00660ECD">
        <w:rPr>
          <w:rFonts w:cstheme="minorHAnsi"/>
          <w:sz w:val="24"/>
          <w:szCs w:val="24"/>
        </w:rPr>
        <w:t>(36,42)</w:t>
      </w:r>
      <w:r w:rsidR="00F14E34" w:rsidRPr="00660ECD">
        <w:rPr>
          <w:rFonts w:cstheme="minorHAnsi"/>
          <w:sz w:val="24"/>
          <w:szCs w:val="24"/>
        </w:rPr>
        <w:fldChar w:fldCharType="end"/>
      </w:r>
      <w:r w:rsidR="00983141" w:rsidRPr="00660ECD">
        <w:rPr>
          <w:rFonts w:cstheme="minorHAnsi"/>
          <w:sz w:val="24"/>
          <w:szCs w:val="24"/>
        </w:rPr>
        <w:t>.</w:t>
      </w:r>
      <w:r w:rsidR="003F01CB">
        <w:rPr>
          <w:rFonts w:cstheme="minorHAnsi"/>
          <w:sz w:val="24"/>
          <w:szCs w:val="24"/>
        </w:rPr>
        <w:t xml:space="preserve"> </w:t>
      </w:r>
    </w:p>
    <w:p w14:paraId="59CF2F6F" w14:textId="26744A92" w:rsidR="00DD5C51" w:rsidRPr="00660ECD" w:rsidRDefault="00DD5C51" w:rsidP="00660ECD">
      <w:pPr>
        <w:spacing w:after="100" w:afterAutospacing="1" w:line="360" w:lineRule="auto"/>
        <w:rPr>
          <w:rFonts w:cstheme="minorHAnsi"/>
          <w:b/>
          <w:bCs/>
          <w:sz w:val="24"/>
          <w:szCs w:val="24"/>
        </w:rPr>
      </w:pPr>
      <w:r w:rsidRPr="00660ECD">
        <w:rPr>
          <w:rFonts w:cstheme="minorHAnsi"/>
          <w:b/>
          <w:bCs/>
          <w:sz w:val="24"/>
          <w:szCs w:val="24"/>
        </w:rPr>
        <w:t>Time</w:t>
      </w:r>
      <w:r w:rsidR="00660ECD">
        <w:rPr>
          <w:rFonts w:cstheme="minorHAnsi"/>
          <w:b/>
          <w:bCs/>
          <w:sz w:val="24"/>
          <w:szCs w:val="24"/>
        </w:rPr>
        <w:t>-c</w:t>
      </w:r>
      <w:r w:rsidRPr="00660ECD">
        <w:rPr>
          <w:rFonts w:cstheme="minorHAnsi"/>
          <w:b/>
          <w:bCs/>
          <w:sz w:val="24"/>
          <w:szCs w:val="24"/>
        </w:rPr>
        <w:t>ritical</w:t>
      </w:r>
      <w:r w:rsidR="00660ECD">
        <w:rPr>
          <w:rFonts w:cstheme="minorHAnsi"/>
          <w:b/>
          <w:bCs/>
          <w:sz w:val="24"/>
          <w:szCs w:val="24"/>
        </w:rPr>
        <w:t xml:space="preserve"> medicines</w:t>
      </w:r>
    </w:p>
    <w:p w14:paraId="51A00390" w14:textId="6513A330" w:rsidR="00FE323C" w:rsidRDefault="00EE7578" w:rsidP="00660ECD">
      <w:pPr>
        <w:spacing w:after="100" w:afterAutospacing="1" w:line="360" w:lineRule="auto"/>
        <w:rPr>
          <w:rFonts w:cstheme="minorHAnsi"/>
          <w:sz w:val="24"/>
          <w:szCs w:val="24"/>
        </w:rPr>
      </w:pPr>
      <w:r w:rsidRPr="00660ECD">
        <w:rPr>
          <w:rFonts w:cstheme="minorHAnsi"/>
          <w:sz w:val="24"/>
          <w:szCs w:val="24"/>
        </w:rPr>
        <w:t xml:space="preserve">Medicines </w:t>
      </w:r>
      <w:r w:rsidR="005671BD" w:rsidRPr="00660ECD">
        <w:rPr>
          <w:rFonts w:cstheme="minorHAnsi"/>
          <w:sz w:val="24"/>
          <w:szCs w:val="24"/>
        </w:rPr>
        <w:t>are</w:t>
      </w:r>
      <w:r w:rsidRPr="00660ECD">
        <w:rPr>
          <w:rFonts w:cstheme="minorHAnsi"/>
          <w:sz w:val="24"/>
          <w:szCs w:val="24"/>
        </w:rPr>
        <w:t xml:space="preserve"> class</w:t>
      </w:r>
      <w:r w:rsidR="005671BD" w:rsidRPr="00660ECD">
        <w:rPr>
          <w:rFonts w:cstheme="minorHAnsi"/>
          <w:sz w:val="24"/>
          <w:szCs w:val="24"/>
        </w:rPr>
        <w:t>ed</w:t>
      </w:r>
      <w:r w:rsidRPr="00660ECD">
        <w:rPr>
          <w:rFonts w:cstheme="minorHAnsi"/>
          <w:sz w:val="24"/>
          <w:szCs w:val="24"/>
        </w:rPr>
        <w:t xml:space="preserve"> as </w:t>
      </w:r>
      <w:r w:rsidR="00366A69" w:rsidRPr="00660ECD">
        <w:rPr>
          <w:rFonts w:cstheme="minorHAnsi"/>
          <w:sz w:val="24"/>
          <w:szCs w:val="24"/>
        </w:rPr>
        <w:t>time</w:t>
      </w:r>
      <w:r w:rsidR="00AE0179" w:rsidRPr="00660ECD">
        <w:rPr>
          <w:rFonts w:cstheme="minorHAnsi"/>
          <w:sz w:val="24"/>
          <w:szCs w:val="24"/>
        </w:rPr>
        <w:t>-critical</w:t>
      </w:r>
      <w:r w:rsidRPr="00660ECD">
        <w:rPr>
          <w:rFonts w:cstheme="minorHAnsi"/>
          <w:sz w:val="24"/>
          <w:szCs w:val="24"/>
        </w:rPr>
        <w:t xml:space="preserve"> if they need to be given at a certain time to </w:t>
      </w:r>
      <w:r w:rsidR="00B31166" w:rsidRPr="00660ECD">
        <w:rPr>
          <w:rFonts w:cstheme="minorHAnsi"/>
          <w:sz w:val="24"/>
          <w:szCs w:val="24"/>
        </w:rPr>
        <w:t>ensure they are safe or work effectively</w:t>
      </w:r>
      <w:r w:rsidR="00494E57">
        <w:rPr>
          <w:rFonts w:cstheme="minorHAnsi"/>
          <w:sz w:val="24"/>
          <w:szCs w:val="24"/>
        </w:rPr>
        <w:t xml:space="preserve">; these include medicines </w:t>
      </w:r>
      <w:r w:rsidR="00494F39">
        <w:rPr>
          <w:rFonts w:cstheme="minorHAnsi"/>
          <w:sz w:val="24"/>
          <w:szCs w:val="24"/>
        </w:rPr>
        <w:t>where delayed</w:t>
      </w:r>
      <w:r w:rsidR="00494E57">
        <w:rPr>
          <w:rFonts w:cstheme="minorHAnsi"/>
          <w:sz w:val="24"/>
          <w:szCs w:val="24"/>
        </w:rPr>
        <w:t xml:space="preserve"> administration </w:t>
      </w:r>
      <w:r w:rsidR="00494F39">
        <w:rPr>
          <w:rFonts w:cstheme="minorHAnsi"/>
          <w:sz w:val="24"/>
          <w:szCs w:val="24"/>
        </w:rPr>
        <w:t>can cause immediate harm</w:t>
      </w:r>
      <w:r w:rsidR="00494E57">
        <w:rPr>
          <w:rFonts w:cstheme="minorHAnsi"/>
          <w:sz w:val="24"/>
          <w:szCs w:val="24"/>
        </w:rPr>
        <w:t>, for example, Parkinson’s</w:t>
      </w:r>
      <w:r w:rsidR="00A95525">
        <w:rPr>
          <w:rFonts w:cstheme="minorHAnsi"/>
          <w:sz w:val="24"/>
          <w:szCs w:val="24"/>
        </w:rPr>
        <w:t xml:space="preserve"> medications</w:t>
      </w:r>
      <w:r w:rsidR="00B31166" w:rsidRPr="00660ECD">
        <w:rPr>
          <w:rFonts w:cstheme="minorHAnsi"/>
          <w:sz w:val="24"/>
          <w:szCs w:val="24"/>
        </w:rPr>
        <w:t>. Medicines deemed to be time-</w:t>
      </w:r>
      <w:r w:rsidR="00BA21A9">
        <w:rPr>
          <w:rFonts w:cstheme="minorHAnsi"/>
          <w:sz w:val="24"/>
          <w:szCs w:val="24"/>
        </w:rPr>
        <w:t>critical</w:t>
      </w:r>
      <w:r w:rsidR="00BA21A9" w:rsidRPr="00660ECD">
        <w:rPr>
          <w:rFonts w:cstheme="minorHAnsi"/>
          <w:sz w:val="24"/>
          <w:szCs w:val="24"/>
        </w:rPr>
        <w:t xml:space="preserve"> </w:t>
      </w:r>
      <w:r w:rsidR="00B31166" w:rsidRPr="00660ECD">
        <w:rPr>
          <w:rFonts w:cstheme="minorHAnsi"/>
          <w:sz w:val="24"/>
          <w:szCs w:val="24"/>
        </w:rPr>
        <w:t>according to the Care Quality Commission include those that</w:t>
      </w:r>
      <w:r w:rsidR="00FE323C">
        <w:rPr>
          <w:rFonts w:cstheme="minorHAnsi"/>
          <w:sz w:val="24"/>
          <w:szCs w:val="24"/>
        </w:rPr>
        <w:t>:</w:t>
      </w:r>
    </w:p>
    <w:p w14:paraId="1306D2D2" w14:textId="7A5B5C48" w:rsidR="00FE323C" w:rsidRDefault="00FE323C" w:rsidP="00FE323C">
      <w:pPr>
        <w:pStyle w:val="ListParagraph"/>
        <w:numPr>
          <w:ilvl w:val="0"/>
          <w:numId w:val="10"/>
        </w:numPr>
        <w:spacing w:after="100" w:afterAutospacing="1" w:line="360" w:lineRule="auto"/>
        <w:rPr>
          <w:rFonts w:cstheme="minorHAnsi"/>
          <w:sz w:val="24"/>
          <w:szCs w:val="24"/>
        </w:rPr>
      </w:pPr>
      <w:r w:rsidRPr="00CD36AC">
        <w:rPr>
          <w:rFonts w:cstheme="minorHAnsi"/>
          <w:sz w:val="24"/>
          <w:szCs w:val="24"/>
        </w:rPr>
        <w:t>S</w:t>
      </w:r>
      <w:r w:rsidR="00186949" w:rsidRPr="00CD36AC">
        <w:rPr>
          <w:rFonts w:cstheme="minorHAnsi"/>
          <w:sz w:val="24"/>
          <w:szCs w:val="24"/>
        </w:rPr>
        <w:t xml:space="preserve">hould be given at a time related </w:t>
      </w:r>
      <w:r w:rsidR="00186949" w:rsidRPr="009B34D0">
        <w:rPr>
          <w:rFonts w:cstheme="minorHAnsi"/>
          <w:sz w:val="24"/>
          <w:szCs w:val="24"/>
        </w:rPr>
        <w:t xml:space="preserve">to food </w:t>
      </w:r>
      <w:proofErr w:type="gramStart"/>
      <w:r w:rsidR="00186949" w:rsidRPr="009B34D0">
        <w:rPr>
          <w:rFonts w:cstheme="minorHAnsi"/>
          <w:sz w:val="24"/>
          <w:szCs w:val="24"/>
        </w:rPr>
        <w:t>intake</w:t>
      </w:r>
      <w:r>
        <w:rPr>
          <w:rFonts w:cstheme="minorHAnsi"/>
          <w:sz w:val="24"/>
          <w:szCs w:val="24"/>
        </w:rPr>
        <w:t>;</w:t>
      </w:r>
      <w:proofErr w:type="gramEnd"/>
    </w:p>
    <w:p w14:paraId="6BC3DAE5" w14:textId="4078B6D9" w:rsidR="00FE323C" w:rsidRDefault="00FE323C" w:rsidP="00FE323C">
      <w:pPr>
        <w:pStyle w:val="ListParagraph"/>
        <w:numPr>
          <w:ilvl w:val="0"/>
          <w:numId w:val="10"/>
        </w:numPr>
        <w:spacing w:after="100" w:afterAutospacing="1" w:line="360" w:lineRule="auto"/>
        <w:rPr>
          <w:rFonts w:cstheme="minorHAnsi"/>
          <w:sz w:val="24"/>
          <w:szCs w:val="24"/>
        </w:rPr>
      </w:pPr>
      <w:r>
        <w:rPr>
          <w:rFonts w:cstheme="minorHAnsi"/>
          <w:sz w:val="24"/>
          <w:szCs w:val="24"/>
        </w:rPr>
        <w:t>C</w:t>
      </w:r>
      <w:r w:rsidR="00C273E4" w:rsidRPr="009B34D0">
        <w:rPr>
          <w:rFonts w:cstheme="minorHAnsi"/>
          <w:sz w:val="24"/>
          <w:szCs w:val="24"/>
        </w:rPr>
        <w:t xml:space="preserve">ontain </w:t>
      </w:r>
      <w:proofErr w:type="gramStart"/>
      <w:r w:rsidR="00C273E4" w:rsidRPr="009B34D0">
        <w:rPr>
          <w:rFonts w:cstheme="minorHAnsi"/>
          <w:sz w:val="24"/>
          <w:szCs w:val="24"/>
        </w:rPr>
        <w:t>paracetamol</w:t>
      </w:r>
      <w:r>
        <w:rPr>
          <w:rFonts w:cstheme="minorHAnsi"/>
          <w:sz w:val="24"/>
          <w:szCs w:val="24"/>
        </w:rPr>
        <w:t>;</w:t>
      </w:r>
      <w:proofErr w:type="gramEnd"/>
    </w:p>
    <w:p w14:paraId="6E63FE39" w14:textId="3F1C3440" w:rsidR="00FE323C" w:rsidRDefault="00FE323C" w:rsidP="00FE323C">
      <w:pPr>
        <w:pStyle w:val="ListParagraph"/>
        <w:numPr>
          <w:ilvl w:val="0"/>
          <w:numId w:val="10"/>
        </w:numPr>
        <w:spacing w:after="100" w:afterAutospacing="1" w:line="360" w:lineRule="auto"/>
        <w:rPr>
          <w:rFonts w:cstheme="minorHAnsi"/>
          <w:sz w:val="24"/>
          <w:szCs w:val="24"/>
        </w:rPr>
      </w:pPr>
      <w:r>
        <w:rPr>
          <w:rFonts w:cstheme="minorHAnsi"/>
          <w:sz w:val="24"/>
          <w:szCs w:val="24"/>
        </w:rPr>
        <w:lastRenderedPageBreak/>
        <w:t>A</w:t>
      </w:r>
      <w:r w:rsidRPr="009B34D0">
        <w:rPr>
          <w:rFonts w:cstheme="minorHAnsi"/>
          <w:sz w:val="24"/>
          <w:szCs w:val="24"/>
        </w:rPr>
        <w:t xml:space="preserve">re </w:t>
      </w:r>
      <w:r w:rsidR="00C273E4" w:rsidRPr="009B34D0">
        <w:rPr>
          <w:rFonts w:cstheme="minorHAnsi"/>
          <w:sz w:val="24"/>
          <w:szCs w:val="24"/>
        </w:rPr>
        <w:t xml:space="preserve">prescribed for Parkinson’s </w:t>
      </w:r>
      <w:proofErr w:type="gramStart"/>
      <w:r>
        <w:rPr>
          <w:rFonts w:cstheme="minorHAnsi"/>
          <w:sz w:val="24"/>
          <w:szCs w:val="24"/>
        </w:rPr>
        <w:t>d</w:t>
      </w:r>
      <w:r w:rsidR="00C273E4" w:rsidRPr="009B34D0">
        <w:rPr>
          <w:rFonts w:cstheme="minorHAnsi"/>
          <w:sz w:val="24"/>
          <w:szCs w:val="24"/>
        </w:rPr>
        <w:t>isease</w:t>
      </w:r>
      <w:r>
        <w:rPr>
          <w:rFonts w:cstheme="minorHAnsi"/>
          <w:sz w:val="24"/>
          <w:szCs w:val="24"/>
        </w:rPr>
        <w:t>;</w:t>
      </w:r>
      <w:proofErr w:type="gramEnd"/>
    </w:p>
    <w:p w14:paraId="3C8F8BB2" w14:textId="713E73C5" w:rsidR="00EE7578" w:rsidRPr="0092204C" w:rsidRDefault="00FE323C" w:rsidP="009B34D0">
      <w:pPr>
        <w:pStyle w:val="ListParagraph"/>
        <w:numPr>
          <w:ilvl w:val="0"/>
          <w:numId w:val="10"/>
        </w:numPr>
        <w:spacing w:after="100" w:afterAutospacing="1" w:line="360" w:lineRule="auto"/>
        <w:rPr>
          <w:rFonts w:cstheme="minorHAnsi"/>
          <w:sz w:val="24"/>
          <w:szCs w:val="24"/>
        </w:rPr>
      </w:pPr>
      <w:r>
        <w:rPr>
          <w:rFonts w:cstheme="minorHAnsi"/>
          <w:sz w:val="24"/>
          <w:szCs w:val="24"/>
        </w:rPr>
        <w:t>S</w:t>
      </w:r>
      <w:r w:rsidR="00644C8D" w:rsidRPr="009B34D0">
        <w:rPr>
          <w:rFonts w:cstheme="minorHAnsi"/>
          <w:sz w:val="24"/>
          <w:szCs w:val="24"/>
        </w:rPr>
        <w:t xml:space="preserve">hould be taken at a </w:t>
      </w:r>
      <w:r w:rsidRPr="009B34D0">
        <w:rPr>
          <w:rFonts w:cstheme="minorHAnsi"/>
          <w:sz w:val="24"/>
          <w:szCs w:val="24"/>
        </w:rPr>
        <w:t xml:space="preserve">certain </w:t>
      </w:r>
      <w:r w:rsidR="00644C8D" w:rsidRPr="009B34D0">
        <w:rPr>
          <w:rFonts w:cstheme="minorHAnsi"/>
          <w:sz w:val="24"/>
          <w:szCs w:val="24"/>
        </w:rPr>
        <w:t xml:space="preserve">time to maximise effectiveness </w:t>
      </w:r>
      <w:r w:rsidR="00644C8D" w:rsidRPr="00CD36AC">
        <w:rPr>
          <w:rFonts w:cstheme="minorHAnsi"/>
          <w:sz w:val="24"/>
          <w:szCs w:val="24"/>
        </w:rPr>
        <w:fldChar w:fldCharType="begin"/>
      </w:r>
      <w:r w:rsidR="008221DA" w:rsidRPr="0092204C">
        <w:rPr>
          <w:rFonts w:cstheme="minorHAnsi"/>
          <w:sz w:val="24"/>
          <w:szCs w:val="24"/>
        </w:rPr>
        <w:instrText xml:space="preserve"> ADDIN ZOTERO_ITEM CSL_CITATION {"citationID":"rlecbx5o","properties":{"formattedCitation":"(43)","plainCitation":"(43)","noteIndex":0},"citationItems":[{"id":56,"uris":["http://zotero.org/users/local/3eWb7dOa/items/LYG9WYP6"],"itemData":{"id":56,"type":"webpage","title":"Time sensitive medicines - Care Quality Commission","URL":"https://www.cqc.org.uk/guidance-providers/adult-social-care/time-sensitive-medicines","accessed":{"date-parts":[["2025",5,14]]}}}],"schema":"https://github.com/citation-style-language/schema/raw/master/csl-citation.json"} </w:instrText>
      </w:r>
      <w:r w:rsidR="00644C8D" w:rsidRPr="00CD36AC">
        <w:rPr>
          <w:rFonts w:cstheme="minorHAnsi"/>
          <w:sz w:val="24"/>
          <w:szCs w:val="24"/>
        </w:rPr>
        <w:fldChar w:fldCharType="separate"/>
      </w:r>
      <w:r w:rsidR="008221DA" w:rsidRPr="0092204C">
        <w:rPr>
          <w:rFonts w:cstheme="minorHAnsi"/>
          <w:sz w:val="24"/>
          <w:szCs w:val="24"/>
        </w:rPr>
        <w:t>(43)</w:t>
      </w:r>
      <w:r w:rsidR="00644C8D" w:rsidRPr="00CD36AC">
        <w:rPr>
          <w:rFonts w:cstheme="minorHAnsi"/>
          <w:sz w:val="24"/>
          <w:szCs w:val="24"/>
        </w:rPr>
        <w:fldChar w:fldCharType="end"/>
      </w:r>
      <w:r w:rsidR="00644C8D" w:rsidRPr="0092204C">
        <w:rPr>
          <w:rFonts w:cstheme="minorHAnsi"/>
          <w:sz w:val="24"/>
          <w:szCs w:val="24"/>
        </w:rPr>
        <w:t xml:space="preserve">. </w:t>
      </w:r>
    </w:p>
    <w:p w14:paraId="25EA322F" w14:textId="089B3516" w:rsidR="00C85542" w:rsidRPr="006A717D" w:rsidRDefault="00BA21A9" w:rsidP="00660ECD">
      <w:pPr>
        <w:spacing w:after="100" w:afterAutospacing="1" w:line="360" w:lineRule="auto"/>
        <w:rPr>
          <w:rFonts w:cstheme="minorHAnsi"/>
          <w:b/>
          <w:bCs/>
          <w:i/>
          <w:iCs/>
          <w:sz w:val="24"/>
          <w:szCs w:val="24"/>
        </w:rPr>
      </w:pPr>
      <w:r>
        <w:rPr>
          <w:rFonts w:cstheme="minorHAnsi"/>
          <w:b/>
          <w:bCs/>
          <w:i/>
          <w:iCs/>
          <w:sz w:val="24"/>
          <w:szCs w:val="24"/>
        </w:rPr>
        <w:t xml:space="preserve">Medication example: </w:t>
      </w:r>
      <w:r w:rsidR="00C85542" w:rsidRPr="006A717D">
        <w:rPr>
          <w:rFonts w:cstheme="minorHAnsi"/>
          <w:b/>
          <w:bCs/>
          <w:i/>
          <w:iCs/>
          <w:sz w:val="24"/>
          <w:szCs w:val="24"/>
        </w:rPr>
        <w:t>Insulin</w:t>
      </w:r>
    </w:p>
    <w:p w14:paraId="09610401" w14:textId="127CBCF1" w:rsidR="000D6128" w:rsidRPr="00660ECD" w:rsidRDefault="000D6128" w:rsidP="00660ECD">
      <w:pPr>
        <w:spacing w:after="100" w:afterAutospacing="1" w:line="360" w:lineRule="auto"/>
        <w:rPr>
          <w:rFonts w:cstheme="minorHAnsi"/>
          <w:sz w:val="24"/>
          <w:szCs w:val="24"/>
        </w:rPr>
      </w:pPr>
      <w:r w:rsidRPr="00660ECD">
        <w:rPr>
          <w:rFonts w:cstheme="minorHAnsi"/>
          <w:sz w:val="24"/>
          <w:szCs w:val="24"/>
        </w:rPr>
        <w:t xml:space="preserve">Insulin is a medication </w:t>
      </w:r>
      <w:r w:rsidR="00FE323C">
        <w:rPr>
          <w:rFonts w:cstheme="minorHAnsi"/>
          <w:sz w:val="24"/>
          <w:szCs w:val="24"/>
        </w:rPr>
        <w:t xml:space="preserve">for which </w:t>
      </w:r>
      <w:r w:rsidRPr="00660ECD">
        <w:rPr>
          <w:rFonts w:cstheme="minorHAnsi"/>
          <w:sz w:val="24"/>
          <w:szCs w:val="24"/>
        </w:rPr>
        <w:t xml:space="preserve">timing relative to food intake is </w:t>
      </w:r>
      <w:r w:rsidR="006A707A" w:rsidRPr="00660ECD">
        <w:rPr>
          <w:rFonts w:cstheme="minorHAnsi"/>
          <w:sz w:val="24"/>
          <w:szCs w:val="24"/>
        </w:rPr>
        <w:t>critical</w:t>
      </w:r>
      <w:r w:rsidRPr="00660ECD">
        <w:rPr>
          <w:rFonts w:cstheme="minorHAnsi"/>
          <w:sz w:val="24"/>
          <w:szCs w:val="24"/>
        </w:rPr>
        <w:t xml:space="preserve">, particularly with </w:t>
      </w:r>
      <w:r w:rsidR="008215A0" w:rsidRPr="00660ECD">
        <w:rPr>
          <w:rFonts w:cstheme="minorHAnsi"/>
          <w:sz w:val="24"/>
          <w:szCs w:val="24"/>
        </w:rPr>
        <w:t>rapid-acting, short-acting and mixed insulins</w:t>
      </w:r>
      <w:r w:rsidR="00DD2DAC" w:rsidRPr="00660ECD">
        <w:rPr>
          <w:rFonts w:cstheme="minorHAnsi"/>
          <w:sz w:val="24"/>
          <w:szCs w:val="24"/>
        </w:rPr>
        <w:t>,</w:t>
      </w:r>
      <w:r w:rsidR="006A707A" w:rsidRPr="00660ECD">
        <w:rPr>
          <w:rFonts w:cstheme="minorHAnsi"/>
          <w:sz w:val="24"/>
          <w:szCs w:val="24"/>
        </w:rPr>
        <w:t xml:space="preserve"> where onset of action </w:t>
      </w:r>
      <w:r w:rsidR="00A408AF" w:rsidRPr="00660ECD">
        <w:rPr>
          <w:rFonts w:cstheme="minorHAnsi"/>
          <w:sz w:val="24"/>
          <w:szCs w:val="24"/>
        </w:rPr>
        <w:t>needs to be considered</w:t>
      </w:r>
      <w:r w:rsidR="008215A0" w:rsidRPr="00660ECD">
        <w:rPr>
          <w:rFonts w:cstheme="minorHAnsi"/>
          <w:sz w:val="24"/>
          <w:szCs w:val="24"/>
        </w:rPr>
        <w:t>. Rapid-acting insulin</w:t>
      </w:r>
      <w:r w:rsidR="00543B64" w:rsidRPr="00660ECD">
        <w:rPr>
          <w:rFonts w:cstheme="minorHAnsi"/>
          <w:sz w:val="24"/>
          <w:szCs w:val="24"/>
        </w:rPr>
        <w:t xml:space="preserve"> analogues</w:t>
      </w:r>
      <w:r w:rsidR="008215A0" w:rsidRPr="00660ECD">
        <w:rPr>
          <w:rFonts w:cstheme="minorHAnsi"/>
          <w:sz w:val="24"/>
          <w:szCs w:val="24"/>
        </w:rPr>
        <w:t xml:space="preserve"> </w:t>
      </w:r>
      <w:r w:rsidR="00660ECD">
        <w:rPr>
          <w:rFonts w:cstheme="minorHAnsi"/>
          <w:sz w:val="24"/>
          <w:szCs w:val="24"/>
        </w:rPr>
        <w:t>(</w:t>
      </w:r>
      <w:r w:rsidR="008215A0" w:rsidRPr="00660ECD">
        <w:rPr>
          <w:rFonts w:cstheme="minorHAnsi"/>
          <w:sz w:val="24"/>
          <w:szCs w:val="24"/>
        </w:rPr>
        <w:t xml:space="preserve">e.g. </w:t>
      </w:r>
      <w:proofErr w:type="spellStart"/>
      <w:r w:rsidR="00847EBE" w:rsidRPr="00660ECD">
        <w:rPr>
          <w:rFonts w:cstheme="minorHAnsi"/>
          <w:sz w:val="24"/>
          <w:szCs w:val="24"/>
        </w:rPr>
        <w:t>Novorapid</w:t>
      </w:r>
      <w:proofErr w:type="spellEnd"/>
      <w:r w:rsidR="00660ECD">
        <w:rPr>
          <w:rFonts w:cstheme="minorHAnsi"/>
          <w:sz w:val="24"/>
          <w:szCs w:val="24"/>
        </w:rPr>
        <w:t>)</w:t>
      </w:r>
      <w:r w:rsidR="00847EBE" w:rsidRPr="00660ECD">
        <w:rPr>
          <w:rFonts w:cstheme="minorHAnsi"/>
          <w:sz w:val="24"/>
          <w:szCs w:val="24"/>
        </w:rPr>
        <w:t xml:space="preserve"> should be given immediately before food</w:t>
      </w:r>
      <w:r w:rsidR="00CF00BA" w:rsidRPr="00660ECD">
        <w:rPr>
          <w:rFonts w:cstheme="minorHAnsi"/>
          <w:sz w:val="24"/>
          <w:szCs w:val="24"/>
        </w:rPr>
        <w:t xml:space="preserve">, </w:t>
      </w:r>
      <w:r w:rsidR="00427458" w:rsidRPr="00660ECD">
        <w:rPr>
          <w:rFonts w:cstheme="minorHAnsi"/>
          <w:sz w:val="24"/>
          <w:szCs w:val="24"/>
        </w:rPr>
        <w:t xml:space="preserve">whereas </w:t>
      </w:r>
      <w:r w:rsidR="00EE5889" w:rsidRPr="00660ECD">
        <w:rPr>
          <w:rFonts w:cstheme="minorHAnsi"/>
          <w:sz w:val="24"/>
          <w:szCs w:val="24"/>
        </w:rPr>
        <w:t>soluble</w:t>
      </w:r>
      <w:r w:rsidR="00BA09AC" w:rsidRPr="00660ECD">
        <w:rPr>
          <w:rFonts w:cstheme="minorHAnsi"/>
          <w:sz w:val="24"/>
          <w:szCs w:val="24"/>
        </w:rPr>
        <w:t xml:space="preserve"> </w:t>
      </w:r>
      <w:r w:rsidR="00CF00BA" w:rsidRPr="00660ECD">
        <w:rPr>
          <w:rFonts w:cstheme="minorHAnsi"/>
          <w:sz w:val="24"/>
          <w:szCs w:val="24"/>
        </w:rPr>
        <w:t xml:space="preserve">insulin </w:t>
      </w:r>
      <w:r w:rsidR="00660ECD">
        <w:rPr>
          <w:rFonts w:cstheme="minorHAnsi"/>
          <w:sz w:val="24"/>
          <w:szCs w:val="24"/>
        </w:rPr>
        <w:t>(</w:t>
      </w:r>
      <w:r w:rsidR="00CF00BA" w:rsidRPr="00660ECD">
        <w:rPr>
          <w:rFonts w:cstheme="minorHAnsi"/>
          <w:sz w:val="24"/>
          <w:szCs w:val="24"/>
        </w:rPr>
        <w:t xml:space="preserve">e.g. </w:t>
      </w:r>
      <w:proofErr w:type="spellStart"/>
      <w:r w:rsidR="00701BB7" w:rsidRPr="00660ECD">
        <w:rPr>
          <w:rFonts w:cstheme="minorHAnsi"/>
          <w:sz w:val="24"/>
          <w:szCs w:val="24"/>
        </w:rPr>
        <w:t>Actrapid</w:t>
      </w:r>
      <w:proofErr w:type="spellEnd"/>
      <w:r w:rsidR="00660ECD">
        <w:rPr>
          <w:rFonts w:cstheme="minorHAnsi"/>
          <w:sz w:val="24"/>
          <w:szCs w:val="24"/>
        </w:rPr>
        <w:t>)</w:t>
      </w:r>
      <w:r w:rsidR="00B347E7" w:rsidRPr="00660ECD">
        <w:rPr>
          <w:rFonts w:cstheme="minorHAnsi"/>
          <w:sz w:val="24"/>
          <w:szCs w:val="24"/>
        </w:rPr>
        <w:t xml:space="preserve"> </w:t>
      </w:r>
      <w:r w:rsidR="00C844E3" w:rsidRPr="00660ECD">
        <w:rPr>
          <w:rFonts w:cstheme="minorHAnsi"/>
          <w:sz w:val="24"/>
          <w:szCs w:val="24"/>
        </w:rPr>
        <w:t>should</w:t>
      </w:r>
      <w:r w:rsidR="00B347E7" w:rsidRPr="00660ECD">
        <w:rPr>
          <w:rFonts w:cstheme="minorHAnsi"/>
          <w:sz w:val="24"/>
          <w:szCs w:val="24"/>
        </w:rPr>
        <w:t xml:space="preserve"> be given 30</w:t>
      </w:r>
      <w:r w:rsidR="00D6307E" w:rsidRPr="00660ECD">
        <w:rPr>
          <w:rFonts w:cstheme="minorHAnsi"/>
          <w:sz w:val="24"/>
          <w:szCs w:val="24"/>
        </w:rPr>
        <w:t xml:space="preserve"> </w:t>
      </w:r>
      <w:r w:rsidR="00B347E7" w:rsidRPr="00660ECD">
        <w:rPr>
          <w:rFonts w:cstheme="minorHAnsi"/>
          <w:sz w:val="24"/>
          <w:szCs w:val="24"/>
        </w:rPr>
        <w:t xml:space="preserve">minutes before food </w:t>
      </w:r>
      <w:r w:rsidR="006A707A" w:rsidRPr="00660ECD">
        <w:rPr>
          <w:rFonts w:cstheme="minorHAnsi"/>
          <w:sz w:val="24"/>
          <w:szCs w:val="24"/>
        </w:rPr>
        <w:fldChar w:fldCharType="begin"/>
      </w:r>
      <w:r w:rsidR="008221DA" w:rsidRPr="00660ECD">
        <w:rPr>
          <w:rFonts w:cstheme="minorHAnsi"/>
          <w:sz w:val="24"/>
          <w:szCs w:val="24"/>
        </w:rPr>
        <w:instrText xml:space="preserve"> ADDIN ZOTERO_ITEM CSL_CITATION {"citationID":"RERZkuZM","properties":{"formattedCitation":"(44)","plainCitation":"(44)","noteIndex":0},"citationItems":[{"id":57,"uris":["http://zotero.org/users/local/3eWb7dOa/items/BG2ZUWAR"],"itemData":{"id":57,"type":"webpage","container-title":"Know Diabetes","language":"en","title":"Insulin regimes","URL":"https://www.knowdiabetes.org.uk/know-more/type-1-diabetes/insulin/insulin-regimes/","accessed":{"date-parts":[["2025",5,14]]}}}],"schema":"https://github.com/citation-style-language/schema/raw/master/csl-citation.json"} </w:instrText>
      </w:r>
      <w:r w:rsidR="006A707A" w:rsidRPr="00660ECD">
        <w:rPr>
          <w:rFonts w:cstheme="minorHAnsi"/>
          <w:sz w:val="24"/>
          <w:szCs w:val="24"/>
        </w:rPr>
        <w:fldChar w:fldCharType="separate"/>
      </w:r>
      <w:r w:rsidR="008221DA" w:rsidRPr="00660ECD">
        <w:rPr>
          <w:rFonts w:cstheme="minorHAnsi"/>
          <w:sz w:val="24"/>
          <w:szCs w:val="24"/>
        </w:rPr>
        <w:t>(44)</w:t>
      </w:r>
      <w:r w:rsidR="006A707A" w:rsidRPr="00660ECD">
        <w:rPr>
          <w:rFonts w:cstheme="minorHAnsi"/>
          <w:sz w:val="24"/>
          <w:szCs w:val="24"/>
        </w:rPr>
        <w:fldChar w:fldCharType="end"/>
      </w:r>
      <w:r w:rsidR="00B347E7" w:rsidRPr="00660ECD">
        <w:rPr>
          <w:rFonts w:cstheme="minorHAnsi"/>
          <w:sz w:val="24"/>
          <w:szCs w:val="24"/>
        </w:rPr>
        <w:t xml:space="preserve">. </w:t>
      </w:r>
      <w:r w:rsidR="00427458" w:rsidRPr="00660ECD">
        <w:rPr>
          <w:rFonts w:cstheme="minorHAnsi"/>
          <w:sz w:val="24"/>
          <w:szCs w:val="24"/>
        </w:rPr>
        <w:t>Mistiming</w:t>
      </w:r>
      <w:r w:rsidR="009C7F48" w:rsidRPr="00660ECD">
        <w:rPr>
          <w:rFonts w:cstheme="minorHAnsi"/>
          <w:sz w:val="24"/>
          <w:szCs w:val="24"/>
        </w:rPr>
        <w:t xml:space="preserve"> of insulin in relation to food can </w:t>
      </w:r>
      <w:r w:rsidR="00F0582A" w:rsidRPr="00660ECD">
        <w:rPr>
          <w:rFonts w:cstheme="minorHAnsi"/>
          <w:sz w:val="24"/>
          <w:szCs w:val="24"/>
        </w:rPr>
        <w:t>result in potentially serious hypo</w:t>
      </w:r>
      <w:r w:rsidR="00FE323C">
        <w:rPr>
          <w:rFonts w:cstheme="minorHAnsi"/>
          <w:sz w:val="24"/>
          <w:szCs w:val="24"/>
        </w:rPr>
        <w:t>glycaemia</w:t>
      </w:r>
      <w:r w:rsidR="00F0582A" w:rsidRPr="00660ECD">
        <w:rPr>
          <w:rFonts w:cstheme="minorHAnsi"/>
          <w:sz w:val="24"/>
          <w:szCs w:val="24"/>
        </w:rPr>
        <w:t xml:space="preserve"> or hyperglycaemia</w:t>
      </w:r>
      <w:r w:rsidR="00FE323C">
        <w:rPr>
          <w:rFonts w:cstheme="minorHAnsi"/>
          <w:sz w:val="24"/>
          <w:szCs w:val="24"/>
        </w:rPr>
        <w:t>:</w:t>
      </w:r>
      <w:r w:rsidR="001A03D4" w:rsidRPr="00660ECD">
        <w:rPr>
          <w:rFonts w:cstheme="minorHAnsi"/>
          <w:sz w:val="24"/>
          <w:szCs w:val="24"/>
        </w:rPr>
        <w:t xml:space="preserve"> </w:t>
      </w:r>
      <w:r w:rsidR="0068093D" w:rsidRPr="00660ECD">
        <w:rPr>
          <w:rFonts w:cstheme="minorHAnsi"/>
          <w:sz w:val="24"/>
          <w:szCs w:val="24"/>
        </w:rPr>
        <w:t xml:space="preserve">‘right time’ </w:t>
      </w:r>
      <w:r w:rsidR="00FE323C">
        <w:rPr>
          <w:rFonts w:cstheme="minorHAnsi"/>
          <w:sz w:val="24"/>
          <w:szCs w:val="24"/>
        </w:rPr>
        <w:t xml:space="preserve">is </w:t>
      </w:r>
      <w:r w:rsidR="0068093D" w:rsidRPr="00660ECD">
        <w:rPr>
          <w:rFonts w:cstheme="minorHAnsi"/>
          <w:sz w:val="24"/>
          <w:szCs w:val="24"/>
        </w:rPr>
        <w:t xml:space="preserve">one of the ‘6 steps to insulin safety’ </w:t>
      </w:r>
      <w:r w:rsidR="0038051F" w:rsidRPr="00660ECD">
        <w:rPr>
          <w:rFonts w:cstheme="minorHAnsi"/>
          <w:sz w:val="24"/>
          <w:szCs w:val="24"/>
        </w:rPr>
        <w:fldChar w:fldCharType="begin"/>
      </w:r>
      <w:r w:rsidR="008221DA" w:rsidRPr="00660ECD">
        <w:rPr>
          <w:rFonts w:cstheme="minorHAnsi"/>
          <w:sz w:val="24"/>
          <w:szCs w:val="24"/>
        </w:rPr>
        <w:instrText xml:space="preserve"> ADDIN ZOTERO_ITEM CSL_CITATION {"citationID":"m1WJCGJg","properties":{"formattedCitation":"(45)","plainCitation":"(45)","noteIndex":0},"citationItems":[{"id":59,"uris":["http://zotero.org/users/local/3eWb7dOa/items/8ADK6JAW"],"itemData":{"id":59,"type":"post-weblog","abstract":"Insulin is recognised as a high-risk medication worldwide. There are now over 30 different insulin preparations and many of these have differing actions but","language":"en-GB","note":"section: News","title":"“The Six Steps to Insulin Safety”, a free e-learning module from the PCDS - DiabetesontheNet","URL":"https://diabetesonthenet.com/diabetes-news/six-steps-to-insulin-safety-e-learning-module/","accessed":{"date-parts":[["2025",5,14]]},"issued":{"date-parts":[["2022",12,1]]}}}],"schema":"https://github.com/citation-style-language/schema/raw/master/csl-citation.json"} </w:instrText>
      </w:r>
      <w:r w:rsidR="0038051F" w:rsidRPr="00660ECD">
        <w:rPr>
          <w:rFonts w:cstheme="minorHAnsi"/>
          <w:sz w:val="24"/>
          <w:szCs w:val="24"/>
        </w:rPr>
        <w:fldChar w:fldCharType="separate"/>
      </w:r>
      <w:r w:rsidR="008221DA" w:rsidRPr="00660ECD">
        <w:rPr>
          <w:rFonts w:cstheme="minorHAnsi"/>
          <w:sz w:val="24"/>
          <w:szCs w:val="24"/>
        </w:rPr>
        <w:t>(45)</w:t>
      </w:r>
      <w:r w:rsidR="0038051F" w:rsidRPr="00660ECD">
        <w:rPr>
          <w:rFonts w:cstheme="minorHAnsi"/>
          <w:sz w:val="24"/>
          <w:szCs w:val="24"/>
        </w:rPr>
        <w:fldChar w:fldCharType="end"/>
      </w:r>
      <w:r w:rsidR="00934EEA" w:rsidRPr="00660ECD">
        <w:rPr>
          <w:rFonts w:cstheme="minorHAnsi"/>
          <w:sz w:val="24"/>
          <w:szCs w:val="24"/>
        </w:rPr>
        <w:t xml:space="preserve">. </w:t>
      </w:r>
    </w:p>
    <w:p w14:paraId="25FBA2A8" w14:textId="01BD425A" w:rsidR="00C85542" w:rsidRPr="00E5475E" w:rsidRDefault="00BA21A9" w:rsidP="00660ECD">
      <w:pPr>
        <w:spacing w:after="100" w:afterAutospacing="1" w:line="360" w:lineRule="auto"/>
        <w:rPr>
          <w:rFonts w:cstheme="minorHAnsi"/>
          <w:b/>
          <w:bCs/>
          <w:i/>
          <w:iCs/>
          <w:sz w:val="24"/>
          <w:szCs w:val="24"/>
        </w:rPr>
      </w:pPr>
      <w:r>
        <w:rPr>
          <w:rFonts w:cstheme="minorHAnsi"/>
          <w:b/>
          <w:bCs/>
          <w:i/>
          <w:iCs/>
          <w:sz w:val="24"/>
          <w:szCs w:val="24"/>
        </w:rPr>
        <w:t xml:space="preserve">Medication example: </w:t>
      </w:r>
      <w:r w:rsidR="00C85542" w:rsidRPr="00E5475E">
        <w:rPr>
          <w:rFonts w:cstheme="minorHAnsi"/>
          <w:b/>
          <w:bCs/>
          <w:i/>
          <w:iCs/>
          <w:sz w:val="24"/>
          <w:szCs w:val="24"/>
        </w:rPr>
        <w:t>Parki</w:t>
      </w:r>
      <w:r w:rsidR="00CF7E1B">
        <w:rPr>
          <w:rFonts w:cstheme="minorHAnsi"/>
          <w:b/>
          <w:bCs/>
          <w:i/>
          <w:iCs/>
          <w:sz w:val="24"/>
          <w:szCs w:val="24"/>
        </w:rPr>
        <w:t>n</w:t>
      </w:r>
      <w:r w:rsidR="00C85542" w:rsidRPr="00E5475E">
        <w:rPr>
          <w:rFonts w:cstheme="minorHAnsi"/>
          <w:b/>
          <w:bCs/>
          <w:i/>
          <w:iCs/>
          <w:sz w:val="24"/>
          <w:szCs w:val="24"/>
        </w:rPr>
        <w:t>son’s disease medications</w:t>
      </w:r>
    </w:p>
    <w:p w14:paraId="6FCC29D3" w14:textId="09E03D42" w:rsidR="00DE221E" w:rsidRPr="00660ECD" w:rsidRDefault="00400797" w:rsidP="00660ECD">
      <w:pPr>
        <w:spacing w:after="100" w:afterAutospacing="1" w:line="360" w:lineRule="auto"/>
        <w:rPr>
          <w:rFonts w:cstheme="minorHAnsi"/>
          <w:sz w:val="24"/>
          <w:szCs w:val="24"/>
        </w:rPr>
      </w:pPr>
      <w:r w:rsidRPr="00660ECD">
        <w:rPr>
          <w:rFonts w:cstheme="minorHAnsi"/>
          <w:sz w:val="24"/>
          <w:szCs w:val="24"/>
        </w:rPr>
        <w:t>S</w:t>
      </w:r>
      <w:r w:rsidR="00E625DA" w:rsidRPr="00660ECD">
        <w:rPr>
          <w:rFonts w:cstheme="minorHAnsi"/>
          <w:sz w:val="24"/>
          <w:szCs w:val="24"/>
        </w:rPr>
        <w:t xml:space="preserve">udden withdrawal of Parkinson’s medications can lead to life-threatening withdrawal symptoms. However, even a </w:t>
      </w:r>
      <w:r w:rsidR="00AD143D" w:rsidRPr="00660ECD">
        <w:rPr>
          <w:rFonts w:cstheme="minorHAnsi"/>
          <w:sz w:val="24"/>
          <w:szCs w:val="24"/>
        </w:rPr>
        <w:t>short delay can result in increased risk of falls, swallowing difficulties (</w:t>
      </w:r>
      <w:r w:rsidR="00FE323C">
        <w:rPr>
          <w:rFonts w:cstheme="minorHAnsi"/>
          <w:sz w:val="24"/>
          <w:szCs w:val="24"/>
        </w:rPr>
        <w:t xml:space="preserve">leading to </w:t>
      </w:r>
      <w:r w:rsidR="00AD143D" w:rsidRPr="00660ECD">
        <w:rPr>
          <w:rFonts w:cstheme="minorHAnsi"/>
          <w:sz w:val="24"/>
          <w:szCs w:val="24"/>
        </w:rPr>
        <w:t xml:space="preserve">increased risk of aspiration), anxiety, </w:t>
      </w:r>
      <w:r w:rsidR="00FC5742" w:rsidRPr="00660ECD">
        <w:rPr>
          <w:rFonts w:cstheme="minorHAnsi"/>
          <w:sz w:val="24"/>
          <w:szCs w:val="24"/>
        </w:rPr>
        <w:t>tremors, rigidity and pain</w:t>
      </w:r>
      <w:r w:rsidR="00FE323C">
        <w:rPr>
          <w:rFonts w:cstheme="minorHAnsi"/>
          <w:sz w:val="24"/>
          <w:szCs w:val="24"/>
        </w:rPr>
        <w:t xml:space="preserve"> (46).</w:t>
      </w:r>
      <w:r w:rsidR="00FC5742" w:rsidRPr="00660ECD">
        <w:rPr>
          <w:rFonts w:cstheme="minorHAnsi"/>
          <w:sz w:val="24"/>
          <w:szCs w:val="24"/>
        </w:rPr>
        <w:t xml:space="preserve"> ‘</w:t>
      </w:r>
      <w:r w:rsidR="00FE323C">
        <w:rPr>
          <w:rFonts w:cstheme="minorHAnsi"/>
          <w:sz w:val="24"/>
          <w:szCs w:val="24"/>
        </w:rPr>
        <w:t>O</w:t>
      </w:r>
      <w:r w:rsidR="00FC5742" w:rsidRPr="00660ECD">
        <w:rPr>
          <w:rFonts w:cstheme="minorHAnsi"/>
          <w:sz w:val="24"/>
          <w:szCs w:val="24"/>
        </w:rPr>
        <w:t xml:space="preserve">n time’ is </w:t>
      </w:r>
      <w:r w:rsidR="00FE323C">
        <w:rPr>
          <w:rFonts w:cstheme="minorHAnsi"/>
          <w:sz w:val="24"/>
          <w:szCs w:val="24"/>
        </w:rPr>
        <w:t xml:space="preserve">therefore </w:t>
      </w:r>
      <w:r w:rsidR="00FC5742" w:rsidRPr="00660ECD">
        <w:rPr>
          <w:rFonts w:cstheme="minorHAnsi"/>
          <w:sz w:val="24"/>
          <w:szCs w:val="24"/>
        </w:rPr>
        <w:t xml:space="preserve">defined as </w:t>
      </w:r>
      <w:r w:rsidR="00F54D89" w:rsidRPr="00660ECD">
        <w:rPr>
          <w:rFonts w:cstheme="minorHAnsi"/>
          <w:sz w:val="24"/>
          <w:szCs w:val="24"/>
        </w:rPr>
        <w:t>being within 30</w:t>
      </w:r>
      <w:r w:rsidR="0064552D" w:rsidRPr="00660ECD">
        <w:rPr>
          <w:rFonts w:cstheme="minorHAnsi"/>
          <w:sz w:val="24"/>
          <w:szCs w:val="24"/>
        </w:rPr>
        <w:t xml:space="preserve"> </w:t>
      </w:r>
      <w:r w:rsidR="00F54D89" w:rsidRPr="00660ECD">
        <w:rPr>
          <w:rFonts w:cstheme="minorHAnsi"/>
          <w:sz w:val="24"/>
          <w:szCs w:val="24"/>
        </w:rPr>
        <w:t xml:space="preserve">minutes of the patient’s prescribed administration time </w:t>
      </w:r>
      <w:r w:rsidR="00F54D89" w:rsidRPr="00660ECD">
        <w:rPr>
          <w:rFonts w:cstheme="minorHAnsi"/>
          <w:sz w:val="24"/>
          <w:szCs w:val="24"/>
        </w:rPr>
        <w:fldChar w:fldCharType="begin"/>
      </w:r>
      <w:r w:rsidR="008221DA" w:rsidRPr="00660ECD">
        <w:rPr>
          <w:rFonts w:cstheme="minorHAnsi"/>
          <w:sz w:val="24"/>
          <w:szCs w:val="24"/>
        </w:rPr>
        <w:instrText xml:space="preserve"> ADDIN ZOTERO_ITEM CSL_CITATION {"citationID":"XPYlZLpz","properties":{"formattedCitation":"(46)","plainCitation":"(46)","noteIndex":0},"citationItems":[{"id":60,"uris":["http://zotero.org/users/local/3eWb7dOa/items/UJ68ZYMC"],"itemData":{"id":60,"type":"webpage","abstract":"Information and resources for professionals on time critical medication for Parkinson's, including the Get It on Time campaign and resources.","container-title":"Parkinson's UK","language":"en","title":"Time critical medication and Get It On Time campaign resources","URL":"https://www.parkinsons.org.uk/professionals/resources/time-critical-medication-and-get-it-time-campaign-resources","accessed":{"date-parts":[["2025",5,14]]},"issued":{"date-parts":[["2025",4,3]]}}}],"schema":"https://github.com/citation-style-language/schema/raw/master/csl-citation.json"} </w:instrText>
      </w:r>
      <w:r w:rsidR="00F54D89" w:rsidRPr="00660ECD">
        <w:rPr>
          <w:rFonts w:cstheme="minorHAnsi"/>
          <w:sz w:val="24"/>
          <w:szCs w:val="24"/>
        </w:rPr>
        <w:fldChar w:fldCharType="separate"/>
      </w:r>
      <w:r w:rsidR="008221DA" w:rsidRPr="00660ECD">
        <w:rPr>
          <w:rFonts w:cstheme="minorHAnsi"/>
          <w:sz w:val="24"/>
          <w:szCs w:val="24"/>
        </w:rPr>
        <w:t>(46)</w:t>
      </w:r>
      <w:r w:rsidR="00F54D89" w:rsidRPr="00660ECD">
        <w:rPr>
          <w:rFonts w:cstheme="minorHAnsi"/>
          <w:sz w:val="24"/>
          <w:szCs w:val="24"/>
        </w:rPr>
        <w:fldChar w:fldCharType="end"/>
      </w:r>
      <w:r w:rsidR="00572420" w:rsidRPr="00660ECD">
        <w:rPr>
          <w:rFonts w:cstheme="minorHAnsi"/>
          <w:sz w:val="24"/>
          <w:szCs w:val="24"/>
        </w:rPr>
        <w:t xml:space="preserve">. </w:t>
      </w:r>
      <w:r w:rsidR="00041193" w:rsidRPr="00660ECD">
        <w:rPr>
          <w:rFonts w:cstheme="minorHAnsi"/>
          <w:sz w:val="24"/>
          <w:szCs w:val="24"/>
        </w:rPr>
        <w:t>This is a particular issue during hospital admission</w:t>
      </w:r>
      <w:r w:rsidR="00CF41F6" w:rsidRPr="00660ECD">
        <w:rPr>
          <w:rFonts w:cstheme="minorHAnsi"/>
          <w:sz w:val="24"/>
          <w:szCs w:val="24"/>
        </w:rPr>
        <w:t>s</w:t>
      </w:r>
      <w:r w:rsidR="00041193" w:rsidRPr="00660ECD">
        <w:rPr>
          <w:rFonts w:cstheme="minorHAnsi"/>
          <w:sz w:val="24"/>
          <w:szCs w:val="24"/>
        </w:rPr>
        <w:t xml:space="preserve">, </w:t>
      </w:r>
      <w:r w:rsidR="000441BD" w:rsidRPr="00660ECD">
        <w:rPr>
          <w:rFonts w:cstheme="minorHAnsi"/>
          <w:sz w:val="24"/>
          <w:szCs w:val="24"/>
        </w:rPr>
        <w:t xml:space="preserve">where medications might be prescribed outside of the usual drug round times, </w:t>
      </w:r>
      <w:r w:rsidR="00B03B6B" w:rsidRPr="00660ECD">
        <w:rPr>
          <w:rFonts w:cstheme="minorHAnsi"/>
          <w:sz w:val="24"/>
          <w:szCs w:val="24"/>
        </w:rPr>
        <w:t xml:space="preserve">or ward pressures can </w:t>
      </w:r>
      <w:r w:rsidR="009A1874" w:rsidRPr="00660ECD">
        <w:rPr>
          <w:rFonts w:cstheme="minorHAnsi"/>
          <w:sz w:val="24"/>
          <w:szCs w:val="24"/>
        </w:rPr>
        <w:t xml:space="preserve">prevent timely prescribing and/or administration </w:t>
      </w:r>
      <w:r w:rsidR="009A1874" w:rsidRPr="00660ECD">
        <w:rPr>
          <w:rFonts w:cstheme="minorHAnsi"/>
          <w:sz w:val="24"/>
          <w:szCs w:val="24"/>
        </w:rPr>
        <w:fldChar w:fldCharType="begin"/>
      </w:r>
      <w:r w:rsidR="008221DA" w:rsidRPr="00660ECD">
        <w:rPr>
          <w:rFonts w:cstheme="minorHAnsi"/>
          <w:sz w:val="24"/>
          <w:szCs w:val="24"/>
        </w:rPr>
        <w:instrText xml:space="preserve"> ADDIN ZOTERO_ITEM CSL_CITATION {"citationID":"ma5AZcqa","properties":{"formattedCitation":"(47)","plainCitation":"(47)","noteIndex":0},"citationItems":[{"id":61,"uris":["http://zotero.org/users/local/3eWb7dOa/items/PBCCXAET"],"itemData":{"id":61,"type":"webpage","abstract":"Join our campaign to make sure that everyone in a hospital or care home gets their medication on time, every time.","container-title":"Parkinson's UK","language":"en","title":"Get It On Time","URL":"https://www.parkinsons.org.uk/get-involved/get-it-time","accessed":{"date-parts":[["2025",5,14]]}}}],"schema":"https://github.com/citation-style-language/schema/raw/master/csl-citation.json"} </w:instrText>
      </w:r>
      <w:r w:rsidR="009A1874" w:rsidRPr="00660ECD">
        <w:rPr>
          <w:rFonts w:cstheme="minorHAnsi"/>
          <w:sz w:val="24"/>
          <w:szCs w:val="24"/>
        </w:rPr>
        <w:fldChar w:fldCharType="separate"/>
      </w:r>
      <w:r w:rsidR="008221DA" w:rsidRPr="00660ECD">
        <w:rPr>
          <w:rFonts w:cstheme="minorHAnsi"/>
          <w:sz w:val="24"/>
          <w:szCs w:val="24"/>
        </w:rPr>
        <w:t>(47)</w:t>
      </w:r>
      <w:r w:rsidR="009A1874" w:rsidRPr="00660ECD">
        <w:rPr>
          <w:rFonts w:cstheme="minorHAnsi"/>
          <w:sz w:val="24"/>
          <w:szCs w:val="24"/>
        </w:rPr>
        <w:fldChar w:fldCharType="end"/>
      </w:r>
      <w:r w:rsidR="009A1874" w:rsidRPr="00660ECD">
        <w:rPr>
          <w:rFonts w:cstheme="minorHAnsi"/>
          <w:sz w:val="24"/>
          <w:szCs w:val="24"/>
        </w:rPr>
        <w:t>.</w:t>
      </w:r>
    </w:p>
    <w:p w14:paraId="005CF59F" w14:textId="6F919452" w:rsidR="0009380C" w:rsidRPr="00660ECD" w:rsidRDefault="00BA21A9" w:rsidP="00660ECD">
      <w:pPr>
        <w:spacing w:after="100" w:afterAutospacing="1" w:line="360" w:lineRule="auto"/>
        <w:rPr>
          <w:rFonts w:cstheme="minorHAnsi"/>
          <w:b/>
          <w:bCs/>
          <w:sz w:val="24"/>
          <w:szCs w:val="24"/>
        </w:rPr>
      </w:pPr>
      <w:r>
        <w:rPr>
          <w:rFonts w:cstheme="minorHAnsi"/>
          <w:b/>
          <w:bCs/>
          <w:sz w:val="24"/>
          <w:szCs w:val="24"/>
        </w:rPr>
        <w:t>Medications with c</w:t>
      </w:r>
      <w:r w:rsidR="0009380C" w:rsidRPr="00660ECD">
        <w:rPr>
          <w:rFonts w:cstheme="minorHAnsi"/>
          <w:b/>
          <w:bCs/>
          <w:sz w:val="24"/>
          <w:szCs w:val="24"/>
        </w:rPr>
        <w:t>omplex</w:t>
      </w:r>
      <w:r w:rsidR="008A0EC7" w:rsidRPr="00660ECD">
        <w:rPr>
          <w:rFonts w:cstheme="minorHAnsi"/>
          <w:b/>
          <w:bCs/>
          <w:sz w:val="24"/>
          <w:szCs w:val="24"/>
        </w:rPr>
        <w:t xml:space="preserve"> dosing </w:t>
      </w:r>
    </w:p>
    <w:p w14:paraId="0590FE4B" w14:textId="23BFF9A8" w:rsidR="007B7AB1" w:rsidRPr="00660ECD" w:rsidRDefault="00197C5C" w:rsidP="00660ECD">
      <w:pPr>
        <w:spacing w:after="100" w:afterAutospacing="1" w:line="360" w:lineRule="auto"/>
        <w:rPr>
          <w:rFonts w:cstheme="minorHAnsi"/>
          <w:sz w:val="24"/>
          <w:szCs w:val="24"/>
        </w:rPr>
      </w:pPr>
      <w:r w:rsidRPr="00660ECD">
        <w:rPr>
          <w:rFonts w:cstheme="minorHAnsi"/>
          <w:sz w:val="24"/>
          <w:szCs w:val="24"/>
        </w:rPr>
        <w:t>A final consideration</w:t>
      </w:r>
      <w:r w:rsidR="00E40C9B" w:rsidRPr="00660ECD">
        <w:rPr>
          <w:rFonts w:cstheme="minorHAnsi"/>
          <w:sz w:val="24"/>
          <w:szCs w:val="24"/>
        </w:rPr>
        <w:t xml:space="preserve"> is medication with complex or unusual dosing schedules, </w:t>
      </w:r>
      <w:r w:rsidR="00886372" w:rsidRPr="00660ECD">
        <w:rPr>
          <w:rFonts w:cstheme="minorHAnsi"/>
          <w:sz w:val="24"/>
          <w:szCs w:val="24"/>
        </w:rPr>
        <w:t xml:space="preserve">which are more susceptible to errors due to unfamiliarity of dosing for both patients and healthcare professionals. </w:t>
      </w:r>
      <w:r w:rsidR="001425EB" w:rsidRPr="00660ECD">
        <w:rPr>
          <w:rFonts w:cstheme="minorHAnsi"/>
          <w:sz w:val="24"/>
          <w:szCs w:val="24"/>
        </w:rPr>
        <w:t>An</w:t>
      </w:r>
      <w:r w:rsidR="00DA0465" w:rsidRPr="00660ECD">
        <w:rPr>
          <w:rFonts w:cstheme="minorHAnsi"/>
          <w:sz w:val="24"/>
          <w:szCs w:val="24"/>
        </w:rPr>
        <w:t xml:space="preserve"> example of this is once</w:t>
      </w:r>
      <w:r w:rsidR="006E475C">
        <w:rPr>
          <w:rFonts w:cstheme="minorHAnsi"/>
          <w:sz w:val="24"/>
          <w:szCs w:val="24"/>
        </w:rPr>
        <w:t>-</w:t>
      </w:r>
      <w:r w:rsidR="00DA0465" w:rsidRPr="00660ECD">
        <w:rPr>
          <w:rFonts w:cstheme="minorHAnsi"/>
          <w:sz w:val="24"/>
          <w:szCs w:val="24"/>
        </w:rPr>
        <w:t>weekly methotrexate</w:t>
      </w:r>
      <w:r w:rsidR="00E83621" w:rsidRPr="00660ECD">
        <w:rPr>
          <w:rFonts w:cstheme="minorHAnsi"/>
          <w:sz w:val="24"/>
          <w:szCs w:val="24"/>
        </w:rPr>
        <w:t xml:space="preserve">, which has been linked with </w:t>
      </w:r>
      <w:r w:rsidR="002F7891" w:rsidRPr="00660ECD">
        <w:rPr>
          <w:rFonts w:cstheme="minorHAnsi"/>
          <w:sz w:val="24"/>
          <w:szCs w:val="24"/>
        </w:rPr>
        <w:t xml:space="preserve">serious and fatal overdoses </w:t>
      </w:r>
      <w:r w:rsidR="00E83621" w:rsidRPr="00660ECD">
        <w:rPr>
          <w:rFonts w:cstheme="minorHAnsi"/>
          <w:sz w:val="24"/>
          <w:szCs w:val="24"/>
        </w:rPr>
        <w:t>due to inadvertent once</w:t>
      </w:r>
      <w:r w:rsidR="006E475C">
        <w:rPr>
          <w:rFonts w:cstheme="minorHAnsi"/>
          <w:sz w:val="24"/>
          <w:szCs w:val="24"/>
        </w:rPr>
        <w:t>-</w:t>
      </w:r>
      <w:r w:rsidR="00E83621" w:rsidRPr="00660ECD">
        <w:rPr>
          <w:rFonts w:cstheme="minorHAnsi"/>
          <w:sz w:val="24"/>
          <w:szCs w:val="24"/>
        </w:rPr>
        <w:t>daily administrations</w:t>
      </w:r>
      <w:r w:rsidR="001425EB" w:rsidRPr="00660ECD">
        <w:rPr>
          <w:rFonts w:cstheme="minorHAnsi"/>
          <w:sz w:val="24"/>
          <w:szCs w:val="24"/>
        </w:rPr>
        <w:t xml:space="preserve">; </w:t>
      </w:r>
      <w:r w:rsidR="006E475C">
        <w:rPr>
          <w:rFonts w:cstheme="minorHAnsi"/>
          <w:sz w:val="24"/>
          <w:szCs w:val="24"/>
        </w:rPr>
        <w:t xml:space="preserve">these incidents </w:t>
      </w:r>
      <w:r w:rsidR="00784FD7" w:rsidRPr="00660ECD">
        <w:rPr>
          <w:rFonts w:cstheme="minorHAnsi"/>
          <w:sz w:val="24"/>
          <w:szCs w:val="24"/>
        </w:rPr>
        <w:t xml:space="preserve">led to a </w:t>
      </w:r>
      <w:r w:rsidR="00413746" w:rsidRPr="00660ECD">
        <w:rPr>
          <w:rFonts w:cstheme="minorHAnsi"/>
          <w:sz w:val="24"/>
          <w:szCs w:val="24"/>
        </w:rPr>
        <w:t xml:space="preserve">number of </w:t>
      </w:r>
      <w:r w:rsidR="002D2793" w:rsidRPr="00660ECD">
        <w:rPr>
          <w:rFonts w:cstheme="minorHAnsi"/>
          <w:sz w:val="24"/>
          <w:szCs w:val="24"/>
        </w:rPr>
        <w:t xml:space="preserve">key </w:t>
      </w:r>
      <w:r w:rsidR="00413746" w:rsidRPr="00660ECD">
        <w:rPr>
          <w:rFonts w:cstheme="minorHAnsi"/>
          <w:sz w:val="24"/>
          <w:szCs w:val="24"/>
        </w:rPr>
        <w:t xml:space="preserve">prescribing and dispensing recommendations in </w:t>
      </w:r>
      <w:r w:rsidR="006E475C">
        <w:rPr>
          <w:rFonts w:cstheme="minorHAnsi"/>
          <w:sz w:val="24"/>
          <w:szCs w:val="24"/>
        </w:rPr>
        <w:t xml:space="preserve">a </w:t>
      </w:r>
      <w:r w:rsidR="00D349D1" w:rsidRPr="00660ECD">
        <w:rPr>
          <w:rFonts w:cstheme="minorHAnsi"/>
          <w:sz w:val="24"/>
          <w:szCs w:val="24"/>
        </w:rPr>
        <w:t>2006</w:t>
      </w:r>
      <w:r w:rsidR="002D2793" w:rsidRPr="00660ECD">
        <w:rPr>
          <w:rFonts w:cstheme="minorHAnsi"/>
          <w:sz w:val="24"/>
          <w:szCs w:val="24"/>
        </w:rPr>
        <w:t xml:space="preserve"> </w:t>
      </w:r>
      <w:r w:rsidR="00784FD7" w:rsidRPr="00660ECD">
        <w:rPr>
          <w:rFonts w:cstheme="minorHAnsi"/>
          <w:sz w:val="24"/>
          <w:szCs w:val="24"/>
        </w:rPr>
        <w:t>patient safety alert</w:t>
      </w:r>
      <w:r w:rsidR="00D349D1" w:rsidRPr="00660ECD">
        <w:rPr>
          <w:rFonts w:cstheme="minorHAnsi"/>
          <w:sz w:val="24"/>
          <w:szCs w:val="24"/>
        </w:rPr>
        <w:t xml:space="preserve"> </w:t>
      </w:r>
      <w:r w:rsidR="002F7891" w:rsidRPr="00660ECD">
        <w:rPr>
          <w:rFonts w:cstheme="minorHAnsi"/>
          <w:sz w:val="24"/>
          <w:szCs w:val="24"/>
        </w:rPr>
        <w:fldChar w:fldCharType="begin"/>
      </w:r>
      <w:r w:rsidR="002F7891" w:rsidRPr="00660ECD">
        <w:rPr>
          <w:rFonts w:cstheme="minorHAnsi"/>
          <w:sz w:val="24"/>
          <w:szCs w:val="24"/>
        </w:rPr>
        <w:instrText xml:space="preserve"> ADDIN ZOTERO_ITEM CSL_CITATION {"citationID":"PPr49x0d","properties":{"formattedCitation":"(48)","plainCitation":"(48)","noteIndex":0},"citationItems":[{"id":81,"uris":["http://zotero.org/users/local/3eWb7dOa/items/DF288C6J"],"itemData":{"id":81,"type":"webpage","abstract":"In autoimmune conditions and some cancer therapies, methotrexate should be taken once a week; however, we continue to receive reports of inadvertent overdose due to more frequent dosing (including daily administration). New measures have been implemented to prompt healthcare professionals to record the day of the week for intake and to remind patients of the dosing schedule and the risks of overdose.","container-title":"GOV.UK","language":"en","title":"Methotrexate once-weekly for autoimmune diseases: new measures to reduce risk of fatal overdose due to inadvertent daily instead of weekly dosing","title-short":"Methotrexate once-weekly for autoimmune diseases","URL":"https://www.gov.uk/drug-safety-update/methotrexate-once-weekly-for-autoimmune-diseases-new-measures-to-reduce-risk-of-fatal-overdose-due-to-inadvertent-daily-instead-of-weekly-dosing","accessed":{"date-parts":[["2025",6,11]]}}}],"schema":"https://github.com/citation-style-language/schema/raw/master/csl-citation.json"} </w:instrText>
      </w:r>
      <w:r w:rsidR="002F7891" w:rsidRPr="00660ECD">
        <w:rPr>
          <w:rFonts w:cstheme="minorHAnsi"/>
          <w:sz w:val="24"/>
          <w:szCs w:val="24"/>
        </w:rPr>
        <w:fldChar w:fldCharType="separate"/>
      </w:r>
      <w:r w:rsidR="002F7891" w:rsidRPr="00660ECD">
        <w:rPr>
          <w:rFonts w:cstheme="minorHAnsi"/>
          <w:sz w:val="24"/>
          <w:szCs w:val="24"/>
        </w:rPr>
        <w:t>(48)</w:t>
      </w:r>
      <w:r w:rsidR="002F7891" w:rsidRPr="00660ECD">
        <w:rPr>
          <w:rFonts w:cstheme="minorHAnsi"/>
          <w:sz w:val="24"/>
          <w:szCs w:val="24"/>
        </w:rPr>
        <w:fldChar w:fldCharType="end"/>
      </w:r>
      <w:r w:rsidR="002F7891" w:rsidRPr="00660ECD">
        <w:rPr>
          <w:rFonts w:cstheme="minorHAnsi"/>
          <w:sz w:val="24"/>
          <w:szCs w:val="24"/>
        </w:rPr>
        <w:t xml:space="preserve">. </w:t>
      </w:r>
      <w:r w:rsidR="002D2793" w:rsidRPr="00660ECD">
        <w:rPr>
          <w:rFonts w:cstheme="minorHAnsi"/>
          <w:sz w:val="24"/>
          <w:szCs w:val="24"/>
        </w:rPr>
        <w:t>Another example</w:t>
      </w:r>
      <w:r w:rsidR="00B62540" w:rsidRPr="00660ECD">
        <w:rPr>
          <w:rFonts w:cstheme="minorHAnsi"/>
          <w:sz w:val="24"/>
          <w:szCs w:val="24"/>
        </w:rPr>
        <w:t xml:space="preserve"> of safety directives </w:t>
      </w:r>
      <w:r w:rsidR="006E475C">
        <w:rPr>
          <w:rFonts w:cstheme="minorHAnsi"/>
          <w:sz w:val="24"/>
          <w:szCs w:val="24"/>
        </w:rPr>
        <w:t xml:space="preserve">being </w:t>
      </w:r>
      <w:r w:rsidR="00B62540" w:rsidRPr="00660ECD">
        <w:rPr>
          <w:rFonts w:cstheme="minorHAnsi"/>
          <w:sz w:val="24"/>
          <w:szCs w:val="24"/>
        </w:rPr>
        <w:t>issued to address known risks</w:t>
      </w:r>
      <w:r w:rsidR="002D2793" w:rsidRPr="00660ECD">
        <w:rPr>
          <w:rFonts w:cstheme="minorHAnsi"/>
          <w:sz w:val="24"/>
          <w:szCs w:val="24"/>
        </w:rPr>
        <w:t xml:space="preserve"> is insulin</w:t>
      </w:r>
      <w:r w:rsidR="00B62540" w:rsidRPr="00660ECD">
        <w:rPr>
          <w:rFonts w:cstheme="minorHAnsi"/>
          <w:sz w:val="24"/>
          <w:szCs w:val="24"/>
        </w:rPr>
        <w:t xml:space="preserve"> </w:t>
      </w:r>
      <w:r w:rsidR="00D33E4B" w:rsidRPr="00660ECD">
        <w:rPr>
          <w:rFonts w:cstheme="minorHAnsi"/>
          <w:sz w:val="24"/>
          <w:szCs w:val="24"/>
        </w:rPr>
        <w:fldChar w:fldCharType="begin"/>
      </w:r>
      <w:r w:rsidR="00D33E4B" w:rsidRPr="00660ECD">
        <w:rPr>
          <w:rFonts w:cstheme="minorHAnsi"/>
          <w:sz w:val="24"/>
          <w:szCs w:val="24"/>
        </w:rPr>
        <w:instrText xml:space="preserve"> ADDIN ZOTERO_ITEM CSL_CITATION {"citationID":"V29f7NzO","properties":{"formattedCitation":"(49)","plainCitation":"(49)","noteIndex":0},"citationItems":[{"id":82,"uris":["http://zotero.org/users/local/3eWb7dOa/items/U6ZRU7AC"],"itemData":{"id":82,"type":"webpage","abstract":"Strategies, signposting and initiatives to support safer use of insulin.","container-title":"SPS - Specialist Pharmacy Service","language":"en-GB","title":"Developing insulin safety across a system","URL":"https://www.sps.nhs.uk/articles/developing-insulin-safety-across-a-system/","accessed":{"date-parts":[["2025",6,11]]},"issued":{"date-parts":[["2025",5,1]]}}}],"schema":"https://github.com/citation-style-language/schema/raw/master/csl-citation.json"} </w:instrText>
      </w:r>
      <w:r w:rsidR="00D33E4B" w:rsidRPr="00660ECD">
        <w:rPr>
          <w:rFonts w:cstheme="minorHAnsi"/>
          <w:sz w:val="24"/>
          <w:szCs w:val="24"/>
        </w:rPr>
        <w:fldChar w:fldCharType="separate"/>
      </w:r>
      <w:r w:rsidR="00D33E4B" w:rsidRPr="00660ECD">
        <w:rPr>
          <w:rFonts w:cstheme="minorHAnsi"/>
          <w:sz w:val="24"/>
          <w:szCs w:val="24"/>
        </w:rPr>
        <w:t>(49)</w:t>
      </w:r>
      <w:r w:rsidR="00D33E4B" w:rsidRPr="00660ECD">
        <w:rPr>
          <w:rFonts w:cstheme="minorHAnsi"/>
          <w:sz w:val="24"/>
          <w:szCs w:val="24"/>
        </w:rPr>
        <w:fldChar w:fldCharType="end"/>
      </w:r>
      <w:r w:rsidR="006E475C">
        <w:rPr>
          <w:rFonts w:cstheme="minorHAnsi"/>
          <w:sz w:val="24"/>
          <w:szCs w:val="24"/>
        </w:rPr>
        <w:t>.</w:t>
      </w:r>
      <w:r w:rsidR="00C53B79" w:rsidRPr="00660ECD">
        <w:rPr>
          <w:rFonts w:cstheme="minorHAnsi"/>
          <w:sz w:val="24"/>
          <w:szCs w:val="24"/>
        </w:rPr>
        <w:t xml:space="preserve"> </w:t>
      </w:r>
      <w:r w:rsidR="006E475C">
        <w:rPr>
          <w:rFonts w:cstheme="minorHAnsi"/>
          <w:sz w:val="24"/>
          <w:szCs w:val="24"/>
        </w:rPr>
        <w:t>T</w:t>
      </w:r>
      <w:r w:rsidR="00C53B79" w:rsidRPr="00660ECD">
        <w:rPr>
          <w:rFonts w:cstheme="minorHAnsi"/>
          <w:sz w:val="24"/>
          <w:szCs w:val="24"/>
        </w:rPr>
        <w:t xml:space="preserve">he frequency </w:t>
      </w:r>
      <w:r w:rsidR="00D33E4B" w:rsidRPr="00660ECD">
        <w:rPr>
          <w:rFonts w:cstheme="minorHAnsi"/>
          <w:sz w:val="24"/>
          <w:szCs w:val="24"/>
        </w:rPr>
        <w:t xml:space="preserve">and dose </w:t>
      </w:r>
      <w:r w:rsidR="0059232E" w:rsidRPr="00660ECD">
        <w:rPr>
          <w:rFonts w:cstheme="minorHAnsi"/>
          <w:sz w:val="24"/>
          <w:szCs w:val="24"/>
        </w:rPr>
        <w:t>are</w:t>
      </w:r>
      <w:r w:rsidR="00D33E4B" w:rsidRPr="00660ECD">
        <w:rPr>
          <w:rFonts w:cstheme="minorHAnsi"/>
          <w:sz w:val="24"/>
          <w:szCs w:val="24"/>
        </w:rPr>
        <w:t xml:space="preserve"> </w:t>
      </w:r>
      <w:r w:rsidR="00F442BF" w:rsidRPr="00660ECD">
        <w:rPr>
          <w:rFonts w:cstheme="minorHAnsi"/>
          <w:sz w:val="24"/>
          <w:szCs w:val="24"/>
        </w:rPr>
        <w:t>variable</w:t>
      </w:r>
      <w:r w:rsidR="00C53B79" w:rsidRPr="00660ECD">
        <w:rPr>
          <w:rFonts w:cstheme="minorHAnsi"/>
          <w:sz w:val="24"/>
          <w:szCs w:val="24"/>
        </w:rPr>
        <w:t xml:space="preserve"> depending on the insulin type </w:t>
      </w:r>
      <w:r w:rsidR="00D33E4B" w:rsidRPr="00660ECD">
        <w:rPr>
          <w:rFonts w:cstheme="minorHAnsi"/>
          <w:sz w:val="24"/>
          <w:szCs w:val="24"/>
        </w:rPr>
        <w:t xml:space="preserve">and </w:t>
      </w:r>
      <w:proofErr w:type="gramStart"/>
      <w:r w:rsidR="00D33E4B" w:rsidRPr="00660ECD">
        <w:rPr>
          <w:rFonts w:cstheme="minorHAnsi"/>
          <w:sz w:val="24"/>
          <w:szCs w:val="24"/>
        </w:rPr>
        <w:t xml:space="preserve">a </w:t>
      </w:r>
      <w:r w:rsidR="00E75E35" w:rsidRPr="00660ECD">
        <w:rPr>
          <w:rFonts w:cstheme="minorHAnsi"/>
          <w:sz w:val="24"/>
          <w:szCs w:val="24"/>
        </w:rPr>
        <w:t>number of</w:t>
      </w:r>
      <w:proofErr w:type="gramEnd"/>
      <w:r w:rsidR="00F442BF" w:rsidRPr="00660ECD">
        <w:rPr>
          <w:rFonts w:cstheme="minorHAnsi"/>
          <w:sz w:val="24"/>
          <w:szCs w:val="24"/>
        </w:rPr>
        <w:t xml:space="preserve"> patient-specific </w:t>
      </w:r>
      <w:r w:rsidR="00F1310A" w:rsidRPr="00660ECD">
        <w:rPr>
          <w:rFonts w:cstheme="minorHAnsi"/>
          <w:sz w:val="24"/>
          <w:szCs w:val="24"/>
        </w:rPr>
        <w:t>factors</w:t>
      </w:r>
      <w:r w:rsidR="00E75E35" w:rsidRPr="00660ECD">
        <w:rPr>
          <w:rFonts w:cstheme="minorHAnsi"/>
          <w:sz w:val="24"/>
          <w:szCs w:val="24"/>
        </w:rPr>
        <w:t xml:space="preserve">. </w:t>
      </w:r>
      <w:r w:rsidR="00F401A1" w:rsidRPr="00660ECD">
        <w:rPr>
          <w:rFonts w:cstheme="minorHAnsi"/>
          <w:sz w:val="24"/>
          <w:szCs w:val="24"/>
        </w:rPr>
        <w:t xml:space="preserve">Other examples include drugs that have loading doses, such as amiodarone, </w:t>
      </w:r>
      <w:r w:rsidR="00113D52" w:rsidRPr="00660ECD">
        <w:rPr>
          <w:rFonts w:cstheme="minorHAnsi"/>
          <w:sz w:val="24"/>
          <w:szCs w:val="24"/>
        </w:rPr>
        <w:t xml:space="preserve">or </w:t>
      </w:r>
      <w:r w:rsidR="00DF5293" w:rsidRPr="00660ECD">
        <w:rPr>
          <w:rFonts w:cstheme="minorHAnsi"/>
          <w:sz w:val="24"/>
          <w:szCs w:val="24"/>
        </w:rPr>
        <w:t xml:space="preserve">apixaban for treatment of </w:t>
      </w:r>
      <w:r w:rsidR="00113D52" w:rsidRPr="00660ECD">
        <w:rPr>
          <w:rFonts w:cstheme="minorHAnsi"/>
          <w:sz w:val="24"/>
          <w:szCs w:val="24"/>
        </w:rPr>
        <w:t xml:space="preserve">venous thromboembolism. </w:t>
      </w:r>
    </w:p>
    <w:p w14:paraId="6B00BE16" w14:textId="45E2A2E5" w:rsidR="007B7AB1" w:rsidRPr="00660ECD" w:rsidRDefault="00BA21A9" w:rsidP="00660ECD">
      <w:pPr>
        <w:spacing w:after="100" w:afterAutospacing="1" w:line="360" w:lineRule="auto"/>
        <w:rPr>
          <w:rFonts w:cstheme="minorHAnsi"/>
          <w:b/>
          <w:bCs/>
          <w:sz w:val="24"/>
          <w:szCs w:val="24"/>
        </w:rPr>
      </w:pPr>
      <w:r>
        <w:rPr>
          <w:rFonts w:cstheme="minorHAnsi"/>
          <w:b/>
          <w:bCs/>
          <w:sz w:val="24"/>
          <w:szCs w:val="24"/>
        </w:rPr>
        <w:lastRenderedPageBreak/>
        <w:t xml:space="preserve">Strategies </w:t>
      </w:r>
      <w:r w:rsidR="009B34D0">
        <w:rPr>
          <w:rFonts w:cstheme="minorHAnsi"/>
          <w:b/>
          <w:bCs/>
          <w:sz w:val="24"/>
          <w:szCs w:val="24"/>
        </w:rPr>
        <w:t xml:space="preserve">to </w:t>
      </w:r>
      <w:r>
        <w:rPr>
          <w:rFonts w:cstheme="minorHAnsi"/>
          <w:b/>
          <w:bCs/>
          <w:sz w:val="24"/>
          <w:szCs w:val="24"/>
        </w:rPr>
        <w:t>redu</w:t>
      </w:r>
      <w:r w:rsidR="009B34D0">
        <w:rPr>
          <w:rFonts w:cstheme="minorHAnsi"/>
          <w:b/>
          <w:bCs/>
          <w:sz w:val="24"/>
          <w:szCs w:val="24"/>
        </w:rPr>
        <w:t>ce</w:t>
      </w:r>
      <w:r>
        <w:rPr>
          <w:rFonts w:cstheme="minorHAnsi"/>
          <w:b/>
          <w:bCs/>
          <w:sz w:val="24"/>
          <w:szCs w:val="24"/>
        </w:rPr>
        <w:t xml:space="preserve"> risk</w:t>
      </w:r>
    </w:p>
    <w:p w14:paraId="40F0CC55" w14:textId="30389296" w:rsidR="009F1385" w:rsidRDefault="00061424" w:rsidP="00660ECD">
      <w:pPr>
        <w:spacing w:after="100" w:afterAutospacing="1" w:line="360" w:lineRule="auto"/>
        <w:rPr>
          <w:rFonts w:cstheme="minorHAnsi"/>
          <w:sz w:val="24"/>
          <w:szCs w:val="24"/>
        </w:rPr>
      </w:pPr>
      <w:r>
        <w:rPr>
          <w:rFonts w:cstheme="minorHAnsi"/>
          <w:sz w:val="24"/>
          <w:szCs w:val="24"/>
        </w:rPr>
        <w:t xml:space="preserve">Although </w:t>
      </w:r>
      <w:r w:rsidR="00FD000B" w:rsidRPr="00660ECD">
        <w:rPr>
          <w:rFonts w:cstheme="minorHAnsi"/>
          <w:sz w:val="24"/>
          <w:szCs w:val="24"/>
        </w:rPr>
        <w:t xml:space="preserve">it is </w:t>
      </w:r>
      <w:r w:rsidR="00DF1A22" w:rsidRPr="00660ECD">
        <w:rPr>
          <w:rFonts w:cstheme="minorHAnsi"/>
          <w:sz w:val="24"/>
          <w:szCs w:val="24"/>
        </w:rPr>
        <w:t>tempting</w:t>
      </w:r>
      <w:r w:rsidR="00FD000B" w:rsidRPr="00660ECD">
        <w:rPr>
          <w:rFonts w:cstheme="minorHAnsi"/>
          <w:sz w:val="24"/>
          <w:szCs w:val="24"/>
        </w:rPr>
        <w:t xml:space="preserve"> to </w:t>
      </w:r>
      <w:r w:rsidR="00DF1A22" w:rsidRPr="00660ECD">
        <w:rPr>
          <w:rFonts w:cstheme="minorHAnsi"/>
          <w:sz w:val="24"/>
          <w:szCs w:val="24"/>
        </w:rPr>
        <w:t xml:space="preserve">focus </w:t>
      </w:r>
      <w:r w:rsidR="00752D90" w:rsidRPr="00660ECD">
        <w:rPr>
          <w:rFonts w:cstheme="minorHAnsi"/>
          <w:sz w:val="24"/>
          <w:szCs w:val="24"/>
        </w:rPr>
        <w:t xml:space="preserve">safety improvement initiatives </w:t>
      </w:r>
      <w:r w:rsidR="00DF1A22" w:rsidRPr="00660ECD">
        <w:rPr>
          <w:rFonts w:cstheme="minorHAnsi"/>
          <w:sz w:val="24"/>
          <w:szCs w:val="24"/>
        </w:rPr>
        <w:t>solely on specific medications</w:t>
      </w:r>
      <w:r w:rsidR="00752D90" w:rsidRPr="00660ECD">
        <w:rPr>
          <w:rFonts w:cstheme="minorHAnsi"/>
          <w:sz w:val="24"/>
          <w:szCs w:val="24"/>
        </w:rPr>
        <w:t xml:space="preserve"> or groups of medicines</w:t>
      </w:r>
      <w:r w:rsidR="00DF1A22" w:rsidRPr="00660ECD">
        <w:rPr>
          <w:rFonts w:cstheme="minorHAnsi"/>
          <w:sz w:val="24"/>
          <w:szCs w:val="24"/>
        </w:rPr>
        <w:t xml:space="preserve"> considered to be high-risk</w:t>
      </w:r>
      <w:r w:rsidR="0077440D" w:rsidRPr="00660ECD">
        <w:rPr>
          <w:rFonts w:cstheme="minorHAnsi"/>
          <w:sz w:val="24"/>
          <w:szCs w:val="24"/>
        </w:rPr>
        <w:t xml:space="preserve">, the most effective safety improvements </w:t>
      </w:r>
      <w:r>
        <w:rPr>
          <w:rFonts w:cstheme="minorHAnsi"/>
          <w:sz w:val="24"/>
          <w:szCs w:val="24"/>
        </w:rPr>
        <w:t xml:space="preserve">are </w:t>
      </w:r>
      <w:r w:rsidR="0077440D" w:rsidRPr="00660ECD">
        <w:rPr>
          <w:rFonts w:cstheme="minorHAnsi"/>
          <w:sz w:val="24"/>
          <w:szCs w:val="24"/>
        </w:rPr>
        <w:t>those directed at underlying cau</w:t>
      </w:r>
      <w:r w:rsidR="00532AAC" w:rsidRPr="00660ECD">
        <w:rPr>
          <w:rFonts w:cstheme="minorHAnsi"/>
          <w:sz w:val="24"/>
          <w:szCs w:val="24"/>
        </w:rPr>
        <w:t>ses</w:t>
      </w:r>
      <w:r w:rsidR="005518ED" w:rsidRPr="00660ECD">
        <w:rPr>
          <w:rFonts w:cstheme="minorHAnsi"/>
          <w:sz w:val="24"/>
          <w:szCs w:val="24"/>
        </w:rPr>
        <w:t xml:space="preserve"> </w:t>
      </w:r>
      <w:r w:rsidR="005518ED" w:rsidRPr="00660ECD">
        <w:rPr>
          <w:rFonts w:cstheme="minorHAnsi"/>
          <w:sz w:val="24"/>
          <w:szCs w:val="24"/>
        </w:rPr>
        <w:fldChar w:fldCharType="begin"/>
      </w:r>
      <w:r w:rsidR="005518ED" w:rsidRPr="00660ECD">
        <w:rPr>
          <w:rFonts w:cstheme="minorHAnsi"/>
          <w:sz w:val="24"/>
          <w:szCs w:val="24"/>
        </w:rPr>
        <w:instrText xml:space="preserve"> ADDIN ZOTERO_ITEM CSL_CITATION {"citationID":"ZbrXMFmC","properties":{"formattedCitation":"(2)","plainCitation":"(2)","noteIndex":0},"citationItems":[{"id":66,"uris":["http://zotero.org/users/local/3eWb7dOa/items/9I4W856I"],"itemData":{"id":66,"type":"post-weblog","abstract":"This page is part of the wider ‘Aspects of previous patient safety alerts that should inform broader local safety initiatives’ set of webpages. Prioritising local safety improvement work for medication Prioritising the allocation of resources is a critical element of any organisation’s planning for patient safety improvement. Resources are most commonly spread across activities intended […]","language":"en-US","title":"NHS England » Priority setting","URL":"https://www.england.nhs.uk/patient-safety/patient-safety-insight/patient-safety-alerts/enduring-standards/informing-broader-local-safety-initiatives/priority-setting/","author":[{"family":"England","given":"N. H. S."}],"accessed":{"date-parts":[["2025",5,14]]}}}],"schema":"https://github.com/citation-style-language/schema/raw/master/csl-citation.json"} </w:instrText>
      </w:r>
      <w:r w:rsidR="005518ED" w:rsidRPr="00660ECD">
        <w:rPr>
          <w:rFonts w:cstheme="minorHAnsi"/>
          <w:sz w:val="24"/>
          <w:szCs w:val="24"/>
        </w:rPr>
        <w:fldChar w:fldCharType="separate"/>
      </w:r>
      <w:r w:rsidR="005518ED" w:rsidRPr="00660ECD">
        <w:rPr>
          <w:rFonts w:cstheme="minorHAnsi"/>
          <w:sz w:val="24"/>
          <w:szCs w:val="24"/>
        </w:rPr>
        <w:t>(2)</w:t>
      </w:r>
      <w:r w:rsidR="005518ED" w:rsidRPr="00660ECD">
        <w:rPr>
          <w:rFonts w:cstheme="minorHAnsi"/>
          <w:sz w:val="24"/>
          <w:szCs w:val="24"/>
        </w:rPr>
        <w:fldChar w:fldCharType="end"/>
      </w:r>
      <w:r w:rsidR="005518ED" w:rsidRPr="00660ECD">
        <w:rPr>
          <w:rFonts w:cstheme="minorHAnsi"/>
          <w:sz w:val="24"/>
          <w:szCs w:val="24"/>
        </w:rPr>
        <w:t xml:space="preserve">. </w:t>
      </w:r>
      <w:r w:rsidR="009F1385">
        <w:rPr>
          <w:rFonts w:cstheme="minorHAnsi"/>
          <w:sz w:val="24"/>
          <w:szCs w:val="24"/>
        </w:rPr>
        <w:t>R</w:t>
      </w:r>
      <w:r w:rsidR="00E62926" w:rsidRPr="00660ECD">
        <w:rPr>
          <w:rFonts w:cstheme="minorHAnsi"/>
          <w:sz w:val="24"/>
          <w:szCs w:val="24"/>
        </w:rPr>
        <w:t>esearch in p</w:t>
      </w:r>
      <w:r w:rsidR="00AA3535" w:rsidRPr="00660ECD">
        <w:rPr>
          <w:rFonts w:cstheme="minorHAnsi"/>
          <w:sz w:val="24"/>
          <w:szCs w:val="24"/>
        </w:rPr>
        <w:t>rimary care concluded that most</w:t>
      </w:r>
      <w:r w:rsidR="00CA4471" w:rsidRPr="00660ECD">
        <w:rPr>
          <w:rFonts w:cstheme="minorHAnsi"/>
          <w:sz w:val="24"/>
          <w:szCs w:val="24"/>
        </w:rPr>
        <w:t xml:space="preserve"> </w:t>
      </w:r>
      <w:r w:rsidR="00E43006" w:rsidRPr="00660ECD">
        <w:rPr>
          <w:rFonts w:cstheme="minorHAnsi"/>
          <w:sz w:val="24"/>
          <w:szCs w:val="24"/>
        </w:rPr>
        <w:t xml:space="preserve">effective </w:t>
      </w:r>
      <w:r w:rsidR="00CA4471" w:rsidRPr="00660ECD">
        <w:rPr>
          <w:rFonts w:cstheme="minorHAnsi"/>
          <w:sz w:val="24"/>
          <w:szCs w:val="24"/>
        </w:rPr>
        <w:t>safety</w:t>
      </w:r>
      <w:r w:rsidR="00AA3535" w:rsidRPr="00660ECD">
        <w:rPr>
          <w:rFonts w:cstheme="minorHAnsi"/>
          <w:sz w:val="24"/>
          <w:szCs w:val="24"/>
        </w:rPr>
        <w:t xml:space="preserve"> improvements could be made through </w:t>
      </w:r>
      <w:r w:rsidR="009F1385">
        <w:rPr>
          <w:rFonts w:cstheme="minorHAnsi"/>
          <w:sz w:val="24"/>
          <w:szCs w:val="24"/>
        </w:rPr>
        <w:t>using</w:t>
      </w:r>
      <w:r w:rsidR="009F1385" w:rsidRPr="00660ECD">
        <w:rPr>
          <w:rFonts w:cstheme="minorHAnsi"/>
          <w:sz w:val="24"/>
          <w:szCs w:val="24"/>
        </w:rPr>
        <w:t xml:space="preserve"> </w:t>
      </w:r>
      <w:r w:rsidR="00AA3535" w:rsidRPr="00660ECD">
        <w:rPr>
          <w:rFonts w:cstheme="minorHAnsi"/>
          <w:sz w:val="24"/>
          <w:szCs w:val="24"/>
        </w:rPr>
        <w:t>existing information technology</w:t>
      </w:r>
      <w:r w:rsidR="00DF1A22" w:rsidRPr="00660ECD">
        <w:rPr>
          <w:rFonts w:cstheme="minorHAnsi"/>
          <w:sz w:val="24"/>
          <w:szCs w:val="24"/>
        </w:rPr>
        <w:t xml:space="preserve"> </w:t>
      </w:r>
      <w:r w:rsidR="00EB4F24" w:rsidRPr="00660ECD">
        <w:rPr>
          <w:rFonts w:cstheme="minorHAnsi"/>
          <w:sz w:val="24"/>
          <w:szCs w:val="24"/>
        </w:rPr>
        <w:t>and improving team communication and continuity of care</w:t>
      </w:r>
      <w:r w:rsidR="002B48AC" w:rsidRPr="00660ECD">
        <w:rPr>
          <w:rFonts w:cstheme="minorHAnsi"/>
          <w:sz w:val="24"/>
          <w:szCs w:val="24"/>
        </w:rPr>
        <w:t xml:space="preserve">, which are contributory factors in </w:t>
      </w:r>
      <w:r w:rsidR="00D16EDC" w:rsidRPr="00660ECD">
        <w:rPr>
          <w:rFonts w:cstheme="minorHAnsi"/>
          <w:sz w:val="24"/>
          <w:szCs w:val="24"/>
        </w:rPr>
        <w:t>many cases of patient harm</w:t>
      </w:r>
      <w:r w:rsidR="00EB4F24" w:rsidRPr="00660ECD">
        <w:rPr>
          <w:rFonts w:cstheme="minorHAnsi"/>
          <w:sz w:val="24"/>
          <w:szCs w:val="24"/>
        </w:rPr>
        <w:t xml:space="preserve"> </w:t>
      </w:r>
      <w:r w:rsidR="00805840" w:rsidRPr="00660ECD">
        <w:rPr>
          <w:rFonts w:cstheme="minorHAnsi"/>
          <w:sz w:val="24"/>
          <w:szCs w:val="24"/>
        </w:rPr>
        <w:fldChar w:fldCharType="begin"/>
      </w:r>
      <w:r w:rsidR="00C75B84" w:rsidRPr="00660ECD">
        <w:rPr>
          <w:rFonts w:cstheme="minorHAnsi"/>
          <w:sz w:val="24"/>
          <w:szCs w:val="24"/>
        </w:rPr>
        <w:instrText xml:space="preserve"> ADDIN ZOTERO_ITEM CSL_CITATION {"citationID":"dZf2PmsK","properties":{"formattedCitation":"(50)","plainCitation":"(50)","noteIndex":0},"citationItems":[{"id":67,"uris":["http://zotero.org/users/local/3eWb7dOa/items/AIZVIMZ3"],"itemData":{"id":67,"type":"article-journal","abstract":"Objective To estimate the incidence of avoidable significant harm in primary care in England; describe and classify the associated patient safety incidents and generate suggestions to mitigate risks of ameliorable factors contributing to the incidents.\nDesign Retrospective case note review. Patients with significant health problems were identified and clinical judgements were made on avoidability and severity of harm. Factors contributing to avoidable harm were identified and recorded.\nSetting Primary care.\nParticipants Thirteen general practitioners (GPs) undertook a retrospective case note review of a sample of 14 407 primary care patients registered with 12 randomly selected general practices from three regions in England (total list size: 92 255 patients).\nMain outcome measures The incidence of significant harm considered at least ‘probably avoidable’ and the nature of the safety incidents.\nResults The rate of significant harm considered at least probably avoidable was 35.6 (95% CI 23.3 to 48.0) per 100 000 patient-years (57.9, 95% CI 42.2 to 73.7, per 100 000 based on a sensitivity analysis). Overall, 74 cases of avoidable harm were detected, involving 72 patients. Three types of incident accounted for more than 90% of the problems: problems with diagnosis accounted for 45/74 (60.8%) primary incidents, followed by medication-related problems (n=19, 25.7%) and delayed referrals (n=8, 10.8%). In 59 (79.7%) cases, the significant harm could have been identified sooner (n=48) or prevented (n=11) if the GP had taken actions aligned with evidence-based guidelines.\nConclusion There is likely to be a substantial burden of avoidable significant harm attributable to primary care in England with diagnostic error accounting for most harms. Based on the contributory factors we found, improvements could be made through more effective implementation of existing information technology, enhanced team coordination and communication, and greater personal and informational continuity of care.","container-title":"BMJ Quality &amp; Safety","DOI":"10.1136/bmjqs-2020-011405","ISSN":"2044-5415, 2044-5423","issue":"12","journalAbbreviation":"BMJ Qual Saf","language":"en","license":"© Author(s) (or their employer(s)) 2021.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BMJ Publishing Group Ltd\nsection: Original research\nPMID: 33172907","page":"961-976","source":"qualitysafety.bmj.com","title":"Incidence, nature and causes of avoidable significant harm in primary care in England: retrospective case note review","title-short":"Incidence, nature and causes of avoidable significant harm in primary care in England","volume":"30","author":[{"family":"Avery","given":"Anthony J."},{"family":"Sheehan","given":"Christina"},{"family":"Bell","given":"Brian"},{"family":"Armstrong","given":"Sarah"},{"family":"Ashcroft","given":"Darren M."},{"family":"Boyd","given":"Matthew J."},{"family":"Chuter","given":"Antony"},{"family":"Cooper","given":"Alison"},{"family":"Donnelly","given":"Ailsa"},{"family":"Edwards","given":"Adrian"},{"family":"Evans","given":"Huw Prosser"},{"family":"Hellard","given":"Stuart"},{"family":"Lymn","given":"Joanne"},{"family":"Mehta","given":"Rajnikant"},{"family":"Rodgers","given":"Sarah"},{"family":"Sheikh","given":"Aziz"},{"family":"Smith","given":"Pam"},{"family":"Williams","given":"Huw"},{"family":"Campbell","given":"Stephen M."},{"family":"Carson-Stevens","given":"Andrew"}],"issued":{"date-parts":[["2021",12,1]]}}}],"schema":"https://github.com/citation-style-language/schema/raw/master/csl-citation.json"} </w:instrText>
      </w:r>
      <w:r w:rsidR="00805840" w:rsidRPr="00660ECD">
        <w:rPr>
          <w:rFonts w:cstheme="minorHAnsi"/>
          <w:sz w:val="24"/>
          <w:szCs w:val="24"/>
        </w:rPr>
        <w:fldChar w:fldCharType="separate"/>
      </w:r>
      <w:r w:rsidR="00C75B84" w:rsidRPr="00660ECD">
        <w:rPr>
          <w:rFonts w:cstheme="minorHAnsi"/>
          <w:sz w:val="24"/>
          <w:szCs w:val="24"/>
        </w:rPr>
        <w:t>(50)</w:t>
      </w:r>
      <w:r w:rsidR="00805840" w:rsidRPr="00660ECD">
        <w:rPr>
          <w:rFonts w:cstheme="minorHAnsi"/>
          <w:sz w:val="24"/>
          <w:szCs w:val="24"/>
        </w:rPr>
        <w:fldChar w:fldCharType="end"/>
      </w:r>
      <w:r w:rsidR="00805840" w:rsidRPr="00660ECD">
        <w:rPr>
          <w:rFonts w:cstheme="minorHAnsi"/>
          <w:sz w:val="24"/>
          <w:szCs w:val="24"/>
        </w:rPr>
        <w:t xml:space="preserve">. </w:t>
      </w:r>
    </w:p>
    <w:p w14:paraId="23C698AA" w14:textId="41E49E9E" w:rsidR="00503DE6" w:rsidRPr="00660ECD" w:rsidRDefault="00D16EDC" w:rsidP="00660ECD">
      <w:pPr>
        <w:spacing w:after="100" w:afterAutospacing="1" w:line="360" w:lineRule="auto"/>
        <w:rPr>
          <w:rFonts w:cstheme="minorHAnsi"/>
          <w:sz w:val="24"/>
          <w:szCs w:val="24"/>
        </w:rPr>
      </w:pPr>
      <w:r w:rsidRPr="00660ECD">
        <w:rPr>
          <w:rFonts w:cstheme="minorHAnsi"/>
          <w:sz w:val="24"/>
          <w:szCs w:val="24"/>
        </w:rPr>
        <w:t xml:space="preserve">It is also important that we </w:t>
      </w:r>
      <w:r w:rsidR="009F1385">
        <w:rPr>
          <w:rFonts w:cstheme="minorHAnsi"/>
          <w:sz w:val="24"/>
          <w:szCs w:val="24"/>
        </w:rPr>
        <w:t>address</w:t>
      </w:r>
      <w:r w:rsidRPr="00660ECD">
        <w:rPr>
          <w:rFonts w:cstheme="minorHAnsi"/>
          <w:sz w:val="24"/>
          <w:szCs w:val="24"/>
        </w:rPr>
        <w:t xml:space="preserve"> other </w:t>
      </w:r>
      <w:r w:rsidR="00BE4C90" w:rsidRPr="00660ECD">
        <w:rPr>
          <w:rFonts w:cstheme="minorHAnsi"/>
          <w:sz w:val="24"/>
          <w:szCs w:val="24"/>
        </w:rPr>
        <w:t>contributors to</w:t>
      </w:r>
      <w:r w:rsidR="004D5F4E" w:rsidRPr="00660ECD">
        <w:rPr>
          <w:rFonts w:cstheme="minorHAnsi"/>
          <w:sz w:val="24"/>
          <w:szCs w:val="24"/>
        </w:rPr>
        <w:t xml:space="preserve"> </w:t>
      </w:r>
      <w:r w:rsidR="00B31D9D" w:rsidRPr="00660ECD">
        <w:rPr>
          <w:rFonts w:cstheme="minorHAnsi"/>
          <w:sz w:val="24"/>
          <w:szCs w:val="24"/>
        </w:rPr>
        <w:t>patient harm,</w:t>
      </w:r>
      <w:r w:rsidR="004D5F4E" w:rsidRPr="00660ECD">
        <w:rPr>
          <w:rFonts w:cstheme="minorHAnsi"/>
          <w:sz w:val="24"/>
          <w:szCs w:val="24"/>
        </w:rPr>
        <w:t xml:space="preserve"> </w:t>
      </w:r>
      <w:r w:rsidR="00EB1FDA" w:rsidRPr="00660ECD">
        <w:rPr>
          <w:rFonts w:cstheme="minorHAnsi"/>
          <w:sz w:val="24"/>
          <w:szCs w:val="24"/>
        </w:rPr>
        <w:t>for example</w:t>
      </w:r>
      <w:r w:rsidR="00592B06" w:rsidRPr="00660ECD">
        <w:rPr>
          <w:rFonts w:cstheme="minorHAnsi"/>
          <w:sz w:val="24"/>
          <w:szCs w:val="24"/>
        </w:rPr>
        <w:t xml:space="preserve"> by applying the principles of human factors </w:t>
      </w:r>
      <w:r w:rsidR="00427CC0" w:rsidRPr="00660ECD">
        <w:rPr>
          <w:rFonts w:cstheme="minorHAnsi"/>
          <w:sz w:val="24"/>
          <w:szCs w:val="24"/>
        </w:rPr>
        <w:t>and</w:t>
      </w:r>
      <w:r w:rsidR="0082629A" w:rsidRPr="00660ECD">
        <w:rPr>
          <w:rFonts w:cstheme="minorHAnsi"/>
          <w:sz w:val="24"/>
          <w:szCs w:val="24"/>
        </w:rPr>
        <w:t xml:space="preserve"> optimising the interaction between people, systems, and environments </w:t>
      </w:r>
      <w:r w:rsidR="00E43006" w:rsidRPr="00660ECD">
        <w:rPr>
          <w:rFonts w:cstheme="minorHAnsi"/>
          <w:sz w:val="24"/>
          <w:szCs w:val="24"/>
        </w:rPr>
        <w:fldChar w:fldCharType="begin"/>
      </w:r>
      <w:r w:rsidR="00C75B84" w:rsidRPr="00660ECD">
        <w:rPr>
          <w:rFonts w:cstheme="minorHAnsi"/>
          <w:sz w:val="24"/>
          <w:szCs w:val="24"/>
        </w:rPr>
        <w:instrText xml:space="preserve"> ADDIN ZOTERO_ITEM CSL_CITATION {"citationID":"jUcflrjE","properties":{"formattedCitation":"(51)","plainCitation":"(51)","noteIndex":0},"citationItems":[{"id":70,"uris":["http://zotero.org/users/local/3eWb7dOa/items/SB7B2ZEM"],"itemData":{"id":70,"type":"post-weblog","abstract":"Introduction The principle of ‘patient safety’ is preventing avoidable patient harm in healthcare​1​. It has been suggested that 1 in 30 patients are affected by preventable medication-related harm, with the highest prevalence (around 50%) occurring during prescribing​2​. If you consider this statistic in the context of an average prescriber, a pharmacist who prescribes for ten […]","container-title":"The Pharmaceutical Journal","language":"en-US","title":"Understanding human factors in patient safety when prescribing","URL":"https://pharmaceutical-journal.com/article/ld/understanding-human-factors-in-patient-safety-when-prescribing","author":[{"family":"Coon","given":"Rebecca"},{"family":"Holden","given":"Keith"}],"accessed":{"date-parts":[["2025",5,14]]},"issued":{"date-parts":[["2024",9,13]]}}}],"schema":"https://github.com/citation-style-language/schema/raw/master/csl-citation.json"} </w:instrText>
      </w:r>
      <w:r w:rsidR="00E43006" w:rsidRPr="00660ECD">
        <w:rPr>
          <w:rFonts w:cstheme="minorHAnsi"/>
          <w:sz w:val="24"/>
          <w:szCs w:val="24"/>
        </w:rPr>
        <w:fldChar w:fldCharType="separate"/>
      </w:r>
      <w:r w:rsidR="00C75B84" w:rsidRPr="00660ECD">
        <w:rPr>
          <w:rFonts w:cstheme="minorHAnsi"/>
          <w:sz w:val="24"/>
          <w:szCs w:val="24"/>
        </w:rPr>
        <w:t>(51)</w:t>
      </w:r>
      <w:r w:rsidR="00E43006" w:rsidRPr="00660ECD">
        <w:rPr>
          <w:rFonts w:cstheme="minorHAnsi"/>
          <w:sz w:val="24"/>
          <w:szCs w:val="24"/>
        </w:rPr>
        <w:fldChar w:fldCharType="end"/>
      </w:r>
      <w:r w:rsidR="00427CC0" w:rsidRPr="00660ECD">
        <w:rPr>
          <w:rFonts w:cstheme="minorHAnsi"/>
          <w:sz w:val="24"/>
          <w:szCs w:val="24"/>
        </w:rPr>
        <w:t xml:space="preserve">. </w:t>
      </w:r>
      <w:r w:rsidR="00BE4C90" w:rsidRPr="00660ECD">
        <w:rPr>
          <w:rFonts w:cstheme="minorHAnsi"/>
          <w:sz w:val="24"/>
          <w:szCs w:val="24"/>
        </w:rPr>
        <w:t>Integrati</w:t>
      </w:r>
      <w:r w:rsidR="009F1385">
        <w:rPr>
          <w:rFonts w:cstheme="minorHAnsi"/>
          <w:sz w:val="24"/>
          <w:szCs w:val="24"/>
        </w:rPr>
        <w:t>ng</w:t>
      </w:r>
      <w:r w:rsidR="00304088" w:rsidRPr="00660ECD">
        <w:rPr>
          <w:rFonts w:cstheme="minorHAnsi"/>
          <w:sz w:val="24"/>
          <w:szCs w:val="24"/>
        </w:rPr>
        <w:t xml:space="preserve"> medication-related improvements into </w:t>
      </w:r>
      <w:r w:rsidR="001114FD">
        <w:rPr>
          <w:rFonts w:cstheme="minorHAnsi"/>
          <w:sz w:val="24"/>
          <w:szCs w:val="24"/>
        </w:rPr>
        <w:t xml:space="preserve">broader healthcare </w:t>
      </w:r>
      <w:r w:rsidR="00304088" w:rsidRPr="00660ECD">
        <w:rPr>
          <w:rFonts w:cstheme="minorHAnsi"/>
          <w:sz w:val="24"/>
          <w:szCs w:val="24"/>
        </w:rPr>
        <w:t>challenges</w:t>
      </w:r>
      <w:r w:rsidR="003D0D13" w:rsidRPr="00660ECD">
        <w:rPr>
          <w:rFonts w:cstheme="minorHAnsi"/>
          <w:sz w:val="24"/>
          <w:szCs w:val="24"/>
        </w:rPr>
        <w:t xml:space="preserve"> </w:t>
      </w:r>
      <w:r w:rsidR="001114FD">
        <w:rPr>
          <w:rFonts w:cstheme="minorHAnsi"/>
          <w:sz w:val="24"/>
          <w:szCs w:val="24"/>
        </w:rPr>
        <w:t>is</w:t>
      </w:r>
      <w:r w:rsidR="003D0D13" w:rsidRPr="00660ECD">
        <w:rPr>
          <w:rFonts w:cstheme="minorHAnsi"/>
          <w:sz w:val="24"/>
          <w:szCs w:val="24"/>
        </w:rPr>
        <w:t xml:space="preserve"> </w:t>
      </w:r>
      <w:r w:rsidR="00BE4C90" w:rsidRPr="00660ECD">
        <w:rPr>
          <w:rFonts w:cstheme="minorHAnsi"/>
          <w:sz w:val="24"/>
          <w:szCs w:val="24"/>
        </w:rPr>
        <w:t xml:space="preserve">more </w:t>
      </w:r>
      <w:r w:rsidR="003D0D13" w:rsidRPr="00660ECD">
        <w:rPr>
          <w:rFonts w:cstheme="minorHAnsi"/>
          <w:sz w:val="24"/>
          <w:szCs w:val="24"/>
        </w:rPr>
        <w:t>likely to be effective</w:t>
      </w:r>
      <w:r w:rsidR="005E3CE6">
        <w:rPr>
          <w:rFonts w:cstheme="minorHAnsi"/>
          <w:sz w:val="24"/>
          <w:szCs w:val="24"/>
        </w:rPr>
        <w:t>. However,</w:t>
      </w:r>
      <w:r w:rsidR="003D0D13" w:rsidRPr="00660ECD">
        <w:rPr>
          <w:rFonts w:cstheme="minorHAnsi"/>
          <w:sz w:val="24"/>
          <w:szCs w:val="24"/>
        </w:rPr>
        <w:t xml:space="preserve"> a core safety principle </w:t>
      </w:r>
      <w:r w:rsidR="00D8292D">
        <w:rPr>
          <w:rFonts w:cstheme="minorHAnsi"/>
          <w:sz w:val="24"/>
          <w:szCs w:val="24"/>
        </w:rPr>
        <w:t>is to focus</w:t>
      </w:r>
      <w:r w:rsidR="003D0D13" w:rsidRPr="00660ECD">
        <w:rPr>
          <w:rFonts w:cstheme="minorHAnsi"/>
          <w:sz w:val="24"/>
          <w:szCs w:val="24"/>
        </w:rPr>
        <w:t xml:space="preserve"> </w:t>
      </w:r>
      <w:r w:rsidR="00A5355C" w:rsidRPr="00660ECD">
        <w:rPr>
          <w:rFonts w:cstheme="minorHAnsi"/>
          <w:sz w:val="24"/>
          <w:szCs w:val="24"/>
        </w:rPr>
        <w:t>efforts on areas where the risk of severe harm or death is most likely to occur</w:t>
      </w:r>
      <w:r w:rsidR="007660BE" w:rsidRPr="00660ECD">
        <w:rPr>
          <w:rFonts w:cstheme="minorHAnsi"/>
          <w:sz w:val="24"/>
          <w:szCs w:val="24"/>
        </w:rPr>
        <w:t xml:space="preserve">, </w:t>
      </w:r>
      <w:r w:rsidR="00FF7DFA">
        <w:rPr>
          <w:rFonts w:cstheme="minorHAnsi"/>
          <w:sz w:val="24"/>
          <w:szCs w:val="24"/>
        </w:rPr>
        <w:t>which</w:t>
      </w:r>
      <w:r w:rsidR="007660BE" w:rsidRPr="00660ECD">
        <w:rPr>
          <w:rFonts w:cstheme="minorHAnsi"/>
          <w:sz w:val="24"/>
          <w:szCs w:val="24"/>
        </w:rPr>
        <w:t xml:space="preserve"> often include high-risk medications</w:t>
      </w:r>
      <w:r w:rsidR="00A5355C" w:rsidRPr="00660ECD">
        <w:rPr>
          <w:rFonts w:cstheme="minorHAnsi"/>
          <w:sz w:val="24"/>
          <w:szCs w:val="24"/>
        </w:rPr>
        <w:t xml:space="preserve"> </w:t>
      </w:r>
      <w:r w:rsidR="00A5355C" w:rsidRPr="00660ECD">
        <w:rPr>
          <w:rFonts w:cstheme="minorHAnsi"/>
          <w:sz w:val="24"/>
          <w:szCs w:val="24"/>
        </w:rPr>
        <w:fldChar w:fldCharType="begin"/>
      </w:r>
      <w:r w:rsidR="00A5355C" w:rsidRPr="00660ECD">
        <w:rPr>
          <w:rFonts w:cstheme="minorHAnsi"/>
          <w:sz w:val="24"/>
          <w:szCs w:val="24"/>
        </w:rPr>
        <w:instrText xml:space="preserve"> ADDIN ZOTERO_ITEM CSL_CITATION {"citationID":"1hPudJQA","properties":{"formattedCitation":"(2)","plainCitation":"(2)","noteIndex":0},"citationItems":[{"id":66,"uris":["http://zotero.org/users/local/3eWb7dOa/items/9I4W856I"],"itemData":{"id":66,"type":"post-weblog","abstract":"This page is part of the wider ‘Aspects of previous patient safety alerts that should inform broader local safety initiatives’ set of webpages. Prioritising local safety improvement work for medication Prioritising the allocation of resources is a critical element of any organisation’s planning for patient safety improvement. Resources are most commonly spread across activities intended […]","language":"en-US","title":"NHS England » Priority setting","URL":"https://www.england.nhs.uk/patient-safety/patient-safety-insight/patient-safety-alerts/enduring-standards/informing-broader-local-safety-initiatives/priority-setting/","author":[{"family":"England","given":"N. H. S."}],"accessed":{"date-parts":[["2025",5,14]]}}}],"schema":"https://github.com/citation-style-language/schema/raw/master/csl-citation.json"} </w:instrText>
      </w:r>
      <w:r w:rsidR="00A5355C" w:rsidRPr="00660ECD">
        <w:rPr>
          <w:rFonts w:cstheme="minorHAnsi"/>
          <w:sz w:val="24"/>
          <w:szCs w:val="24"/>
        </w:rPr>
        <w:fldChar w:fldCharType="separate"/>
      </w:r>
      <w:r w:rsidR="00A5355C" w:rsidRPr="00660ECD">
        <w:rPr>
          <w:rFonts w:cstheme="minorHAnsi"/>
          <w:sz w:val="24"/>
          <w:szCs w:val="24"/>
        </w:rPr>
        <w:t>(2)</w:t>
      </w:r>
      <w:r w:rsidR="00A5355C" w:rsidRPr="00660ECD">
        <w:rPr>
          <w:rFonts w:cstheme="minorHAnsi"/>
          <w:sz w:val="24"/>
          <w:szCs w:val="24"/>
        </w:rPr>
        <w:fldChar w:fldCharType="end"/>
      </w:r>
      <w:r w:rsidR="00A5355C" w:rsidRPr="00660ECD">
        <w:rPr>
          <w:rFonts w:cstheme="minorHAnsi"/>
          <w:sz w:val="24"/>
          <w:szCs w:val="24"/>
        </w:rPr>
        <w:t xml:space="preserve">. </w:t>
      </w:r>
    </w:p>
    <w:p w14:paraId="0ADFF6DB" w14:textId="73DD962F" w:rsidR="009F1385" w:rsidRPr="006A717D" w:rsidRDefault="009F1385" w:rsidP="00660ECD">
      <w:pPr>
        <w:spacing w:after="100" w:afterAutospacing="1" w:line="360" w:lineRule="auto"/>
        <w:rPr>
          <w:rFonts w:cstheme="minorHAnsi"/>
          <w:b/>
          <w:bCs/>
          <w:sz w:val="24"/>
          <w:szCs w:val="24"/>
        </w:rPr>
      </w:pPr>
      <w:r w:rsidRPr="006A717D">
        <w:rPr>
          <w:rFonts w:cstheme="minorHAnsi"/>
          <w:b/>
          <w:bCs/>
          <w:sz w:val="24"/>
          <w:szCs w:val="24"/>
        </w:rPr>
        <w:t>Conclusion</w:t>
      </w:r>
    </w:p>
    <w:p w14:paraId="006285DA" w14:textId="1A5332E2" w:rsidR="00716856" w:rsidRPr="00660ECD" w:rsidRDefault="009F1385" w:rsidP="00660ECD">
      <w:pPr>
        <w:spacing w:after="100" w:afterAutospacing="1" w:line="360" w:lineRule="auto"/>
        <w:rPr>
          <w:rFonts w:cstheme="minorHAnsi"/>
          <w:sz w:val="24"/>
          <w:szCs w:val="24"/>
        </w:rPr>
      </w:pPr>
      <w:r>
        <w:rPr>
          <w:rFonts w:cstheme="minorHAnsi"/>
          <w:sz w:val="24"/>
          <w:szCs w:val="24"/>
        </w:rPr>
        <w:t>T</w:t>
      </w:r>
      <w:r w:rsidR="00234C10" w:rsidRPr="00660ECD">
        <w:rPr>
          <w:rFonts w:cstheme="minorHAnsi"/>
          <w:sz w:val="24"/>
          <w:szCs w:val="24"/>
        </w:rPr>
        <w:t xml:space="preserve">he safe management of high-risk medicines is a critical responsibility for pharmacists. By staying informed, adhering to evidence-based guidelines, and maintaining clear communication with patients and healthcare teams, pharmacists play a vital role in minimising harm and improving outcomes for patients. Vigilance, ongoing education, and a proactive approach are essential to ensuring the safe use of </w:t>
      </w:r>
      <w:r w:rsidR="00716856" w:rsidRPr="00660ECD">
        <w:rPr>
          <w:rFonts w:cstheme="minorHAnsi"/>
          <w:sz w:val="24"/>
          <w:szCs w:val="24"/>
        </w:rPr>
        <w:t>high</w:t>
      </w:r>
      <w:r w:rsidR="00FD1B25">
        <w:rPr>
          <w:rFonts w:cstheme="minorHAnsi"/>
          <w:sz w:val="24"/>
          <w:szCs w:val="24"/>
        </w:rPr>
        <w:t>-</w:t>
      </w:r>
      <w:r w:rsidR="00716856" w:rsidRPr="00660ECD">
        <w:rPr>
          <w:rFonts w:cstheme="minorHAnsi"/>
          <w:sz w:val="24"/>
          <w:szCs w:val="24"/>
        </w:rPr>
        <w:t>risk medicines</w:t>
      </w:r>
      <w:r>
        <w:rPr>
          <w:rFonts w:cstheme="minorHAnsi"/>
          <w:sz w:val="24"/>
          <w:szCs w:val="24"/>
        </w:rPr>
        <w:t>.</w:t>
      </w:r>
      <w:r w:rsidR="00716856" w:rsidRPr="00660ECD">
        <w:rPr>
          <w:rFonts w:cstheme="minorHAnsi"/>
          <w:sz w:val="24"/>
          <w:szCs w:val="24"/>
        </w:rPr>
        <w:t xml:space="preserve"> </w:t>
      </w:r>
      <w:r>
        <w:rPr>
          <w:rFonts w:cstheme="minorHAnsi"/>
          <w:sz w:val="24"/>
          <w:szCs w:val="24"/>
        </w:rPr>
        <w:t xml:space="preserve">Thankfully, many </w:t>
      </w:r>
      <w:r w:rsidR="00716856" w:rsidRPr="00660ECD">
        <w:rPr>
          <w:rFonts w:cstheme="minorHAnsi"/>
          <w:sz w:val="24"/>
          <w:szCs w:val="24"/>
        </w:rPr>
        <w:t xml:space="preserve">high-quality resources </w:t>
      </w:r>
      <w:r>
        <w:rPr>
          <w:rFonts w:cstheme="minorHAnsi"/>
          <w:sz w:val="24"/>
          <w:szCs w:val="24"/>
        </w:rPr>
        <w:t xml:space="preserve">are </w:t>
      </w:r>
      <w:r w:rsidR="00716856" w:rsidRPr="00660ECD">
        <w:rPr>
          <w:rFonts w:cstheme="minorHAnsi"/>
          <w:sz w:val="24"/>
          <w:szCs w:val="24"/>
        </w:rPr>
        <w:t xml:space="preserve">available to support </w:t>
      </w:r>
      <w:r w:rsidR="00FD1B25">
        <w:rPr>
          <w:rFonts w:cstheme="minorHAnsi"/>
          <w:sz w:val="24"/>
          <w:szCs w:val="24"/>
        </w:rPr>
        <w:t xml:space="preserve">pharmacy </w:t>
      </w:r>
      <w:r w:rsidR="00716856" w:rsidRPr="00660ECD">
        <w:rPr>
          <w:rFonts w:cstheme="minorHAnsi"/>
          <w:sz w:val="24"/>
          <w:szCs w:val="24"/>
        </w:rPr>
        <w:t>professionals</w:t>
      </w:r>
      <w:r>
        <w:rPr>
          <w:rFonts w:cstheme="minorHAnsi"/>
          <w:sz w:val="24"/>
          <w:szCs w:val="24"/>
        </w:rPr>
        <w:t xml:space="preserve"> in this task</w:t>
      </w:r>
      <w:r w:rsidR="00716856" w:rsidRPr="00660ECD">
        <w:rPr>
          <w:rFonts w:cstheme="minorHAnsi"/>
          <w:sz w:val="24"/>
          <w:szCs w:val="24"/>
        </w:rPr>
        <w:t xml:space="preserve">. </w:t>
      </w:r>
    </w:p>
    <w:p w14:paraId="606C9E34" w14:textId="600F2A68" w:rsidR="00D42A88" w:rsidRPr="00660ECD" w:rsidRDefault="00660ECD" w:rsidP="00660ECD">
      <w:pPr>
        <w:spacing w:after="100" w:afterAutospacing="1" w:line="360" w:lineRule="auto"/>
        <w:rPr>
          <w:rFonts w:cstheme="minorHAnsi"/>
          <w:b/>
          <w:bCs/>
          <w:sz w:val="24"/>
          <w:szCs w:val="24"/>
        </w:rPr>
      </w:pPr>
      <w:r>
        <w:rPr>
          <w:rFonts w:cstheme="minorHAnsi"/>
          <w:b/>
          <w:bCs/>
          <w:sz w:val="24"/>
          <w:szCs w:val="24"/>
        </w:rPr>
        <w:t>Useful r</w:t>
      </w:r>
      <w:r w:rsidR="00D42A88" w:rsidRPr="00660ECD">
        <w:rPr>
          <w:rFonts w:cstheme="minorHAnsi"/>
          <w:b/>
          <w:bCs/>
          <w:sz w:val="24"/>
          <w:szCs w:val="24"/>
        </w:rPr>
        <w:t>esources</w:t>
      </w:r>
    </w:p>
    <w:p w14:paraId="7A580781" w14:textId="49B7D502" w:rsidR="007B7AB1" w:rsidRPr="00660ECD" w:rsidRDefault="00ED2568" w:rsidP="00660ECD">
      <w:pPr>
        <w:pStyle w:val="ListParagraph"/>
        <w:numPr>
          <w:ilvl w:val="0"/>
          <w:numId w:val="8"/>
        </w:numPr>
        <w:spacing w:after="100" w:afterAutospacing="1" w:line="360" w:lineRule="auto"/>
        <w:contextualSpacing w:val="0"/>
        <w:rPr>
          <w:rFonts w:cstheme="minorHAnsi"/>
          <w:sz w:val="24"/>
          <w:szCs w:val="24"/>
        </w:rPr>
      </w:pPr>
      <w:hyperlink r:id="rId8" w:history="1">
        <w:r w:rsidRPr="00660ECD">
          <w:rPr>
            <w:rStyle w:val="Hyperlink"/>
            <w:rFonts w:cstheme="minorHAnsi"/>
            <w:sz w:val="24"/>
            <w:szCs w:val="24"/>
          </w:rPr>
          <w:t>SPS drug monitoring guide</w:t>
        </w:r>
      </w:hyperlink>
    </w:p>
    <w:p w14:paraId="08C5D1B7" w14:textId="5C3F7392" w:rsidR="007B7AB1" w:rsidRPr="00660ECD" w:rsidRDefault="0038051F" w:rsidP="00660ECD">
      <w:pPr>
        <w:pStyle w:val="ListParagraph"/>
        <w:numPr>
          <w:ilvl w:val="0"/>
          <w:numId w:val="8"/>
        </w:numPr>
        <w:spacing w:after="100" w:afterAutospacing="1" w:line="360" w:lineRule="auto"/>
        <w:contextualSpacing w:val="0"/>
        <w:rPr>
          <w:rFonts w:cstheme="minorHAnsi"/>
          <w:sz w:val="24"/>
          <w:szCs w:val="24"/>
        </w:rPr>
      </w:pPr>
      <w:hyperlink r:id="rId9" w:history="1">
        <w:r w:rsidRPr="00660ECD">
          <w:rPr>
            <w:rStyle w:val="Hyperlink"/>
            <w:rFonts w:cstheme="minorHAnsi"/>
            <w:sz w:val="24"/>
            <w:szCs w:val="24"/>
          </w:rPr>
          <w:t xml:space="preserve">“The Six Steps to Insulin Safety”, a free e-learning module from the PCDS - </w:t>
        </w:r>
        <w:proofErr w:type="spellStart"/>
        <w:r w:rsidRPr="00660ECD">
          <w:rPr>
            <w:rStyle w:val="Hyperlink"/>
            <w:rFonts w:cstheme="minorHAnsi"/>
            <w:sz w:val="24"/>
            <w:szCs w:val="24"/>
          </w:rPr>
          <w:t>DiabetesontheNet</w:t>
        </w:r>
        <w:proofErr w:type="spellEnd"/>
      </w:hyperlink>
    </w:p>
    <w:p w14:paraId="4BD47AFA" w14:textId="372CDEB0" w:rsidR="007B7AB1" w:rsidRPr="00660ECD" w:rsidRDefault="00572420" w:rsidP="00660ECD">
      <w:pPr>
        <w:pStyle w:val="ListParagraph"/>
        <w:numPr>
          <w:ilvl w:val="0"/>
          <w:numId w:val="8"/>
        </w:numPr>
        <w:spacing w:after="100" w:afterAutospacing="1" w:line="360" w:lineRule="auto"/>
        <w:contextualSpacing w:val="0"/>
        <w:rPr>
          <w:rFonts w:cstheme="minorHAnsi"/>
          <w:sz w:val="24"/>
          <w:szCs w:val="24"/>
        </w:rPr>
      </w:pPr>
      <w:hyperlink r:id="rId10" w:anchor=":~:text=Patients%20with%20Parkinson%E2%80%99s%20are%20at%20risk%20of%20significant,prescribed%20time.%20Even%20short%20delays%20can%20worsen%20symptoms." w:history="1">
        <w:r w:rsidRPr="00660ECD">
          <w:rPr>
            <w:rStyle w:val="Hyperlink"/>
            <w:rFonts w:cstheme="minorHAnsi"/>
            <w:sz w:val="24"/>
            <w:szCs w:val="24"/>
          </w:rPr>
          <w:t xml:space="preserve">Time critical medication and Get It </w:t>
        </w:r>
        <w:proofErr w:type="gramStart"/>
        <w:r w:rsidRPr="00660ECD">
          <w:rPr>
            <w:rStyle w:val="Hyperlink"/>
            <w:rFonts w:cstheme="minorHAnsi"/>
            <w:sz w:val="24"/>
            <w:szCs w:val="24"/>
          </w:rPr>
          <w:t>On</w:t>
        </w:r>
        <w:proofErr w:type="gramEnd"/>
        <w:r w:rsidRPr="00660ECD">
          <w:rPr>
            <w:rStyle w:val="Hyperlink"/>
            <w:rFonts w:cstheme="minorHAnsi"/>
            <w:sz w:val="24"/>
            <w:szCs w:val="24"/>
          </w:rPr>
          <w:t xml:space="preserve"> Time campaign resources | Parkinson's UK</w:t>
        </w:r>
      </w:hyperlink>
    </w:p>
    <w:p w14:paraId="61CE6397" w14:textId="1B234F30" w:rsidR="007B7AB1" w:rsidRPr="00660ECD" w:rsidRDefault="00C53823" w:rsidP="00660ECD">
      <w:pPr>
        <w:pStyle w:val="ListParagraph"/>
        <w:numPr>
          <w:ilvl w:val="0"/>
          <w:numId w:val="8"/>
        </w:numPr>
        <w:spacing w:after="100" w:afterAutospacing="1" w:line="360" w:lineRule="auto"/>
        <w:contextualSpacing w:val="0"/>
        <w:rPr>
          <w:rFonts w:cstheme="minorHAnsi"/>
          <w:sz w:val="24"/>
          <w:szCs w:val="24"/>
        </w:rPr>
      </w:pPr>
      <w:hyperlink r:id="rId11" w:history="1">
        <w:r w:rsidRPr="00660ECD">
          <w:rPr>
            <w:rStyle w:val="Hyperlink"/>
            <w:rFonts w:cstheme="minorHAnsi"/>
            <w:sz w:val="24"/>
            <w:szCs w:val="24"/>
          </w:rPr>
          <w:t>MHRA drug safety updates</w:t>
        </w:r>
      </w:hyperlink>
    </w:p>
    <w:p w14:paraId="20F2F79C" w14:textId="77777777" w:rsidR="006A717D" w:rsidRDefault="006A717D" w:rsidP="00660ECD">
      <w:pPr>
        <w:pStyle w:val="Bibliography"/>
        <w:spacing w:after="100" w:afterAutospacing="1" w:line="360" w:lineRule="auto"/>
        <w:rPr>
          <w:rFonts w:cstheme="minorHAnsi"/>
          <w:b/>
          <w:bCs/>
          <w:sz w:val="24"/>
          <w:szCs w:val="24"/>
        </w:rPr>
      </w:pPr>
    </w:p>
    <w:p w14:paraId="02A0A3C6" w14:textId="03745524" w:rsidR="007B7AB1" w:rsidRPr="00660ECD" w:rsidRDefault="007B7AB1" w:rsidP="00660ECD">
      <w:pPr>
        <w:pStyle w:val="Bibliography"/>
        <w:spacing w:after="100" w:afterAutospacing="1" w:line="360" w:lineRule="auto"/>
        <w:rPr>
          <w:rFonts w:cstheme="minorHAnsi"/>
          <w:b/>
          <w:bCs/>
          <w:sz w:val="24"/>
          <w:szCs w:val="24"/>
        </w:rPr>
      </w:pPr>
      <w:r w:rsidRPr="00660ECD">
        <w:rPr>
          <w:rFonts w:cstheme="minorHAnsi"/>
          <w:b/>
          <w:bCs/>
          <w:sz w:val="24"/>
          <w:szCs w:val="24"/>
        </w:rPr>
        <w:lastRenderedPageBreak/>
        <w:t>References</w:t>
      </w:r>
    </w:p>
    <w:p w14:paraId="367CC608" w14:textId="77777777" w:rsidR="00EB6459" w:rsidRPr="00660ECD" w:rsidRDefault="007B7AB1" w:rsidP="00660ECD">
      <w:pPr>
        <w:pStyle w:val="Bibliography"/>
        <w:spacing w:after="100" w:afterAutospacing="1" w:line="360" w:lineRule="auto"/>
        <w:rPr>
          <w:rFonts w:cstheme="minorHAnsi"/>
          <w:sz w:val="24"/>
          <w:szCs w:val="24"/>
        </w:rPr>
      </w:pPr>
      <w:r w:rsidRPr="00660ECD">
        <w:rPr>
          <w:rFonts w:cstheme="minorHAnsi"/>
          <w:sz w:val="24"/>
          <w:szCs w:val="24"/>
        </w:rPr>
        <w:fldChar w:fldCharType="begin"/>
      </w:r>
      <w:r w:rsidR="00037E9F" w:rsidRPr="00660ECD">
        <w:rPr>
          <w:rFonts w:cstheme="minorHAnsi"/>
          <w:sz w:val="24"/>
          <w:szCs w:val="24"/>
        </w:rPr>
        <w:instrText xml:space="preserve"> ADDIN ZOTERO_BIBL {"uncited":[],"omitted":[],"custom":[]} CSL_BIBLIOGRAPHY </w:instrText>
      </w:r>
      <w:r w:rsidRPr="00660ECD">
        <w:rPr>
          <w:rFonts w:cstheme="minorHAnsi"/>
          <w:sz w:val="24"/>
          <w:szCs w:val="24"/>
        </w:rPr>
        <w:fldChar w:fldCharType="separate"/>
      </w:r>
      <w:r w:rsidR="00EB6459" w:rsidRPr="00660ECD">
        <w:rPr>
          <w:rFonts w:cstheme="minorHAnsi"/>
          <w:sz w:val="24"/>
          <w:szCs w:val="24"/>
        </w:rPr>
        <w:t>1.</w:t>
      </w:r>
      <w:r w:rsidR="00EB6459" w:rsidRPr="00660ECD">
        <w:rPr>
          <w:rFonts w:cstheme="minorHAnsi"/>
          <w:sz w:val="24"/>
          <w:szCs w:val="24"/>
        </w:rPr>
        <w:tab/>
        <w:t xml:space="preserve">Panagioti M, Khan K, Keers RN, Abuzour A, Phipps D, Kontopantelis E, et al. Prevalence, severity, and nature of preventable patient harm across medical care settings: systematic review and meta-analysis. BMJ. 2019 Jul 17;366:l4185. </w:t>
      </w:r>
    </w:p>
    <w:p w14:paraId="6BC604DC"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w:t>
      </w:r>
      <w:r w:rsidRPr="00660ECD">
        <w:rPr>
          <w:rFonts w:cstheme="minorHAnsi"/>
          <w:sz w:val="24"/>
          <w:szCs w:val="24"/>
        </w:rPr>
        <w:tab/>
        <w:t>England NHS. NHS England » Priority setting [Internet]. [cited 2025 May 14]. Available from: https://www.england.nhs.uk/patient-safety/patient-safety-insight/patient-safety-alerts/enduring-standards/informing-broader-local-safety-initiatives/priority-setting/</w:t>
      </w:r>
    </w:p>
    <w:p w14:paraId="26B5519A"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w:t>
      </w:r>
      <w:r w:rsidRPr="00660ECD">
        <w:rPr>
          <w:rFonts w:cstheme="minorHAnsi"/>
          <w:sz w:val="24"/>
          <w:szCs w:val="24"/>
        </w:rPr>
        <w:tab/>
        <w:t>Soon HC, Geppetti P, Lupi C, Kho BP. Medication Safety. In: Donaldson L, Ricciardi W, Sheridan S, Tartaglia R, editors. Textbook of Patient Safety and Clinical Risk Management [Internet]. Cham (CH): Springer; 2021 [cited 2025 Apr 9]. Available from: http://www.ncbi.nlm.nih.gov/books/NBK585602/</w:t>
      </w:r>
    </w:p>
    <w:p w14:paraId="15084728" w14:textId="298A1312"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w:t>
      </w:r>
      <w:r w:rsidRPr="00660ECD">
        <w:rPr>
          <w:rFonts w:cstheme="minorHAnsi"/>
          <w:sz w:val="24"/>
          <w:szCs w:val="24"/>
        </w:rPr>
        <w:tab/>
        <w:t>WHO</w:t>
      </w:r>
      <w:r w:rsidR="001E453D" w:rsidRPr="00660ECD">
        <w:rPr>
          <w:rFonts w:cstheme="minorHAnsi"/>
          <w:sz w:val="24"/>
          <w:szCs w:val="24"/>
        </w:rPr>
        <w:t>: Medication Safety in High-Risk Situations</w:t>
      </w:r>
      <w:r w:rsidRPr="00660ECD">
        <w:rPr>
          <w:rFonts w:cstheme="minorHAnsi"/>
          <w:sz w:val="24"/>
          <w:szCs w:val="24"/>
        </w:rPr>
        <w:t xml:space="preserve"> [Internet]. [cited 2025 Apr 9]. Available from: https://iris.who.int/bitstream/handle/10665/325131/WHO-UHC-SDS-2019.10-eng.pdf?sequence=1</w:t>
      </w:r>
    </w:p>
    <w:p w14:paraId="799E8492"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5.</w:t>
      </w:r>
      <w:r w:rsidRPr="00660ECD">
        <w:rPr>
          <w:rFonts w:cstheme="minorHAnsi"/>
          <w:sz w:val="24"/>
          <w:szCs w:val="24"/>
        </w:rPr>
        <w:tab/>
        <w:t>City and Hackney CCG [Internet]. [cited 2025 Apr 9]. Available from: https://gps.cityandhackneyccg.nhs.uk/cdn/serve/medicines-management-general/1547206152-86f46e2aa51ec4cabf28fb890f291d58.pdf</w:t>
      </w:r>
    </w:p>
    <w:p w14:paraId="5150DA56"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6.</w:t>
      </w:r>
      <w:r w:rsidRPr="00660ECD">
        <w:rPr>
          <w:rFonts w:cstheme="minorHAnsi"/>
          <w:sz w:val="24"/>
          <w:szCs w:val="24"/>
        </w:rPr>
        <w:tab/>
        <w:t xml:space="preserve">Alanazi MA, Tully MP, Lewis PJ. A systematic review of the prevalence and incidence of prescribing errors with high-risk medicines in hospitals. Journal of Clinical Pharmacy and Therapeutics. 2016;41(3):239–45. </w:t>
      </w:r>
    </w:p>
    <w:p w14:paraId="25D4F47A"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7.</w:t>
      </w:r>
      <w:r w:rsidRPr="00660ECD">
        <w:rPr>
          <w:rFonts w:cstheme="minorHAnsi"/>
          <w:sz w:val="24"/>
          <w:szCs w:val="24"/>
        </w:rPr>
        <w:tab/>
        <w:t>ECRI and ISMP [Internet]. [cited 2025 Apr 9]. High-Alert Medications in Acute Care Settings. Available from: https://home.ecri.org/blogs/ismp-resources/high-alert-medications-in-acute-care-settings</w:t>
      </w:r>
    </w:p>
    <w:p w14:paraId="75B3C0FD"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8.</w:t>
      </w:r>
      <w:r w:rsidRPr="00660ECD">
        <w:rPr>
          <w:rFonts w:cstheme="minorHAnsi"/>
          <w:sz w:val="24"/>
          <w:szCs w:val="24"/>
        </w:rPr>
        <w:tab/>
        <w:t xml:space="preserve">Medication Without Harm: Policy Brief. 1st ed. Geneva: World Health Organization; 2024. 1 p. </w:t>
      </w:r>
    </w:p>
    <w:p w14:paraId="0BFF8D7E"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lastRenderedPageBreak/>
        <w:t>9.</w:t>
      </w:r>
      <w:r w:rsidRPr="00660ECD">
        <w:rPr>
          <w:rFonts w:cstheme="minorHAnsi"/>
          <w:sz w:val="24"/>
          <w:szCs w:val="24"/>
        </w:rPr>
        <w:tab/>
        <w:t>SPS - Specialist Pharmacy Service [Internet]. 2024 [cited 2025 Apr 10]. Safe management of therapeutic drug monitoring. Available from: https://www.sps.nhs.uk/articles/safe-management-of-therapeutic-drug-monitoring/</w:t>
      </w:r>
    </w:p>
    <w:p w14:paraId="65E3DDAF"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10.</w:t>
      </w:r>
      <w:r w:rsidRPr="00660ECD">
        <w:rPr>
          <w:rFonts w:cstheme="minorHAnsi"/>
          <w:sz w:val="24"/>
          <w:szCs w:val="24"/>
        </w:rPr>
        <w:tab/>
        <w:t>Digoxin | Drugs | BNF content published by NICE [Internet]. [cited 2025 Apr 10]. Available from: https://bnf.nice.org.uk/drugs/digoxin/</w:t>
      </w:r>
    </w:p>
    <w:p w14:paraId="71BC6447"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11.</w:t>
      </w:r>
      <w:r w:rsidRPr="00660ECD">
        <w:rPr>
          <w:rFonts w:cstheme="minorHAnsi"/>
          <w:sz w:val="24"/>
          <w:szCs w:val="24"/>
        </w:rPr>
        <w:tab/>
        <w:t xml:space="preserve">Vamos M, Erath JW, Hohnloser SH. Digoxin-associated mortality: a systematic review and meta-analysis of the literature. European Heart Journal. 2015 Jul 21;36(28):1831–8. </w:t>
      </w:r>
    </w:p>
    <w:p w14:paraId="635FF299"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12.</w:t>
      </w:r>
      <w:r w:rsidRPr="00660ECD">
        <w:rPr>
          <w:rFonts w:cstheme="minorHAnsi"/>
          <w:sz w:val="24"/>
          <w:szCs w:val="24"/>
        </w:rPr>
        <w:tab/>
        <w:t>Digoxin | Prescribing information | Atrial fibrillation | CKS | NICE [Internet]. [cited 2025 Apr 10]. Available from: https://cks.nice.org.uk/topics/atrial-fibrillation/prescribing-information/digoxin/</w:t>
      </w:r>
    </w:p>
    <w:p w14:paraId="72EACCB1"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13.</w:t>
      </w:r>
      <w:r w:rsidRPr="00660ECD">
        <w:rPr>
          <w:rFonts w:cstheme="minorHAnsi"/>
          <w:sz w:val="24"/>
          <w:szCs w:val="24"/>
        </w:rPr>
        <w:tab/>
        <w:t>Patel K, Wright P. The Pharmaceutical Journal. 2023 [cited 2025 Apr 10]. Digoxin monitoring and toxicity management. Available from: https://pharmaceutical-journal.com/article/ld/digoxin-monitoring-and-toxicity-management</w:t>
      </w:r>
    </w:p>
    <w:p w14:paraId="34BB9ED5"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14.</w:t>
      </w:r>
      <w:r w:rsidRPr="00660ECD">
        <w:rPr>
          <w:rFonts w:cstheme="minorHAnsi"/>
          <w:sz w:val="24"/>
          <w:szCs w:val="24"/>
        </w:rPr>
        <w:tab/>
        <w:t>NPSA. Alerts [Internet]. [cited 2025 Apr 10]. Available from: https://webarchive.nationalarchives.gov.uk/ukgwa/20180501163555mp_/http://www.nrls.npsa.nhs.uk/resources/type/alerts/?entryid45=65426%26p=2</w:t>
      </w:r>
    </w:p>
    <w:p w14:paraId="1CC92706"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15.</w:t>
      </w:r>
      <w:r w:rsidRPr="00660ECD">
        <w:rPr>
          <w:rFonts w:cstheme="minorHAnsi"/>
          <w:sz w:val="24"/>
          <w:szCs w:val="24"/>
        </w:rPr>
        <w:tab/>
        <w:t>Lithium carbonate | Drugs | BNF content published by NICE [Internet]. [cited 2025 Apr 10]. Available from: https://bnf.nice.org.uk/drugs/lithium-carbonate/</w:t>
      </w:r>
    </w:p>
    <w:p w14:paraId="6BEADC41"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16.</w:t>
      </w:r>
      <w:r w:rsidRPr="00660ECD">
        <w:rPr>
          <w:rFonts w:cstheme="minorHAnsi"/>
          <w:sz w:val="24"/>
          <w:szCs w:val="24"/>
        </w:rPr>
        <w:tab/>
        <w:t>Godden H. The Pharmaceutical Journal. 2024 [cited 2025 Apr 10]. Lithium monitoring and toxicity management. Available from: https://pharmaceutical-journal.com/article/ld/lithium-monitoring-and-toxicity-management</w:t>
      </w:r>
    </w:p>
    <w:p w14:paraId="2C10A9F8"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17.</w:t>
      </w:r>
      <w:r w:rsidRPr="00660ECD">
        <w:rPr>
          <w:rFonts w:cstheme="minorHAnsi"/>
          <w:sz w:val="24"/>
          <w:szCs w:val="24"/>
        </w:rPr>
        <w:tab/>
        <w:t>Lithium | Prescribing information | Bipolar disorder | CKS | NICE [Internet]. [cited 2025 Apr 10]. Available from: https://cks.nice.org.uk/topics/bipolar-disorder/prescribing-information/lithium/</w:t>
      </w:r>
    </w:p>
    <w:p w14:paraId="1655486B"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lastRenderedPageBreak/>
        <w:t>18.</w:t>
      </w:r>
      <w:r w:rsidRPr="00660ECD">
        <w:rPr>
          <w:rFonts w:cstheme="minorHAnsi"/>
          <w:sz w:val="24"/>
          <w:szCs w:val="24"/>
        </w:rPr>
        <w:tab/>
        <w:t>Therapeutic drug monitoring.pdf [Internet]. [cited 2025 May 14]. Available from: https://www.nhstaysideadtc.scot.nhs.uk/TAPG%20html/Section%2017/Therapeutic%20drug%20monitoring.pdf</w:t>
      </w:r>
    </w:p>
    <w:p w14:paraId="60C7E29F"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19.</w:t>
      </w:r>
      <w:r w:rsidRPr="00660ECD">
        <w:rPr>
          <w:rFonts w:cstheme="minorHAnsi"/>
          <w:sz w:val="24"/>
          <w:szCs w:val="24"/>
        </w:rPr>
        <w:tab/>
        <w:t>Guidance_on_adverse_drug_reactions.pdf [Internet]. [cited 2025 Apr 28]. Available from: https://assets.publishing.service.gov.uk/government/uploads/system/uploads/attachment_data/file/949130/Guidance_on_adverse_drug_reactions.pdf</w:t>
      </w:r>
    </w:p>
    <w:p w14:paraId="6F4DDEFA"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20.</w:t>
      </w:r>
      <w:r w:rsidRPr="00660ECD">
        <w:rPr>
          <w:rFonts w:cstheme="minorHAnsi"/>
          <w:sz w:val="24"/>
          <w:szCs w:val="24"/>
        </w:rPr>
        <w:tab/>
        <w:t>Side effects of opioids | Faculty of Pain Medicine [Internet]. [cited 2025 Apr 29]. Available from: https://fpm.ac.uk/opioids-aware-clinical-use-opioids/side-effects-opioids</w:t>
      </w:r>
    </w:p>
    <w:p w14:paraId="19700845"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21.</w:t>
      </w:r>
      <w:r w:rsidRPr="00660ECD">
        <w:rPr>
          <w:rFonts w:cstheme="minorHAnsi"/>
          <w:sz w:val="24"/>
          <w:szCs w:val="24"/>
        </w:rPr>
        <w:tab/>
        <w:t>Oral anticoagulants | Treatment summaries | BNF content published by NICE [Internet]. [cited 2025 Apr 29]. Available from: https://bnf.nice.org.uk/treatment-summaries/oral-anticoagulants/</w:t>
      </w:r>
    </w:p>
    <w:p w14:paraId="79FA04D2"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22.</w:t>
      </w:r>
      <w:r w:rsidRPr="00660ECD">
        <w:rPr>
          <w:rFonts w:cstheme="minorHAnsi"/>
          <w:sz w:val="24"/>
          <w:szCs w:val="24"/>
        </w:rPr>
        <w:tab/>
        <w:t xml:space="preserve">Connell WR, Kamm MA, Ritchie JK, Lennard-Jones JE. Bone marrow toxicity caused by azathioprine in inflammatory bowel disease: 27 years of experience. Gut. 1993 Aug 1;34(8):1081–5. </w:t>
      </w:r>
    </w:p>
    <w:p w14:paraId="0797F09E"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23.</w:t>
      </w:r>
      <w:r w:rsidRPr="00660ECD">
        <w:rPr>
          <w:rFonts w:cstheme="minorHAnsi"/>
          <w:sz w:val="24"/>
          <w:szCs w:val="24"/>
        </w:rPr>
        <w:tab/>
        <w:t xml:space="preserve">Warner B, Johnston E, Arenas-Hernandez M, Marinaki A, Irving P, Sanderson J. A practical guide to thiopurine prescribing and monitoring in IBD. Frontline Gastroenterol. 2018 Jan;9(1):10–5. </w:t>
      </w:r>
    </w:p>
    <w:p w14:paraId="6AF6887B"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24.</w:t>
      </w:r>
      <w:r w:rsidRPr="00660ECD">
        <w:rPr>
          <w:rFonts w:cstheme="minorHAnsi"/>
          <w:sz w:val="24"/>
          <w:szCs w:val="24"/>
        </w:rPr>
        <w:tab/>
        <w:t>SPS - Specialist Pharmacy Service [Internet]. 2021 [cited 2025 Apr 29]. Azathioprine monitoring. Available from: https://www.sps.nhs.uk/monitorings/azathioprine-monitoring/</w:t>
      </w:r>
    </w:p>
    <w:p w14:paraId="0EDEC189"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25.</w:t>
      </w:r>
      <w:r w:rsidRPr="00660ECD">
        <w:rPr>
          <w:rFonts w:cstheme="minorHAnsi"/>
          <w:sz w:val="24"/>
          <w:szCs w:val="24"/>
        </w:rPr>
        <w:tab/>
        <w:t>GOV.UK [Internet]. [cited 2025 Apr 29]. Fluoroquinolone antibiotics: new restrictions and precautions for use due to very rare reports of disabling and potentially long-lasting or irreversible side effects. Available from: https://www.gov.uk/drug-safety-update/fluoroquinolone-antibiotics-new-restrictions-and-precautions-for-use-due-to-very-rare-reports-of-disabling-and-potentially-long-lasting-or-irreversible-side-effects</w:t>
      </w:r>
    </w:p>
    <w:p w14:paraId="12B35926"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lastRenderedPageBreak/>
        <w:t>26.</w:t>
      </w:r>
      <w:r w:rsidRPr="00660ECD">
        <w:rPr>
          <w:rFonts w:cstheme="minorHAnsi"/>
          <w:sz w:val="24"/>
          <w:szCs w:val="24"/>
        </w:rPr>
        <w:tab/>
        <w:t>GOV.UK [Internet]. [cited 2025 May 14]. Fluoroquinolone antibiotics: new restrictions and precautions for use due to very rare reports of disabling and potentially long-lasting or irreversible side effects. Available from: https://www.gov.uk/drug-safety-update/fluoroquinolone-antibiotics-new-restrictions-and-precautions-for-use-due-to-very-rare-reports-of-disabling-and-potentially-long-lasting-or-irreversible-side-effects</w:t>
      </w:r>
    </w:p>
    <w:p w14:paraId="056FB903"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27.</w:t>
      </w:r>
      <w:r w:rsidRPr="00660ECD">
        <w:rPr>
          <w:rFonts w:cstheme="minorHAnsi"/>
          <w:sz w:val="24"/>
          <w:szCs w:val="24"/>
        </w:rPr>
        <w:tab/>
        <w:t>England NHS. NHS England » Shared Care Protocols (SCPs) [Internet]. 2022 [cited 2025 Jun 11]. Available from: https://www.england.nhs.uk/publication/shared-care-protocols/</w:t>
      </w:r>
    </w:p>
    <w:p w14:paraId="2A195007"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28.</w:t>
      </w:r>
      <w:r w:rsidRPr="00660ECD">
        <w:rPr>
          <w:rFonts w:cstheme="minorHAnsi"/>
          <w:sz w:val="24"/>
          <w:szCs w:val="24"/>
        </w:rPr>
        <w:tab/>
        <w:t>Dixon M, Dada C. How clozapine patients can be monitored safely and effectively [Internet]. The Pharmaceutical Journal. 2014 [cited 2025 Jun 11]. Available from: https://pharmaceutical-journal.com/article/ld/how-clozapine-patients-can-be-monitored-safely-and-effectively</w:t>
      </w:r>
    </w:p>
    <w:p w14:paraId="281FEF44"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29.</w:t>
      </w:r>
      <w:r w:rsidRPr="00660ECD">
        <w:rPr>
          <w:rFonts w:cstheme="minorHAnsi"/>
          <w:sz w:val="24"/>
          <w:szCs w:val="24"/>
        </w:rPr>
        <w:tab/>
        <w:t>SPS - Specialist Pharmacy Service [Internet]. 2024 [cited 2025 Jun 11]. Managing the risks associated with patients prescribed clozapine. Available from: https://www.sps.nhs.uk/articles/managing-the-risks-associated-with-patients-prescribed-clozapine/</w:t>
      </w:r>
    </w:p>
    <w:p w14:paraId="6C2ACB8F"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30.</w:t>
      </w:r>
      <w:r w:rsidRPr="00660ECD">
        <w:rPr>
          <w:rFonts w:cstheme="minorHAnsi"/>
          <w:sz w:val="24"/>
          <w:szCs w:val="24"/>
        </w:rPr>
        <w:tab/>
        <w:t>SPS - Specialist Pharmacy Service [Internet]. 2021 [cited 2025 Jun 11]. Medicines Monitoring. Available from: https://www.sps.nhs.uk/home/tools/drug-monitoring/</w:t>
      </w:r>
    </w:p>
    <w:p w14:paraId="40D00E35"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31.</w:t>
      </w:r>
      <w:r w:rsidRPr="00660ECD">
        <w:rPr>
          <w:rFonts w:cstheme="minorHAnsi"/>
          <w:sz w:val="24"/>
          <w:szCs w:val="24"/>
        </w:rPr>
        <w:tab/>
        <w:t>Interactions A to Z | BNF content published by NICE [Internet]. [cited 2025 Jun 11]. Available from: https://bnf.nice.org.uk/interactions/</w:t>
      </w:r>
    </w:p>
    <w:p w14:paraId="08BDD868"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32.</w:t>
      </w:r>
      <w:r w:rsidRPr="00660ECD">
        <w:rPr>
          <w:rFonts w:cstheme="minorHAnsi"/>
          <w:sz w:val="24"/>
          <w:szCs w:val="24"/>
        </w:rPr>
        <w:tab/>
        <w:t>Methotrexate | Interactions | BNF content published by NICE [Internet]. [cited 2025 Jun 11]. Available from: https://bnf.nice.org.uk/interactions/methotrexate/</w:t>
      </w:r>
    </w:p>
    <w:p w14:paraId="7623B664"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33.</w:t>
      </w:r>
      <w:r w:rsidRPr="00660ECD">
        <w:rPr>
          <w:rFonts w:cstheme="minorHAnsi"/>
          <w:sz w:val="24"/>
          <w:szCs w:val="24"/>
        </w:rPr>
        <w:tab/>
        <w:t>SPS - Specialist Pharmacy Service [Internet]. 2023 [cited 2025 Jun 11]. Identifying risk factors for developing a long QT interval. Available from: https://www.sps.nhs.uk/articles/identifying-risk-factors-for-developing-a-long-qt-interval/</w:t>
      </w:r>
    </w:p>
    <w:p w14:paraId="53190566"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lastRenderedPageBreak/>
        <w:t>34.</w:t>
      </w:r>
      <w:r w:rsidRPr="00660ECD">
        <w:rPr>
          <w:rFonts w:cstheme="minorHAnsi"/>
          <w:sz w:val="24"/>
          <w:szCs w:val="24"/>
        </w:rPr>
        <w:tab/>
        <w:t>Ryan J, Patel J, Lucas CJ, Ryan JHM author J. Tobacco smoking and its potential drug interactions [Internet]. The Pharmaceutical Journal. 2019 [cited 2025 Jun 11]. Available from: https://pharmaceutical-journal.com/article/ld/tobacco-smoking-and-its-potential-drug-interactions</w:t>
      </w:r>
    </w:p>
    <w:p w14:paraId="01F109A1"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35.</w:t>
      </w:r>
      <w:r w:rsidRPr="00660ECD">
        <w:rPr>
          <w:rFonts w:cstheme="minorHAnsi"/>
          <w:sz w:val="24"/>
          <w:szCs w:val="24"/>
        </w:rPr>
        <w:tab/>
        <w:t>GOV.UK [Internet]. [cited 2025 Jun 11]. Clozapine and other antipsychotics: monitoring blood concentrations for toxicity. Available from: https://www.gov.uk/drug-safety-update/clozapine-and-other-antipsychotics-monitoring-blood-concentrations-for-toxicity</w:t>
      </w:r>
    </w:p>
    <w:p w14:paraId="170B045D"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36.</w:t>
      </w:r>
      <w:r w:rsidRPr="00660ECD">
        <w:rPr>
          <w:rFonts w:cstheme="minorHAnsi"/>
          <w:sz w:val="24"/>
          <w:szCs w:val="24"/>
        </w:rPr>
        <w:tab/>
        <w:t xml:space="preserve">Medicines associated with dependence or withdrawal symptoms: safe prescribing and withdrawal management for adults. </w:t>
      </w:r>
    </w:p>
    <w:p w14:paraId="1CB310F9"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37.</w:t>
      </w:r>
      <w:r w:rsidRPr="00660ECD">
        <w:rPr>
          <w:rFonts w:cstheme="minorHAnsi"/>
          <w:sz w:val="24"/>
          <w:szCs w:val="24"/>
        </w:rPr>
        <w:tab/>
        <w:t xml:space="preserve">Simpson H, Tomlinson J, Wass J, Dean J, Arlt W. Guidance for the prevention and emergency management of adult patients with adrenal insufficiency. Clin Med (Lond). 2020 Jul;20(4):371–8. </w:t>
      </w:r>
    </w:p>
    <w:p w14:paraId="1C9ED8E1"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38.</w:t>
      </w:r>
      <w:r w:rsidRPr="00660ECD">
        <w:rPr>
          <w:rFonts w:cstheme="minorHAnsi"/>
          <w:sz w:val="24"/>
          <w:szCs w:val="24"/>
        </w:rPr>
        <w:tab/>
        <w:t>England NHS. NHS England » National Patient Safety Alert – Steroid Emergency Card to support early recognition and treatment of adrenal crisis in adults [Internet]. 2020 [cited 2025 May 14]. Available from: https://www.england.nhs.uk/publication/national-patient-safety-alert-steroid-emergency-card-to-support-early-recognition-and-treatment-of-adrenal-crisis-in-adults/</w:t>
      </w:r>
    </w:p>
    <w:p w14:paraId="14F300F7"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39.</w:t>
      </w:r>
      <w:r w:rsidRPr="00660ECD">
        <w:rPr>
          <w:rFonts w:cstheme="minorHAnsi"/>
          <w:sz w:val="24"/>
          <w:szCs w:val="24"/>
        </w:rPr>
        <w:tab/>
        <w:t xml:space="preserve">Chandran CJS. Malignant syndrome in Parkinson’s disease without dopaminergic drug withdrawal. Ann Indian Acad Neurol. 2008;11(4):248–50. </w:t>
      </w:r>
    </w:p>
    <w:p w14:paraId="4978B34F"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40.</w:t>
      </w:r>
      <w:r w:rsidRPr="00660ECD">
        <w:rPr>
          <w:rFonts w:cstheme="minorHAnsi"/>
          <w:sz w:val="24"/>
          <w:szCs w:val="24"/>
        </w:rPr>
        <w:tab/>
        <w:t xml:space="preserve">Simonet C, Tolosa E, Camara A, Valldeoriola F. Emergencies and critical issues in Parkinson’s disease. Practical Neurology. 2020 Feb 1;20(1):15–25. </w:t>
      </w:r>
    </w:p>
    <w:p w14:paraId="3683C4A7"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41.</w:t>
      </w:r>
      <w:r w:rsidRPr="00660ECD">
        <w:rPr>
          <w:rFonts w:cstheme="minorHAnsi"/>
          <w:sz w:val="24"/>
          <w:szCs w:val="24"/>
        </w:rPr>
        <w:tab/>
        <w:t>SPS - Specialist Pharmacy Service [Internet]. 2022 [cited 2025 May 14]. Parkinson’s disease medicines in swallowing difficulties. Available from: https://www.sps.nhs.uk/articles/parkinsons-disease-medicines-in-swallowing-difficulties/</w:t>
      </w:r>
    </w:p>
    <w:p w14:paraId="781C042B"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lastRenderedPageBreak/>
        <w:t>42.</w:t>
      </w:r>
      <w:r w:rsidRPr="00660ECD">
        <w:rPr>
          <w:rFonts w:cstheme="minorHAnsi"/>
          <w:sz w:val="24"/>
          <w:szCs w:val="24"/>
        </w:rPr>
        <w:tab/>
        <w:t>Scenario: Management | Management | Opioid dependence | CKS | NICE [Internet]. [cited 2025 May 14]. Available from: https://cks.nice.org.uk/topics/opioid-dependence/management/management/</w:t>
      </w:r>
    </w:p>
    <w:p w14:paraId="65D8ED17"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43.</w:t>
      </w:r>
      <w:r w:rsidRPr="00660ECD">
        <w:rPr>
          <w:rFonts w:cstheme="minorHAnsi"/>
          <w:sz w:val="24"/>
          <w:szCs w:val="24"/>
        </w:rPr>
        <w:tab/>
        <w:t>Time sensitive medicines - Care Quality Commission [Internet]. [cited 2025 May 14]. Available from: https://www.cqc.org.uk/guidance-providers/adult-social-care/time-sensitive-medicines</w:t>
      </w:r>
    </w:p>
    <w:p w14:paraId="4E0C74C7"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44.</w:t>
      </w:r>
      <w:r w:rsidRPr="00660ECD">
        <w:rPr>
          <w:rFonts w:cstheme="minorHAnsi"/>
          <w:sz w:val="24"/>
          <w:szCs w:val="24"/>
        </w:rPr>
        <w:tab/>
        <w:t>Know Diabetes [Internet]. [cited 2025 May 14]. Insulin regimes. Available from: https://www.knowdiabetes.org.uk/know-more/type-1-diabetes/insulin/insulin-regimes/</w:t>
      </w:r>
    </w:p>
    <w:p w14:paraId="4EE8E5EF"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45.</w:t>
      </w:r>
      <w:r w:rsidRPr="00660ECD">
        <w:rPr>
          <w:rFonts w:cstheme="minorHAnsi"/>
          <w:sz w:val="24"/>
          <w:szCs w:val="24"/>
        </w:rPr>
        <w:tab/>
        <w:t>“The Six Steps to Insulin Safety”, a free e-learning module from the PCDS - DiabetesontheNet [Internet]. 2022 [cited 2025 May 14]. Available from: https://diabetesonthenet.com/diabetes-news/six-steps-to-insulin-safety-e-learning-module/</w:t>
      </w:r>
    </w:p>
    <w:p w14:paraId="57C9F463"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46.</w:t>
      </w:r>
      <w:r w:rsidRPr="00660ECD">
        <w:rPr>
          <w:rFonts w:cstheme="minorHAnsi"/>
          <w:sz w:val="24"/>
          <w:szCs w:val="24"/>
        </w:rPr>
        <w:tab/>
        <w:t>Parkinson’s UK [Internet]. 2025 [cited 2025 May 14]. Time critical medication and Get It On Time campaign resources. Available from: https://www.parkinsons.org.uk/professionals/resources/time-critical-medication-and-get-it-time-campaign-resources</w:t>
      </w:r>
    </w:p>
    <w:p w14:paraId="79B16FC0"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47.</w:t>
      </w:r>
      <w:r w:rsidRPr="00660ECD">
        <w:rPr>
          <w:rFonts w:cstheme="minorHAnsi"/>
          <w:sz w:val="24"/>
          <w:szCs w:val="24"/>
        </w:rPr>
        <w:tab/>
        <w:t>Parkinson’s UK [Internet]. [cited 2025 May 14]. Get It On Time. Available from: https://www.parkinsons.org.uk/get-involved/get-it-time</w:t>
      </w:r>
    </w:p>
    <w:p w14:paraId="27190745"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48.</w:t>
      </w:r>
      <w:r w:rsidRPr="00660ECD">
        <w:rPr>
          <w:rFonts w:cstheme="minorHAnsi"/>
          <w:sz w:val="24"/>
          <w:szCs w:val="24"/>
        </w:rPr>
        <w:tab/>
        <w:t>GOV.UK [Internet]. [cited 2025 Jun 11]. Methotrexate once-weekly for autoimmune diseases: new measures to reduce risk of fatal overdose due to inadvertent daily instead of weekly dosing. Available from: https://www.gov.uk/drug-safety-update/methotrexate-once-weekly-for-autoimmune-diseases-new-measures-to-reduce-risk-of-fatal-overdose-due-to-inadvertent-daily-instead-of-weekly-dosing</w:t>
      </w:r>
    </w:p>
    <w:p w14:paraId="0638B8EA"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49.</w:t>
      </w:r>
      <w:r w:rsidRPr="00660ECD">
        <w:rPr>
          <w:rFonts w:cstheme="minorHAnsi"/>
          <w:sz w:val="24"/>
          <w:szCs w:val="24"/>
        </w:rPr>
        <w:tab/>
        <w:t>SPS - Specialist Pharmacy Service [Internet]. 2025 [cited 2025 Jun 11]. Developing insulin safety across a system. Available from: https://www.sps.nhs.uk/articles/developing-insulin-safety-across-a-system/</w:t>
      </w:r>
    </w:p>
    <w:p w14:paraId="491A8A20"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lastRenderedPageBreak/>
        <w:t>50.</w:t>
      </w:r>
      <w:r w:rsidRPr="00660ECD">
        <w:rPr>
          <w:rFonts w:cstheme="minorHAnsi"/>
          <w:sz w:val="24"/>
          <w:szCs w:val="24"/>
        </w:rPr>
        <w:tab/>
        <w:t xml:space="preserve">Avery AJ, Sheehan C, Bell B, Armstrong S, Ashcroft DM, Boyd MJ, et al. Incidence, nature and causes of avoidable significant harm in primary care in England: retrospective case note review. BMJ Qual Saf. 2021 Dec 1;30(12):961–76. </w:t>
      </w:r>
    </w:p>
    <w:p w14:paraId="1A31D268" w14:textId="77777777" w:rsidR="00EB6459" w:rsidRPr="00660ECD" w:rsidRDefault="00EB6459" w:rsidP="00660ECD">
      <w:pPr>
        <w:pStyle w:val="Bibliography"/>
        <w:spacing w:after="100" w:afterAutospacing="1" w:line="360" w:lineRule="auto"/>
        <w:rPr>
          <w:rFonts w:cstheme="minorHAnsi"/>
          <w:sz w:val="24"/>
          <w:szCs w:val="24"/>
        </w:rPr>
      </w:pPr>
      <w:r w:rsidRPr="00660ECD">
        <w:rPr>
          <w:rFonts w:cstheme="minorHAnsi"/>
          <w:sz w:val="24"/>
          <w:szCs w:val="24"/>
        </w:rPr>
        <w:t>51.</w:t>
      </w:r>
      <w:r w:rsidRPr="00660ECD">
        <w:rPr>
          <w:rFonts w:cstheme="minorHAnsi"/>
          <w:sz w:val="24"/>
          <w:szCs w:val="24"/>
        </w:rPr>
        <w:tab/>
        <w:t>Coon R, Holden K. Understanding human factors in patient safety when prescribing [Internet]. The Pharmaceutical Journal. 2024 [cited 2025 May 14]. Available from: https://pharmaceutical-journal.com/article/ld/understanding-human-factors-in-patient-safety-when-prescribing</w:t>
      </w:r>
    </w:p>
    <w:p w14:paraId="109D3509" w14:textId="1995D688" w:rsidR="007B7AB1" w:rsidRPr="00660ECD" w:rsidRDefault="007B7AB1" w:rsidP="00660ECD">
      <w:pPr>
        <w:spacing w:after="100" w:afterAutospacing="1" w:line="360" w:lineRule="auto"/>
        <w:rPr>
          <w:rFonts w:cstheme="minorHAnsi"/>
          <w:sz w:val="24"/>
          <w:szCs w:val="24"/>
        </w:rPr>
      </w:pPr>
      <w:r w:rsidRPr="00660ECD">
        <w:rPr>
          <w:rFonts w:cstheme="minorHAnsi"/>
          <w:sz w:val="24"/>
          <w:szCs w:val="24"/>
        </w:rPr>
        <w:fldChar w:fldCharType="end"/>
      </w:r>
    </w:p>
    <w:sectPr w:rsidR="007B7AB1" w:rsidRPr="00660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C7FF4"/>
    <w:multiLevelType w:val="hybridMultilevel"/>
    <w:tmpl w:val="1292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F3BCA"/>
    <w:multiLevelType w:val="hybridMultilevel"/>
    <w:tmpl w:val="0392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D506A"/>
    <w:multiLevelType w:val="hybridMultilevel"/>
    <w:tmpl w:val="5284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50B2"/>
    <w:multiLevelType w:val="hybridMultilevel"/>
    <w:tmpl w:val="102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66CB1"/>
    <w:multiLevelType w:val="hybridMultilevel"/>
    <w:tmpl w:val="0154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82FEB"/>
    <w:multiLevelType w:val="hybridMultilevel"/>
    <w:tmpl w:val="DF4E57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D4091E"/>
    <w:multiLevelType w:val="hybridMultilevel"/>
    <w:tmpl w:val="C36E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B4B1E"/>
    <w:multiLevelType w:val="hybridMultilevel"/>
    <w:tmpl w:val="E94C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C3985"/>
    <w:multiLevelType w:val="hybridMultilevel"/>
    <w:tmpl w:val="D23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402D6"/>
    <w:multiLevelType w:val="hybridMultilevel"/>
    <w:tmpl w:val="0D08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984460">
    <w:abstractNumId w:val="1"/>
  </w:num>
  <w:num w:numId="2" w16cid:durableId="526800593">
    <w:abstractNumId w:val="8"/>
  </w:num>
  <w:num w:numId="3" w16cid:durableId="1133786658">
    <w:abstractNumId w:val="9"/>
  </w:num>
  <w:num w:numId="4" w16cid:durableId="1300771543">
    <w:abstractNumId w:val="0"/>
  </w:num>
  <w:num w:numId="5" w16cid:durableId="1154756756">
    <w:abstractNumId w:val="6"/>
  </w:num>
  <w:num w:numId="6" w16cid:durableId="503470694">
    <w:abstractNumId w:val="5"/>
  </w:num>
  <w:num w:numId="7" w16cid:durableId="1856187189">
    <w:abstractNumId w:val="7"/>
  </w:num>
  <w:num w:numId="8" w16cid:durableId="806362647">
    <w:abstractNumId w:val="3"/>
  </w:num>
  <w:num w:numId="9" w16cid:durableId="1992714854">
    <w:abstractNumId w:val="2"/>
  </w:num>
  <w:num w:numId="10" w16cid:durableId="1485929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40"/>
    <w:rsid w:val="00001D52"/>
    <w:rsid w:val="00004C95"/>
    <w:rsid w:val="000107F5"/>
    <w:rsid w:val="00010CF1"/>
    <w:rsid w:val="000134EB"/>
    <w:rsid w:val="000144F1"/>
    <w:rsid w:val="0001577D"/>
    <w:rsid w:val="00015AA6"/>
    <w:rsid w:val="000203D3"/>
    <w:rsid w:val="000226DE"/>
    <w:rsid w:val="00023B11"/>
    <w:rsid w:val="00026239"/>
    <w:rsid w:val="00030C5A"/>
    <w:rsid w:val="00030E42"/>
    <w:rsid w:val="000371AD"/>
    <w:rsid w:val="00037666"/>
    <w:rsid w:val="00037E9F"/>
    <w:rsid w:val="00040EFB"/>
    <w:rsid w:val="00041193"/>
    <w:rsid w:val="000431D1"/>
    <w:rsid w:val="000441BD"/>
    <w:rsid w:val="0004465A"/>
    <w:rsid w:val="00051175"/>
    <w:rsid w:val="0005151A"/>
    <w:rsid w:val="00052078"/>
    <w:rsid w:val="00053B00"/>
    <w:rsid w:val="00053F3D"/>
    <w:rsid w:val="00061424"/>
    <w:rsid w:val="000648A5"/>
    <w:rsid w:val="00066D0F"/>
    <w:rsid w:val="000803BA"/>
    <w:rsid w:val="00086506"/>
    <w:rsid w:val="000876C9"/>
    <w:rsid w:val="0009380C"/>
    <w:rsid w:val="000951A0"/>
    <w:rsid w:val="00095242"/>
    <w:rsid w:val="000A07F3"/>
    <w:rsid w:val="000A0D40"/>
    <w:rsid w:val="000A1D7B"/>
    <w:rsid w:val="000A5092"/>
    <w:rsid w:val="000B2A25"/>
    <w:rsid w:val="000B7608"/>
    <w:rsid w:val="000C0332"/>
    <w:rsid w:val="000C0FF1"/>
    <w:rsid w:val="000C3D72"/>
    <w:rsid w:val="000C45AF"/>
    <w:rsid w:val="000D199C"/>
    <w:rsid w:val="000D2213"/>
    <w:rsid w:val="000D2A57"/>
    <w:rsid w:val="000D52CE"/>
    <w:rsid w:val="000D59C4"/>
    <w:rsid w:val="000D5D7B"/>
    <w:rsid w:val="000D6128"/>
    <w:rsid w:val="000D664F"/>
    <w:rsid w:val="000E013F"/>
    <w:rsid w:val="000E271B"/>
    <w:rsid w:val="000E4D38"/>
    <w:rsid w:val="000E5CE0"/>
    <w:rsid w:val="000F1165"/>
    <w:rsid w:val="000F7675"/>
    <w:rsid w:val="001000B8"/>
    <w:rsid w:val="001033B2"/>
    <w:rsid w:val="00103B16"/>
    <w:rsid w:val="00104722"/>
    <w:rsid w:val="001060DD"/>
    <w:rsid w:val="001076EF"/>
    <w:rsid w:val="001114FD"/>
    <w:rsid w:val="00113D12"/>
    <w:rsid w:val="00113D52"/>
    <w:rsid w:val="001150D6"/>
    <w:rsid w:val="001152DC"/>
    <w:rsid w:val="00116B86"/>
    <w:rsid w:val="00133592"/>
    <w:rsid w:val="00133E69"/>
    <w:rsid w:val="00134CCF"/>
    <w:rsid w:val="00140197"/>
    <w:rsid w:val="001425EB"/>
    <w:rsid w:val="00147E14"/>
    <w:rsid w:val="0015000B"/>
    <w:rsid w:val="00154C35"/>
    <w:rsid w:val="00160116"/>
    <w:rsid w:val="001638B9"/>
    <w:rsid w:val="0016659E"/>
    <w:rsid w:val="00171CE6"/>
    <w:rsid w:val="001749E9"/>
    <w:rsid w:val="001778C0"/>
    <w:rsid w:val="001778C6"/>
    <w:rsid w:val="001844C1"/>
    <w:rsid w:val="00184C23"/>
    <w:rsid w:val="001857A8"/>
    <w:rsid w:val="00186949"/>
    <w:rsid w:val="001912AE"/>
    <w:rsid w:val="001962FC"/>
    <w:rsid w:val="00197C5C"/>
    <w:rsid w:val="001A03D4"/>
    <w:rsid w:val="001A16CC"/>
    <w:rsid w:val="001A26BF"/>
    <w:rsid w:val="001A6FC4"/>
    <w:rsid w:val="001B55C5"/>
    <w:rsid w:val="001B7181"/>
    <w:rsid w:val="001C14D0"/>
    <w:rsid w:val="001C1A2A"/>
    <w:rsid w:val="001C1B8F"/>
    <w:rsid w:val="001C570F"/>
    <w:rsid w:val="001D21B4"/>
    <w:rsid w:val="001E1442"/>
    <w:rsid w:val="001E453D"/>
    <w:rsid w:val="001E5805"/>
    <w:rsid w:val="001E5D3A"/>
    <w:rsid w:val="001F1640"/>
    <w:rsid w:val="00204B25"/>
    <w:rsid w:val="00207E8F"/>
    <w:rsid w:val="00210FD3"/>
    <w:rsid w:val="002136F3"/>
    <w:rsid w:val="002137E9"/>
    <w:rsid w:val="0022498C"/>
    <w:rsid w:val="002254D2"/>
    <w:rsid w:val="00234C10"/>
    <w:rsid w:val="002360C0"/>
    <w:rsid w:val="0023685C"/>
    <w:rsid w:val="00237F6E"/>
    <w:rsid w:val="002430F0"/>
    <w:rsid w:val="0024475F"/>
    <w:rsid w:val="00250E88"/>
    <w:rsid w:val="0025706B"/>
    <w:rsid w:val="00263A8A"/>
    <w:rsid w:val="00273A3C"/>
    <w:rsid w:val="00275479"/>
    <w:rsid w:val="00276DA6"/>
    <w:rsid w:val="0028060F"/>
    <w:rsid w:val="00281A43"/>
    <w:rsid w:val="00281F18"/>
    <w:rsid w:val="00282976"/>
    <w:rsid w:val="002829D4"/>
    <w:rsid w:val="002916FF"/>
    <w:rsid w:val="00291D95"/>
    <w:rsid w:val="00295E68"/>
    <w:rsid w:val="0029640D"/>
    <w:rsid w:val="002A1CFA"/>
    <w:rsid w:val="002A38D6"/>
    <w:rsid w:val="002A4436"/>
    <w:rsid w:val="002B08DB"/>
    <w:rsid w:val="002B2C8E"/>
    <w:rsid w:val="002B48AC"/>
    <w:rsid w:val="002B5072"/>
    <w:rsid w:val="002B6CE7"/>
    <w:rsid w:val="002C000C"/>
    <w:rsid w:val="002C3497"/>
    <w:rsid w:val="002C40A0"/>
    <w:rsid w:val="002C41B6"/>
    <w:rsid w:val="002C56CE"/>
    <w:rsid w:val="002C61B7"/>
    <w:rsid w:val="002D2793"/>
    <w:rsid w:val="002E380B"/>
    <w:rsid w:val="002F0B45"/>
    <w:rsid w:val="002F0C2B"/>
    <w:rsid w:val="002F2217"/>
    <w:rsid w:val="002F6042"/>
    <w:rsid w:val="002F7891"/>
    <w:rsid w:val="00302A50"/>
    <w:rsid w:val="00302FFF"/>
    <w:rsid w:val="00304088"/>
    <w:rsid w:val="00304547"/>
    <w:rsid w:val="0030513B"/>
    <w:rsid w:val="0031615B"/>
    <w:rsid w:val="0032022E"/>
    <w:rsid w:val="0032041B"/>
    <w:rsid w:val="003221FC"/>
    <w:rsid w:val="00322D9E"/>
    <w:rsid w:val="00323A4F"/>
    <w:rsid w:val="003269E6"/>
    <w:rsid w:val="00330B2D"/>
    <w:rsid w:val="00335937"/>
    <w:rsid w:val="003365E7"/>
    <w:rsid w:val="00341E03"/>
    <w:rsid w:val="0034425A"/>
    <w:rsid w:val="00344A72"/>
    <w:rsid w:val="00346E39"/>
    <w:rsid w:val="0035754E"/>
    <w:rsid w:val="003604CA"/>
    <w:rsid w:val="00360D75"/>
    <w:rsid w:val="00366A69"/>
    <w:rsid w:val="003716AB"/>
    <w:rsid w:val="0037414D"/>
    <w:rsid w:val="00377E36"/>
    <w:rsid w:val="0038051F"/>
    <w:rsid w:val="00381185"/>
    <w:rsid w:val="00384B7D"/>
    <w:rsid w:val="00384DBC"/>
    <w:rsid w:val="00390341"/>
    <w:rsid w:val="00393F3B"/>
    <w:rsid w:val="003970F6"/>
    <w:rsid w:val="003A4C1F"/>
    <w:rsid w:val="003B1EAC"/>
    <w:rsid w:val="003B3827"/>
    <w:rsid w:val="003B5AE6"/>
    <w:rsid w:val="003C215B"/>
    <w:rsid w:val="003C3626"/>
    <w:rsid w:val="003D0A2C"/>
    <w:rsid w:val="003D0D13"/>
    <w:rsid w:val="003D2EF0"/>
    <w:rsid w:val="003D6628"/>
    <w:rsid w:val="003D6F1E"/>
    <w:rsid w:val="003E044D"/>
    <w:rsid w:val="003E115E"/>
    <w:rsid w:val="003E290A"/>
    <w:rsid w:val="003E512E"/>
    <w:rsid w:val="003E5686"/>
    <w:rsid w:val="003E74E1"/>
    <w:rsid w:val="003F01CB"/>
    <w:rsid w:val="003F02B5"/>
    <w:rsid w:val="003F1553"/>
    <w:rsid w:val="0040039B"/>
    <w:rsid w:val="00400797"/>
    <w:rsid w:val="0040081D"/>
    <w:rsid w:val="004012F1"/>
    <w:rsid w:val="0040566C"/>
    <w:rsid w:val="00413746"/>
    <w:rsid w:val="00413B56"/>
    <w:rsid w:val="004143D3"/>
    <w:rsid w:val="00416773"/>
    <w:rsid w:val="0042528E"/>
    <w:rsid w:val="00427458"/>
    <w:rsid w:val="00427CC0"/>
    <w:rsid w:val="00435267"/>
    <w:rsid w:val="0043670F"/>
    <w:rsid w:val="00436872"/>
    <w:rsid w:val="00442536"/>
    <w:rsid w:val="0045373D"/>
    <w:rsid w:val="004539F4"/>
    <w:rsid w:val="00453BCB"/>
    <w:rsid w:val="00454814"/>
    <w:rsid w:val="0045594F"/>
    <w:rsid w:val="00462371"/>
    <w:rsid w:val="004646C8"/>
    <w:rsid w:val="004653E2"/>
    <w:rsid w:val="004711AB"/>
    <w:rsid w:val="004727ED"/>
    <w:rsid w:val="004734E6"/>
    <w:rsid w:val="00480148"/>
    <w:rsid w:val="004802E5"/>
    <w:rsid w:val="0048219F"/>
    <w:rsid w:val="0048414C"/>
    <w:rsid w:val="0049105B"/>
    <w:rsid w:val="00492156"/>
    <w:rsid w:val="004928CC"/>
    <w:rsid w:val="00494E57"/>
    <w:rsid w:val="00494F39"/>
    <w:rsid w:val="004950FD"/>
    <w:rsid w:val="004A5F39"/>
    <w:rsid w:val="004B0982"/>
    <w:rsid w:val="004B4C7A"/>
    <w:rsid w:val="004B705F"/>
    <w:rsid w:val="004B7CE7"/>
    <w:rsid w:val="004C10E4"/>
    <w:rsid w:val="004C1187"/>
    <w:rsid w:val="004C6AB4"/>
    <w:rsid w:val="004C6EF9"/>
    <w:rsid w:val="004D1363"/>
    <w:rsid w:val="004D22E1"/>
    <w:rsid w:val="004D40B2"/>
    <w:rsid w:val="004D51D8"/>
    <w:rsid w:val="004D5F4E"/>
    <w:rsid w:val="004E77A1"/>
    <w:rsid w:val="004F37A6"/>
    <w:rsid w:val="004F3D89"/>
    <w:rsid w:val="004F608C"/>
    <w:rsid w:val="004F7A3D"/>
    <w:rsid w:val="004F7C21"/>
    <w:rsid w:val="004F7D97"/>
    <w:rsid w:val="00503DE6"/>
    <w:rsid w:val="005072CB"/>
    <w:rsid w:val="00514484"/>
    <w:rsid w:val="00514EFF"/>
    <w:rsid w:val="00515897"/>
    <w:rsid w:val="00517F42"/>
    <w:rsid w:val="0052062D"/>
    <w:rsid w:val="00521992"/>
    <w:rsid w:val="0052568B"/>
    <w:rsid w:val="00527CE4"/>
    <w:rsid w:val="005308DA"/>
    <w:rsid w:val="005326B4"/>
    <w:rsid w:val="00532AAC"/>
    <w:rsid w:val="00540658"/>
    <w:rsid w:val="0054151A"/>
    <w:rsid w:val="00542EF4"/>
    <w:rsid w:val="00543891"/>
    <w:rsid w:val="00543ABF"/>
    <w:rsid w:val="00543B64"/>
    <w:rsid w:val="00545F36"/>
    <w:rsid w:val="00546CDF"/>
    <w:rsid w:val="00547DBA"/>
    <w:rsid w:val="00550C94"/>
    <w:rsid w:val="00550D06"/>
    <w:rsid w:val="005518ED"/>
    <w:rsid w:val="00553035"/>
    <w:rsid w:val="00554427"/>
    <w:rsid w:val="0055608A"/>
    <w:rsid w:val="00557598"/>
    <w:rsid w:val="005617FF"/>
    <w:rsid w:val="005630D0"/>
    <w:rsid w:val="005643E9"/>
    <w:rsid w:val="005671BD"/>
    <w:rsid w:val="00572330"/>
    <w:rsid w:val="00572420"/>
    <w:rsid w:val="00572522"/>
    <w:rsid w:val="00572FB5"/>
    <w:rsid w:val="00573E6E"/>
    <w:rsid w:val="00574434"/>
    <w:rsid w:val="005772E6"/>
    <w:rsid w:val="005825B3"/>
    <w:rsid w:val="00583497"/>
    <w:rsid w:val="0058688E"/>
    <w:rsid w:val="0059232E"/>
    <w:rsid w:val="00592B06"/>
    <w:rsid w:val="005A0D95"/>
    <w:rsid w:val="005A26FA"/>
    <w:rsid w:val="005A3596"/>
    <w:rsid w:val="005A54A5"/>
    <w:rsid w:val="005B096C"/>
    <w:rsid w:val="005B6FE1"/>
    <w:rsid w:val="005C2084"/>
    <w:rsid w:val="005C249D"/>
    <w:rsid w:val="005C2A7D"/>
    <w:rsid w:val="005C44F3"/>
    <w:rsid w:val="005C60B3"/>
    <w:rsid w:val="005C6C19"/>
    <w:rsid w:val="005C6CB9"/>
    <w:rsid w:val="005C7B2F"/>
    <w:rsid w:val="005D0CBD"/>
    <w:rsid w:val="005D7F8A"/>
    <w:rsid w:val="005E1A72"/>
    <w:rsid w:val="005E2833"/>
    <w:rsid w:val="005E3967"/>
    <w:rsid w:val="005E3CE6"/>
    <w:rsid w:val="005E4988"/>
    <w:rsid w:val="005E65E0"/>
    <w:rsid w:val="005F4629"/>
    <w:rsid w:val="005F50E8"/>
    <w:rsid w:val="005F5A9D"/>
    <w:rsid w:val="005F7056"/>
    <w:rsid w:val="005F740E"/>
    <w:rsid w:val="006004AB"/>
    <w:rsid w:val="00614AF1"/>
    <w:rsid w:val="00614FCB"/>
    <w:rsid w:val="006166D6"/>
    <w:rsid w:val="00617C2B"/>
    <w:rsid w:val="00625EEE"/>
    <w:rsid w:val="006266E6"/>
    <w:rsid w:val="00626855"/>
    <w:rsid w:val="00633454"/>
    <w:rsid w:val="006363A4"/>
    <w:rsid w:val="0063654B"/>
    <w:rsid w:val="00636A3E"/>
    <w:rsid w:val="00636C90"/>
    <w:rsid w:val="00644C8D"/>
    <w:rsid w:val="0064552D"/>
    <w:rsid w:val="00646BF9"/>
    <w:rsid w:val="0065074E"/>
    <w:rsid w:val="00656592"/>
    <w:rsid w:val="006575CC"/>
    <w:rsid w:val="00660ECD"/>
    <w:rsid w:val="00661760"/>
    <w:rsid w:val="00661945"/>
    <w:rsid w:val="006638B2"/>
    <w:rsid w:val="00670667"/>
    <w:rsid w:val="0067164A"/>
    <w:rsid w:val="00673458"/>
    <w:rsid w:val="00674EC7"/>
    <w:rsid w:val="006773D8"/>
    <w:rsid w:val="0068093D"/>
    <w:rsid w:val="00680C04"/>
    <w:rsid w:val="0068363E"/>
    <w:rsid w:val="00687BFB"/>
    <w:rsid w:val="006950A4"/>
    <w:rsid w:val="006A2236"/>
    <w:rsid w:val="006A5C52"/>
    <w:rsid w:val="006A707A"/>
    <w:rsid w:val="006A717D"/>
    <w:rsid w:val="006B0283"/>
    <w:rsid w:val="006B62B8"/>
    <w:rsid w:val="006B64E1"/>
    <w:rsid w:val="006B6BA2"/>
    <w:rsid w:val="006C08C7"/>
    <w:rsid w:val="006C19AC"/>
    <w:rsid w:val="006C2C04"/>
    <w:rsid w:val="006C55FF"/>
    <w:rsid w:val="006C6894"/>
    <w:rsid w:val="006D0FBE"/>
    <w:rsid w:val="006D13D3"/>
    <w:rsid w:val="006D23C5"/>
    <w:rsid w:val="006D3C71"/>
    <w:rsid w:val="006D5C57"/>
    <w:rsid w:val="006E4322"/>
    <w:rsid w:val="006E475C"/>
    <w:rsid w:val="006F14DC"/>
    <w:rsid w:val="006F3461"/>
    <w:rsid w:val="007006E5"/>
    <w:rsid w:val="00701BB7"/>
    <w:rsid w:val="00704901"/>
    <w:rsid w:val="007144A1"/>
    <w:rsid w:val="00714E02"/>
    <w:rsid w:val="00716856"/>
    <w:rsid w:val="00717855"/>
    <w:rsid w:val="007178FC"/>
    <w:rsid w:val="007233A4"/>
    <w:rsid w:val="0072370D"/>
    <w:rsid w:val="00723A69"/>
    <w:rsid w:val="007267E6"/>
    <w:rsid w:val="007268E0"/>
    <w:rsid w:val="00726AAB"/>
    <w:rsid w:val="00730C40"/>
    <w:rsid w:val="00731CD0"/>
    <w:rsid w:val="00731E88"/>
    <w:rsid w:val="00741A53"/>
    <w:rsid w:val="00744E21"/>
    <w:rsid w:val="007470B7"/>
    <w:rsid w:val="007472F4"/>
    <w:rsid w:val="00747431"/>
    <w:rsid w:val="00751D26"/>
    <w:rsid w:val="007525B2"/>
    <w:rsid w:val="00752D90"/>
    <w:rsid w:val="007550E4"/>
    <w:rsid w:val="0075548A"/>
    <w:rsid w:val="00760629"/>
    <w:rsid w:val="007660BE"/>
    <w:rsid w:val="00766FD9"/>
    <w:rsid w:val="007734DD"/>
    <w:rsid w:val="0077440D"/>
    <w:rsid w:val="007828D8"/>
    <w:rsid w:val="00784C63"/>
    <w:rsid w:val="00784FD7"/>
    <w:rsid w:val="007863B1"/>
    <w:rsid w:val="007902B2"/>
    <w:rsid w:val="007923A0"/>
    <w:rsid w:val="007964C0"/>
    <w:rsid w:val="007A08B2"/>
    <w:rsid w:val="007A293E"/>
    <w:rsid w:val="007A45FC"/>
    <w:rsid w:val="007A6FB7"/>
    <w:rsid w:val="007B2D99"/>
    <w:rsid w:val="007B3502"/>
    <w:rsid w:val="007B37CB"/>
    <w:rsid w:val="007B7AB1"/>
    <w:rsid w:val="007C1263"/>
    <w:rsid w:val="007C400E"/>
    <w:rsid w:val="007C6D1F"/>
    <w:rsid w:val="007D0022"/>
    <w:rsid w:val="007D0E23"/>
    <w:rsid w:val="007D0F9C"/>
    <w:rsid w:val="007D4E64"/>
    <w:rsid w:val="007D7D95"/>
    <w:rsid w:val="007E07F0"/>
    <w:rsid w:val="007E240E"/>
    <w:rsid w:val="007E344A"/>
    <w:rsid w:val="007E491E"/>
    <w:rsid w:val="007F0522"/>
    <w:rsid w:val="007F3406"/>
    <w:rsid w:val="007F74BD"/>
    <w:rsid w:val="00801B66"/>
    <w:rsid w:val="0080219D"/>
    <w:rsid w:val="00804550"/>
    <w:rsid w:val="0080568E"/>
    <w:rsid w:val="00805840"/>
    <w:rsid w:val="008059F3"/>
    <w:rsid w:val="0080682B"/>
    <w:rsid w:val="008145E9"/>
    <w:rsid w:val="008215A0"/>
    <w:rsid w:val="008221DA"/>
    <w:rsid w:val="008228E6"/>
    <w:rsid w:val="00822DB8"/>
    <w:rsid w:val="00823655"/>
    <w:rsid w:val="00824941"/>
    <w:rsid w:val="00824E82"/>
    <w:rsid w:val="0082629A"/>
    <w:rsid w:val="00831C4E"/>
    <w:rsid w:val="0083215C"/>
    <w:rsid w:val="0083241C"/>
    <w:rsid w:val="00837015"/>
    <w:rsid w:val="0084259D"/>
    <w:rsid w:val="008429C4"/>
    <w:rsid w:val="00846BFE"/>
    <w:rsid w:val="00847EBE"/>
    <w:rsid w:val="008548AE"/>
    <w:rsid w:val="00856AF6"/>
    <w:rsid w:val="0086206D"/>
    <w:rsid w:val="00862AF8"/>
    <w:rsid w:val="0087060C"/>
    <w:rsid w:val="008710FF"/>
    <w:rsid w:val="0087336B"/>
    <w:rsid w:val="00876A15"/>
    <w:rsid w:val="00880B2F"/>
    <w:rsid w:val="00881D99"/>
    <w:rsid w:val="00884B59"/>
    <w:rsid w:val="008855F3"/>
    <w:rsid w:val="00886372"/>
    <w:rsid w:val="008877D8"/>
    <w:rsid w:val="00890CD9"/>
    <w:rsid w:val="00892A43"/>
    <w:rsid w:val="008A0EC7"/>
    <w:rsid w:val="008A1073"/>
    <w:rsid w:val="008A1C87"/>
    <w:rsid w:val="008A25B9"/>
    <w:rsid w:val="008A2AC9"/>
    <w:rsid w:val="008A3FF3"/>
    <w:rsid w:val="008A4517"/>
    <w:rsid w:val="008B6273"/>
    <w:rsid w:val="008C0A07"/>
    <w:rsid w:val="008C561D"/>
    <w:rsid w:val="008D7C72"/>
    <w:rsid w:val="008E2C6A"/>
    <w:rsid w:val="008E4F78"/>
    <w:rsid w:val="008E65F1"/>
    <w:rsid w:val="008E728D"/>
    <w:rsid w:val="008F2046"/>
    <w:rsid w:val="008F6772"/>
    <w:rsid w:val="00900DE3"/>
    <w:rsid w:val="0090345D"/>
    <w:rsid w:val="00904DE7"/>
    <w:rsid w:val="00905D94"/>
    <w:rsid w:val="00906FA7"/>
    <w:rsid w:val="0091036F"/>
    <w:rsid w:val="00916FFF"/>
    <w:rsid w:val="0092147C"/>
    <w:rsid w:val="00921F3E"/>
    <w:rsid w:val="0092204C"/>
    <w:rsid w:val="00934BAB"/>
    <w:rsid w:val="00934EA1"/>
    <w:rsid w:val="00934EEA"/>
    <w:rsid w:val="00935690"/>
    <w:rsid w:val="00935AF0"/>
    <w:rsid w:val="00935EBE"/>
    <w:rsid w:val="00937DFB"/>
    <w:rsid w:val="00945548"/>
    <w:rsid w:val="009466C7"/>
    <w:rsid w:val="0095096C"/>
    <w:rsid w:val="009516E6"/>
    <w:rsid w:val="00955294"/>
    <w:rsid w:val="00957467"/>
    <w:rsid w:val="009601FB"/>
    <w:rsid w:val="00961940"/>
    <w:rsid w:val="0097135A"/>
    <w:rsid w:val="009723C9"/>
    <w:rsid w:val="00977055"/>
    <w:rsid w:val="00983141"/>
    <w:rsid w:val="009847C0"/>
    <w:rsid w:val="00990D17"/>
    <w:rsid w:val="00993851"/>
    <w:rsid w:val="00993CC2"/>
    <w:rsid w:val="00994E78"/>
    <w:rsid w:val="009969D9"/>
    <w:rsid w:val="009A0857"/>
    <w:rsid w:val="009A1874"/>
    <w:rsid w:val="009A3995"/>
    <w:rsid w:val="009A47A0"/>
    <w:rsid w:val="009A634B"/>
    <w:rsid w:val="009A692F"/>
    <w:rsid w:val="009A6F53"/>
    <w:rsid w:val="009B34D0"/>
    <w:rsid w:val="009B55D9"/>
    <w:rsid w:val="009C2251"/>
    <w:rsid w:val="009C472C"/>
    <w:rsid w:val="009C6712"/>
    <w:rsid w:val="009C6F64"/>
    <w:rsid w:val="009C7A5F"/>
    <w:rsid w:val="009C7F48"/>
    <w:rsid w:val="009D0C60"/>
    <w:rsid w:val="009D297C"/>
    <w:rsid w:val="009D34D0"/>
    <w:rsid w:val="009D3E6F"/>
    <w:rsid w:val="009D4CDE"/>
    <w:rsid w:val="009D72E4"/>
    <w:rsid w:val="009E4134"/>
    <w:rsid w:val="009E4DD3"/>
    <w:rsid w:val="009F01BF"/>
    <w:rsid w:val="009F1385"/>
    <w:rsid w:val="009F41E5"/>
    <w:rsid w:val="009F7AE2"/>
    <w:rsid w:val="00A028EF"/>
    <w:rsid w:val="00A02952"/>
    <w:rsid w:val="00A053B5"/>
    <w:rsid w:val="00A11DB0"/>
    <w:rsid w:val="00A23DB3"/>
    <w:rsid w:val="00A25260"/>
    <w:rsid w:val="00A313AA"/>
    <w:rsid w:val="00A408AF"/>
    <w:rsid w:val="00A4248B"/>
    <w:rsid w:val="00A43021"/>
    <w:rsid w:val="00A5355C"/>
    <w:rsid w:val="00A54D09"/>
    <w:rsid w:val="00A626D5"/>
    <w:rsid w:val="00A6710D"/>
    <w:rsid w:val="00A708F1"/>
    <w:rsid w:val="00A71890"/>
    <w:rsid w:val="00A71FB6"/>
    <w:rsid w:val="00A72B56"/>
    <w:rsid w:val="00A76C71"/>
    <w:rsid w:val="00A76C7A"/>
    <w:rsid w:val="00A76DEF"/>
    <w:rsid w:val="00A80611"/>
    <w:rsid w:val="00A826A4"/>
    <w:rsid w:val="00A83016"/>
    <w:rsid w:val="00A83720"/>
    <w:rsid w:val="00A87038"/>
    <w:rsid w:val="00A9058B"/>
    <w:rsid w:val="00A90B05"/>
    <w:rsid w:val="00A9431B"/>
    <w:rsid w:val="00A9503D"/>
    <w:rsid w:val="00A950E0"/>
    <w:rsid w:val="00A95525"/>
    <w:rsid w:val="00AA2286"/>
    <w:rsid w:val="00AA2DF0"/>
    <w:rsid w:val="00AA3535"/>
    <w:rsid w:val="00AB0CFB"/>
    <w:rsid w:val="00AB6C8D"/>
    <w:rsid w:val="00AC1FCA"/>
    <w:rsid w:val="00AC263C"/>
    <w:rsid w:val="00AD026C"/>
    <w:rsid w:val="00AD143D"/>
    <w:rsid w:val="00AD564F"/>
    <w:rsid w:val="00AE0179"/>
    <w:rsid w:val="00AF574B"/>
    <w:rsid w:val="00B03B6B"/>
    <w:rsid w:val="00B06769"/>
    <w:rsid w:val="00B06C1B"/>
    <w:rsid w:val="00B11BB6"/>
    <w:rsid w:val="00B12D73"/>
    <w:rsid w:val="00B142C4"/>
    <w:rsid w:val="00B15717"/>
    <w:rsid w:val="00B17E29"/>
    <w:rsid w:val="00B20BE4"/>
    <w:rsid w:val="00B2654D"/>
    <w:rsid w:val="00B27C54"/>
    <w:rsid w:val="00B31166"/>
    <w:rsid w:val="00B31D9D"/>
    <w:rsid w:val="00B347E7"/>
    <w:rsid w:val="00B361C8"/>
    <w:rsid w:val="00B376B2"/>
    <w:rsid w:val="00B413A0"/>
    <w:rsid w:val="00B41453"/>
    <w:rsid w:val="00B455E7"/>
    <w:rsid w:val="00B460FF"/>
    <w:rsid w:val="00B52D3A"/>
    <w:rsid w:val="00B534E0"/>
    <w:rsid w:val="00B53BA5"/>
    <w:rsid w:val="00B5414D"/>
    <w:rsid w:val="00B56D42"/>
    <w:rsid w:val="00B617F9"/>
    <w:rsid w:val="00B62540"/>
    <w:rsid w:val="00B646C3"/>
    <w:rsid w:val="00B67D03"/>
    <w:rsid w:val="00B71ED2"/>
    <w:rsid w:val="00B720B4"/>
    <w:rsid w:val="00B72FEC"/>
    <w:rsid w:val="00B76928"/>
    <w:rsid w:val="00B852B1"/>
    <w:rsid w:val="00B86C4C"/>
    <w:rsid w:val="00B91EF0"/>
    <w:rsid w:val="00B92EB3"/>
    <w:rsid w:val="00B9633F"/>
    <w:rsid w:val="00B96847"/>
    <w:rsid w:val="00BA09AC"/>
    <w:rsid w:val="00BA21A9"/>
    <w:rsid w:val="00BA35EC"/>
    <w:rsid w:val="00BA6F54"/>
    <w:rsid w:val="00BB1308"/>
    <w:rsid w:val="00BB51BB"/>
    <w:rsid w:val="00BB6666"/>
    <w:rsid w:val="00BB6742"/>
    <w:rsid w:val="00BC2925"/>
    <w:rsid w:val="00BC361F"/>
    <w:rsid w:val="00BC443D"/>
    <w:rsid w:val="00BC7862"/>
    <w:rsid w:val="00BD2040"/>
    <w:rsid w:val="00BD2772"/>
    <w:rsid w:val="00BD2809"/>
    <w:rsid w:val="00BE4C90"/>
    <w:rsid w:val="00BE7668"/>
    <w:rsid w:val="00BF03C4"/>
    <w:rsid w:val="00BF0B3C"/>
    <w:rsid w:val="00BF380A"/>
    <w:rsid w:val="00C01659"/>
    <w:rsid w:val="00C0401A"/>
    <w:rsid w:val="00C06B50"/>
    <w:rsid w:val="00C10EE6"/>
    <w:rsid w:val="00C12E2E"/>
    <w:rsid w:val="00C13CF7"/>
    <w:rsid w:val="00C14599"/>
    <w:rsid w:val="00C1703E"/>
    <w:rsid w:val="00C21C11"/>
    <w:rsid w:val="00C228A5"/>
    <w:rsid w:val="00C23551"/>
    <w:rsid w:val="00C273E4"/>
    <w:rsid w:val="00C47AE6"/>
    <w:rsid w:val="00C53823"/>
    <w:rsid w:val="00C53B79"/>
    <w:rsid w:val="00C573A7"/>
    <w:rsid w:val="00C6054B"/>
    <w:rsid w:val="00C657E4"/>
    <w:rsid w:val="00C65FDC"/>
    <w:rsid w:val="00C70F1A"/>
    <w:rsid w:val="00C71F68"/>
    <w:rsid w:val="00C7507B"/>
    <w:rsid w:val="00C75B84"/>
    <w:rsid w:val="00C77575"/>
    <w:rsid w:val="00C77943"/>
    <w:rsid w:val="00C81ADC"/>
    <w:rsid w:val="00C828EC"/>
    <w:rsid w:val="00C836F2"/>
    <w:rsid w:val="00C844E3"/>
    <w:rsid w:val="00C850AA"/>
    <w:rsid w:val="00C85273"/>
    <w:rsid w:val="00C85542"/>
    <w:rsid w:val="00C94A7A"/>
    <w:rsid w:val="00CA25BD"/>
    <w:rsid w:val="00CA28B1"/>
    <w:rsid w:val="00CA2F1F"/>
    <w:rsid w:val="00CA4471"/>
    <w:rsid w:val="00CA5422"/>
    <w:rsid w:val="00CA79D4"/>
    <w:rsid w:val="00CB43E4"/>
    <w:rsid w:val="00CB5188"/>
    <w:rsid w:val="00CC5CB5"/>
    <w:rsid w:val="00CD1604"/>
    <w:rsid w:val="00CD36AC"/>
    <w:rsid w:val="00CD4B4A"/>
    <w:rsid w:val="00CD5050"/>
    <w:rsid w:val="00CE073C"/>
    <w:rsid w:val="00CE4246"/>
    <w:rsid w:val="00CF00BA"/>
    <w:rsid w:val="00CF20AA"/>
    <w:rsid w:val="00CF20AC"/>
    <w:rsid w:val="00CF3AFF"/>
    <w:rsid w:val="00CF3B57"/>
    <w:rsid w:val="00CF3E4D"/>
    <w:rsid w:val="00CF41F6"/>
    <w:rsid w:val="00CF7E1B"/>
    <w:rsid w:val="00D00910"/>
    <w:rsid w:val="00D03235"/>
    <w:rsid w:val="00D032E6"/>
    <w:rsid w:val="00D04F5E"/>
    <w:rsid w:val="00D16EDC"/>
    <w:rsid w:val="00D263B6"/>
    <w:rsid w:val="00D3088B"/>
    <w:rsid w:val="00D31628"/>
    <w:rsid w:val="00D31DFC"/>
    <w:rsid w:val="00D33E4B"/>
    <w:rsid w:val="00D349D1"/>
    <w:rsid w:val="00D42A88"/>
    <w:rsid w:val="00D5252F"/>
    <w:rsid w:val="00D57B75"/>
    <w:rsid w:val="00D60F6E"/>
    <w:rsid w:val="00D62463"/>
    <w:rsid w:val="00D6307E"/>
    <w:rsid w:val="00D6340B"/>
    <w:rsid w:val="00D64A36"/>
    <w:rsid w:val="00D64E39"/>
    <w:rsid w:val="00D653E1"/>
    <w:rsid w:val="00D65FFD"/>
    <w:rsid w:val="00D66B88"/>
    <w:rsid w:val="00D701DB"/>
    <w:rsid w:val="00D744F1"/>
    <w:rsid w:val="00D8023A"/>
    <w:rsid w:val="00D8292D"/>
    <w:rsid w:val="00D85D14"/>
    <w:rsid w:val="00D86B46"/>
    <w:rsid w:val="00D875F9"/>
    <w:rsid w:val="00D87804"/>
    <w:rsid w:val="00D93B91"/>
    <w:rsid w:val="00DA0465"/>
    <w:rsid w:val="00DA64B1"/>
    <w:rsid w:val="00DA6D9C"/>
    <w:rsid w:val="00DA7D7F"/>
    <w:rsid w:val="00DB03F0"/>
    <w:rsid w:val="00DB2F53"/>
    <w:rsid w:val="00DB3824"/>
    <w:rsid w:val="00DC266E"/>
    <w:rsid w:val="00DC62EE"/>
    <w:rsid w:val="00DD0B19"/>
    <w:rsid w:val="00DD2DAC"/>
    <w:rsid w:val="00DD5C51"/>
    <w:rsid w:val="00DE0B8F"/>
    <w:rsid w:val="00DE1C79"/>
    <w:rsid w:val="00DE221E"/>
    <w:rsid w:val="00DE51CD"/>
    <w:rsid w:val="00DF1A22"/>
    <w:rsid w:val="00DF2DFB"/>
    <w:rsid w:val="00DF5293"/>
    <w:rsid w:val="00E02C84"/>
    <w:rsid w:val="00E0435F"/>
    <w:rsid w:val="00E10091"/>
    <w:rsid w:val="00E1077C"/>
    <w:rsid w:val="00E117D7"/>
    <w:rsid w:val="00E12B93"/>
    <w:rsid w:val="00E148D3"/>
    <w:rsid w:val="00E27098"/>
    <w:rsid w:val="00E30435"/>
    <w:rsid w:val="00E336D6"/>
    <w:rsid w:val="00E40650"/>
    <w:rsid w:val="00E40C9B"/>
    <w:rsid w:val="00E40F42"/>
    <w:rsid w:val="00E42DB8"/>
    <w:rsid w:val="00E43006"/>
    <w:rsid w:val="00E52CA9"/>
    <w:rsid w:val="00E5475E"/>
    <w:rsid w:val="00E54778"/>
    <w:rsid w:val="00E60E17"/>
    <w:rsid w:val="00E625DA"/>
    <w:rsid w:val="00E62926"/>
    <w:rsid w:val="00E62D04"/>
    <w:rsid w:val="00E7276C"/>
    <w:rsid w:val="00E745E7"/>
    <w:rsid w:val="00E75E35"/>
    <w:rsid w:val="00E766E3"/>
    <w:rsid w:val="00E77DF9"/>
    <w:rsid w:val="00E83621"/>
    <w:rsid w:val="00E841BA"/>
    <w:rsid w:val="00E8586C"/>
    <w:rsid w:val="00E87798"/>
    <w:rsid w:val="00E94F6C"/>
    <w:rsid w:val="00E95CF5"/>
    <w:rsid w:val="00E96D66"/>
    <w:rsid w:val="00EA0486"/>
    <w:rsid w:val="00EA10E3"/>
    <w:rsid w:val="00EA1887"/>
    <w:rsid w:val="00EA5301"/>
    <w:rsid w:val="00EA65D3"/>
    <w:rsid w:val="00EA7950"/>
    <w:rsid w:val="00EA7D1E"/>
    <w:rsid w:val="00EB1FDA"/>
    <w:rsid w:val="00EB2491"/>
    <w:rsid w:val="00EB4156"/>
    <w:rsid w:val="00EB4F24"/>
    <w:rsid w:val="00EB56B0"/>
    <w:rsid w:val="00EB5B50"/>
    <w:rsid w:val="00EB6459"/>
    <w:rsid w:val="00EB6EAC"/>
    <w:rsid w:val="00EB6F7F"/>
    <w:rsid w:val="00EC1C1F"/>
    <w:rsid w:val="00EC265A"/>
    <w:rsid w:val="00EC3946"/>
    <w:rsid w:val="00EC47CE"/>
    <w:rsid w:val="00EC6447"/>
    <w:rsid w:val="00ED1380"/>
    <w:rsid w:val="00ED2568"/>
    <w:rsid w:val="00ED3B89"/>
    <w:rsid w:val="00ED4345"/>
    <w:rsid w:val="00ED4E5D"/>
    <w:rsid w:val="00ED57D2"/>
    <w:rsid w:val="00ED5A4D"/>
    <w:rsid w:val="00EE206B"/>
    <w:rsid w:val="00EE4EEE"/>
    <w:rsid w:val="00EE5889"/>
    <w:rsid w:val="00EE6131"/>
    <w:rsid w:val="00EE673B"/>
    <w:rsid w:val="00EE6E67"/>
    <w:rsid w:val="00EE7578"/>
    <w:rsid w:val="00EF60A1"/>
    <w:rsid w:val="00EF756A"/>
    <w:rsid w:val="00F00E82"/>
    <w:rsid w:val="00F02B1B"/>
    <w:rsid w:val="00F0582A"/>
    <w:rsid w:val="00F0596F"/>
    <w:rsid w:val="00F059A7"/>
    <w:rsid w:val="00F07940"/>
    <w:rsid w:val="00F1310A"/>
    <w:rsid w:val="00F149A6"/>
    <w:rsid w:val="00F14E34"/>
    <w:rsid w:val="00F2096A"/>
    <w:rsid w:val="00F22A27"/>
    <w:rsid w:val="00F23EDF"/>
    <w:rsid w:val="00F25CBD"/>
    <w:rsid w:val="00F26DB4"/>
    <w:rsid w:val="00F32149"/>
    <w:rsid w:val="00F37A75"/>
    <w:rsid w:val="00F401A1"/>
    <w:rsid w:val="00F40589"/>
    <w:rsid w:val="00F40D5A"/>
    <w:rsid w:val="00F413C5"/>
    <w:rsid w:val="00F43922"/>
    <w:rsid w:val="00F442BF"/>
    <w:rsid w:val="00F503CA"/>
    <w:rsid w:val="00F50B10"/>
    <w:rsid w:val="00F5105D"/>
    <w:rsid w:val="00F520B5"/>
    <w:rsid w:val="00F54D89"/>
    <w:rsid w:val="00F561D8"/>
    <w:rsid w:val="00F56C5E"/>
    <w:rsid w:val="00F601CF"/>
    <w:rsid w:val="00F65CFA"/>
    <w:rsid w:val="00F71E95"/>
    <w:rsid w:val="00F72761"/>
    <w:rsid w:val="00F7374C"/>
    <w:rsid w:val="00F74C2C"/>
    <w:rsid w:val="00F761E9"/>
    <w:rsid w:val="00F76486"/>
    <w:rsid w:val="00F76679"/>
    <w:rsid w:val="00F80C61"/>
    <w:rsid w:val="00F83F49"/>
    <w:rsid w:val="00F917EB"/>
    <w:rsid w:val="00F9261A"/>
    <w:rsid w:val="00F92722"/>
    <w:rsid w:val="00F92F6D"/>
    <w:rsid w:val="00F956E6"/>
    <w:rsid w:val="00FA2A3F"/>
    <w:rsid w:val="00FA5C7C"/>
    <w:rsid w:val="00FA7496"/>
    <w:rsid w:val="00FB0E72"/>
    <w:rsid w:val="00FB11B0"/>
    <w:rsid w:val="00FB144E"/>
    <w:rsid w:val="00FB2339"/>
    <w:rsid w:val="00FC13A9"/>
    <w:rsid w:val="00FC22FA"/>
    <w:rsid w:val="00FC2348"/>
    <w:rsid w:val="00FC27D0"/>
    <w:rsid w:val="00FC5742"/>
    <w:rsid w:val="00FC70A3"/>
    <w:rsid w:val="00FD000B"/>
    <w:rsid w:val="00FD1B25"/>
    <w:rsid w:val="00FD2D2A"/>
    <w:rsid w:val="00FD4977"/>
    <w:rsid w:val="00FE17C6"/>
    <w:rsid w:val="00FE323C"/>
    <w:rsid w:val="00FE63BB"/>
    <w:rsid w:val="00FF1D9B"/>
    <w:rsid w:val="00FF42D1"/>
    <w:rsid w:val="00FF682D"/>
    <w:rsid w:val="00FF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9EFF"/>
  <w15:chartTrackingRefBased/>
  <w15:docId w15:val="{AAF685A6-1712-454F-A12B-C9BFDF30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40"/>
  </w:style>
  <w:style w:type="paragraph" w:styleId="Heading1">
    <w:name w:val="heading 1"/>
    <w:basedOn w:val="Normal"/>
    <w:next w:val="Normal"/>
    <w:link w:val="Heading1Char"/>
    <w:uiPriority w:val="9"/>
    <w:qFormat/>
    <w:rsid w:val="00730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0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0C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0C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0C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0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C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0C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0C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0C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0C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0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C40"/>
    <w:rPr>
      <w:rFonts w:eastAsiaTheme="majorEastAsia" w:cstheme="majorBidi"/>
      <w:color w:val="272727" w:themeColor="text1" w:themeTint="D8"/>
    </w:rPr>
  </w:style>
  <w:style w:type="paragraph" w:styleId="Title">
    <w:name w:val="Title"/>
    <w:basedOn w:val="Normal"/>
    <w:next w:val="Normal"/>
    <w:link w:val="TitleChar"/>
    <w:uiPriority w:val="10"/>
    <w:qFormat/>
    <w:rsid w:val="00730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C40"/>
    <w:pPr>
      <w:spacing w:before="160"/>
      <w:jc w:val="center"/>
    </w:pPr>
    <w:rPr>
      <w:i/>
      <w:iCs/>
      <w:color w:val="404040" w:themeColor="text1" w:themeTint="BF"/>
    </w:rPr>
  </w:style>
  <w:style w:type="character" w:customStyle="1" w:styleId="QuoteChar">
    <w:name w:val="Quote Char"/>
    <w:basedOn w:val="DefaultParagraphFont"/>
    <w:link w:val="Quote"/>
    <w:uiPriority w:val="29"/>
    <w:rsid w:val="00730C40"/>
    <w:rPr>
      <w:i/>
      <w:iCs/>
      <w:color w:val="404040" w:themeColor="text1" w:themeTint="BF"/>
    </w:rPr>
  </w:style>
  <w:style w:type="paragraph" w:styleId="ListParagraph">
    <w:name w:val="List Paragraph"/>
    <w:basedOn w:val="Normal"/>
    <w:uiPriority w:val="34"/>
    <w:qFormat/>
    <w:rsid w:val="00730C40"/>
    <w:pPr>
      <w:ind w:left="720"/>
      <w:contextualSpacing/>
    </w:pPr>
  </w:style>
  <w:style w:type="character" w:styleId="IntenseEmphasis">
    <w:name w:val="Intense Emphasis"/>
    <w:basedOn w:val="DefaultParagraphFont"/>
    <w:uiPriority w:val="21"/>
    <w:qFormat/>
    <w:rsid w:val="00730C40"/>
    <w:rPr>
      <w:i/>
      <w:iCs/>
      <w:color w:val="2F5496" w:themeColor="accent1" w:themeShade="BF"/>
    </w:rPr>
  </w:style>
  <w:style w:type="paragraph" w:styleId="IntenseQuote">
    <w:name w:val="Intense Quote"/>
    <w:basedOn w:val="Normal"/>
    <w:next w:val="Normal"/>
    <w:link w:val="IntenseQuoteChar"/>
    <w:uiPriority w:val="30"/>
    <w:qFormat/>
    <w:rsid w:val="00730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0C40"/>
    <w:rPr>
      <w:i/>
      <w:iCs/>
      <w:color w:val="2F5496" w:themeColor="accent1" w:themeShade="BF"/>
    </w:rPr>
  </w:style>
  <w:style w:type="character" w:styleId="IntenseReference">
    <w:name w:val="Intense Reference"/>
    <w:basedOn w:val="DefaultParagraphFont"/>
    <w:uiPriority w:val="32"/>
    <w:qFormat/>
    <w:rsid w:val="00730C40"/>
    <w:rPr>
      <w:b/>
      <w:bCs/>
      <w:smallCaps/>
      <w:color w:val="2F5496" w:themeColor="accent1" w:themeShade="BF"/>
      <w:spacing w:val="5"/>
    </w:rPr>
  </w:style>
  <w:style w:type="paragraph" w:styleId="Bibliography">
    <w:name w:val="Bibliography"/>
    <w:basedOn w:val="Normal"/>
    <w:next w:val="Normal"/>
    <w:uiPriority w:val="37"/>
    <w:unhideWhenUsed/>
    <w:rsid w:val="007B7AB1"/>
    <w:pPr>
      <w:tabs>
        <w:tab w:val="left" w:pos="264"/>
      </w:tabs>
      <w:spacing w:after="240" w:line="240" w:lineRule="auto"/>
      <w:ind w:left="264" w:hanging="264"/>
    </w:pPr>
  </w:style>
  <w:style w:type="character" w:styleId="CommentReference">
    <w:name w:val="annotation reference"/>
    <w:basedOn w:val="DefaultParagraphFont"/>
    <w:uiPriority w:val="99"/>
    <w:semiHidden/>
    <w:unhideWhenUsed/>
    <w:rsid w:val="00F917EB"/>
    <w:rPr>
      <w:sz w:val="16"/>
      <w:szCs w:val="16"/>
    </w:rPr>
  </w:style>
  <w:style w:type="paragraph" w:styleId="CommentText">
    <w:name w:val="annotation text"/>
    <w:basedOn w:val="Normal"/>
    <w:link w:val="CommentTextChar"/>
    <w:uiPriority w:val="99"/>
    <w:unhideWhenUsed/>
    <w:rsid w:val="00F917EB"/>
    <w:pPr>
      <w:spacing w:line="240" w:lineRule="auto"/>
    </w:pPr>
    <w:rPr>
      <w:sz w:val="20"/>
      <w:szCs w:val="20"/>
    </w:rPr>
  </w:style>
  <w:style w:type="character" w:customStyle="1" w:styleId="CommentTextChar">
    <w:name w:val="Comment Text Char"/>
    <w:basedOn w:val="DefaultParagraphFont"/>
    <w:link w:val="CommentText"/>
    <w:uiPriority w:val="99"/>
    <w:rsid w:val="00F917EB"/>
    <w:rPr>
      <w:sz w:val="20"/>
      <w:szCs w:val="20"/>
    </w:rPr>
  </w:style>
  <w:style w:type="paragraph" w:styleId="CommentSubject">
    <w:name w:val="annotation subject"/>
    <w:basedOn w:val="CommentText"/>
    <w:next w:val="CommentText"/>
    <w:link w:val="CommentSubjectChar"/>
    <w:uiPriority w:val="99"/>
    <w:semiHidden/>
    <w:unhideWhenUsed/>
    <w:rsid w:val="00F917EB"/>
    <w:rPr>
      <w:b/>
      <w:bCs/>
    </w:rPr>
  </w:style>
  <w:style w:type="character" w:customStyle="1" w:styleId="CommentSubjectChar">
    <w:name w:val="Comment Subject Char"/>
    <w:basedOn w:val="CommentTextChar"/>
    <w:link w:val="CommentSubject"/>
    <w:uiPriority w:val="99"/>
    <w:semiHidden/>
    <w:rsid w:val="00F917EB"/>
    <w:rPr>
      <w:b/>
      <w:bCs/>
      <w:sz w:val="20"/>
      <w:szCs w:val="20"/>
    </w:rPr>
  </w:style>
  <w:style w:type="character" w:styleId="Hyperlink">
    <w:name w:val="Hyperlink"/>
    <w:basedOn w:val="DefaultParagraphFont"/>
    <w:uiPriority w:val="99"/>
    <w:unhideWhenUsed/>
    <w:rsid w:val="0038051F"/>
    <w:rPr>
      <w:color w:val="0563C1" w:themeColor="hyperlink"/>
      <w:u w:val="single"/>
    </w:rPr>
  </w:style>
  <w:style w:type="character" w:styleId="UnresolvedMention">
    <w:name w:val="Unresolved Mention"/>
    <w:basedOn w:val="DefaultParagraphFont"/>
    <w:uiPriority w:val="99"/>
    <w:semiHidden/>
    <w:unhideWhenUsed/>
    <w:rsid w:val="0038051F"/>
    <w:rPr>
      <w:color w:val="605E5C"/>
      <w:shd w:val="clear" w:color="auto" w:fill="E1DFDD"/>
    </w:rPr>
  </w:style>
  <w:style w:type="paragraph" w:styleId="Revision">
    <w:name w:val="Revision"/>
    <w:hidden/>
    <w:uiPriority w:val="99"/>
    <w:semiHidden/>
    <w:rsid w:val="00480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1302">
      <w:bodyDiv w:val="1"/>
      <w:marLeft w:val="0"/>
      <w:marRight w:val="0"/>
      <w:marTop w:val="0"/>
      <w:marBottom w:val="0"/>
      <w:divBdr>
        <w:top w:val="none" w:sz="0" w:space="0" w:color="auto"/>
        <w:left w:val="none" w:sz="0" w:space="0" w:color="auto"/>
        <w:bottom w:val="none" w:sz="0" w:space="0" w:color="auto"/>
        <w:right w:val="none" w:sz="0" w:space="0" w:color="auto"/>
      </w:divBdr>
    </w:div>
    <w:div w:id="511991802">
      <w:bodyDiv w:val="1"/>
      <w:marLeft w:val="0"/>
      <w:marRight w:val="0"/>
      <w:marTop w:val="0"/>
      <w:marBottom w:val="0"/>
      <w:divBdr>
        <w:top w:val="none" w:sz="0" w:space="0" w:color="auto"/>
        <w:left w:val="none" w:sz="0" w:space="0" w:color="auto"/>
        <w:bottom w:val="none" w:sz="0" w:space="0" w:color="auto"/>
        <w:right w:val="none" w:sz="0" w:space="0" w:color="auto"/>
      </w:divBdr>
    </w:div>
    <w:div w:id="1210069951">
      <w:bodyDiv w:val="1"/>
      <w:marLeft w:val="0"/>
      <w:marRight w:val="0"/>
      <w:marTop w:val="0"/>
      <w:marBottom w:val="0"/>
      <w:divBdr>
        <w:top w:val="none" w:sz="0" w:space="0" w:color="auto"/>
        <w:left w:val="none" w:sz="0" w:space="0" w:color="auto"/>
        <w:bottom w:val="none" w:sz="0" w:space="0" w:color="auto"/>
        <w:right w:val="none" w:sz="0" w:space="0" w:color="auto"/>
      </w:divBdr>
    </w:div>
    <w:div w:id="1626037291">
      <w:bodyDiv w:val="1"/>
      <w:marLeft w:val="0"/>
      <w:marRight w:val="0"/>
      <w:marTop w:val="0"/>
      <w:marBottom w:val="0"/>
      <w:divBdr>
        <w:top w:val="none" w:sz="0" w:space="0" w:color="auto"/>
        <w:left w:val="none" w:sz="0" w:space="0" w:color="auto"/>
        <w:bottom w:val="none" w:sz="0" w:space="0" w:color="auto"/>
        <w:right w:val="none" w:sz="0" w:space="0" w:color="auto"/>
      </w:divBdr>
    </w:div>
    <w:div w:id="1960838788">
      <w:bodyDiv w:val="1"/>
      <w:marLeft w:val="0"/>
      <w:marRight w:val="0"/>
      <w:marTop w:val="0"/>
      <w:marBottom w:val="0"/>
      <w:divBdr>
        <w:top w:val="none" w:sz="0" w:space="0" w:color="auto"/>
        <w:left w:val="none" w:sz="0" w:space="0" w:color="auto"/>
        <w:bottom w:val="none" w:sz="0" w:space="0" w:color="auto"/>
        <w:right w:val="none" w:sz="0" w:space="0" w:color="auto"/>
      </w:divBdr>
    </w:div>
    <w:div w:id="20226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home/tools/drug-monito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harmaceutical-journal.com/article/ld/lithium-monitoring-and-toxicity-managemen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armaceutical-journal.com/article/ld/digoxin-monitoring-and-toxicity-management" TargetMode="External"/><Relationship Id="rId11" Type="http://schemas.openxmlformats.org/officeDocument/2006/relationships/hyperlink" Target="https://www.gov.uk/drug-safety-update" TargetMode="External"/><Relationship Id="rId5" Type="http://schemas.openxmlformats.org/officeDocument/2006/relationships/webSettings" Target="webSettings.xml"/><Relationship Id="rId10" Type="http://schemas.openxmlformats.org/officeDocument/2006/relationships/hyperlink" Target="https://www.parkinsons.org.uk/professionals/resources/time-critical-medication-and-get-it-time-campaign-resources" TargetMode="External"/><Relationship Id="rId4" Type="http://schemas.openxmlformats.org/officeDocument/2006/relationships/settings" Target="settings.xml"/><Relationship Id="rId9" Type="http://schemas.openxmlformats.org/officeDocument/2006/relationships/hyperlink" Target="https://diabetesonthenet.com/diabetes-news/six-steps-to-insulin-safety-e-learning-mo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7461A-0D1A-47E9-A0D8-42779CE8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16300</Words>
  <Characters>92913</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Coon (Staff)</dc:creator>
  <cp:keywords/>
  <dc:description/>
  <cp:lastModifiedBy>Rebecca Coon (Staff)</cp:lastModifiedBy>
  <cp:revision>4</cp:revision>
  <dcterms:created xsi:type="dcterms:W3CDTF">2025-09-08T08:42:00Z</dcterms:created>
  <dcterms:modified xsi:type="dcterms:W3CDTF">2025-09-08T08:45:00Z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id="49p4971N"/&gt;&lt;style id="http://www.zotero.org/styles/vancouver" locale="en-GB" hasBibliography="1" bibliographyStyleHasBeenSet="1"/&gt;&lt;prefs&gt;&lt;pref name="fieldType" value="Field"/&gt;&lt;/prefs&gt;&lt;/data&gt;</vt:lpwstr>
  </property>
</Properties>
</file>